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48.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القوانین المحکمة فی الاصول المتقنة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4991_1738255347">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494993_17382553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94995_1738255347">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494997_1738255347">
            <w:r>
              <w:rPr>
                <w:webHidden/>
                <w:rStyle w:val="IndexLink"/>
                <w:rtl w:val="true"/>
              </w:rPr>
              <w:t xml:space="preserve">المقصد الثاني </w:t>
            </w:r>
            <w:r>
              <w:rPr>
                <w:rStyle w:val="IndexLink"/>
                <w:rtl w:val="true"/>
              </w:rPr>
              <w:t xml:space="preserve">: </w:t>
            </w:r>
            <w:r>
              <w:rPr>
                <w:rStyle w:val="IndexLink"/>
                <w:rtl w:val="true"/>
              </w:rPr>
              <w:t>في بيان بعض مباحث التّخصيص</w:t>
            </w:r>
            <w:r>
              <w:rPr>
                <w:rStyle w:val="IndexLink"/>
                <w:rtl w:val="true"/>
              </w:rPr>
              <w:tab/>
            </w:r>
            <w:r>
              <w:rPr>
                <w:rStyle w:val="IndexLink"/>
              </w:rPr>
              <w:t>12</w:t>
            </w:r>
          </w:hyperlink>
        </w:p>
        <w:p>
          <w:pPr>
            <w:pStyle w:val="Contents3"/>
            <w:tabs>
              <w:tab w:val="clear" w:pos="8459"/>
              <w:tab w:val="right" w:pos="9026" w:leader="dot"/>
            </w:tabs>
            <w:rPr/>
          </w:pPr>
          <w:hyperlink w:anchor="__RefHeading___Toc494999_173825534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495001_1738255347">
            <w:r>
              <w:rPr>
                <w:webHidden/>
                <w:rStyle w:val="IndexLink"/>
                <w:rtl w:val="true"/>
              </w:rPr>
              <w:t>قانون</w:t>
            </w:r>
            <w:r>
              <w:rPr>
                <w:rStyle w:val="IndexLink"/>
                <w:rtl w:val="true"/>
              </w:rPr>
              <w:tab/>
            </w:r>
            <w:r>
              <w:rPr>
                <w:rStyle w:val="IndexLink"/>
              </w:rPr>
              <w:t>23</w:t>
            </w:r>
          </w:hyperlink>
        </w:p>
        <w:p>
          <w:pPr>
            <w:pStyle w:val="Contents4"/>
            <w:tabs>
              <w:tab w:val="clear" w:pos="8176"/>
              <w:tab w:val="right" w:pos="9026" w:leader="dot"/>
            </w:tabs>
            <w:rPr/>
          </w:pPr>
          <w:hyperlink w:anchor="__RefHeading___Toc495003_1738255347">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495005_1738255347">
            <w:r>
              <w:rPr>
                <w:webHidden/>
                <w:rStyle w:val="IndexLink"/>
                <w:rtl w:val="true"/>
              </w:rPr>
              <w:t xml:space="preserve">الأولى </w:t>
            </w:r>
            <w:r>
              <w:rPr>
                <w:rStyle w:val="IndexLink"/>
                <w:rtl w:val="true"/>
              </w:rPr>
              <w:t>:</w:t>
              <w:tab/>
            </w:r>
            <w:r>
              <w:rPr>
                <w:rStyle w:val="IndexLink"/>
              </w:rPr>
              <w:t>23</w:t>
            </w:r>
          </w:hyperlink>
        </w:p>
        <w:p>
          <w:pPr>
            <w:pStyle w:val="Contents4"/>
            <w:tabs>
              <w:tab w:val="clear" w:pos="8176"/>
              <w:tab w:val="right" w:pos="9026" w:leader="dot"/>
            </w:tabs>
            <w:rPr/>
          </w:pPr>
          <w:hyperlink w:anchor="__RefHeading___Toc495007_1738255347">
            <w:r>
              <w:rPr>
                <w:webHidden/>
                <w:rStyle w:val="IndexLink"/>
                <w:rtl w:val="true"/>
              </w:rPr>
              <w:t xml:space="preserve">الثانية </w:t>
            </w:r>
            <w:r>
              <w:rPr>
                <w:rStyle w:val="IndexLink"/>
                <w:rtl w:val="true"/>
              </w:rPr>
              <w:t>:</w:t>
              <w:tab/>
            </w:r>
            <w:r>
              <w:rPr>
                <w:rStyle w:val="IndexLink"/>
              </w:rPr>
              <w:t>32</w:t>
            </w:r>
          </w:hyperlink>
        </w:p>
        <w:p>
          <w:pPr>
            <w:pStyle w:val="Contents4"/>
            <w:tabs>
              <w:tab w:val="clear" w:pos="8176"/>
              <w:tab w:val="right" w:pos="9026" w:leader="dot"/>
            </w:tabs>
            <w:rPr/>
          </w:pPr>
          <w:hyperlink w:anchor="__RefHeading___Toc495009_1738255347">
            <w:r>
              <w:rPr>
                <w:webHidden/>
                <w:rStyle w:val="IndexLink"/>
                <w:rtl w:val="true"/>
              </w:rPr>
              <w:t xml:space="preserve">الثالثة </w:t>
            </w:r>
            <w:r>
              <w:rPr>
                <w:rStyle w:val="IndexLink"/>
                <w:rtl w:val="true"/>
              </w:rPr>
              <w:t>:</w:t>
              <w:tab/>
            </w:r>
            <w:r>
              <w:rPr>
                <w:rStyle w:val="IndexLink"/>
              </w:rPr>
              <w:t>35</w:t>
            </w:r>
          </w:hyperlink>
        </w:p>
        <w:p>
          <w:pPr>
            <w:pStyle w:val="Contents4"/>
            <w:tabs>
              <w:tab w:val="clear" w:pos="8176"/>
              <w:tab w:val="right" w:pos="9026" w:leader="dot"/>
            </w:tabs>
            <w:rPr/>
          </w:pPr>
          <w:hyperlink w:anchor="__RefHeading___Toc495011_1738255347">
            <w:r>
              <w:rPr>
                <w:webHidden/>
                <w:rStyle w:val="IndexLink"/>
                <w:rtl w:val="true"/>
              </w:rPr>
              <w:t xml:space="preserve">الرابعة </w:t>
            </w:r>
            <w:r>
              <w:rPr>
                <w:rStyle w:val="IndexLink"/>
                <w:rtl w:val="true"/>
              </w:rPr>
              <w:t>:</w:t>
              <w:tab/>
            </w:r>
            <w:r>
              <w:rPr>
                <w:rStyle w:val="IndexLink"/>
              </w:rPr>
              <w:t>44</w:t>
            </w:r>
          </w:hyperlink>
        </w:p>
        <w:p>
          <w:pPr>
            <w:pStyle w:val="Contents3"/>
            <w:tabs>
              <w:tab w:val="clear" w:pos="8459"/>
              <w:tab w:val="right" w:pos="9026" w:leader="dot"/>
            </w:tabs>
            <w:rPr/>
          </w:pPr>
          <w:hyperlink w:anchor="__RefHeading___Toc495013_1738255347">
            <w:r>
              <w:rPr>
                <w:webHidden/>
                <w:rStyle w:val="IndexLink"/>
                <w:rtl w:val="true"/>
              </w:rPr>
              <w:t>قانون</w:t>
            </w:r>
            <w:r>
              <w:rPr>
                <w:rStyle w:val="IndexLink"/>
                <w:rtl w:val="true"/>
              </w:rPr>
              <w:tab/>
            </w:r>
            <w:r>
              <w:rPr>
                <w:rStyle w:val="IndexLink"/>
              </w:rPr>
              <w:t>64</w:t>
            </w:r>
          </w:hyperlink>
        </w:p>
        <w:p>
          <w:pPr>
            <w:pStyle w:val="Contents3"/>
            <w:tabs>
              <w:tab w:val="clear" w:pos="8459"/>
              <w:tab w:val="right" w:pos="9026" w:leader="dot"/>
            </w:tabs>
            <w:rPr/>
          </w:pPr>
          <w:hyperlink w:anchor="__RefHeading___Toc495015_1738255347">
            <w:r>
              <w:rPr>
                <w:webHidden/>
                <w:rStyle w:val="IndexLink"/>
                <w:rtl w:val="true"/>
              </w:rPr>
              <w:t>تنبيه</w:t>
            </w:r>
            <w:r>
              <w:rPr>
                <w:rStyle w:val="IndexLink"/>
                <w:rtl w:val="true"/>
              </w:rPr>
              <w:tab/>
            </w:r>
            <w:r>
              <w:rPr>
                <w:rStyle w:val="IndexLink"/>
              </w:rPr>
              <w:t>75</w:t>
            </w:r>
          </w:hyperlink>
        </w:p>
        <w:p>
          <w:pPr>
            <w:pStyle w:val="Contents3"/>
            <w:tabs>
              <w:tab w:val="clear" w:pos="8459"/>
              <w:tab w:val="right" w:pos="9026" w:leader="dot"/>
            </w:tabs>
            <w:rPr/>
          </w:pPr>
          <w:hyperlink w:anchor="__RefHeading___Toc495017_1738255347">
            <w:r>
              <w:rPr>
                <w:webHidden/>
                <w:rStyle w:val="IndexLink"/>
                <w:rtl w:val="true"/>
              </w:rPr>
              <w:t>قانون</w:t>
            </w:r>
            <w:r>
              <w:rPr>
                <w:rStyle w:val="IndexLink"/>
                <w:rtl w:val="true"/>
              </w:rPr>
              <w:tab/>
            </w:r>
            <w:r>
              <w:rPr>
                <w:rStyle w:val="IndexLink"/>
              </w:rPr>
              <w:t>77</w:t>
            </w:r>
          </w:hyperlink>
        </w:p>
        <w:p>
          <w:pPr>
            <w:pStyle w:val="Contents4"/>
            <w:tabs>
              <w:tab w:val="clear" w:pos="8176"/>
              <w:tab w:val="right" w:pos="9026" w:leader="dot"/>
            </w:tabs>
            <w:rPr/>
          </w:pPr>
          <w:hyperlink w:anchor="__RefHeading___Toc495019_1738255347">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495021_1738255347">
            <w:r>
              <w:rPr>
                <w:webHidden/>
                <w:rStyle w:val="IndexLink"/>
                <w:rtl w:val="true"/>
              </w:rPr>
              <w:t xml:space="preserve">الأوّل </w:t>
            </w:r>
            <w:r>
              <w:rPr>
                <w:rStyle w:val="IndexLink"/>
                <w:rtl w:val="true"/>
              </w:rPr>
              <w:t>:</w:t>
              <w:tab/>
            </w:r>
            <w:r>
              <w:rPr>
                <w:rStyle w:val="IndexLink"/>
              </w:rPr>
              <w:t>89</w:t>
            </w:r>
          </w:hyperlink>
        </w:p>
        <w:p>
          <w:pPr>
            <w:pStyle w:val="Contents4"/>
            <w:tabs>
              <w:tab w:val="clear" w:pos="8176"/>
              <w:tab w:val="right" w:pos="9026" w:leader="dot"/>
            </w:tabs>
            <w:rPr/>
          </w:pPr>
          <w:hyperlink w:anchor="__RefHeading___Toc495023_1738255347">
            <w:r>
              <w:rPr>
                <w:webHidden/>
                <w:rStyle w:val="IndexLink"/>
                <w:rtl w:val="true"/>
              </w:rPr>
              <w:t>الثاني</w:t>
            </w:r>
            <w:r>
              <w:rPr>
                <w:rStyle w:val="IndexLink"/>
                <w:rtl w:val="true"/>
              </w:rPr>
              <w:tab/>
            </w:r>
            <w:r>
              <w:rPr>
                <w:rStyle w:val="IndexLink"/>
              </w:rPr>
              <w:t>93</w:t>
            </w:r>
          </w:hyperlink>
        </w:p>
        <w:p>
          <w:pPr>
            <w:pStyle w:val="Contents4"/>
            <w:tabs>
              <w:tab w:val="clear" w:pos="8176"/>
              <w:tab w:val="right" w:pos="9026" w:leader="dot"/>
            </w:tabs>
            <w:rPr/>
          </w:pPr>
          <w:hyperlink w:anchor="__RefHeading___Toc495025_1738255347">
            <w:r>
              <w:rPr>
                <w:webHidden/>
                <w:rStyle w:val="IndexLink"/>
                <w:rtl w:val="true"/>
              </w:rPr>
              <w:t xml:space="preserve">الثالث </w:t>
            </w:r>
            <w:r>
              <w:rPr>
                <w:rStyle w:val="IndexLink"/>
                <w:rtl w:val="true"/>
              </w:rPr>
              <w:t>:</w:t>
              <w:tab/>
            </w:r>
            <w:r>
              <w:rPr>
                <w:rStyle w:val="IndexLink"/>
              </w:rPr>
              <w:t>96</w:t>
            </w:r>
          </w:hyperlink>
        </w:p>
        <w:p>
          <w:pPr>
            <w:pStyle w:val="Contents2"/>
            <w:tabs>
              <w:tab w:val="clear" w:pos="8743"/>
              <w:tab w:val="right" w:pos="9026" w:leader="dot"/>
            </w:tabs>
            <w:rPr/>
          </w:pPr>
          <w:hyperlink w:anchor="__RefHeading___Toc495027_1738255347">
            <w:r>
              <w:rPr>
                <w:webHidden/>
                <w:rStyle w:val="IndexLink"/>
                <w:rtl w:val="true"/>
              </w:rPr>
              <w:t xml:space="preserve">المقصد الثالث </w:t>
            </w:r>
            <w:r>
              <w:rPr>
                <w:rStyle w:val="IndexLink"/>
                <w:rtl w:val="true"/>
              </w:rPr>
              <w:t xml:space="preserve">: </w:t>
            </w:r>
            <w:r>
              <w:rPr>
                <w:rStyle w:val="IndexLink"/>
                <w:rtl w:val="true"/>
              </w:rPr>
              <w:t>فيما يتعلّق بالمخصّص</w:t>
            </w:r>
            <w:r>
              <w:rPr>
                <w:rStyle w:val="IndexLink"/>
                <w:rtl w:val="true"/>
              </w:rPr>
              <w:tab/>
            </w:r>
            <w:r>
              <w:rPr>
                <w:rStyle w:val="IndexLink"/>
              </w:rPr>
              <w:t>98</w:t>
            </w:r>
          </w:hyperlink>
        </w:p>
        <w:p>
          <w:pPr>
            <w:pStyle w:val="Contents3"/>
            <w:tabs>
              <w:tab w:val="clear" w:pos="8459"/>
              <w:tab w:val="right" w:pos="9026" w:leader="dot"/>
            </w:tabs>
            <w:rPr/>
          </w:pPr>
          <w:hyperlink w:anchor="__RefHeading___Toc495029_1738255347">
            <w:r>
              <w:rPr>
                <w:webHidden/>
                <w:rStyle w:val="IndexLink"/>
                <w:rtl w:val="true"/>
              </w:rPr>
              <w:t>قانون</w:t>
            </w:r>
            <w:r>
              <w:rPr>
                <w:rStyle w:val="IndexLink"/>
                <w:rtl w:val="true"/>
              </w:rPr>
              <w:tab/>
            </w:r>
            <w:r>
              <w:rPr>
                <w:rStyle w:val="IndexLink"/>
              </w:rPr>
              <w:t>98</w:t>
            </w:r>
          </w:hyperlink>
        </w:p>
        <w:p>
          <w:pPr>
            <w:pStyle w:val="Contents3"/>
            <w:tabs>
              <w:tab w:val="clear" w:pos="8459"/>
              <w:tab w:val="right" w:pos="9026" w:leader="dot"/>
            </w:tabs>
            <w:rPr/>
          </w:pPr>
          <w:hyperlink w:anchor="__RefHeading___Toc495031_1738255347">
            <w:r>
              <w:rPr>
                <w:webHidden/>
                <w:rStyle w:val="IndexLink"/>
                <w:rtl w:val="true"/>
              </w:rPr>
              <w:t>قانون</w:t>
            </w:r>
            <w:r>
              <w:rPr>
                <w:rStyle w:val="IndexLink"/>
                <w:rtl w:val="true"/>
              </w:rPr>
              <w:tab/>
            </w:r>
            <w:r>
              <w:rPr>
                <w:rStyle w:val="IndexLink"/>
              </w:rPr>
              <w:t>135</w:t>
            </w:r>
          </w:hyperlink>
        </w:p>
        <w:p>
          <w:pPr>
            <w:pStyle w:val="Contents4"/>
            <w:tabs>
              <w:tab w:val="clear" w:pos="8176"/>
              <w:tab w:val="right" w:pos="9026" w:leader="dot"/>
            </w:tabs>
            <w:rPr/>
          </w:pPr>
          <w:hyperlink w:anchor="__RefHeading___Toc495033_1738255347">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495035_1738255347">
            <w:r>
              <w:rPr>
                <w:webHidden/>
                <w:rStyle w:val="IndexLink"/>
                <w:rtl w:val="true"/>
              </w:rPr>
              <w:t xml:space="preserve">الأولى </w:t>
            </w:r>
            <w:r>
              <w:rPr>
                <w:rStyle w:val="IndexLink"/>
                <w:rtl w:val="true"/>
              </w:rPr>
              <w:t>:</w:t>
              <w:tab/>
            </w:r>
            <w:r>
              <w:rPr>
                <w:rStyle w:val="IndexLink"/>
              </w:rPr>
              <w:t>137</w:t>
            </w:r>
          </w:hyperlink>
        </w:p>
        <w:p>
          <w:pPr>
            <w:pStyle w:val="Contents4"/>
            <w:tabs>
              <w:tab w:val="clear" w:pos="8176"/>
              <w:tab w:val="right" w:pos="9026" w:leader="dot"/>
            </w:tabs>
            <w:rPr/>
          </w:pPr>
          <w:hyperlink w:anchor="__RefHeading___Toc495037_1738255347">
            <w:r>
              <w:rPr>
                <w:webHidden/>
                <w:rStyle w:val="IndexLink"/>
                <w:rtl w:val="true"/>
              </w:rPr>
              <w:t xml:space="preserve">الثانية </w:t>
            </w:r>
            <w:r>
              <w:rPr>
                <w:rStyle w:val="IndexLink"/>
                <w:rtl w:val="true"/>
              </w:rPr>
              <w:t>:</w:t>
              <w:tab/>
            </w:r>
            <w:r>
              <w:rPr>
                <w:rStyle w:val="IndexLink"/>
              </w:rPr>
              <w:t>140</w:t>
            </w:r>
          </w:hyperlink>
        </w:p>
        <w:p>
          <w:pPr>
            <w:pStyle w:val="Contents3"/>
            <w:tabs>
              <w:tab w:val="clear" w:pos="8459"/>
              <w:tab w:val="right" w:pos="9026" w:leader="dot"/>
            </w:tabs>
            <w:rPr/>
          </w:pPr>
          <w:hyperlink w:anchor="__RefHeading___Toc495039_1738255347">
            <w:r>
              <w:rPr>
                <w:webHidden/>
                <w:rStyle w:val="IndexLink"/>
                <w:rtl w:val="true"/>
              </w:rPr>
              <w:t>قانون</w:t>
            </w:r>
            <w:r>
              <w:rPr>
                <w:rStyle w:val="IndexLink"/>
                <w:rtl w:val="true"/>
              </w:rPr>
              <w:tab/>
            </w:r>
            <w:r>
              <w:rPr>
                <w:rStyle w:val="IndexLink"/>
              </w:rPr>
              <w:t>143</w:t>
            </w:r>
          </w:hyperlink>
        </w:p>
        <w:p>
          <w:pPr>
            <w:pStyle w:val="Contents3"/>
            <w:tabs>
              <w:tab w:val="clear" w:pos="8459"/>
              <w:tab w:val="right" w:pos="9026" w:leader="dot"/>
            </w:tabs>
            <w:rPr/>
          </w:pPr>
          <w:hyperlink w:anchor="__RefHeading___Toc495041_1738255347">
            <w:r>
              <w:rPr>
                <w:webHidden/>
                <w:rStyle w:val="IndexLink"/>
                <w:rtl w:val="true"/>
              </w:rPr>
              <w:t>قانون</w:t>
            </w:r>
            <w:r>
              <w:rPr>
                <w:rStyle w:val="IndexLink"/>
                <w:rtl w:val="true"/>
              </w:rPr>
              <w:tab/>
            </w:r>
            <w:r>
              <w:rPr>
                <w:rStyle w:val="IndexLink"/>
              </w:rPr>
              <w:t>147</w:t>
            </w:r>
          </w:hyperlink>
        </w:p>
        <w:p>
          <w:pPr>
            <w:pStyle w:val="Contents3"/>
            <w:tabs>
              <w:tab w:val="clear" w:pos="8459"/>
              <w:tab w:val="right" w:pos="9026" w:leader="dot"/>
            </w:tabs>
            <w:rPr/>
          </w:pPr>
          <w:hyperlink w:anchor="__RefHeading___Toc495043_1738255347">
            <w:r>
              <w:rPr>
                <w:webHidden/>
                <w:rStyle w:val="IndexLink"/>
                <w:rtl w:val="true"/>
              </w:rPr>
              <w:t>قانون</w:t>
            </w:r>
            <w:r>
              <w:rPr>
                <w:rStyle w:val="IndexLink"/>
                <w:rtl w:val="true"/>
              </w:rPr>
              <w:tab/>
            </w:r>
            <w:r>
              <w:rPr>
                <w:rStyle w:val="IndexLink"/>
              </w:rPr>
              <w:t>159</w:t>
            </w:r>
          </w:hyperlink>
        </w:p>
        <w:p>
          <w:pPr>
            <w:pStyle w:val="Contents3"/>
            <w:tabs>
              <w:tab w:val="clear" w:pos="8459"/>
              <w:tab w:val="right" w:pos="9026" w:leader="dot"/>
            </w:tabs>
            <w:rPr/>
          </w:pPr>
          <w:hyperlink w:anchor="__RefHeading___Toc495045_1738255347">
            <w:r>
              <w:rPr>
                <w:webHidden/>
                <w:rStyle w:val="IndexLink"/>
                <w:rtl w:val="true"/>
              </w:rPr>
              <w:t>قانون</w:t>
            </w:r>
            <w:r>
              <w:rPr>
                <w:rStyle w:val="IndexLink"/>
                <w:rtl w:val="true"/>
              </w:rPr>
              <w:tab/>
            </w:r>
            <w:r>
              <w:rPr>
                <w:rStyle w:val="IndexLink"/>
              </w:rPr>
              <w:t>169</w:t>
            </w:r>
          </w:hyperlink>
        </w:p>
        <w:p>
          <w:pPr>
            <w:pStyle w:val="Contents2"/>
            <w:tabs>
              <w:tab w:val="clear" w:pos="8743"/>
              <w:tab w:val="right" w:pos="9026" w:leader="dot"/>
            </w:tabs>
            <w:rPr/>
          </w:pPr>
          <w:hyperlink w:anchor="__RefHeading___Toc495047_1738255347">
            <w:r>
              <w:rPr>
                <w:webHidden/>
                <w:rStyle w:val="IndexLink"/>
                <w:rtl w:val="true"/>
              </w:rPr>
              <w:t xml:space="preserve">الباب الرابع </w:t>
            </w:r>
            <w:r>
              <w:rPr>
                <w:rStyle w:val="IndexLink"/>
                <w:rtl w:val="true"/>
              </w:rPr>
              <w:t xml:space="preserve">: </w:t>
            </w:r>
            <w:r>
              <w:rPr>
                <w:rStyle w:val="IndexLink"/>
                <w:rtl w:val="true"/>
              </w:rPr>
              <w:t>في المطلق والمقيّد</w:t>
            </w:r>
            <w:r>
              <w:rPr>
                <w:rStyle w:val="IndexLink"/>
                <w:rtl w:val="true"/>
              </w:rPr>
              <w:tab/>
            </w:r>
            <w:r>
              <w:rPr>
                <w:rStyle w:val="IndexLink"/>
              </w:rPr>
              <w:t>183</w:t>
            </w:r>
          </w:hyperlink>
        </w:p>
        <w:p>
          <w:pPr>
            <w:pStyle w:val="Contents3"/>
            <w:tabs>
              <w:tab w:val="clear" w:pos="8459"/>
              <w:tab w:val="right" w:pos="9026" w:leader="dot"/>
            </w:tabs>
            <w:rPr/>
          </w:pPr>
          <w:hyperlink w:anchor="__RefHeading___Toc495049_1738255347">
            <w:r>
              <w:rPr>
                <w:webHidden/>
                <w:rStyle w:val="IndexLink"/>
                <w:rtl w:val="true"/>
              </w:rPr>
              <w:t>قانون</w:t>
            </w:r>
            <w:r>
              <w:rPr>
                <w:rStyle w:val="IndexLink"/>
                <w:rtl w:val="true"/>
              </w:rPr>
              <w:tab/>
            </w:r>
            <w:r>
              <w:rPr>
                <w:rStyle w:val="IndexLink"/>
              </w:rPr>
              <w:t>183</w:t>
            </w:r>
          </w:hyperlink>
        </w:p>
        <w:p>
          <w:pPr>
            <w:pStyle w:val="Contents2"/>
            <w:tabs>
              <w:tab w:val="clear" w:pos="8743"/>
              <w:tab w:val="right" w:pos="9026" w:leader="dot"/>
            </w:tabs>
            <w:rPr/>
          </w:pPr>
          <w:hyperlink w:anchor="__RefHeading___Toc495051_1738255347">
            <w:r>
              <w:rPr>
                <w:webHidden/>
                <w:rStyle w:val="IndexLink"/>
                <w:rtl w:val="true"/>
              </w:rPr>
              <w:t xml:space="preserve">الباب الخامس </w:t>
            </w:r>
            <w:r>
              <w:rPr>
                <w:rStyle w:val="IndexLink"/>
                <w:rtl w:val="true"/>
              </w:rPr>
              <w:t xml:space="preserve">: </w:t>
            </w:r>
            <w:r>
              <w:rPr>
                <w:rStyle w:val="IndexLink"/>
                <w:rtl w:val="true"/>
              </w:rPr>
              <w:t>في المجمل والمبيّن والظاهر والمأوّل</w:t>
            </w:r>
            <w:r>
              <w:rPr>
                <w:rStyle w:val="IndexLink"/>
                <w:rtl w:val="true"/>
              </w:rPr>
              <w:tab/>
            </w:r>
            <w:r>
              <w:rPr>
                <w:rStyle w:val="IndexLink"/>
              </w:rPr>
              <w:t>201</w:t>
            </w:r>
          </w:hyperlink>
        </w:p>
        <w:p>
          <w:pPr>
            <w:pStyle w:val="Contents3"/>
            <w:tabs>
              <w:tab w:val="clear" w:pos="8459"/>
              <w:tab w:val="right" w:pos="9026" w:leader="dot"/>
            </w:tabs>
            <w:rPr/>
          </w:pPr>
          <w:hyperlink w:anchor="__RefHeading___Toc495053_1738255347">
            <w:r>
              <w:rPr>
                <w:webHidden/>
                <w:rStyle w:val="IndexLink"/>
                <w:rtl w:val="true"/>
              </w:rPr>
              <w:t>قانون</w:t>
            </w:r>
            <w:r>
              <w:rPr>
                <w:rStyle w:val="IndexLink"/>
                <w:rtl w:val="true"/>
              </w:rPr>
              <w:tab/>
            </w:r>
            <w:r>
              <w:rPr>
                <w:rStyle w:val="IndexLink"/>
              </w:rPr>
              <w:t>201</w:t>
            </w:r>
          </w:hyperlink>
        </w:p>
        <w:p>
          <w:pPr>
            <w:pStyle w:val="Contents4"/>
            <w:tabs>
              <w:tab w:val="clear" w:pos="8176"/>
              <w:tab w:val="right" w:pos="9026" w:leader="dot"/>
            </w:tabs>
            <w:rPr/>
          </w:pPr>
          <w:hyperlink w:anchor="__RefHeading___Toc495055_1738255347">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495057_1738255347">
            <w:r>
              <w:rPr>
                <w:webHidden/>
                <w:rStyle w:val="IndexLink"/>
                <w:rtl w:val="true"/>
              </w:rPr>
              <w:t xml:space="preserve">الأوّل </w:t>
            </w:r>
            <w:r>
              <w:rPr>
                <w:rStyle w:val="IndexLink"/>
                <w:rtl w:val="true"/>
              </w:rPr>
              <w:t>:</w:t>
              <w:tab/>
            </w:r>
            <w:r>
              <w:rPr>
                <w:rStyle w:val="IndexLink"/>
              </w:rPr>
              <w:t>204</w:t>
            </w:r>
          </w:hyperlink>
        </w:p>
        <w:p>
          <w:pPr>
            <w:pStyle w:val="Contents4"/>
            <w:tabs>
              <w:tab w:val="clear" w:pos="8176"/>
              <w:tab w:val="right" w:pos="9026" w:leader="dot"/>
            </w:tabs>
            <w:rPr/>
          </w:pPr>
          <w:hyperlink w:anchor="__RefHeading___Toc495059_1738255347">
            <w:r>
              <w:rPr>
                <w:webHidden/>
                <w:rStyle w:val="IndexLink"/>
                <w:rtl w:val="true"/>
              </w:rPr>
              <w:t xml:space="preserve">الثاني </w:t>
            </w:r>
            <w:r>
              <w:rPr>
                <w:rStyle w:val="IndexLink"/>
                <w:rtl w:val="true"/>
              </w:rPr>
              <w:t>:</w:t>
              <w:tab/>
            </w:r>
            <w:r>
              <w:rPr>
                <w:rStyle w:val="IndexLink"/>
              </w:rPr>
              <w:t>210</w:t>
            </w:r>
          </w:hyperlink>
        </w:p>
        <w:p>
          <w:pPr>
            <w:pStyle w:val="Contents3"/>
            <w:tabs>
              <w:tab w:val="clear" w:pos="8459"/>
              <w:tab w:val="right" w:pos="9026" w:leader="dot"/>
            </w:tabs>
            <w:rPr/>
          </w:pPr>
          <w:hyperlink w:anchor="__RefHeading___Toc495061_1738255347">
            <w:r>
              <w:rPr>
                <w:webHidden/>
                <w:rStyle w:val="IndexLink"/>
                <w:rtl w:val="true"/>
              </w:rPr>
              <w:t>قانون</w:t>
            </w:r>
            <w:r>
              <w:rPr>
                <w:rStyle w:val="IndexLink"/>
                <w:rtl w:val="true"/>
              </w:rPr>
              <w:tab/>
            </w:r>
            <w:r>
              <w:rPr>
                <w:rStyle w:val="IndexLink"/>
              </w:rPr>
              <w:t>217</w:t>
            </w:r>
          </w:hyperlink>
        </w:p>
        <w:p>
          <w:pPr>
            <w:pStyle w:val="Contents3"/>
            <w:tabs>
              <w:tab w:val="clear" w:pos="8459"/>
              <w:tab w:val="right" w:pos="9026" w:leader="dot"/>
            </w:tabs>
            <w:rPr/>
          </w:pPr>
          <w:hyperlink w:anchor="__RefHeading___Toc495063_1738255347">
            <w:r>
              <w:rPr>
                <w:webHidden/>
                <w:rStyle w:val="IndexLink"/>
                <w:rtl w:val="true"/>
              </w:rPr>
              <w:t>قانون</w:t>
            </w:r>
            <w:r>
              <w:rPr>
                <w:rStyle w:val="IndexLink"/>
                <w:rtl w:val="true"/>
              </w:rPr>
              <w:tab/>
            </w:r>
            <w:r>
              <w:rPr>
                <w:rStyle w:val="IndexLink"/>
              </w:rPr>
              <w:t>221</w:t>
            </w:r>
          </w:hyperlink>
        </w:p>
        <w:p>
          <w:pPr>
            <w:pStyle w:val="Contents3"/>
            <w:tabs>
              <w:tab w:val="clear" w:pos="8459"/>
              <w:tab w:val="right" w:pos="9026" w:leader="dot"/>
            </w:tabs>
            <w:rPr/>
          </w:pPr>
          <w:hyperlink w:anchor="__RefHeading___Toc495065_1738255347">
            <w:r>
              <w:rPr>
                <w:webHidden/>
                <w:rStyle w:val="IndexLink"/>
                <w:rtl w:val="true"/>
              </w:rPr>
              <w:t>تنبيه</w:t>
            </w:r>
            <w:r>
              <w:rPr>
                <w:rStyle w:val="IndexLink"/>
                <w:rtl w:val="true"/>
              </w:rPr>
              <w:tab/>
            </w:r>
            <w:r>
              <w:rPr>
                <w:rStyle w:val="IndexLink"/>
              </w:rPr>
              <w:t>232</w:t>
            </w:r>
          </w:hyperlink>
        </w:p>
        <w:p>
          <w:pPr>
            <w:pStyle w:val="Contents3"/>
            <w:tabs>
              <w:tab w:val="clear" w:pos="8459"/>
              <w:tab w:val="right" w:pos="9026" w:leader="dot"/>
            </w:tabs>
            <w:rPr/>
          </w:pPr>
          <w:hyperlink w:anchor="__RefHeading___Toc495067_1738255347">
            <w:r>
              <w:rPr>
                <w:webHidden/>
                <w:rStyle w:val="IndexLink"/>
                <w:rtl w:val="true"/>
              </w:rPr>
              <w:t>قانون</w:t>
            </w:r>
            <w:r>
              <w:rPr>
                <w:rStyle w:val="IndexLink"/>
                <w:rtl w:val="true"/>
              </w:rPr>
              <w:tab/>
            </w:r>
            <w:r>
              <w:rPr>
                <w:rStyle w:val="IndexLink"/>
              </w:rPr>
              <w:t>233</w:t>
            </w:r>
          </w:hyperlink>
        </w:p>
        <w:p>
          <w:pPr>
            <w:pStyle w:val="Contents2"/>
            <w:tabs>
              <w:tab w:val="clear" w:pos="8743"/>
              <w:tab w:val="right" w:pos="9026" w:leader="dot"/>
            </w:tabs>
            <w:rPr/>
          </w:pPr>
          <w:hyperlink w:anchor="__RefHeading___Toc495069_1738255347">
            <w:r>
              <w:rPr>
                <w:webHidden/>
                <w:rStyle w:val="IndexLink"/>
                <w:rtl w:val="true"/>
              </w:rPr>
              <w:t xml:space="preserve">الباب السادس </w:t>
            </w:r>
            <w:r>
              <w:rPr>
                <w:rStyle w:val="IndexLink"/>
                <w:rtl w:val="true"/>
              </w:rPr>
              <w:t xml:space="preserve">: </w:t>
            </w:r>
            <w:r>
              <w:rPr>
                <w:rStyle w:val="IndexLink"/>
                <w:rtl w:val="true"/>
              </w:rPr>
              <w:t>في الأدلّة الشرعيّة</w:t>
            </w:r>
            <w:r>
              <w:rPr>
                <w:rStyle w:val="IndexLink"/>
                <w:rtl w:val="true"/>
              </w:rPr>
              <w:tab/>
            </w:r>
            <w:r>
              <w:rPr>
                <w:rStyle w:val="IndexLink"/>
              </w:rPr>
              <w:t>236</w:t>
            </w:r>
          </w:hyperlink>
        </w:p>
        <w:p>
          <w:pPr>
            <w:pStyle w:val="Contents3"/>
            <w:tabs>
              <w:tab w:val="clear" w:pos="8459"/>
              <w:tab w:val="right" w:pos="9026" w:leader="dot"/>
            </w:tabs>
            <w:rPr/>
          </w:pPr>
          <w:hyperlink w:anchor="__RefHeading___Toc495071_1738255347">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495073_1738255347">
            <w:r>
              <w:rPr>
                <w:webHidden/>
                <w:rStyle w:val="IndexLink"/>
                <w:rtl w:val="true"/>
              </w:rPr>
              <w:t xml:space="preserve">المقصد الأوّل </w:t>
            </w:r>
            <w:r>
              <w:rPr>
                <w:rStyle w:val="IndexLink"/>
                <w:rtl w:val="true"/>
              </w:rPr>
              <w:t xml:space="preserve">: </w:t>
            </w:r>
            <w:r>
              <w:rPr>
                <w:rStyle w:val="IndexLink"/>
                <w:rtl w:val="true"/>
              </w:rPr>
              <w:t>في الإجماع</w:t>
            </w:r>
            <w:r>
              <w:rPr>
                <w:rStyle w:val="IndexLink"/>
                <w:rtl w:val="true"/>
              </w:rPr>
              <w:tab/>
            </w:r>
            <w:r>
              <w:rPr>
                <w:rStyle w:val="IndexLink"/>
              </w:rPr>
              <w:t>236</w:t>
            </w:r>
          </w:hyperlink>
        </w:p>
        <w:p>
          <w:pPr>
            <w:pStyle w:val="Contents4"/>
            <w:tabs>
              <w:tab w:val="clear" w:pos="8176"/>
              <w:tab w:val="right" w:pos="9026" w:leader="dot"/>
            </w:tabs>
            <w:rPr/>
          </w:pPr>
          <w:hyperlink w:anchor="__RefHeading___Toc495075_1738255347">
            <w:r>
              <w:rPr>
                <w:webHidden/>
                <w:rStyle w:val="IndexLink"/>
                <w:rtl w:val="true"/>
              </w:rPr>
              <w:t>قانون</w:t>
            </w:r>
            <w:r>
              <w:rPr>
                <w:rStyle w:val="IndexLink"/>
                <w:rtl w:val="true"/>
              </w:rPr>
              <w:tab/>
            </w:r>
            <w:r>
              <w:rPr>
                <w:rStyle w:val="IndexLink"/>
              </w:rPr>
              <w:t>236</w:t>
            </w:r>
          </w:hyperlink>
        </w:p>
        <w:p>
          <w:pPr>
            <w:pStyle w:val="Contents4"/>
            <w:tabs>
              <w:tab w:val="clear" w:pos="8176"/>
              <w:tab w:val="right" w:pos="9026" w:leader="dot"/>
            </w:tabs>
            <w:rPr/>
          </w:pPr>
          <w:hyperlink w:anchor="__RefHeading___Toc495077_1738255347">
            <w:r>
              <w:rPr>
                <w:webHidden/>
                <w:rStyle w:val="IndexLink"/>
                <w:rtl w:val="true"/>
              </w:rPr>
              <w:t>تنبيهات</w:t>
            </w:r>
            <w:r>
              <w:rPr>
                <w:rStyle w:val="IndexLink"/>
                <w:rtl w:val="true"/>
              </w:rPr>
              <w:tab/>
            </w:r>
            <w:r>
              <w:rPr>
                <w:rStyle w:val="IndexLink"/>
              </w:rPr>
              <w:t>272</w:t>
            </w:r>
          </w:hyperlink>
        </w:p>
        <w:p>
          <w:pPr>
            <w:pStyle w:val="Contents5"/>
            <w:tabs>
              <w:tab w:val="clear" w:pos="7892"/>
              <w:tab w:val="right" w:pos="9026" w:leader="dot"/>
            </w:tabs>
            <w:rPr/>
          </w:pPr>
          <w:hyperlink w:anchor="__RefHeading___Toc495079_1738255347">
            <w:r>
              <w:rPr>
                <w:webHidden/>
                <w:rStyle w:val="IndexLink"/>
                <w:rtl w:val="true"/>
              </w:rPr>
              <w:t xml:space="preserve">الأوّل </w:t>
            </w:r>
            <w:r>
              <w:rPr>
                <w:rStyle w:val="IndexLink"/>
                <w:rtl w:val="true"/>
              </w:rPr>
              <w:t>:</w:t>
              <w:tab/>
            </w:r>
            <w:r>
              <w:rPr>
                <w:rStyle w:val="IndexLink"/>
              </w:rPr>
              <w:t>272</w:t>
            </w:r>
          </w:hyperlink>
        </w:p>
        <w:p>
          <w:pPr>
            <w:pStyle w:val="Contents5"/>
            <w:tabs>
              <w:tab w:val="clear" w:pos="7892"/>
              <w:tab w:val="right" w:pos="9026" w:leader="dot"/>
            </w:tabs>
            <w:rPr/>
          </w:pPr>
          <w:hyperlink w:anchor="__RefHeading___Toc495081_1738255347">
            <w:r>
              <w:rPr>
                <w:webHidden/>
                <w:rStyle w:val="IndexLink"/>
                <w:rtl w:val="true"/>
              </w:rPr>
              <w:t xml:space="preserve">الثاني </w:t>
            </w:r>
            <w:r>
              <w:rPr>
                <w:rStyle w:val="IndexLink"/>
                <w:rtl w:val="true"/>
              </w:rPr>
              <w:t>:</w:t>
              <w:tab/>
            </w:r>
            <w:r>
              <w:rPr>
                <w:rStyle w:val="IndexLink"/>
              </w:rPr>
              <w:t>273</w:t>
            </w:r>
          </w:hyperlink>
        </w:p>
        <w:p>
          <w:pPr>
            <w:pStyle w:val="Contents5"/>
            <w:tabs>
              <w:tab w:val="clear" w:pos="7892"/>
              <w:tab w:val="right" w:pos="9026" w:leader="dot"/>
            </w:tabs>
            <w:rPr/>
          </w:pPr>
          <w:hyperlink w:anchor="__RefHeading___Toc495083_1738255347">
            <w:r>
              <w:rPr>
                <w:webHidden/>
                <w:rStyle w:val="IndexLink"/>
                <w:rtl w:val="true"/>
              </w:rPr>
              <w:t xml:space="preserve">الثالث </w:t>
            </w:r>
            <w:r>
              <w:rPr>
                <w:rStyle w:val="IndexLink"/>
                <w:rtl w:val="true"/>
              </w:rPr>
              <w:t>:</w:t>
              <w:tab/>
            </w:r>
            <w:r>
              <w:rPr>
                <w:rStyle w:val="IndexLink"/>
              </w:rPr>
              <w:t>279</w:t>
            </w:r>
          </w:hyperlink>
        </w:p>
        <w:p>
          <w:pPr>
            <w:pStyle w:val="Contents5"/>
            <w:tabs>
              <w:tab w:val="clear" w:pos="7892"/>
              <w:tab w:val="right" w:pos="9026" w:leader="dot"/>
            </w:tabs>
            <w:rPr/>
          </w:pPr>
          <w:hyperlink w:anchor="__RefHeading___Toc495085_1738255347">
            <w:r>
              <w:rPr>
                <w:webHidden/>
                <w:rStyle w:val="IndexLink"/>
                <w:rtl w:val="true"/>
              </w:rPr>
              <w:t xml:space="preserve">الرابع </w:t>
            </w:r>
            <w:r>
              <w:rPr>
                <w:rStyle w:val="IndexLink"/>
                <w:rtl w:val="true"/>
              </w:rPr>
              <w:t>:</w:t>
              <w:tab/>
            </w:r>
            <w:r>
              <w:rPr>
                <w:rStyle w:val="IndexLink"/>
              </w:rPr>
              <w:t>280</w:t>
            </w:r>
          </w:hyperlink>
        </w:p>
        <w:p>
          <w:pPr>
            <w:pStyle w:val="Contents5"/>
            <w:tabs>
              <w:tab w:val="clear" w:pos="7892"/>
              <w:tab w:val="right" w:pos="9026" w:leader="dot"/>
            </w:tabs>
            <w:rPr/>
          </w:pPr>
          <w:hyperlink w:anchor="__RefHeading___Toc495087_1738255347">
            <w:r>
              <w:rPr>
                <w:webHidden/>
                <w:rStyle w:val="IndexLink"/>
                <w:rtl w:val="true"/>
              </w:rPr>
              <w:t xml:space="preserve">الخامس </w:t>
            </w:r>
            <w:r>
              <w:rPr>
                <w:rStyle w:val="IndexLink"/>
                <w:rtl w:val="true"/>
              </w:rPr>
              <w:t>:</w:t>
              <w:tab/>
            </w:r>
            <w:r>
              <w:rPr>
                <w:rStyle w:val="IndexLink"/>
              </w:rPr>
              <w:t>285</w:t>
            </w:r>
          </w:hyperlink>
        </w:p>
        <w:p>
          <w:pPr>
            <w:pStyle w:val="Contents4"/>
            <w:tabs>
              <w:tab w:val="clear" w:pos="8176"/>
              <w:tab w:val="right" w:pos="9026" w:leader="dot"/>
            </w:tabs>
            <w:rPr/>
          </w:pPr>
          <w:hyperlink w:anchor="__RefHeading___Toc495089_1738255347">
            <w:r>
              <w:rPr>
                <w:webHidden/>
                <w:rStyle w:val="IndexLink"/>
                <w:rtl w:val="true"/>
              </w:rPr>
              <w:t>قانون</w:t>
            </w:r>
            <w:r>
              <w:rPr>
                <w:rStyle w:val="IndexLink"/>
                <w:rtl w:val="true"/>
              </w:rPr>
              <w:tab/>
            </w:r>
            <w:r>
              <w:rPr>
                <w:rStyle w:val="IndexLink"/>
              </w:rPr>
              <w:t>286</w:t>
            </w:r>
          </w:hyperlink>
        </w:p>
        <w:p>
          <w:pPr>
            <w:pStyle w:val="Contents4"/>
            <w:tabs>
              <w:tab w:val="clear" w:pos="8176"/>
              <w:tab w:val="right" w:pos="9026" w:leader="dot"/>
            </w:tabs>
            <w:rPr/>
          </w:pPr>
          <w:hyperlink w:anchor="__RefHeading___Toc495091_1738255347">
            <w:r>
              <w:rPr>
                <w:webHidden/>
                <w:rStyle w:val="IndexLink"/>
                <w:rtl w:val="true"/>
              </w:rPr>
              <w:t>قانون</w:t>
            </w:r>
            <w:r>
              <w:rPr>
                <w:rStyle w:val="IndexLink"/>
                <w:rtl w:val="true"/>
              </w:rPr>
              <w:tab/>
            </w:r>
            <w:r>
              <w:rPr>
                <w:rStyle w:val="IndexLink"/>
              </w:rPr>
              <w:t>295</w:t>
            </w:r>
          </w:hyperlink>
        </w:p>
        <w:p>
          <w:pPr>
            <w:pStyle w:val="Contents4"/>
            <w:tabs>
              <w:tab w:val="clear" w:pos="8176"/>
              <w:tab w:val="right" w:pos="9026" w:leader="dot"/>
            </w:tabs>
            <w:rPr/>
          </w:pPr>
          <w:hyperlink w:anchor="__RefHeading___Toc495093_1738255347">
            <w:r>
              <w:rPr>
                <w:webHidden/>
                <w:rStyle w:val="IndexLink"/>
                <w:rtl w:val="true"/>
              </w:rPr>
              <w:t xml:space="preserve">قانون </w:t>
            </w:r>
            <w:r>
              <w:rPr>
                <w:rStyle w:val="IndexLink"/>
                <w:rtl w:val="true"/>
              </w:rPr>
              <w:t>:</w:t>
              <w:tab/>
            </w:r>
            <w:r>
              <w:rPr>
                <w:rStyle w:val="IndexLink"/>
              </w:rPr>
              <w:t>298</w:t>
            </w:r>
          </w:hyperlink>
        </w:p>
        <w:p>
          <w:pPr>
            <w:pStyle w:val="Contents3"/>
            <w:tabs>
              <w:tab w:val="clear" w:pos="8459"/>
              <w:tab w:val="right" w:pos="9026" w:leader="dot"/>
            </w:tabs>
            <w:rPr/>
          </w:pPr>
          <w:hyperlink w:anchor="__RefHeading___Toc495095_1738255347">
            <w:r>
              <w:rPr>
                <w:webHidden/>
                <w:rStyle w:val="IndexLink"/>
                <w:rtl w:val="true"/>
              </w:rPr>
              <w:t xml:space="preserve">المقصد الثاني </w:t>
            </w:r>
            <w:r>
              <w:rPr>
                <w:rStyle w:val="IndexLink"/>
                <w:rtl w:val="true"/>
              </w:rPr>
              <w:t xml:space="preserve">: </w:t>
            </w:r>
            <w:r>
              <w:rPr>
                <w:rStyle w:val="IndexLink"/>
                <w:rtl w:val="true"/>
              </w:rPr>
              <w:t>في الكتاب</w:t>
            </w:r>
            <w:r>
              <w:rPr>
                <w:rStyle w:val="IndexLink"/>
                <w:rtl w:val="true"/>
              </w:rPr>
              <w:tab/>
            </w:r>
            <w:r>
              <w:rPr>
                <w:rStyle w:val="IndexLink"/>
              </w:rPr>
              <w:t>315</w:t>
            </w:r>
          </w:hyperlink>
        </w:p>
        <w:p>
          <w:pPr>
            <w:pStyle w:val="Contents4"/>
            <w:tabs>
              <w:tab w:val="clear" w:pos="8176"/>
              <w:tab w:val="right" w:pos="9026" w:leader="dot"/>
            </w:tabs>
            <w:rPr/>
          </w:pPr>
          <w:hyperlink w:anchor="__RefHeading___Toc495097_1738255347">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495099_1738255347">
            <w:r>
              <w:rPr>
                <w:webHidden/>
                <w:rStyle w:val="IndexLink"/>
                <w:rtl w:val="true"/>
              </w:rPr>
              <w:t>قانون</w:t>
            </w:r>
            <w:r>
              <w:rPr>
                <w:rStyle w:val="IndexLink"/>
                <w:rtl w:val="true"/>
              </w:rPr>
              <w:tab/>
            </w:r>
            <w:r>
              <w:rPr>
                <w:rStyle w:val="IndexLink"/>
              </w:rPr>
              <w:t>315</w:t>
            </w:r>
          </w:hyperlink>
        </w:p>
        <w:p>
          <w:pPr>
            <w:pStyle w:val="Contents4"/>
            <w:tabs>
              <w:tab w:val="clear" w:pos="8176"/>
              <w:tab w:val="right" w:pos="9026" w:leader="dot"/>
            </w:tabs>
            <w:rPr/>
          </w:pPr>
          <w:hyperlink w:anchor="__RefHeading___Toc495101_1738255347">
            <w:r>
              <w:rPr>
                <w:webHidden/>
                <w:rStyle w:val="IndexLink"/>
                <w:rtl w:val="true"/>
              </w:rPr>
              <w:t>قانون</w:t>
            </w:r>
            <w:r>
              <w:rPr>
                <w:rStyle w:val="IndexLink"/>
                <w:rtl w:val="true"/>
              </w:rPr>
              <w:tab/>
            </w:r>
            <w:r>
              <w:rPr>
                <w:rStyle w:val="IndexLink"/>
              </w:rPr>
              <w:t>326</w:t>
            </w:r>
          </w:hyperlink>
        </w:p>
        <w:p>
          <w:pPr>
            <w:pStyle w:val="Contents3"/>
            <w:tabs>
              <w:tab w:val="clear" w:pos="8459"/>
              <w:tab w:val="right" w:pos="9026" w:leader="dot"/>
            </w:tabs>
            <w:rPr/>
          </w:pPr>
          <w:hyperlink w:anchor="__RefHeading___Toc495103_1738255347">
            <w:r>
              <w:rPr>
                <w:webHidden/>
                <w:rStyle w:val="IndexLink"/>
                <w:rtl w:val="true"/>
              </w:rPr>
              <w:t xml:space="preserve">المقصد الثالث </w:t>
            </w:r>
            <w:r>
              <w:rPr>
                <w:rStyle w:val="IndexLink"/>
                <w:rtl w:val="true"/>
              </w:rPr>
              <w:t xml:space="preserve">: </w:t>
            </w:r>
            <w:r>
              <w:rPr>
                <w:rStyle w:val="IndexLink"/>
                <w:rtl w:val="true"/>
              </w:rPr>
              <w:t>في السنة</w:t>
            </w:r>
            <w:r>
              <w:rPr>
                <w:rStyle w:val="IndexLink"/>
                <w:rtl w:val="true"/>
              </w:rPr>
              <w:tab/>
            </w:r>
            <w:r>
              <w:rPr>
                <w:rStyle w:val="IndexLink"/>
              </w:rPr>
              <w:t>343</w:t>
            </w:r>
          </w:hyperlink>
        </w:p>
        <w:p>
          <w:pPr>
            <w:pStyle w:val="Contents4"/>
            <w:tabs>
              <w:tab w:val="clear" w:pos="8176"/>
              <w:tab w:val="right" w:pos="9026" w:leader="dot"/>
            </w:tabs>
            <w:rPr/>
          </w:pPr>
          <w:hyperlink w:anchor="__RefHeading___Toc495105_1738255347">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495107_1738255347">
            <w:r>
              <w:rPr>
                <w:webHidden/>
                <w:rStyle w:val="IndexLink"/>
                <w:rtl w:val="true"/>
              </w:rPr>
              <w:t xml:space="preserve">المطلب الأوّل </w:t>
            </w:r>
            <w:r>
              <w:rPr>
                <w:rStyle w:val="IndexLink"/>
                <w:rtl w:val="true"/>
              </w:rPr>
              <w:t xml:space="preserve">: </w:t>
            </w:r>
            <w:r>
              <w:rPr>
                <w:rStyle w:val="IndexLink"/>
                <w:rtl w:val="true"/>
              </w:rPr>
              <w:t>في القول</w:t>
            </w:r>
            <w:r>
              <w:rPr>
                <w:rStyle w:val="IndexLink"/>
                <w:rtl w:val="true"/>
              </w:rPr>
              <w:tab/>
            </w:r>
            <w:r>
              <w:rPr>
                <w:rStyle w:val="IndexLink"/>
              </w:rPr>
              <w:t>343</w:t>
            </w:r>
          </w:hyperlink>
        </w:p>
        <w:p>
          <w:pPr>
            <w:pStyle w:val="Contents5"/>
            <w:tabs>
              <w:tab w:val="clear" w:pos="7892"/>
              <w:tab w:val="right" w:pos="9026" w:leader="dot"/>
            </w:tabs>
            <w:rPr/>
          </w:pPr>
          <w:hyperlink w:anchor="__RefHeading___Toc495109_1738255347">
            <w:r>
              <w:rPr>
                <w:webHidden/>
                <w:rStyle w:val="IndexLink"/>
                <w:rtl w:val="true"/>
              </w:rPr>
              <w:t>قانون</w:t>
            </w:r>
            <w:r>
              <w:rPr>
                <w:rStyle w:val="IndexLink"/>
                <w:rtl w:val="true"/>
              </w:rPr>
              <w:tab/>
            </w:r>
            <w:r>
              <w:rPr>
                <w:rStyle w:val="IndexLink"/>
              </w:rPr>
              <w:t>343</w:t>
            </w:r>
          </w:hyperlink>
        </w:p>
        <w:p>
          <w:pPr>
            <w:pStyle w:val="Contents5"/>
            <w:tabs>
              <w:tab w:val="clear" w:pos="7892"/>
              <w:tab w:val="right" w:pos="9026" w:leader="dot"/>
            </w:tabs>
            <w:rPr/>
          </w:pPr>
          <w:hyperlink w:anchor="__RefHeading___Toc495111_1738255347">
            <w:r>
              <w:rPr>
                <w:webHidden/>
                <w:rStyle w:val="IndexLink"/>
                <w:rtl w:val="true"/>
              </w:rPr>
              <w:t xml:space="preserve">تنبيهان </w:t>
            </w:r>
            <w:r>
              <w:rPr>
                <w:rStyle w:val="IndexLink"/>
                <w:rtl w:val="true"/>
              </w:rPr>
              <w:t>:</w:t>
              <w:tab/>
            </w:r>
            <w:r>
              <w:rPr>
                <w:rStyle w:val="IndexLink"/>
              </w:rPr>
              <w:t>369</w:t>
            </w:r>
          </w:hyperlink>
        </w:p>
        <w:p>
          <w:pPr>
            <w:pStyle w:val="Contents5"/>
            <w:tabs>
              <w:tab w:val="clear" w:pos="7892"/>
              <w:tab w:val="right" w:pos="9026" w:leader="dot"/>
            </w:tabs>
            <w:rPr/>
          </w:pPr>
          <w:hyperlink w:anchor="__RefHeading___Toc495113_1738255347">
            <w:r>
              <w:rPr>
                <w:webHidden/>
                <w:rStyle w:val="IndexLink"/>
                <w:rtl w:val="true"/>
              </w:rPr>
              <w:t>قانون</w:t>
            </w:r>
            <w:r>
              <w:rPr>
                <w:rStyle w:val="IndexLink"/>
                <w:rtl w:val="true"/>
              </w:rPr>
              <w:tab/>
            </w:r>
            <w:r>
              <w:rPr>
                <w:rStyle w:val="IndexLink"/>
              </w:rPr>
              <w:t>372</w:t>
            </w:r>
          </w:hyperlink>
        </w:p>
        <w:p>
          <w:pPr>
            <w:pStyle w:val="Contents5"/>
            <w:tabs>
              <w:tab w:val="clear" w:pos="7892"/>
              <w:tab w:val="right" w:pos="9026" w:leader="dot"/>
            </w:tabs>
            <w:rPr/>
          </w:pPr>
          <w:hyperlink w:anchor="__RefHeading___Toc495115_1738255347">
            <w:r>
              <w:rPr>
                <w:webHidden/>
                <w:rStyle w:val="IndexLink"/>
                <w:rtl w:val="true"/>
              </w:rPr>
              <w:t>تنبيهات</w:t>
            </w:r>
            <w:r>
              <w:rPr>
                <w:rStyle w:val="IndexLink"/>
                <w:rtl w:val="true"/>
              </w:rPr>
              <w:tab/>
            </w:r>
            <w:r>
              <w:rPr>
                <w:rStyle w:val="IndexLink"/>
              </w:rPr>
              <w:t>378</w:t>
            </w:r>
          </w:hyperlink>
        </w:p>
        <w:p>
          <w:pPr>
            <w:pStyle w:val="Contents6"/>
            <w:tabs>
              <w:tab w:val="clear" w:pos="7609"/>
              <w:tab w:val="right" w:pos="9026" w:leader="dot"/>
            </w:tabs>
            <w:rPr/>
          </w:pPr>
          <w:hyperlink w:anchor="__RefHeading___Toc495117_1738255347">
            <w:r>
              <w:rPr>
                <w:webHidden/>
                <w:rStyle w:val="IndexLink"/>
                <w:rtl w:val="true"/>
              </w:rPr>
              <w:t xml:space="preserve">الأوّل </w:t>
            </w:r>
            <w:r>
              <w:rPr>
                <w:rStyle w:val="IndexLink"/>
                <w:rtl w:val="true"/>
              </w:rPr>
              <w:t>:</w:t>
              <w:tab/>
            </w:r>
            <w:r>
              <w:rPr>
                <w:rStyle w:val="IndexLink"/>
              </w:rPr>
              <w:t>378</w:t>
            </w:r>
          </w:hyperlink>
        </w:p>
        <w:p>
          <w:pPr>
            <w:pStyle w:val="Contents6"/>
            <w:tabs>
              <w:tab w:val="clear" w:pos="7609"/>
              <w:tab w:val="right" w:pos="9026" w:leader="dot"/>
            </w:tabs>
            <w:rPr/>
          </w:pPr>
          <w:hyperlink w:anchor="__RefHeading___Toc495119_1738255347">
            <w:r>
              <w:rPr>
                <w:webHidden/>
                <w:rStyle w:val="IndexLink"/>
                <w:rtl w:val="true"/>
              </w:rPr>
              <w:t xml:space="preserve">الثاني </w:t>
            </w:r>
            <w:r>
              <w:rPr>
                <w:rStyle w:val="IndexLink"/>
                <w:rtl w:val="true"/>
              </w:rPr>
              <w:t>:</w:t>
              <w:tab/>
            </w:r>
            <w:r>
              <w:rPr>
                <w:rStyle w:val="IndexLink"/>
              </w:rPr>
              <w:t>385</w:t>
            </w:r>
          </w:hyperlink>
        </w:p>
        <w:p>
          <w:pPr>
            <w:pStyle w:val="Contents6"/>
            <w:tabs>
              <w:tab w:val="clear" w:pos="7609"/>
              <w:tab w:val="right" w:pos="9026" w:leader="dot"/>
            </w:tabs>
            <w:rPr/>
          </w:pPr>
          <w:hyperlink w:anchor="__RefHeading___Toc495121_1738255347">
            <w:r>
              <w:rPr>
                <w:webHidden/>
                <w:rStyle w:val="IndexLink"/>
                <w:rtl w:val="true"/>
              </w:rPr>
              <w:t xml:space="preserve">الثالث </w:t>
            </w:r>
            <w:r>
              <w:rPr>
                <w:rStyle w:val="IndexLink"/>
                <w:rtl w:val="true"/>
              </w:rPr>
              <w:t>:</w:t>
              <w:tab/>
            </w:r>
            <w:r>
              <w:rPr>
                <w:rStyle w:val="IndexLink"/>
              </w:rPr>
              <w:t>388</w:t>
            </w:r>
          </w:hyperlink>
        </w:p>
        <w:p>
          <w:pPr>
            <w:pStyle w:val="Contents5"/>
            <w:tabs>
              <w:tab w:val="clear" w:pos="7892"/>
              <w:tab w:val="right" w:pos="9026" w:leader="dot"/>
            </w:tabs>
            <w:rPr/>
          </w:pPr>
          <w:hyperlink w:anchor="__RefHeading___Toc495123_1738255347">
            <w:r>
              <w:rPr>
                <w:webHidden/>
                <w:rStyle w:val="IndexLink"/>
                <w:rtl w:val="true"/>
              </w:rPr>
              <w:t>قانون</w:t>
            </w:r>
            <w:r>
              <w:rPr>
                <w:rStyle w:val="IndexLink"/>
                <w:rtl w:val="true"/>
              </w:rPr>
              <w:tab/>
            </w:r>
            <w:r>
              <w:rPr>
                <w:rStyle w:val="IndexLink"/>
              </w:rPr>
              <w:t>398</w:t>
            </w:r>
          </w:hyperlink>
        </w:p>
        <w:p>
          <w:pPr>
            <w:pStyle w:val="Contents5"/>
            <w:tabs>
              <w:tab w:val="clear" w:pos="7892"/>
              <w:tab w:val="right" w:pos="9026" w:leader="dot"/>
            </w:tabs>
            <w:rPr/>
          </w:pPr>
          <w:hyperlink w:anchor="__RefHeading___Toc495125_1738255347">
            <w:r>
              <w:rPr>
                <w:webHidden/>
                <w:rStyle w:val="IndexLink"/>
                <w:rtl w:val="true"/>
              </w:rPr>
              <w:t>قانون</w:t>
            </w:r>
            <w:r>
              <w:rPr>
                <w:rStyle w:val="IndexLink"/>
                <w:rtl w:val="true"/>
              </w:rPr>
              <w:tab/>
            </w:r>
            <w:r>
              <w:rPr>
                <w:rStyle w:val="IndexLink"/>
              </w:rPr>
              <w:t>406</w:t>
            </w:r>
          </w:hyperlink>
        </w:p>
        <w:p>
          <w:pPr>
            <w:pStyle w:val="Contents6"/>
            <w:tabs>
              <w:tab w:val="clear" w:pos="7609"/>
              <w:tab w:val="right" w:pos="9026" w:leader="dot"/>
            </w:tabs>
            <w:rPr/>
          </w:pPr>
          <w:hyperlink w:anchor="__RefHeading___Toc495127_1738255347">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495129_1738255347">
            <w:r>
              <w:rPr>
                <w:webHidden/>
                <w:rStyle w:val="IndexLink"/>
                <w:rtl w:val="true"/>
              </w:rPr>
              <w:t xml:space="preserve">الأوّل </w:t>
            </w:r>
            <w:r>
              <w:rPr>
                <w:rStyle w:val="IndexLink"/>
                <w:rtl w:val="true"/>
              </w:rPr>
              <w:t>:</w:t>
              <w:tab/>
            </w:r>
            <w:r>
              <w:rPr>
                <w:rStyle w:val="IndexLink"/>
              </w:rPr>
              <w:t>408</w:t>
            </w:r>
          </w:hyperlink>
        </w:p>
        <w:p>
          <w:pPr>
            <w:pStyle w:val="Contents6"/>
            <w:tabs>
              <w:tab w:val="clear" w:pos="7609"/>
              <w:tab w:val="right" w:pos="9026" w:leader="dot"/>
            </w:tabs>
            <w:rPr/>
          </w:pPr>
          <w:hyperlink w:anchor="__RefHeading___Toc495131_1738255347">
            <w:r>
              <w:rPr>
                <w:webHidden/>
                <w:rStyle w:val="IndexLink"/>
                <w:rtl w:val="true"/>
              </w:rPr>
              <w:t xml:space="preserve">الثاني </w:t>
            </w:r>
            <w:r>
              <w:rPr>
                <w:rStyle w:val="IndexLink"/>
                <w:rtl w:val="true"/>
              </w:rPr>
              <w:t>:</w:t>
              <w:tab/>
            </w:r>
            <w:r>
              <w:rPr>
                <w:rStyle w:val="IndexLink"/>
              </w:rPr>
              <w:t>413</w:t>
            </w:r>
          </w:hyperlink>
        </w:p>
        <w:p>
          <w:pPr>
            <w:pStyle w:val="Contents6"/>
            <w:tabs>
              <w:tab w:val="clear" w:pos="7609"/>
              <w:tab w:val="right" w:pos="9026" w:leader="dot"/>
            </w:tabs>
            <w:rPr/>
          </w:pPr>
          <w:hyperlink w:anchor="__RefHeading___Toc495133_1738255347">
            <w:r>
              <w:rPr>
                <w:webHidden/>
                <w:rStyle w:val="IndexLink"/>
                <w:rtl w:val="true"/>
              </w:rPr>
              <w:t xml:space="preserve">الثالث </w:t>
            </w:r>
            <w:r>
              <w:rPr>
                <w:rStyle w:val="IndexLink"/>
                <w:rtl w:val="true"/>
              </w:rPr>
              <w:t>:</w:t>
              <w:tab/>
            </w:r>
            <w:r>
              <w:rPr>
                <w:rStyle w:val="IndexLink"/>
              </w:rPr>
              <w:t>420</w:t>
            </w:r>
          </w:hyperlink>
        </w:p>
        <w:p>
          <w:pPr>
            <w:pStyle w:val="Contents6"/>
            <w:tabs>
              <w:tab w:val="clear" w:pos="7609"/>
              <w:tab w:val="right" w:pos="9026" w:leader="dot"/>
            </w:tabs>
            <w:rPr/>
          </w:pPr>
          <w:hyperlink w:anchor="__RefHeading___Toc495135_1738255347">
            <w:r>
              <w:rPr>
                <w:webHidden/>
                <w:rStyle w:val="IndexLink"/>
                <w:rtl w:val="true"/>
              </w:rPr>
              <w:t xml:space="preserve">الرابع </w:t>
            </w:r>
            <w:r>
              <w:rPr>
                <w:rStyle w:val="IndexLink"/>
                <w:rtl w:val="true"/>
              </w:rPr>
              <w:t>:</w:t>
              <w:tab/>
            </w:r>
            <w:r>
              <w:rPr>
                <w:rStyle w:val="IndexLink"/>
              </w:rPr>
              <w:t>421</w:t>
            </w:r>
          </w:hyperlink>
        </w:p>
        <w:p>
          <w:pPr>
            <w:pStyle w:val="Contents6"/>
            <w:tabs>
              <w:tab w:val="clear" w:pos="7609"/>
              <w:tab w:val="right" w:pos="9026" w:leader="dot"/>
            </w:tabs>
            <w:rPr/>
          </w:pPr>
          <w:hyperlink w:anchor="__RefHeading___Toc495137_1738255347">
            <w:r>
              <w:rPr>
                <w:webHidden/>
                <w:rStyle w:val="IndexLink"/>
                <w:rtl w:val="true"/>
              </w:rPr>
              <w:t xml:space="preserve">الخامس </w:t>
            </w:r>
            <w:r>
              <w:rPr>
                <w:rStyle w:val="IndexLink"/>
                <w:rtl w:val="true"/>
              </w:rPr>
              <w:t>:</w:t>
              <w:tab/>
            </w:r>
            <w:r>
              <w:rPr>
                <w:rStyle w:val="IndexLink"/>
              </w:rPr>
              <w:t>425</w:t>
            </w:r>
          </w:hyperlink>
        </w:p>
        <w:p>
          <w:pPr>
            <w:pStyle w:val="Contents5"/>
            <w:tabs>
              <w:tab w:val="clear" w:pos="7892"/>
              <w:tab w:val="right" w:pos="9026" w:leader="dot"/>
            </w:tabs>
            <w:rPr/>
          </w:pPr>
          <w:hyperlink w:anchor="__RefHeading___Toc495139_1738255347">
            <w:r>
              <w:rPr>
                <w:webHidden/>
                <w:rStyle w:val="IndexLink"/>
                <w:rtl w:val="true"/>
              </w:rPr>
              <w:t>قانون</w:t>
            </w:r>
            <w:r>
              <w:rPr>
                <w:rStyle w:val="IndexLink"/>
                <w:rtl w:val="true"/>
              </w:rPr>
              <w:tab/>
            </w:r>
            <w:r>
              <w:rPr>
                <w:rStyle w:val="IndexLink"/>
              </w:rPr>
              <w:t>464</w:t>
            </w:r>
          </w:hyperlink>
        </w:p>
        <w:p>
          <w:pPr>
            <w:pStyle w:val="Contents5"/>
            <w:tabs>
              <w:tab w:val="clear" w:pos="7892"/>
              <w:tab w:val="right" w:pos="9026" w:leader="dot"/>
            </w:tabs>
            <w:rPr/>
          </w:pPr>
          <w:hyperlink w:anchor="__RefHeading___Toc495141_1738255347">
            <w:r>
              <w:rPr>
                <w:webHidden/>
                <w:rStyle w:val="IndexLink"/>
                <w:rtl w:val="true"/>
              </w:rPr>
              <w:t xml:space="preserve">تنبيه </w:t>
            </w:r>
            <w:r>
              <w:rPr>
                <w:rStyle w:val="IndexLink"/>
                <w:rtl w:val="true"/>
              </w:rPr>
              <w:t>:</w:t>
              <w:tab/>
            </w:r>
            <w:r>
              <w:rPr>
                <w:rStyle w:val="IndexLink"/>
              </w:rPr>
              <w:t>483</w:t>
            </w:r>
          </w:hyperlink>
        </w:p>
        <w:p>
          <w:pPr>
            <w:pStyle w:val="Contents5"/>
            <w:tabs>
              <w:tab w:val="clear" w:pos="7892"/>
              <w:tab w:val="right" w:pos="9026" w:leader="dot"/>
            </w:tabs>
            <w:rPr/>
          </w:pPr>
          <w:hyperlink w:anchor="__RefHeading___Toc495143_1738255347">
            <w:r>
              <w:rPr>
                <w:webHidden/>
                <w:rStyle w:val="IndexLink"/>
                <w:rtl w:val="true"/>
              </w:rPr>
              <w:t>قانون</w:t>
            </w:r>
            <w:r>
              <w:rPr>
                <w:rStyle w:val="IndexLink"/>
                <w:rtl w:val="true"/>
              </w:rPr>
              <w:tab/>
            </w:r>
            <w:r>
              <w:rPr>
                <w:rStyle w:val="IndexLink"/>
              </w:rPr>
              <w:t>488</w:t>
            </w:r>
          </w:hyperlink>
        </w:p>
        <w:p>
          <w:pPr>
            <w:pStyle w:val="Contents5"/>
            <w:tabs>
              <w:tab w:val="clear" w:pos="7892"/>
              <w:tab w:val="right" w:pos="9026" w:leader="dot"/>
            </w:tabs>
            <w:rPr/>
          </w:pPr>
          <w:hyperlink w:anchor="__RefHeading___Toc495145_1738255347">
            <w:r>
              <w:rPr>
                <w:webHidden/>
                <w:rStyle w:val="IndexLink"/>
                <w:rtl w:val="true"/>
              </w:rPr>
              <w:t>قانون</w:t>
            </w:r>
            <w:r>
              <w:rPr>
                <w:rStyle w:val="IndexLink"/>
                <w:rtl w:val="true"/>
              </w:rPr>
              <w:tab/>
            </w:r>
            <w:r>
              <w:rPr>
                <w:rStyle w:val="IndexLink"/>
              </w:rPr>
              <w:t>511</w:t>
            </w:r>
          </w:hyperlink>
        </w:p>
        <w:p>
          <w:pPr>
            <w:pStyle w:val="Contents5"/>
            <w:tabs>
              <w:tab w:val="clear" w:pos="7892"/>
              <w:tab w:val="right" w:pos="9026" w:leader="dot"/>
            </w:tabs>
            <w:rPr/>
          </w:pPr>
          <w:hyperlink w:anchor="__RefHeading___Toc495147_1738255347">
            <w:r>
              <w:rPr>
                <w:webHidden/>
                <w:rStyle w:val="IndexLink"/>
                <w:rtl w:val="true"/>
              </w:rPr>
              <w:t>قانون</w:t>
            </w:r>
            <w:r>
              <w:rPr>
                <w:rStyle w:val="IndexLink"/>
                <w:rtl w:val="true"/>
              </w:rPr>
              <w:tab/>
            </w:r>
            <w:r>
              <w:rPr>
                <w:rStyle w:val="IndexLink"/>
              </w:rPr>
              <w:t>516</w:t>
            </w:r>
          </w:hyperlink>
        </w:p>
        <w:p>
          <w:pPr>
            <w:pStyle w:val="Contents5"/>
            <w:tabs>
              <w:tab w:val="clear" w:pos="7892"/>
              <w:tab w:val="right" w:pos="9026" w:leader="dot"/>
            </w:tabs>
            <w:rPr/>
          </w:pPr>
          <w:hyperlink w:anchor="__RefHeading___Toc495149_1738255347">
            <w:r>
              <w:rPr>
                <w:webHidden/>
                <w:rStyle w:val="IndexLink"/>
                <w:rtl w:val="true"/>
              </w:rPr>
              <w:t xml:space="preserve">تنبيه </w:t>
            </w:r>
            <w:r>
              <w:rPr>
                <w:rStyle w:val="IndexLink"/>
                <w:rtl w:val="true"/>
              </w:rPr>
              <w:t>:</w:t>
              <w:tab/>
            </w:r>
            <w:r>
              <w:rPr>
                <w:rStyle w:val="IndexLink"/>
              </w:rPr>
              <w:t>520</w:t>
            </w:r>
          </w:hyperlink>
        </w:p>
        <w:p>
          <w:pPr>
            <w:pStyle w:val="Contents5"/>
            <w:tabs>
              <w:tab w:val="clear" w:pos="7892"/>
              <w:tab w:val="right" w:pos="9026" w:leader="dot"/>
            </w:tabs>
            <w:rPr/>
          </w:pPr>
          <w:hyperlink w:anchor="__RefHeading___Toc495151_1738255347">
            <w:r>
              <w:rPr>
                <w:webHidden/>
                <w:rStyle w:val="IndexLink"/>
                <w:rtl w:val="true"/>
              </w:rPr>
              <w:t>قانون</w:t>
            </w:r>
            <w:r>
              <w:rPr>
                <w:rStyle w:val="IndexLink"/>
                <w:rtl w:val="true"/>
              </w:rPr>
              <w:tab/>
            </w:r>
            <w:r>
              <w:rPr>
                <w:rStyle w:val="IndexLink"/>
              </w:rPr>
              <w:t>522</w:t>
            </w:r>
          </w:hyperlink>
        </w:p>
        <w:p>
          <w:pPr>
            <w:pStyle w:val="Contents5"/>
            <w:tabs>
              <w:tab w:val="clear" w:pos="7892"/>
              <w:tab w:val="right" w:pos="9026" w:leader="dot"/>
            </w:tabs>
            <w:rPr/>
          </w:pPr>
          <w:hyperlink w:anchor="__RefHeading___Toc495153_1738255347">
            <w:r>
              <w:rPr>
                <w:webHidden/>
                <w:rStyle w:val="IndexLink"/>
                <w:rtl w:val="true"/>
              </w:rPr>
              <w:t>قانون</w:t>
            </w:r>
            <w:r>
              <w:rPr>
                <w:rStyle w:val="IndexLink"/>
                <w:rtl w:val="true"/>
              </w:rPr>
              <w:tab/>
            </w:r>
            <w:r>
              <w:rPr>
                <w:rStyle w:val="IndexLink"/>
              </w:rPr>
              <w:t>527</w:t>
            </w:r>
          </w:hyperlink>
        </w:p>
        <w:p>
          <w:pPr>
            <w:pStyle w:val="Contents5"/>
            <w:tabs>
              <w:tab w:val="clear" w:pos="7892"/>
              <w:tab w:val="right" w:pos="9026" w:leader="dot"/>
            </w:tabs>
            <w:rPr/>
          </w:pPr>
          <w:hyperlink w:anchor="__RefHeading___Toc495155_1738255347">
            <w:r>
              <w:rPr>
                <w:webHidden/>
                <w:rStyle w:val="IndexLink"/>
                <w:rtl w:val="true"/>
              </w:rPr>
              <w:t xml:space="preserve">خاتمة </w:t>
            </w:r>
            <w:r>
              <w:rPr>
                <w:rStyle w:val="IndexLink"/>
                <w:rtl w:val="true"/>
              </w:rPr>
              <w:t>:</w:t>
              <w:tab/>
            </w:r>
            <w:r>
              <w:rPr>
                <w:rStyle w:val="IndexLink"/>
              </w:rPr>
              <w:t>534</w:t>
            </w:r>
          </w:hyperlink>
        </w:p>
        <w:p>
          <w:pPr>
            <w:pStyle w:val="Contents6"/>
            <w:tabs>
              <w:tab w:val="clear" w:pos="7609"/>
              <w:tab w:val="right" w:pos="9026" w:leader="dot"/>
            </w:tabs>
            <w:rPr/>
          </w:pPr>
          <w:hyperlink w:anchor="__RefHeading___Toc495157_1738255347">
            <w:r>
              <w:rPr>
                <w:webHidden/>
                <w:rStyle w:val="IndexLink"/>
                <w:rtl w:val="true"/>
              </w:rPr>
              <w:t>اشارة</w:t>
            </w:r>
            <w:r>
              <w:rPr>
                <w:rStyle w:val="IndexLink"/>
                <w:rtl w:val="true"/>
              </w:rPr>
              <w:tab/>
            </w:r>
            <w:r>
              <w:rPr>
                <w:rStyle w:val="IndexLink"/>
              </w:rPr>
              <w:t>534</w:t>
            </w:r>
          </w:hyperlink>
        </w:p>
        <w:p>
          <w:pPr>
            <w:pStyle w:val="Contents6"/>
            <w:tabs>
              <w:tab w:val="clear" w:pos="7609"/>
              <w:tab w:val="right" w:pos="9026" w:leader="dot"/>
            </w:tabs>
            <w:rPr/>
          </w:pPr>
          <w:hyperlink w:anchor="__RefHeading___Toc495159_1738255347">
            <w:r>
              <w:rPr>
                <w:webHidden/>
                <w:rStyle w:val="IndexLink"/>
                <w:rtl w:val="true"/>
              </w:rPr>
              <w:t xml:space="preserve">الأوّل </w:t>
            </w:r>
            <w:r>
              <w:rPr>
                <w:rStyle w:val="IndexLink"/>
                <w:rtl w:val="true"/>
              </w:rPr>
              <w:t>:</w:t>
              <w:tab/>
            </w:r>
            <w:r>
              <w:rPr>
                <w:rStyle w:val="IndexLink"/>
              </w:rPr>
              <w:t>534</w:t>
            </w:r>
          </w:hyperlink>
        </w:p>
        <w:p>
          <w:pPr>
            <w:pStyle w:val="Contents6"/>
            <w:tabs>
              <w:tab w:val="clear" w:pos="7609"/>
              <w:tab w:val="right" w:pos="9026" w:leader="dot"/>
            </w:tabs>
            <w:rPr/>
          </w:pPr>
          <w:hyperlink w:anchor="__RefHeading___Toc495161_1738255347">
            <w:r>
              <w:rPr>
                <w:webHidden/>
                <w:rStyle w:val="IndexLink"/>
                <w:rtl w:val="true"/>
              </w:rPr>
              <w:t xml:space="preserve">الثاني </w:t>
            </w:r>
            <w:r>
              <w:rPr>
                <w:rStyle w:val="IndexLink"/>
                <w:rtl w:val="true"/>
              </w:rPr>
              <w:t>:</w:t>
              <w:tab/>
            </w:r>
            <w:r>
              <w:rPr>
                <w:rStyle w:val="IndexLink"/>
              </w:rPr>
              <w:t>544</w:t>
            </w:r>
          </w:hyperlink>
        </w:p>
        <w:p>
          <w:pPr>
            <w:pStyle w:val="Contents4"/>
            <w:tabs>
              <w:tab w:val="clear" w:pos="8176"/>
              <w:tab w:val="right" w:pos="9026" w:leader="dot"/>
            </w:tabs>
            <w:rPr/>
          </w:pPr>
          <w:hyperlink w:anchor="__RefHeading___Toc495163_1738255347">
            <w:r>
              <w:rPr>
                <w:webHidden/>
                <w:rStyle w:val="IndexLink"/>
                <w:rtl w:val="true"/>
              </w:rPr>
              <w:t xml:space="preserve">المطلب الثاني </w:t>
            </w:r>
            <w:r>
              <w:rPr>
                <w:rStyle w:val="IndexLink"/>
                <w:rtl w:val="true"/>
              </w:rPr>
              <w:t xml:space="preserve">: </w:t>
            </w:r>
            <w:r>
              <w:rPr>
                <w:rStyle w:val="IndexLink"/>
                <w:rtl w:val="true"/>
              </w:rPr>
              <w:t>في الفعل والتقرير</w:t>
            </w:r>
            <w:r>
              <w:rPr>
                <w:rStyle w:val="IndexLink"/>
                <w:rtl w:val="true"/>
              </w:rPr>
              <w:tab/>
            </w:r>
            <w:r>
              <w:rPr>
                <w:rStyle w:val="IndexLink"/>
              </w:rPr>
              <w:t>555</w:t>
            </w:r>
          </w:hyperlink>
        </w:p>
        <w:p>
          <w:pPr>
            <w:pStyle w:val="Contents5"/>
            <w:tabs>
              <w:tab w:val="clear" w:pos="7892"/>
              <w:tab w:val="right" w:pos="9026" w:leader="dot"/>
            </w:tabs>
            <w:rPr/>
          </w:pPr>
          <w:hyperlink w:anchor="__RefHeading___Toc495165_1738255347">
            <w:r>
              <w:rPr>
                <w:webHidden/>
                <w:rStyle w:val="IndexLink"/>
                <w:rtl w:val="true"/>
              </w:rPr>
              <w:t>قانون</w:t>
            </w:r>
            <w:r>
              <w:rPr>
                <w:rStyle w:val="IndexLink"/>
                <w:rtl w:val="true"/>
              </w:rPr>
              <w:tab/>
            </w:r>
            <w:r>
              <w:rPr>
                <w:rStyle w:val="IndexLink"/>
              </w:rPr>
              <w:t>555</w:t>
            </w:r>
          </w:hyperlink>
        </w:p>
        <w:p>
          <w:pPr>
            <w:pStyle w:val="Contents5"/>
            <w:tabs>
              <w:tab w:val="clear" w:pos="7892"/>
              <w:tab w:val="right" w:pos="9026" w:leader="dot"/>
            </w:tabs>
            <w:rPr/>
          </w:pPr>
          <w:hyperlink w:anchor="__RefHeading___Toc495167_1738255347">
            <w:r>
              <w:rPr>
                <w:webHidden/>
                <w:rStyle w:val="IndexLink"/>
                <w:rtl w:val="true"/>
              </w:rPr>
              <w:t>قانون</w:t>
            </w:r>
            <w:r>
              <w:rPr>
                <w:rStyle w:val="IndexLink"/>
                <w:rtl w:val="true"/>
              </w:rPr>
              <w:tab/>
            </w:r>
            <w:r>
              <w:rPr>
                <w:rStyle w:val="IndexLink"/>
              </w:rPr>
              <w:t>563</w:t>
            </w:r>
          </w:hyperlink>
        </w:p>
        <w:p>
          <w:pPr>
            <w:pStyle w:val="Contents5"/>
            <w:tabs>
              <w:tab w:val="clear" w:pos="7892"/>
              <w:tab w:val="right" w:pos="9026" w:leader="dot"/>
            </w:tabs>
            <w:rPr/>
          </w:pPr>
          <w:hyperlink w:anchor="__RefHeading___Toc495169_1738255347">
            <w:r>
              <w:rPr>
                <w:webHidden/>
                <w:rStyle w:val="IndexLink"/>
                <w:rtl w:val="true"/>
              </w:rPr>
              <w:t>قانون</w:t>
            </w:r>
            <w:r>
              <w:rPr>
                <w:rStyle w:val="IndexLink"/>
                <w:rtl w:val="true"/>
              </w:rPr>
              <w:tab/>
            </w:r>
            <w:r>
              <w:rPr>
                <w:rStyle w:val="IndexLink"/>
              </w:rPr>
              <w:t>566</w:t>
            </w:r>
          </w:hyperlink>
        </w:p>
        <w:p>
          <w:pPr>
            <w:pStyle w:val="Contents5"/>
            <w:tabs>
              <w:tab w:val="clear" w:pos="7892"/>
              <w:tab w:val="right" w:pos="9026" w:leader="dot"/>
            </w:tabs>
            <w:rPr/>
          </w:pPr>
          <w:hyperlink w:anchor="__RefHeading___Toc495171_1738255347">
            <w:r>
              <w:rPr>
                <w:webHidden/>
                <w:rStyle w:val="IndexLink"/>
                <w:rtl w:val="true"/>
              </w:rPr>
              <w:t>قانون</w:t>
            </w:r>
            <w:r>
              <w:rPr>
                <w:rStyle w:val="IndexLink"/>
                <w:rtl w:val="true"/>
              </w:rPr>
              <w:tab/>
            </w:r>
            <w:r>
              <w:rPr>
                <w:rStyle w:val="IndexLink"/>
              </w:rPr>
              <w:t>568</w:t>
            </w:r>
          </w:hyperlink>
        </w:p>
        <w:p>
          <w:pPr>
            <w:pStyle w:val="Contents5"/>
            <w:tabs>
              <w:tab w:val="clear" w:pos="7892"/>
              <w:tab w:val="right" w:pos="9026" w:leader="dot"/>
            </w:tabs>
            <w:rPr/>
          </w:pPr>
          <w:hyperlink w:anchor="__RefHeading___Toc495173_1738255347">
            <w:r>
              <w:rPr>
                <w:webHidden/>
                <w:rStyle w:val="IndexLink"/>
                <w:rtl w:val="true"/>
              </w:rPr>
              <w:t xml:space="preserve">فائدة </w:t>
            </w:r>
            <w:r>
              <w:rPr>
                <w:rStyle w:val="IndexLink"/>
                <w:rtl w:val="true"/>
              </w:rPr>
              <w:t>:</w:t>
              <w:tab/>
            </w:r>
            <w:r>
              <w:rPr>
                <w:rStyle w:val="IndexLink"/>
              </w:rPr>
              <w:t>570</w:t>
            </w:r>
          </w:hyperlink>
        </w:p>
        <w:p>
          <w:pPr>
            <w:pStyle w:val="Contents5"/>
            <w:tabs>
              <w:tab w:val="clear" w:pos="7892"/>
              <w:tab w:val="right" w:pos="9026" w:leader="dot"/>
            </w:tabs>
            <w:rPr/>
          </w:pPr>
          <w:hyperlink w:anchor="__RefHeading___Toc495175_1738255347">
            <w:r>
              <w:rPr>
                <w:webHidden/>
                <w:rStyle w:val="IndexLink"/>
                <w:rtl w:val="true"/>
              </w:rPr>
              <w:t>قانون</w:t>
            </w:r>
            <w:r>
              <w:rPr>
                <w:rStyle w:val="IndexLink"/>
                <w:rtl w:val="true"/>
              </w:rPr>
              <w:tab/>
            </w:r>
            <w:r>
              <w:rPr>
                <w:rStyle w:val="IndexLink"/>
              </w:rPr>
              <w:t>572</w:t>
            </w:r>
          </w:hyperlink>
        </w:p>
        <w:p>
          <w:pPr>
            <w:pStyle w:val="Contents5"/>
            <w:tabs>
              <w:tab w:val="clear" w:pos="7892"/>
              <w:tab w:val="right" w:pos="9026" w:leader="dot"/>
            </w:tabs>
            <w:rPr/>
          </w:pPr>
          <w:hyperlink w:anchor="__RefHeading___Toc495177_1738255347">
            <w:r>
              <w:rPr>
                <w:webHidden/>
                <w:rStyle w:val="IndexLink"/>
                <w:rtl w:val="true"/>
              </w:rPr>
              <w:t xml:space="preserve">إيقاظ </w:t>
            </w:r>
            <w:r>
              <w:rPr>
                <w:rStyle w:val="IndexLink"/>
                <w:rtl w:val="true"/>
              </w:rPr>
              <w:t>:</w:t>
              <w:tab/>
            </w:r>
            <w:r>
              <w:rPr>
                <w:rStyle w:val="IndexLink"/>
              </w:rPr>
              <w:t>572</w:t>
            </w:r>
          </w:hyperlink>
        </w:p>
        <w:p>
          <w:pPr>
            <w:pStyle w:val="Contents2"/>
            <w:tabs>
              <w:tab w:val="clear" w:pos="8743"/>
              <w:tab w:val="right" w:pos="9026" w:leader="dot"/>
            </w:tabs>
            <w:rPr/>
          </w:pPr>
          <w:hyperlink w:anchor="__RefHeading___Toc495179_1738255347">
            <w:r>
              <w:rPr>
                <w:webHidden/>
                <w:rStyle w:val="IndexLink"/>
                <w:rtl w:val="true"/>
              </w:rPr>
              <w:t>فهرس الآيات</w:t>
            </w:r>
            <w:r>
              <w:rPr>
                <w:rStyle w:val="IndexLink"/>
                <w:rtl w:val="true"/>
              </w:rPr>
              <w:tab/>
            </w:r>
            <w:r>
              <w:rPr>
                <w:rStyle w:val="IndexLink"/>
              </w:rPr>
              <w:t>576</w:t>
            </w:r>
          </w:hyperlink>
        </w:p>
        <w:p>
          <w:pPr>
            <w:pStyle w:val="Contents2"/>
            <w:tabs>
              <w:tab w:val="clear" w:pos="8743"/>
              <w:tab w:val="right" w:pos="9026" w:leader="dot"/>
            </w:tabs>
            <w:rPr/>
          </w:pPr>
          <w:hyperlink w:anchor="__RefHeading___Toc495181_1738255347">
            <w:r>
              <w:rPr>
                <w:webHidden/>
                <w:rStyle w:val="IndexLink"/>
                <w:rtl w:val="true"/>
              </w:rPr>
              <w:t>فهرس الروايات</w:t>
            </w:r>
            <w:r>
              <w:rPr>
                <w:rStyle w:val="IndexLink"/>
                <w:rtl w:val="true"/>
              </w:rPr>
              <w:tab/>
            </w:r>
            <w:r>
              <w:rPr>
                <w:rStyle w:val="IndexLink"/>
              </w:rPr>
              <w:t>582</w:t>
            </w:r>
          </w:hyperlink>
        </w:p>
        <w:p>
          <w:pPr>
            <w:pStyle w:val="Contents2"/>
            <w:tabs>
              <w:tab w:val="clear" w:pos="8743"/>
              <w:tab w:val="right" w:pos="9026" w:leader="dot"/>
            </w:tabs>
            <w:rPr/>
          </w:pPr>
          <w:hyperlink w:anchor="__RefHeading___Toc495183_1738255347">
            <w:r>
              <w:rPr>
                <w:webHidden/>
                <w:rStyle w:val="IndexLink"/>
                <w:rtl w:val="true"/>
              </w:rPr>
              <w:t>فهرس الموضوعات</w:t>
            </w:r>
            <w:r>
              <w:rPr>
                <w:rStyle w:val="IndexLink"/>
                <w:rtl w:val="true"/>
              </w:rPr>
              <w:tab/>
            </w:r>
            <w:r>
              <w:rPr>
                <w:rStyle w:val="IndexLink"/>
              </w:rPr>
              <w:t>586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71_148801"/>
      <w:bookmarkStart w:id="1" w:name="pg14071_148801"/>
      <w:bookmarkEnd w:id="1"/>
    </w:p>
    <w:p>
      <w:pPr>
        <w:pStyle w:val="Heading2"/>
        <w:numPr>
          <w:ilvl w:val="1"/>
          <w:numId w:val="1"/>
        </w:numPr>
        <w:rPr/>
      </w:pPr>
      <w:bookmarkStart w:id="2" w:name="pg14071_148801"/>
      <w:bookmarkStart w:id="3" w:name="__RefHeading___Toc494991_173825534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القاسم القمّي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حسين صبح</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﻿المکتبة الإسلامية</w:t>
      </w:r>
    </w:p>
    <w:p>
      <w:pPr>
        <w:pStyle w:val="BookText"/>
        <w:rPr/>
      </w:pPr>
      <w:r>
        <w:rPr>
          <w:rFonts w:ascii="Amiri" w:hAnsi="Amiri" w:eastAsia="Amiri" w:cs="Amiri"/>
          <w:color w:val="111111"/>
          <w:sz w:val="28"/>
          <w:sz w:val="28"/>
          <w:szCs w:val="28"/>
          <w:rtl w:val="true"/>
          <w:lang w:bidi="ar-SA"/>
        </w:rPr>
        <w:t>القوانين المحكمة في الأصول</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4993_17382553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وإن نشر هذا الكتاب في داخل أو خارج لبنان بالإقتباس بأي طريقة إلكترونية أو ميكانيكية و بالتصوير أو التسجيل دون موافقة الناشر يعرض صاحبه للمسآءلة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١٤٣٠</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مؤسسة إحياء الكتب الإسلاميه</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١٤٣١</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مؤسسة إحياء الكتب الإسلاميه</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الطبعة الثالثة</w:t>
      </w:r>
    </w:p>
    <w:p>
      <w:pPr>
        <w:pStyle w:val="BookText"/>
        <w:rPr/>
      </w:pPr>
      <w:r>
        <w:rPr>
          <w:rFonts w:ascii="IRNazanin" w:hAnsi="IRNazanin" w:eastAsia="IRNazanin"/>
          <w:color w:val="111111"/>
          <w:sz w:val="28"/>
          <w:sz w:val="28"/>
          <w:szCs w:val="28"/>
          <w:lang w:bidi="fa-IR"/>
        </w:rPr>
        <w:t>١٤٣١</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دار المحجة البيضاء</w:t>
      </w:r>
    </w:p>
    <w:p>
      <w:pPr>
        <w:pStyle w:val="BookText"/>
        <w:rPr/>
      </w:pP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محلات محفوظ ستورز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رمال</w:t>
      </w:r>
    </w:p>
    <w:p>
      <w:pPr>
        <w:pStyle w:val="BookText"/>
        <w:rPr/>
      </w:pPr>
      <w:r>
        <w:rPr>
          <w:rFonts w:ascii="Amiri" w:hAnsi="Amiri" w:eastAsia="Amiri" w:cs="Amiri"/>
          <w:color w:val="111111"/>
          <w:sz w:val="28"/>
          <w:sz w:val="28"/>
          <w:szCs w:val="28"/>
          <w:rtl w:val="true"/>
          <w:lang w:bidi="ar-SA"/>
        </w:rPr>
        <w:t>دار المحجة البيضاء</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٥٤٧٩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٢٨٧١٧٩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٥٥٢٨٤٧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٥٤١٢١١</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E-mail:almahajja@terra.net.lb</w:t>
      </w:r>
    </w:p>
    <w:p>
      <w:pPr>
        <w:pStyle w:val="BookText"/>
        <w:rPr/>
      </w:pPr>
      <w:r>
        <w:rPr>
          <w:rFonts w:eastAsia="Times New Roman" w:cs="Times New Roman" w:ascii="Times New Roman" w:hAnsi="Times New Roman"/>
          <w:color w:val="111111"/>
          <w:sz w:val="28"/>
          <w:szCs w:val="28"/>
          <w:lang w:val="en-US" w:bidi="en-US"/>
        </w:rPr>
        <w:t>www.daralmahaja.com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info@daralmahaja.com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القوانين المحكمة في الأصول</w:t>
      </w:r>
    </w:p>
    <w:p>
      <w:pPr>
        <w:pStyle w:val="BookText"/>
        <w:rPr/>
      </w:pPr>
      <w:r>
        <w:rPr>
          <w:rFonts w:ascii="IRNazanin" w:hAnsi="IRNazanin" w:eastAsia="IRNazanin"/>
          <w:color w:val="111111"/>
          <w:sz w:val="28"/>
          <w:sz w:val="28"/>
          <w:szCs w:val="28"/>
          <w:rtl w:val="true"/>
          <w:lang w:bidi="fa-IR"/>
        </w:rPr>
        <w:t>للمحقق النحریر والفقيه الشهير والأصولي الكبير</w:t>
      </w:r>
    </w:p>
    <w:p>
      <w:pPr>
        <w:pStyle w:val="BookText"/>
        <w:rPr/>
      </w:pPr>
      <w:r>
        <w:rPr>
          <w:rFonts w:ascii="Amiri" w:hAnsi="Amiri" w:eastAsia="Amiri" w:cs="Amiri"/>
          <w:color w:val="111111"/>
          <w:sz w:val="28"/>
          <w:sz w:val="28"/>
          <w:szCs w:val="28"/>
          <w:rtl w:val="true"/>
          <w:lang w:bidi="ar-SA"/>
        </w:rPr>
        <w:t>الميرزا أبي القاسم القمي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شرحه وعلقه عليه</w:t>
      </w:r>
    </w:p>
    <w:p>
      <w:pPr>
        <w:pStyle w:val="BookText"/>
        <w:rPr/>
      </w:pPr>
      <w:r>
        <w:rPr>
          <w:rFonts w:ascii="Amiri" w:hAnsi="Amiri" w:eastAsia="Amiri" w:cs="Amiri"/>
          <w:color w:val="111111"/>
          <w:sz w:val="28"/>
          <w:sz w:val="28"/>
          <w:szCs w:val="28"/>
          <w:rtl w:val="true"/>
          <w:lang w:bidi="ar-SA"/>
        </w:rPr>
        <w:t>رضا حسين صبح</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إحياء الكتب الإسلامية</w:t>
      </w:r>
    </w:p>
    <w:p>
      <w:pPr>
        <w:pStyle w:val="BookText"/>
        <w:rPr/>
      </w:pPr>
      <w:r>
        <w:rPr>
          <w:rFonts w:ascii="IRNazanin" w:hAnsi="IRNazanin" w:eastAsia="IRNazanin"/>
          <w:color w:val="111111"/>
          <w:sz w:val="28"/>
          <w:sz w:val="28"/>
          <w:szCs w:val="28"/>
          <w:rtl w:val="true"/>
          <w:lang w:bidi="fa-IR"/>
        </w:rPr>
        <w:t xml:space="preserve">إيران قم المقدسة أرم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2936352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0098251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7719657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0098251</w:t>
      </w:r>
    </w:p>
    <w:p>
      <w:pPr>
        <w:pStyle w:val="BookText"/>
        <w:rPr/>
      </w:pPr>
      <w:r>
        <w:rPr>
          <w:rFonts w:ascii="IRNazanin" w:hAnsi="IRNazanin" w:eastAsia="IRNazanin"/>
          <w:color w:val="111111"/>
          <w:sz w:val="28"/>
          <w:sz w:val="28"/>
          <w:szCs w:val="28"/>
          <w:rtl w:val="true"/>
          <w:lang w:bidi="fa-IR"/>
        </w:rPr>
        <w:t>دار المرتضی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4071_148805"/>
    </w:p>
    <w:p>
      <w:pPr>
        <w:pStyle w:val="Heading2"/>
        <w:numPr>
          <w:ilvl w:val="1"/>
          <w:numId w:val="1"/>
        </w:numPr>
        <w:rPr/>
      </w:pPr>
      <w:bookmarkStart w:id="8" w:name="__RefHeading___Toc494995_1738255347"/>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نبيّه وآله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الجزء الثاني من الموسوعة الأصولية المعروفة 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قوانين الأصول للميرزا أبي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بقية المجلّد الأوّل من النسخة الحجريّة ، وفيه تتمّة مباحث التخصيص التي في الجزء الأوّل ، كما فيه ابحاث المطلق والمقيّد والمجمل والمبيّن من مباحث الألفاظ ، وأيضا مباحث الإجماع والكتاب والسنّة من الأدلّة الشرعية ، وقد سرت فيه تحقيقا وشرحا وتعليقا بالسيرة التي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القبول ، ونسأله تعالى أن يعيننا على إكماله ويعينكم على إتمامه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حسين علي صبح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071_148807"/>
      <w:bookmarkStart w:id="11" w:name="pg14071_148807"/>
      <w:bookmarkEnd w:id="11"/>
    </w:p>
    <w:p>
      <w:pPr>
        <w:pStyle w:val="Heading2"/>
        <w:numPr>
          <w:ilvl w:val="1"/>
          <w:numId w:val="1"/>
        </w:numPr>
        <w:rPr/>
      </w:pPr>
      <w:bookmarkStart w:id="12" w:name="pg14071_148807"/>
      <w:bookmarkStart w:id="13" w:name="__RefHeading___Toc494997_1738255347"/>
      <w:bookmarkStart w:id="14" w:name="_Toc4"/>
      <w:bookmarkEnd w:id="12"/>
      <w:bookmarkEnd w:id="13"/>
      <w:r>
        <w:rPr>
          <w:rtl w:val="true"/>
        </w:rPr>
        <w:t xml:space="preserve">المقصد الثاني </w:t>
      </w:r>
      <w:r>
        <w:rPr>
          <w:rtl w:val="true"/>
        </w:rPr>
        <w:t xml:space="preserve">: </w:t>
      </w:r>
      <w:r>
        <w:rPr>
          <w:rtl w:val="true"/>
        </w:rPr>
        <w:t>في بيان بعض مباحث التّخصيص</w:t>
      </w:r>
      <w:bookmarkEnd w:id="14"/>
    </w:p>
    <w:p>
      <w:pPr>
        <w:pStyle w:val="Heading3"/>
        <w:numPr>
          <w:ilvl w:val="2"/>
          <w:numId w:val="1"/>
        </w:numPr>
        <w:rPr/>
      </w:pPr>
      <w:bookmarkStart w:id="15" w:name="__RefHeading___Toc494999_173825534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وهو قصر العامّ على بعض ما يتناوله ، وقد يطلق على قصر ما ليس بعامّ حقيقة كذلك </w:t>
      </w:r>
      <w:r>
        <w:rPr>
          <w:rStyle w:val="FootnoteAnchor"/>
          <w:rtl w:val="true"/>
        </w:rPr>
        <w:footnoteReference w:id="2"/>
      </w:r>
      <w:r>
        <w:rPr>
          <w:rFonts w:ascii="Amiri" w:hAnsi="Amiri" w:eastAsia="Amiri" w:cs="Amiri"/>
          <w:color w:val="111111"/>
          <w:sz w:val="28"/>
          <w:sz w:val="28"/>
          <w:szCs w:val="28"/>
          <w:rtl w:val="true"/>
          <w:lang w:bidi="ar-SA"/>
        </w:rPr>
        <w:t xml:space="preserve">كالجمع المعهود ، ومن ذلك تخصيص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 والرّغيف ، بالنسبة الى أجزائهما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والتخصيص قد يكون بالمتّصل ، وهو ما لا يستقلّ بنفسه ، بل يحتاج الى انضمامه الى غيره ، كالاستثناء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 والغاية ، والصّفة ، وبدل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يستقلّ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إمّا عقليّ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خالِقُ كُلِّ شَيْءٍ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والمراد غير ذاته تعالى وأفعال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لفظيّ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لَكُمْ ما فِي الْأَرْضِ جَمِيعاً ،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تَأْكُلُوا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لَمْ يُذْكَرِ اسْمُ اللهِ عَلَيْهِ</w:t>
      </w:r>
      <w:r>
        <w:rPr>
          <w:rFonts w:eastAsia="Amiri" w:cs="Amiri" w:ascii="Amiri" w:hAnsi="Amiri"/>
          <w:color w:val="111111"/>
          <w:sz w:val="28"/>
          <w:szCs w:val="28"/>
          <w:rtl w:val="true"/>
          <w:lang w:bidi="ar-SA"/>
        </w:rPr>
        <w:t xml:space="preserve">. ) </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في منتهى التخصيص الى كم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الأشهر أنّه لا بدّ من بقاء جمع يقرب من مدلول العامّ ، ويجوز الاستعمال في الواحد على سبيل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يفسّر الجمع القريب من مدلول العامّ بكونه أكثر من النّصف ، سواء علم العدد بالتّفصيل ، أو ظهر بالقرينة كون الباقي أكثر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أهل المصر إلّا زيدا وعمروا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ذلك </w:t>
      </w:r>
      <w:r>
        <w:rPr>
          <w:rStyle w:val="FootnoteAnchor"/>
          <w:rtl w:val="true"/>
        </w:rPr>
        <w:footnoteReference w:id="6"/>
      </w:r>
      <w:r>
        <w:rPr>
          <w:rFonts w:ascii="Amiri" w:hAnsi="Amiri" w:eastAsia="Amiri" w:cs="Amiri"/>
          <w:color w:val="111111"/>
          <w:sz w:val="28"/>
          <w:sz w:val="28"/>
          <w:szCs w:val="28"/>
          <w:rtl w:val="true"/>
          <w:lang w:bidi="ar-SA"/>
        </w:rPr>
        <w:t>من بقاء جمع غير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الى جوازه حتى يبقى واحد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يبقى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صيغة الجمع من بقاء ثلاثة </w:t>
      </w:r>
      <w:r>
        <w:rPr>
          <w:rStyle w:val="FootnoteAnchor"/>
          <w:rtl w:val="true"/>
        </w:rPr>
        <w:footnoteReference w:id="9"/>
      </w:r>
      <w:r>
        <w:rPr>
          <w:rFonts w:ascii="Amiri" w:hAnsi="Amiri" w:eastAsia="Amiri" w:cs="Amiri"/>
          <w:color w:val="111111"/>
          <w:sz w:val="28"/>
          <w:sz w:val="28"/>
          <w:szCs w:val="28"/>
          <w:rtl w:val="true"/>
          <w:lang w:bidi="ar-SA"/>
        </w:rPr>
        <w:t>، وفي غيرها يجوز الى الواحد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التّخصيص إن كان بالاستثناء أو بدل البعض ، جاز الى الواحد ،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عشرة إلّا تسعة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العشرة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بمتّصل غيرهما </w:t>
      </w:r>
      <w:r>
        <w:rPr>
          <w:rStyle w:val="FootnoteAnchor"/>
          <w:rtl w:val="true"/>
        </w:rPr>
        <w:footnoteReference w:id="11"/>
      </w:r>
      <w:r>
        <w:rPr>
          <w:rFonts w:ascii="Amiri" w:hAnsi="Amiri" w:eastAsia="Amiri" w:cs="Amiri"/>
          <w:color w:val="111111"/>
          <w:sz w:val="28"/>
          <w:sz w:val="28"/>
          <w:szCs w:val="28"/>
          <w:rtl w:val="true"/>
          <w:lang w:bidi="ar-SA"/>
        </w:rPr>
        <w:t xml:space="preserve">كالشّرط والصّفة والغاية ، أو كان بمنفصل في محصور قليل ، فيجوز التخصيص الى الاثنين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بني تميم الطّوال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طوالا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يفسقوا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كلّ زنديق وهم ثلاثة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ناظر الى صدق تلك العمومات مع الثلاثة وأكثرها اثنان </w:t>
      </w:r>
      <w:r>
        <w:rPr>
          <w:rStyle w:val="FootnoteAnchor"/>
          <w:rtl w:val="true"/>
        </w:rPr>
        <w:footnoteReference w:id="13"/>
      </w:r>
      <w:r>
        <w:rPr>
          <w:rFonts w:ascii="Amiri" w:hAnsi="Amiri" w:eastAsia="Amiri" w:cs="Amiri"/>
          <w:color w:val="111111"/>
          <w:sz w:val="28"/>
          <w:sz w:val="28"/>
          <w:szCs w:val="28"/>
          <w:rtl w:val="true"/>
          <w:lang w:bidi="ar-SA"/>
        </w:rPr>
        <w:t>، وهذا من الشواهد على أنّ العامّ يطلق عندهم على الجماعة المعهودة كما أشرنا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التخصيص بمنفصل في عدد غير محصور أو في عدد محصور كثير فكقول الأكثر ، والأقرب عندي قول الأكثر ، لما تقدّم من أنّ وضع الحقائق والمجازات شخصيّة كانت أو نوعيّة ، يتوقّف على التوقيف ، ولم يثبت جواز الاستعمال الى الواحد من أهل اللّغة ، وعدم الثبوت دليل عدم الجواز ، والقدر المتيقّن الثبوت هو ما ذكرنا ، غاية الأمر التشكيك في مراتب القرب ، وهو سهل إذ ذاك في الأحكام الفقهيّة والاصولية ليس بعادم النظير كما في الأفراد الخفيّة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الفرديّة في العامّ واللّوازم الغير البيّنة اللّزوم ، فما ترجّح جوازه في ظنّ المجتهد ، فيجوز ، وما ترجّح عدمه ، فلا ، وما تردّد فيه ، فيرجع فيه الى الأصل من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الرخصة في نوع العلاقة في المجاز يوجب العموم في الجواز ، غفلة عمّا حقّقناه في أوائل الكتاب </w:t>
      </w:r>
      <w:r>
        <w:rPr>
          <w:rStyle w:val="FootnoteAnchor"/>
          <w:rtl w:val="true"/>
        </w:rPr>
        <w:footnoteReference w:id="15"/>
      </w:r>
      <w:r>
        <w:rPr>
          <w:rFonts w:ascii="Amiri" w:hAnsi="Amiri" w:eastAsia="Amiri" w:cs="Amiri"/>
          <w:color w:val="111111"/>
          <w:sz w:val="28"/>
          <w:sz w:val="28"/>
          <w:szCs w:val="28"/>
          <w:rtl w:val="true"/>
          <w:lang w:bidi="ar-SA"/>
        </w:rPr>
        <w:t>وفي أوائل الباب ، إذ قد عرفت أنّ نوع العلاقة اطّراده غير معلوم بالنسبة الى جميع الأصناف ، وفي جميع أنواع العلائق ، وسنبطل ما استدلّ به المجوّزون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الأكثرون على ذلك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كلّ رمّانة في البستان وفيه آلاف ، وقد أكل واحدة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مرادهم استقباح أهل اللّسان واستنكارهم ذلك من جهة ما ذكرنا من عدم ثبوت مثله عن العرب </w:t>
      </w:r>
      <w:r>
        <w:rPr>
          <w:rStyle w:val="FootnoteAnchor"/>
          <w:rtl w:val="true"/>
        </w:rPr>
        <w:footnoteReference w:id="17"/>
      </w:r>
      <w:r>
        <w:rPr>
          <w:rFonts w:ascii="Amiri" w:hAnsi="Amiri" w:eastAsia="Amiri" w:cs="Amiri"/>
          <w:color w:val="111111"/>
          <w:sz w:val="28"/>
          <w:sz w:val="28"/>
          <w:szCs w:val="28"/>
          <w:rtl w:val="true"/>
          <w:lang w:bidi="ar-SA"/>
        </w:rPr>
        <w:t xml:space="preserve">، لا محض الغرابة والمنافرة الموجبتين لنفي الفصاحة ، إذ عدم الفصاحة لا يستلزم عدم الجواز إلّا أن يراد استقباحه في كلام الحكيم ، سيّما الحكيم على الإطلاق الذي هو موضوع علم الأصول </w:t>
      </w:r>
      <w:r>
        <w:rPr>
          <w:rStyle w:val="FootnoteAnchor"/>
          <w:rtl w:val="true"/>
        </w:rPr>
        <w:footnoteReference w:id="18"/>
      </w:r>
      <w:r>
        <w:rPr>
          <w:rFonts w:ascii="Amiri" w:hAnsi="Amiri" w:eastAsia="Amiri" w:cs="Amiri"/>
          <w:color w:val="111111"/>
          <w:sz w:val="28"/>
          <w:sz w:val="28"/>
          <w:szCs w:val="28"/>
          <w:rtl w:val="true"/>
          <w:lang w:bidi="ar-SA"/>
        </w:rPr>
        <w:t>، ولكنّ ذلك لا يثبت نفي الجواز لغة ، والقطع بعدمه في كلام الحكيم أيضا مطلقا ، غير واضح ، والمقام قد يقتضي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مجوّزوه الى الواحد بأمور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العامّ في غير الاستغراق ، مجاز على التحقيق ، وليس بعض </w:t>
      </w:r>
    </w:p>
    <w:p>
      <w:pPr>
        <w:pStyle w:val="BookText"/>
        <w:rPr/>
      </w:pPr>
      <w:r>
        <w:rPr>
          <w:rFonts w:ascii="Amiri" w:hAnsi="Amiri" w:eastAsia="Amiri" w:cs="Amiri"/>
          <w:color w:val="111111"/>
          <w:sz w:val="28"/>
          <w:sz w:val="28"/>
          <w:szCs w:val="28"/>
          <w:rtl w:val="true"/>
          <w:lang w:bidi="ar-SA"/>
        </w:rPr>
        <w:t>الأفراد أولى من البعض ، فيجوز أن ينتهي الى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عدم أولويّة البعض </w:t>
      </w:r>
      <w:r>
        <w:rPr>
          <w:rStyle w:val="FootnoteAnchor"/>
          <w:rtl w:val="true"/>
        </w:rPr>
        <w:footnoteReference w:id="19"/>
      </w:r>
      <w:r>
        <w:rPr>
          <w:rFonts w:ascii="Amiri" w:hAnsi="Amiri" w:eastAsia="Amiri" w:cs="Amiri"/>
          <w:color w:val="111111"/>
          <w:sz w:val="28"/>
          <w:sz w:val="28"/>
          <w:szCs w:val="28"/>
          <w:rtl w:val="true"/>
          <w:lang w:bidi="ar-SA"/>
        </w:rPr>
        <w:t>، لأنّ الأكثر أقرب الى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وعورض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الأقلّ متيقّن الإرادة مع الكلّ ومع الأكثر ، بخلاف الأكثر ، فإنّه متيقّن المراد من الكلّ خاصّة ، على أنّ أقربيّة الأكثر تقتضي أرجحيّة إرادته على إرادة الأقلّ لا امتناع إرادة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أصل الاستدلال وجميع الاعتراضات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الاعتراضات فإنّ مبناها على ترجيح المراد من العامّ المخصوص كما لا يخفى ، لا بيان جواز أيّ فرد من أفراد التخصيص وعدمه كما هو المدّعى ، فإنّما يتمشّى هذه إذا علم التّخصيص في الجملة ، فلو دار الأمر بين التخصيصات المختلفة ، أمكن التمسّك بأمثال ما ذكر ، ولا يمكن ذلك في إثبات أصل الجواز وعدمه ، بل لا يجري بعض المذكورات </w:t>
      </w:r>
      <w:r>
        <w:rPr>
          <w:rStyle w:val="FootnoteAnchor"/>
          <w:rtl w:val="true"/>
        </w:rPr>
        <w:footnoteReference w:id="21"/>
      </w:r>
      <w:r>
        <w:rPr>
          <w:rFonts w:ascii="Amiri" w:hAnsi="Amiri" w:eastAsia="Amiri" w:cs="Amiri"/>
          <w:color w:val="111111"/>
          <w:sz w:val="28"/>
          <w:sz w:val="28"/>
          <w:szCs w:val="28"/>
          <w:rtl w:val="true"/>
          <w:lang w:bidi="ar-SA"/>
        </w:rPr>
        <w:t>فيه أيضا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المشركين ، والمفروض أنّ المشركين مائة ، واحد منهم مجوسيّ والباقون أهل الكتاب ، وورد بعد ذلك نهي عن قتل المجوس ، وورد نهي آخر عن قتل أهل الكتاب ، وفرضنا تساوي الخاصّين من حيث القوّة ، فمن يلاحظ الأقربيّة الى الجميع ، فلا بدّ أن يبني على النّهي الأوّل </w:t>
      </w:r>
      <w:r>
        <w:rPr>
          <w:rStyle w:val="FootnoteAnchor"/>
          <w:rtl w:val="true"/>
        </w:rPr>
        <w:footnoteReference w:id="22"/>
      </w:r>
      <w:r>
        <w:rPr>
          <w:rFonts w:ascii="Amiri" w:hAnsi="Amiri" w:eastAsia="Amiri" w:cs="Amiri"/>
          <w:color w:val="111111"/>
          <w:sz w:val="28"/>
          <w:sz w:val="28"/>
          <w:szCs w:val="28"/>
          <w:rtl w:val="true"/>
          <w:lang w:bidi="ar-SA"/>
        </w:rPr>
        <w:t xml:space="preserve">، ومن يلاحظ تيقّن الإرادة ، فلا بدّ أن يبني على الثاني </w:t>
      </w:r>
      <w:r>
        <w:rPr>
          <w:rStyle w:val="FootnoteAnchor"/>
          <w:rtl w:val="true"/>
        </w:rPr>
        <w:footnoteReference w:id="23"/>
      </w:r>
      <w:r>
        <w:rPr>
          <w:rFonts w:ascii="Amiri" w:hAnsi="Amiri" w:eastAsia="Amiri" w:cs="Amiri"/>
          <w:color w:val="111111"/>
          <w:sz w:val="28"/>
          <w:sz w:val="28"/>
          <w:szCs w:val="28"/>
          <w:rtl w:val="true"/>
          <w:lang w:bidi="ar-SA"/>
        </w:rPr>
        <w:t xml:space="preserve">، ولكنّك خبير بأنّه لا معنى حينئذ </w:t>
      </w:r>
    </w:p>
    <w:p>
      <w:pPr>
        <w:pStyle w:val="BookText"/>
        <w:rPr/>
      </w:pPr>
      <w:r>
        <w:rPr>
          <w:rFonts w:ascii="Amiri" w:hAnsi="Amiri" w:eastAsia="Amiri" w:cs="Amiri"/>
          <w:color w:val="111111"/>
          <w:sz w:val="28"/>
          <w:sz w:val="28"/>
          <w:szCs w:val="28"/>
          <w:rtl w:val="true"/>
          <w:lang w:bidi="ar-SA"/>
        </w:rPr>
        <w:t>لدخول الأقلّ في الأكثر ، فإنّ المجوس ليس من جملة أهل الكتاب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إجراء ذلك في المخصّص بالمجمل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المشركين إلّا بعضهم ، ولكنّه لا ثمرة فيه لسقوط العامّ عن الحجّيّة بقدر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يجري ذلك فيما لو أريد من بعضهم النّكرة المطلقة الموكول تعيينها الى اختيار المخاطب ، ولكنّ ذلك لا يفيد قاعدة كليّة تنفع للأصولي 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فلا دخل لما ذكر فيما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الجواب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إنّما تثبت فيما حصل من الاستقراء جوازه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بلفظ الأولويّة في كلام المستدلّ وفي جوابنا هو المستحقّ الممكن الحصول ، مقابل الممتنع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لا الأرجح كما هو غالب الاستعمال ، والغفلة عن ذلك </w:t>
      </w:r>
      <w:r>
        <w:rPr>
          <w:rStyle w:val="FootnoteAnchor"/>
          <w:rtl w:val="true"/>
        </w:rPr>
        <w:footnoteReference w:id="26"/>
      </w:r>
      <w:r>
        <w:rPr>
          <w:rFonts w:ascii="Amiri" w:hAnsi="Amiri" w:eastAsia="Amiri" w:cs="Amiri"/>
          <w:color w:val="111111"/>
          <w:sz w:val="28"/>
          <w:sz w:val="28"/>
          <w:szCs w:val="28"/>
          <w:rtl w:val="true"/>
          <w:lang w:bidi="ar-SA"/>
        </w:rPr>
        <w:t>إنّما هو الذي أوجب مقابلته بهذه الأجوبة والاعتراضات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فحاصل مراده </w:t>
      </w:r>
      <w:r>
        <w:rPr>
          <w:rStyle w:val="FootnoteAnchor"/>
          <w:rtl w:val="true"/>
        </w:rPr>
        <w:footnoteReference w:id="27"/>
      </w:r>
      <w:r>
        <w:rPr>
          <w:rFonts w:ascii="Amiri" w:hAnsi="Amiri" w:eastAsia="Amiri" w:cs="Amiri"/>
          <w:color w:val="111111"/>
          <w:sz w:val="28"/>
          <w:sz w:val="28"/>
          <w:szCs w:val="28"/>
          <w:rtl w:val="true"/>
          <w:lang w:bidi="ar-SA"/>
        </w:rPr>
        <w:t>، أنّ العلاقة المجوّزة لاستعمال العامّ في الخصوص هو العموم والخصوص ، وهو في الكلّ موجود ، فما الوجه لتخصيص بعض الأفراد بالجواز دون بعض؟ وليس مراده بيان نفي المرجّح بعد قبول الجواز حتى يقابل ما ذكر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ثبت عن استقراء كلام العرب من الرّخصة في جواز </w:t>
      </w:r>
    </w:p>
    <w:p>
      <w:pPr>
        <w:pStyle w:val="BookText"/>
        <w:rPr/>
      </w:pPr>
      <w:r>
        <w:rPr>
          <w:rFonts w:ascii="Amiri" w:hAnsi="Amiri" w:eastAsia="Amiri" w:cs="Amiri"/>
          <w:color w:val="111111"/>
          <w:sz w:val="28"/>
          <w:sz w:val="28"/>
          <w:szCs w:val="28"/>
          <w:rtl w:val="true"/>
          <w:lang w:bidi="ar-SA"/>
        </w:rPr>
        <w:t>استعمال العامّ في الخاصّ ، إنّما هو الاستعمال في الجمع القريب بالمدلول ، لا مطلق علاقة العموم والخصوص حتّى يتساوى الكلّ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يظهر من بعضهم </w:t>
      </w:r>
      <w:r>
        <w:rPr>
          <w:rStyle w:val="FootnoteAnchor"/>
          <w:rtl w:val="true"/>
        </w:rPr>
        <w:footnoteReference w:id="28"/>
      </w:r>
      <w:r>
        <w:rPr>
          <w:rFonts w:ascii="Amiri" w:hAnsi="Amiri" w:eastAsia="Amiri" w:cs="Amiri"/>
          <w:color w:val="111111"/>
          <w:sz w:val="28"/>
          <w:sz w:val="28"/>
          <w:szCs w:val="28"/>
          <w:rtl w:val="true"/>
          <w:lang w:bidi="ar-SA"/>
        </w:rPr>
        <w:t>، أنّ العلاقة هو علاقة الكلّ والجزء ، واستعمال اللّفظ الموضوع للكلّ في الجزء ، غير مشروط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اشترط في عكسه كون الجزء ممّا ينتفي بانتفائه الكلّ وهو مساو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أفراد العامّ ليست أجزاء له ، فإنّ مدلول العامّ كلّ فرد ، لا مجموع الأفراد مع أنّ استعمال اللّفظ الموضوع للكلّ في الجزء إنّما يثبت الرّخصة فيه ، فيما لو كان الجزء غير مستقلّ بنفسه ، ويكون للكلّ تركيب حقيقي وهو مفقود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 الكلام لا يجري في مثل العشرة أيضا </w:t>
      </w:r>
      <w:r>
        <w:rPr>
          <w:rStyle w:val="FootnoteAnchor"/>
          <w:rtl w:val="true"/>
        </w:rPr>
        <w:footnoteReference w:id="29"/>
      </w:r>
      <w:r>
        <w:rPr>
          <w:rFonts w:ascii="Amiri" w:hAnsi="Amiri" w:eastAsia="Amiri" w:cs="Amiri"/>
          <w:color w:val="111111"/>
          <w:sz w:val="28"/>
          <w:sz w:val="28"/>
          <w:szCs w:val="28"/>
          <w:rtl w:val="true"/>
          <w:lang w:bidi="ar-SA"/>
        </w:rPr>
        <w:t xml:space="preserve">رأسا ، فضلا عن صورة إبقاء الواحد ، واتّفاق الفقهاء على أنّ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تسعة ، يلزمه واحد ، لا يدلّ على صحّة هذا الإطلاق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وجواز إبقاء الجمع القريب بالمدلول فيه أيضا لا يلزم أن يكون بسبب علاقة الجزئية ، فإنّ الحيثيّات معتبرة ، والمعتبر هو علاقة العموم والخصوص وإن لم يكن من باب العموم المصطلح المشهور وإن كان يرجع إليه بوجه ، لأنّ المراد بالعشرة في الحقيقة هو مميّزه ، مثل الدّراهم والدّنانير ، فيصير من باب الجمع المعهود ، فكان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دراهم عددها عشرة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الكلام في الأعداد التي مميّزها في صورة المفرد ، فإنّ معناها 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w:t>
      </w:r>
      <w:r>
        <w:rPr>
          <w:rStyle w:val="FootnoteAnchor"/>
          <w:rtl w:val="true"/>
        </w:rPr>
        <w:footnoteReference w:id="30"/>
      </w:r>
      <w:r>
        <w:rPr>
          <w:rFonts w:ascii="Amiri" w:hAnsi="Amiri" w:eastAsia="Amiri" w:cs="Amiri"/>
          <w:color w:val="111111"/>
          <w:sz w:val="28"/>
          <w:sz w:val="28"/>
          <w:szCs w:val="28"/>
          <w:rtl w:val="true"/>
          <w:lang w:bidi="ar-SA"/>
        </w:rPr>
        <w:t xml:space="preserve">، ظهر أيضا أنّ العلاقة ليست من باب استعمال الكلّيّ في الجزئي أيضا ، وإنّما هو في العامّ والخاص المنطقيين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Style w:val="FootnoteAnchor"/>
          <w:rtl w:val="true"/>
        </w:rPr>
        <w:footnoteReference w:id="32"/>
      </w:r>
      <w:r>
        <w:rPr>
          <w:rFonts w:ascii="Amiri" w:hAnsi="Amiri" w:eastAsia="Amiri" w:cs="Amiri"/>
          <w:color w:val="111111"/>
          <w:sz w:val="28"/>
          <w:sz w:val="28"/>
          <w:szCs w:val="28"/>
          <w:rtl w:val="true"/>
          <w:lang w:bidi="ar-SA"/>
        </w:rPr>
        <w:t xml:space="preserve">أجاب عن أصل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العلاقة في ذلك المجاز إنّما هو المشابهة ، لعدم تحقّق الجزئيّة في أفراد العامّ ، وهي إنّما تتحقّق في كثرة تقرّب من مدلول العامّ ، فهذا وجه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حصر العلاقة فيهما ، بل العلاقة إنّما هو العموم والخصوص ، وكون ذلك من جملة العلائق ، من الواضحات التي لا تحتاج الى البيان ، مصرّح به في كلام أهل الأصول والبيان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كونه علاقة اتّفاقيّ ، وما يتراءى من الخلاف من كلام بعضهم كالمحقّق الكاظمي </w:t>
      </w:r>
      <w:r>
        <w:rPr>
          <w:rStyle w:val="FootnoteAnchor"/>
          <w:rtl w:val="true"/>
        </w:rPr>
        <w:footnoteReference w:id="3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نسب كون العلائق خمسة </w:t>
      </w:r>
    </w:p>
    <w:p>
      <w:pPr>
        <w:pStyle w:val="BookText"/>
        <w:rPr/>
      </w:pPr>
      <w:r>
        <w:rPr>
          <w:rFonts w:ascii="Amiri" w:hAnsi="Amiri" w:eastAsia="Amiri" w:cs="Amiri"/>
          <w:color w:val="111111"/>
          <w:sz w:val="28"/>
          <w:sz w:val="28"/>
          <w:szCs w:val="28"/>
          <w:rtl w:val="true"/>
          <w:lang w:bidi="ar-SA"/>
        </w:rPr>
        <w:t>وعشرين ، ومن جملتها العموم والخصوص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البهائي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نسبه الى القدماء ، فهو ناظر الى تغيير العبارات من حيث الإيجاز والإطناب ، فبعضهم ردّها الى اثنين </w:t>
      </w:r>
      <w:r>
        <w:rPr>
          <w:rStyle w:val="FootnoteAnchor"/>
          <w:rtl w:val="true"/>
        </w:rPr>
        <w:footnoteReference w:id="34"/>
      </w:r>
      <w:r>
        <w:rPr>
          <w:rFonts w:ascii="Amiri" w:hAnsi="Amiri" w:eastAsia="Amiri" w:cs="Amiri"/>
          <w:color w:val="111111"/>
          <w:sz w:val="28"/>
          <w:sz w:val="28"/>
          <w:szCs w:val="28"/>
          <w:rtl w:val="true"/>
          <w:lang w:bidi="ar-SA"/>
        </w:rPr>
        <w:t>وبعضهم الى خمسة ، وبعضهم الى اثني عشرة ، وكلّ ذلك اختلاف في اللّفظ ، وإلّا فلا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ولأصحاب هذا القول أيضا حجج واهية أخرى ، 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لَهُ لَحافِظُونَ </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باب التشبيه لقصد التعظيم لا من باب ذكر العامّ وإرادة الخاصّ ، فكأنّه لاجتماعه جميع صفات الكمالات الحاصلة في كلّ واحد سيّما وصف الحافظيّة ، صار بمنزلة العامّ أو لأنّ العظماء لمّا جرت عادتهم بأنّهم يتكلّمون عنهم وعن أتباعهم فيغلّبون المتكلّم ، فصار ذلك كناية عن العظمة ، ومنها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قالَ لَهُمُ النَّاسُ إِنَّ النَّاسَ قَدْ جَمَعُوا لَكُمْ ،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والمراد نعيم بن مسعود باتّفاق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اتّفاق المفسّرين أوّلا ، وإنّ الناس ليس بعامّ ، بل للمعهود ثانيا ، والظاهر أنّ مراده عهد الجمع</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لأنّ الناس اسم جمع </w:t>
      </w:r>
      <w:r>
        <w:rPr>
          <w:rStyle w:val="FootnoteAnchor"/>
          <w:rtl w:val="true"/>
        </w:rPr>
        <w:footnoteReference w:id="38"/>
      </w:r>
      <w:r>
        <w:rPr>
          <w:rFonts w:ascii="Amiri" w:hAnsi="Amiri" w:eastAsia="Amiri" w:cs="Amiri"/>
          <w:color w:val="111111"/>
          <w:sz w:val="28"/>
          <w:sz w:val="28"/>
          <w:szCs w:val="28"/>
          <w:rtl w:val="true"/>
          <w:lang w:bidi="ar-SA"/>
        </w:rPr>
        <w:t xml:space="preserve">، وإطلاقه على الواحد على سبيل العهد </w:t>
      </w:r>
    </w:p>
    <w:p>
      <w:pPr>
        <w:pStyle w:val="BookText"/>
        <w:rPr/>
      </w:pPr>
      <w:r>
        <w:rPr>
          <w:rFonts w:ascii="Amiri" w:hAnsi="Amiri" w:eastAsia="Amiri" w:cs="Amiri"/>
          <w:color w:val="111111"/>
          <w:sz w:val="28"/>
          <w:sz w:val="28"/>
          <w:szCs w:val="28"/>
          <w:rtl w:val="true"/>
          <w:lang w:bidi="ar-SA"/>
        </w:rPr>
        <w:t xml:space="preserve">غير واضح ، وهذا التفسير </w:t>
      </w:r>
      <w:r>
        <w:rPr>
          <w:rStyle w:val="FootnoteAnchor"/>
          <w:rtl w:val="true"/>
        </w:rPr>
        <w:footnoteReference w:id="39"/>
      </w:r>
      <w:r>
        <w:rPr>
          <w:rFonts w:ascii="Amiri" w:hAnsi="Amiri" w:eastAsia="Amiri" w:cs="Amiri"/>
          <w:color w:val="111111"/>
          <w:sz w:val="28"/>
          <w:sz w:val="28"/>
          <w:szCs w:val="28"/>
          <w:rtl w:val="true"/>
          <w:lang w:bidi="ar-SA"/>
        </w:rPr>
        <w:t>رواه أصحابنا عن أئمّتهم عليهم‌السلام فلا وجه لردّه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والصواب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أيضا ليس من باب التخصيص ، بل من باب التشبيه ، فإنّ أبا سفيان لمّا خرج الى ميعاد رسول الله صلى‌الله‌عليه‌وآله للحرب بعد عام احد ألقى الله الرّعب عليه ، فأراد الرجوع وكره أن يكون ذلك على وجه الصّغار والإحجام عن الحرب ويكون ذلك سببا لجرأة أهل الإسلام ، فأراد تثبيط </w:t>
      </w:r>
      <w:r>
        <w:rPr>
          <w:rStyle w:val="FootnoteAnchor"/>
          <w:rtl w:val="true"/>
        </w:rPr>
        <w:footnoteReference w:id="40"/>
      </w:r>
      <w:r>
        <w:rPr>
          <w:rFonts w:ascii="Amiri" w:hAnsi="Amiri" w:eastAsia="Amiri" w:cs="Amiri"/>
          <w:color w:val="111111"/>
          <w:sz w:val="28"/>
          <w:sz w:val="28"/>
          <w:szCs w:val="28"/>
          <w:rtl w:val="true"/>
          <w:lang w:bidi="ar-SA"/>
        </w:rPr>
        <w:t xml:space="preserve">رسول الله صلى‌الله‌عليه‌وآله عن الحرب على سبيل الخداع بأن يخوّفهم حتّى يتقاعدوا ، فلقي نعيم بن مسعود ، واشترط له عشرة من الإبل على أن يثبّطهم عن الحرب ، فجاء نعيم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جمعوا لكم فاخشوهم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التشبيه أنّه لمّا أخبر عن لسان الناس يعني أبا سفيان وجيشه ، وتكلّم عن مقتضى مقصدهم ، وكان ذلك رسالة عنهم ، فكأنّهم قالوا ذلك بأنفسهم ، وهذا مجاز شائع في المحاورات ، وفي تكرير المعرّف باللّام إيهام إلى المبالغة في الاتّحاد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علم بالضّرورة من اللّغة صحّة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الخبز وشربت الماء ، ويراد به أقلّ القليل ممّا يتناوله الماء والخبز</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حقّقنا في أوّل الباب </w:t>
      </w:r>
      <w:r>
        <w:rPr>
          <w:rStyle w:val="FootnoteAnchor"/>
          <w:rtl w:val="true"/>
        </w:rPr>
        <w:footnoteReference w:id="42"/>
      </w:r>
      <w:r>
        <w:rPr>
          <w:rFonts w:ascii="Amiri" w:hAnsi="Amiri" w:eastAsia="Amiri" w:cs="Amiri"/>
          <w:color w:val="111111"/>
          <w:sz w:val="28"/>
          <w:sz w:val="28"/>
          <w:szCs w:val="28"/>
          <w:rtl w:val="true"/>
          <w:lang w:bidi="ar-SA"/>
        </w:rPr>
        <w:t xml:space="preserve">، انّ المفرد المحلّى باللّام حقيقة في الجنس ، ومجاز في غيره ، والقرينة قائمة هنا على إرادة الفرد المعيّن عند المتكلّم المطابق للمعهود الذهني ، وهو نظير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بالأمس عندي ، لا من قبيل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للنكرة إطلاقين قد مرّ بيانهما </w:t>
      </w:r>
      <w:r>
        <w:rPr>
          <w:rStyle w:val="FootnoteAnchor"/>
          <w:rtl w:val="true"/>
        </w:rPr>
        <w:footnoteReference w:id="43"/>
      </w:r>
      <w:r>
        <w:rPr>
          <w:rFonts w:ascii="Amiri" w:hAnsi="Amiri" w:eastAsia="Amiri" w:cs="Amiri"/>
          <w:color w:val="111111"/>
          <w:sz w:val="28"/>
          <w:sz w:val="28"/>
          <w:szCs w:val="28"/>
          <w:rtl w:val="true"/>
          <w:lang w:bidi="ar-SA"/>
        </w:rPr>
        <w:t>، فكذلك للعهد الذّهني المساوق لها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المراد به المعهود الذّهني ، سواء قلنا باشتراك المعرّف باللّام بين المعاني الأربعة </w:t>
      </w:r>
      <w:r>
        <w:rPr>
          <w:rStyle w:val="FootnoteAnchor"/>
          <w:rtl w:val="true"/>
        </w:rPr>
        <w:footnoteReference w:id="44"/>
      </w:r>
      <w:r>
        <w:rPr>
          <w:rFonts w:ascii="Amiri" w:hAnsi="Amiri" w:eastAsia="Amiri" w:cs="Amiri"/>
          <w:color w:val="111111"/>
          <w:sz w:val="28"/>
          <w:sz w:val="28"/>
          <w:szCs w:val="28"/>
          <w:rtl w:val="true"/>
          <w:lang w:bidi="ar-SA"/>
        </w:rPr>
        <w:t>ويعيّن ذلك بالقرينة ، أو قلنا بكونه حقيقة في الجنس واستعمل هنا في الفرد حقيقة من باب إطلاق الكلّيّ على الفرد مع قطع النظر عن الخصوصيّة ، فإنّ استعمال الكلّيّ في الفرد وإن كان على سبيل المجاز أيضا ، فهو من باب استعمال العامّ المنطقيّ في الخاصّ ، لا العامّ الأصوليّ ، وكيف كان فهو خارج عن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مجوّزوه الى الثلاثة والاثنين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قيل في الجمع ، وأنّ أقلّه ثلاثة أو اثنان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 إذ لا ملازمة بين الجمع والعامّ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بأنّ العامّ إذا كان جمعا كالجمع المعرّف باللّام ، فيصدق على الثلاثة والاثنين ، ولا قائل بالفصل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ينكر التخصيص الى الواحد والاثنين والثلاثة ، لا يسلم ذلك في الجمع المعرّف باللّام أيضا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التفصيل مع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بالتأمّل فيما ذكر وما سيجيء</w:t>
      </w:r>
      <w:r>
        <w:rPr>
          <w:rFonts w:eastAsia="Amiri" w:cs="Amiri" w:ascii="Amiri" w:hAnsi="Amiri"/>
          <w:color w:val="111111"/>
          <w:sz w:val="28"/>
          <w:szCs w:val="28"/>
          <w:rtl w:val="true"/>
          <w:lang w:bidi="ar-SA"/>
        </w:rPr>
        <w:t xml:space="preserve">. </w:t>
      </w:r>
      <w:bookmarkStart w:id="17" w:name="pg14071_148818"/>
    </w:p>
    <w:p>
      <w:pPr>
        <w:pStyle w:val="Heading3"/>
        <w:numPr>
          <w:ilvl w:val="2"/>
          <w:numId w:val="1"/>
        </w:numPr>
        <w:rPr/>
      </w:pPr>
      <w:bookmarkStart w:id="18" w:name="__RefHeading___Toc495001_1738255347"/>
      <w:bookmarkStart w:id="19" w:name="_Toc6"/>
      <w:bookmarkEnd w:id="17"/>
      <w:bookmarkEnd w:id="18"/>
      <w:r>
        <w:rPr>
          <w:rtl w:val="true"/>
        </w:rPr>
        <w:t>قانون</w:t>
      </w:r>
      <w:bookmarkEnd w:id="19"/>
    </w:p>
    <w:p>
      <w:pPr>
        <w:pStyle w:val="Heading4"/>
        <w:numPr>
          <w:ilvl w:val="3"/>
          <w:numId w:val="1"/>
        </w:numPr>
        <w:rPr/>
      </w:pPr>
      <w:bookmarkStart w:id="20" w:name="__RefHeading___Toc495003_1738255347"/>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إذا خصّ العامّ ، ففي كونه حقيقة في الباقي أو مجازا أقوال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الخوض في المبحث ، لا بدّ من تمهيد مقدّمات </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495005_1738255347"/>
      <w:bookmarkStart w:id="23" w:name="_Toc8"/>
      <w:bookmarkEnd w:id="22"/>
      <w:r>
        <w:rPr>
          <w:rtl w:val="true"/>
        </w:rPr>
        <w:t xml:space="preserve">الأولى </w:t>
      </w:r>
      <w:r>
        <w:rPr>
          <w:rtl w:val="true"/>
        </w:rPr>
        <w:t>:</w:t>
      </w:r>
      <w:bookmarkEnd w:id="2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الغرض من وضع الألفاظ المفردة ليس إفادة معانيها ، لاستحالة إفادتها لغير العالم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واستفادة العالم بالوضع أيضا غير ممكن ، لاستلزامه الدّور </w:t>
      </w:r>
      <w:r>
        <w:rPr>
          <w:rStyle w:val="FootnoteAnchor"/>
          <w:rtl w:val="true"/>
        </w:rPr>
        <w:footnoteReference w:id="48"/>
      </w:r>
      <w:r>
        <w:rPr>
          <w:rFonts w:ascii="Amiri" w:hAnsi="Amiri" w:eastAsia="Amiri" w:cs="Amiri"/>
          <w:color w:val="111111"/>
          <w:sz w:val="28"/>
          <w:sz w:val="28"/>
          <w:szCs w:val="28"/>
          <w:rtl w:val="true"/>
          <w:lang w:bidi="ar-SA"/>
        </w:rPr>
        <w:t xml:space="preserve">، لأنّ العلم بالوضع مستلزم للعلم بالمعنى واللّفظ ، ووضع اللّفظ للمعنى ، فالعلم بالمعنى 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 بالمعنى ، بل إنّما المقصود من وضعها تفهيم ما يتركّب من معانيها بواسطة تركيب ألفاظها الدّالّة عليها للعالم بالوضع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الدّلالة عليها ، وما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تعيين اللّفظ للدلالة على معنى بنفسه ، وجعل الدّلالة غرضا للوضع ينافي ما ذكرت من نفي ذلك؟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w:t>
      </w:r>
      <w:r>
        <w:rPr>
          <w:rStyle w:val="FootnoteAnchor"/>
          <w:rtl w:val="true"/>
        </w:rPr>
        <w:footnoteReference w:id="49"/>
      </w:r>
      <w:r>
        <w:rPr>
          <w:rFonts w:ascii="Amiri" w:hAnsi="Amiri" w:eastAsia="Amiri" w:cs="Amiri"/>
          <w:color w:val="111111"/>
          <w:sz w:val="28"/>
          <w:sz w:val="28"/>
          <w:szCs w:val="28"/>
          <w:rtl w:val="true"/>
          <w:lang w:bidi="ar-SA"/>
        </w:rPr>
        <w:t>، فإنّ مرادهم من الدّلالة على معنى هناك ، صيرورته موجبا لتصوّر الموضوع 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ومرادهم ثمّة في نفي كون استفادة المعاني غرضا في الوضع ، التصديق بأنّ تلك المعاني قد وضعت لها تلك الألفاظ ، فمجمع القاعدتين </w:t>
      </w:r>
      <w:r>
        <w:rPr>
          <w:rStyle w:val="FootnoteAnchor"/>
          <w:rtl w:val="true"/>
        </w:rPr>
        <w:footnoteReference w:id="50"/>
      </w:r>
      <w:r>
        <w:rPr>
          <w:rFonts w:ascii="Amiri" w:hAnsi="Amiri" w:eastAsia="Amiri" w:cs="Amiri"/>
          <w:color w:val="111111"/>
          <w:sz w:val="28"/>
          <w:sz w:val="28"/>
          <w:szCs w:val="28"/>
          <w:rtl w:val="true"/>
          <w:lang w:bidi="ar-SA"/>
        </w:rPr>
        <w:t>، أنّ الألفاظ قد وضعت بإزاء المعاني لأجل أن يحصل تصوّر المعاني بمجرّد تصوّر الألفاظ ليتمكّن من تركيبها حتى يحصل المعنى المركّب ويحصل به تفهيم المعنى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المقصود </w:t>
      </w:r>
      <w:r>
        <w:rPr>
          <w:rStyle w:val="FootnoteAnchor"/>
          <w:rtl w:val="true"/>
        </w:rPr>
        <w:footnoteReference w:id="51"/>
      </w:r>
      <w:r>
        <w:rPr>
          <w:rFonts w:ascii="Amiri" w:hAnsi="Amiri" w:eastAsia="Amiri" w:cs="Amiri"/>
          <w:color w:val="111111"/>
          <w:sz w:val="28"/>
          <w:sz w:val="28"/>
          <w:szCs w:val="28"/>
          <w:rtl w:val="true"/>
          <w:lang w:bidi="ar-SA"/>
        </w:rPr>
        <w:t xml:space="preserve">من وضع الألفاظ تفهيم المعاني المركّبة الموقوفة غالبا على استعمال الألفاظ وتركيب بعضها مع بعض ، ولا بدّ أن يكون الاستعمال أيضا على قانون الوضع ولا ينفكّ الدّلالة غالبا عن الإرادة ، بمعنى أنّ المدلول غالبا لا بدّ أن يكون هو المراد ، ولا بدّ أن يكون المراد ما هو مدلوله اللّفظ ، ويحمل اللّفظ عليه وإن لم يكن مراد اللّافظ في نفس الأمر ، ولا بدّ أن يكون المراد موافقا لقانون الوضع من حيث الكميّة والكيفيّة ، فلا استبعاد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مرادهم من الدّلالة في </w:t>
      </w:r>
    </w:p>
    <w:p>
      <w:pPr>
        <w:pStyle w:val="BookText"/>
        <w:rPr/>
      </w:pPr>
      <w:r>
        <w:rPr>
          <w:rFonts w:ascii="Amiri" w:hAnsi="Amiri" w:eastAsia="Amiri" w:cs="Amiri"/>
          <w:color w:val="111111"/>
          <w:sz w:val="28"/>
          <w:sz w:val="28"/>
          <w:szCs w:val="28"/>
          <w:rtl w:val="true"/>
          <w:lang w:bidi="ar-SA"/>
        </w:rPr>
        <w:t>تعريف الوضع ، هو الدّلالة على مراد اللّافظ ، ويتّضح حينئذ عدم المنافاة غاية الوضوح ، وحينئذ فالمشترك لا يدلّ إلّا على معنى واحد ، لأنّ الوضع لم يثبت إلّا لمعنى واحد ، وقد مرّ تحقيق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إلّا عن أنّ مرادهم </w:t>
      </w:r>
      <w:r>
        <w:rPr>
          <w:rStyle w:val="FootnoteAnchor"/>
          <w:rtl w:val="true"/>
        </w:rPr>
        <w:footnoteReference w:id="52"/>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هو تعيين اللّفظ للدلالة على معنى هو تعيينه لأجل تصوّر المعنى مطلقا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حاصل في المشترك إذا تصوّر معانيه بمجرّد تصوّر لفظه ، فكيف ينكر دلالته عليه ، وعدم جواز إرادة أكثر من معنى في الاستعمال لا يستلزم عدم تصوّر الأكثر من معنى عند تصوّره ، بل تصوّر المعنى يحصل عند تصوّر اللّفظ وإن لم يستعمل اللّفظ أو استعمله من لا إرادة له أصلا كالنّائم والسّاهي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تصوّر معنى المشترك ليس عين تصوّر ما عيّن له اللّفظ ليحصل من تصوّره تصوّره ، إذ الواضع قد عيّن اللّفظ بإزاء كلّ منهما مستقلّا ، فلم يثبت من الواضع إلّا كون كلّ من المعنيين موضوعا له اللّفظ في حال الانفراد ، والتعدّي عنه خروج عن قانون الوضع ، فمدلول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عيّن الواضع اللّفظ لأجل الدّلالة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حقّقنا لك في أوائل الكتاب وتبصّر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ما ذكرنا </w:t>
      </w:r>
      <w:r>
        <w:rPr>
          <w:rStyle w:val="FootnoteAnchor"/>
          <w:rtl w:val="true"/>
        </w:rPr>
        <w:footnoteReference w:id="54"/>
      </w:r>
      <w:r>
        <w:rPr>
          <w:rFonts w:ascii="Amiri" w:hAnsi="Amiri" w:eastAsia="Amiri" w:cs="Amiri"/>
          <w:color w:val="111111"/>
          <w:sz w:val="28"/>
          <w:sz w:val="28"/>
          <w:szCs w:val="28"/>
          <w:rtl w:val="true"/>
          <w:lang w:bidi="ar-SA"/>
        </w:rPr>
        <w:t xml:space="preserve">، ينظر كلام المحقّق الطوسي قدس‌سره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عدم </w:t>
      </w:r>
    </w:p>
    <w:p>
      <w:pPr>
        <w:pStyle w:val="BookText"/>
        <w:rPr/>
      </w:pPr>
      <w:r>
        <w:rPr>
          <w:rFonts w:ascii="Amiri" w:hAnsi="Amiri" w:eastAsia="Amiri" w:cs="Amiri"/>
          <w:color w:val="111111"/>
          <w:sz w:val="28"/>
          <w:sz w:val="28"/>
          <w:szCs w:val="28"/>
          <w:rtl w:val="true"/>
          <w:lang w:bidi="ar-SA"/>
        </w:rPr>
        <w:t>احتياج حدود الدلالات الى قيد الحيثيّة ، ولا بأس أن نشير إليه ، وإن كان خروجا عن مقتضى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العلّامة الحلّي قدس‌سره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منطق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أورد الإشكال المشهور على حدود الدّلالات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اللّفظ قد يكون مشتركا بين المعنى وجزئه أو بينه وبين لازمه ، وحينئذ يكون لذلك اللّفظ دلالة على ذلك الجزء من جهتين ، فباعتبار دلالته عليه من حيث الوضع يكون مطابقة ، وباعتبار دلالته عليه من حيث دخول في المسمّى يكون تضمّنا وكذا في الالتزام ، فكان الواجب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يقيّد في الدّلالات الثلاث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كذلك ، وإلّا اختلّت الرّسوم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أوردت عليه قدّس الله روحه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اللّفظ لا يدلّ بذاته </w:t>
      </w:r>
      <w:r>
        <w:rPr>
          <w:rStyle w:val="FootnoteAnchor"/>
          <w:rtl w:val="true"/>
        </w:rPr>
        <w:footnoteReference w:id="55"/>
      </w:r>
      <w:r>
        <w:rPr>
          <w:rFonts w:ascii="Amiri" w:hAnsi="Amiri" w:eastAsia="Amiri" w:cs="Amiri"/>
          <w:color w:val="111111"/>
          <w:sz w:val="28"/>
          <w:sz w:val="28"/>
          <w:szCs w:val="28"/>
          <w:rtl w:val="true"/>
          <w:lang w:bidi="ar-SA"/>
        </w:rPr>
        <w:t>على معناه ، بل باعتبار الإرادة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حين يراد منه معناه المطابقيّ ، لا يراد منه معناه التضمّني ، فهو إنّما يدلّ على معنى واحد لا غير ، وفيه نظر </w:t>
      </w:r>
      <w:r>
        <w:rPr>
          <w:rStyle w:val="FootnoteAnchor"/>
          <w:rtl w:val="true"/>
        </w:rPr>
        <w:footnoteReference w:id="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ذكره ذلك المحقّق </w:t>
      </w:r>
      <w:r>
        <w:rPr>
          <w:rStyle w:val="FootnoteAnchor"/>
          <w:rtl w:val="true"/>
        </w:rPr>
        <w:footnoteReference w:id="57"/>
      </w:r>
      <w:r>
        <w:rPr>
          <w:rFonts w:ascii="Amiri" w:hAnsi="Amiri" w:eastAsia="Amiri" w:cs="Amiri"/>
          <w:color w:val="111111"/>
          <w:sz w:val="28"/>
          <w:sz w:val="28"/>
          <w:szCs w:val="28"/>
          <w:rtl w:val="true"/>
          <w:lang w:bidi="ar-SA"/>
        </w:rPr>
        <w:t xml:space="preserve">، كما نقل عنه بالمعنى في موضع آخر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اللّفظ لمّا كانت وضعيّة ، كانت متعلّقة بإرادة اللّافظ إرادة جارية على قانون الوضع ، فاللّفظ إن أطلق وأريد به معنى ، وفهم منه ذلك المعنى ، فهو دالّ عليه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فالمشترك إذا أطلق وأريد به أحد المعنيين ، لا يراد به المعنى الآخر ، ولو أريد </w:t>
      </w:r>
    </w:p>
    <w:p>
      <w:pPr>
        <w:pStyle w:val="BookText"/>
        <w:rPr/>
      </w:pPr>
      <w:r>
        <w:rPr>
          <w:rFonts w:ascii="Amiri" w:hAnsi="Amiri" w:eastAsia="Amiri" w:cs="Amiri"/>
          <w:color w:val="111111"/>
          <w:sz w:val="28"/>
          <w:sz w:val="28"/>
          <w:szCs w:val="28"/>
          <w:rtl w:val="true"/>
          <w:lang w:bidi="ar-SA"/>
        </w:rPr>
        <w:t>أيضا لم يكن تلك الإرادة على قانون الوضع ، لأنّ قانون الوضع أن لا يراد بالمشترك إلّا أحد المعنيين ، فاللّفظ أبدا لا يدلّ إلّا على معنى واحد ، فذلك المعنى إن كان تمام الموضوع له فمطابقة ، وإن كان جزءه ، فتضمّن ، وإلّا فالتزام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التكلّم بالألفاظ الموضوعة </w:t>
      </w:r>
      <w:r>
        <w:rPr>
          <w:rStyle w:val="FootnoteAnchor"/>
          <w:rtl w:val="true"/>
        </w:rPr>
        <w:footnoteReference w:id="59"/>
      </w:r>
      <w:r>
        <w:rPr>
          <w:rFonts w:ascii="Amiri" w:hAnsi="Amiri" w:eastAsia="Amiri" w:cs="Amiri"/>
          <w:color w:val="111111"/>
          <w:sz w:val="28"/>
          <w:sz w:val="28"/>
          <w:szCs w:val="28"/>
          <w:rtl w:val="true"/>
          <w:lang w:bidi="ar-SA"/>
        </w:rPr>
        <w:t>لمّا كان مقتضاه أن تكون صادرة على طبق قانون الوضع ، فلا بدّ أن يراد منها ما أراده الواضع على حسب ما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المحقّق انّ وضع المشترك لكلّ واحد من معانيه ، مستقلّ غير ملتفت فيه الى معناه الآخر ، فلم يحصل الرّخصة من الواضع إلّا في استعماله في حال الانفراد ، فلم يوجد مادّة يتوهّم استعمال المشترك في معنييه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اتّحد مصداق الدّلالة المطابقيّة والتضمّنيّة مثلا ، حينئذ </w:t>
      </w:r>
      <w:r>
        <w:rPr>
          <w:rStyle w:val="FootnoteAnchor"/>
          <w:rtl w:val="true"/>
        </w:rPr>
        <w:footnoteReference w:id="60"/>
      </w:r>
      <w:r>
        <w:rPr>
          <w:rFonts w:ascii="Amiri" w:hAnsi="Amiri" w:eastAsia="Amiri" w:cs="Amiri"/>
          <w:color w:val="111111"/>
          <w:sz w:val="28"/>
          <w:sz w:val="28"/>
          <w:szCs w:val="28"/>
          <w:rtl w:val="true"/>
          <w:lang w:bidi="ar-SA"/>
        </w:rPr>
        <w:t>فإمّا يستعمل اللّفظ في الكلّ ، أو في الجزء على سبيل منع الجمع ، وفي صورة استعماله في الكلّ ، لم يرد منه إلّا الكلّ ، وكون الجزء أيضا معنى آخر له لا يستلزم جواز إرادته منه حتّى يدلّ عليه أيضا ، فلا دلالة للّفظ حين إرادة الكلّ على المعنى الآخر الذي هو الجزء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مجرّد تصوّره </w:t>
      </w:r>
      <w:r>
        <w:rPr>
          <w:rStyle w:val="FootnoteAnchor"/>
          <w:rtl w:val="true"/>
        </w:rPr>
        <w:footnoteReference w:id="61"/>
      </w:r>
      <w:r>
        <w:rPr>
          <w:rFonts w:ascii="Amiri" w:hAnsi="Amiri" w:eastAsia="Amiri" w:cs="Amiri"/>
          <w:color w:val="111111"/>
          <w:sz w:val="28"/>
          <w:sz w:val="28"/>
          <w:szCs w:val="28"/>
          <w:rtl w:val="true"/>
          <w:lang w:bidi="ar-SA"/>
        </w:rPr>
        <w:t xml:space="preserve">حينئذ ، فلا يستلزم كونه مدلولا له بالفعل على ما قدّمنا </w:t>
      </w:r>
      <w:r>
        <w:rPr>
          <w:rStyle w:val="FootnoteAnchor"/>
          <w:rtl w:val="true"/>
        </w:rPr>
        <w:footnoteReference w:id="62"/>
      </w:r>
      <w:r>
        <w:rPr>
          <w:rFonts w:ascii="Amiri" w:hAnsi="Amiri" w:eastAsia="Amiri" w:cs="Amiri"/>
          <w:color w:val="111111"/>
          <w:sz w:val="28"/>
          <w:sz w:val="28"/>
          <w:szCs w:val="28"/>
          <w:rtl w:val="true"/>
          <w:lang w:bidi="ar-SA"/>
        </w:rPr>
        <w:t>، لكون ذلك خلاف مقتضى الوضع ، وحينئذ فلا يراد من اللّفظ إلّا معنى واحد ، فإن اعتبر دلالته على ذلك المعنى بتمامه ، فمطابقة ، وإن اعتبر دلالته على جزئه من جهة كون الجزء في ضمن الكلّ ، فتضمّن ، وإن اعتبر دلالته على لازم له إن كان له لازم بمعنى الانتقال من أصل المعنى الى ذلك اللّازم ، فهو التزام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الدّلالة على الجزء بهذا المعنى ، يعني في ضمن الكلّ ، هو معنى التضمّن ، لا إذا استعمل اللّفظ في الجزء مجازا كما يتوهّم ، وكذلك في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استعماله في الجزء منفردا إذا وضع له بوضع على حدة ، فهو مطابقة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مرّ من التحقيق ، فاللّفظ إمّا مستعمل في الكلّ سواء اعتبر فيه الدّلالة التضمنيّة أو الالتزامية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مستعمل في الجزء ، فلا يمكن تصادق الدّلالة التضمنيّة الحاصلة في الصورة الأولى </w:t>
      </w:r>
      <w:r>
        <w:rPr>
          <w:rStyle w:val="FootnoteAnchor"/>
          <w:rtl w:val="true"/>
        </w:rPr>
        <w:footnoteReference w:id="63"/>
      </w:r>
      <w:r>
        <w:rPr>
          <w:rFonts w:ascii="Amiri" w:hAnsi="Amiri" w:eastAsia="Amiri" w:cs="Amiri"/>
          <w:color w:val="111111"/>
          <w:sz w:val="28"/>
          <w:sz w:val="28"/>
          <w:szCs w:val="28"/>
          <w:rtl w:val="true"/>
          <w:lang w:bidi="ar-SA"/>
        </w:rPr>
        <w:t>مع المطابقية التي هي الدّلالة على هذا الجزء بعينه من جهة وضعه له على حدة واستعماله فيه ، إذ تلك الدّلالة التضمنيّة لا تنفكّ من المطابقية التي هي في ضمنه ، وهو أحد معنيي المشترك ، ولا يجوز مع إرادته إرادة المعنى الآخر الذي هو ذلك الجزء بعينه بوضع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أيضا أنّه لا ينتقض كلّ واحد من التضمّن والالتزام بالآخر ، بأن يكون جزء أحد المعنيين لازما للآخر أو بالعكس </w:t>
      </w:r>
      <w:r>
        <w:rPr>
          <w:rStyle w:val="FootnoteAnchor"/>
          <w:rtl w:val="true"/>
        </w:rPr>
        <w:footnoteReference w:id="64"/>
      </w:r>
      <w:r>
        <w:rPr>
          <w:rFonts w:ascii="Amiri" w:hAnsi="Amiri" w:eastAsia="Amiri" w:cs="Amiri"/>
          <w:color w:val="111111"/>
          <w:sz w:val="28"/>
          <w:sz w:val="28"/>
          <w:szCs w:val="28"/>
          <w:rtl w:val="true"/>
          <w:lang w:bidi="ar-SA"/>
        </w:rPr>
        <w:t>، فإنّ صدق كلّ منهما على الآخر يستلزم جواز إرادة كلّ واحد من المطابقيين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فلنفصّل الكلام ليتّضح المرام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المعترض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المشترك بين الكلّ والجزء إذا اطلق على الكلّ ، كان دلالته على الجزء تضمّنا ، مع أنّه يصدق عليها أنّها دلالة اللّفظ على تمام ما وضع له ، فينتقض بها حدّ المطابقة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أطلق على الجزء كان دلالته عليه مطابقة ويصدق عليها أنّها دلالة اللّفظ على جزء ما وضع له اللّفظ ، وكذا الحال في الملزوم واللّازم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أنّ دلالة اللّفظ على الجزء في ضمن الكلّ وبتبعيّته كما هو معنى دلالة التضمّن يصدق عليها أنّها دلالة اللّفظ على تمام ما وضع له ، وإن كان ذلك تمام الموضوع له بوضع آخر ، لأنّ الدلالة على تمام الموضوع له إنّما هو تابع جواز الإرادة الجارية على قانون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انّ المشترك إذا أريد منه أحد معانيه ، فلا يجوز إرادة الآخر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حوالينا رستاق </w:t>
      </w:r>
      <w:r>
        <w:rPr>
          <w:rStyle w:val="FootnoteAnchor"/>
          <w:rtl w:val="true"/>
        </w:rPr>
        <w:footnoteReference w:id="65"/>
      </w:r>
      <w:r>
        <w:rPr>
          <w:rFonts w:ascii="Amiri" w:hAnsi="Amiri" w:eastAsia="Amiri" w:cs="Amiri"/>
          <w:color w:val="111111"/>
          <w:sz w:val="28"/>
          <w:sz w:val="28"/>
          <w:szCs w:val="28"/>
          <w:rtl w:val="true"/>
          <w:lang w:bidi="ar-SA"/>
        </w:rPr>
        <w:t>مسمّى بالكزّاز مشتمل على قرى كثيرة أحدها مسمّاة بالكزّاز ، فإذا أطلق الكزّاز وأريد منه ذلك الرّستاق ، فانفهام تلك القرية إنّما هو بالتّبع وفي ضمن انفهام الكلّ ، ولا ريب إنّه حينئذ لا يدلّ على تلك القرية الخاصّة بخصوصها ، ولا يجوز إرادتها أيضا ، فهو غير مدلول اللفظ بالاستقلال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جاز إرادة المعنيين ولم تخالف 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لاحتاج حينئذ الى قيد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تلك القرية من حيث إنّه جزء أحد المعنيين المطابقيّين مدلول تضمّني ، ومن حيث إنّه نفس أحدهما ، فهو مطابقى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اطلق على الجزء كان دلالته عليه 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حينئذ صدق أنّه دلالة اللفظ على جزء ما وضع له الذي هو الدلالة التضمّنيّة ، إذ المراد بها دلالته عليه في ضمن الكلّ وتبعيّته ، وهو موقوف على جواز </w:t>
      </w:r>
    </w:p>
    <w:p>
      <w:pPr>
        <w:pStyle w:val="BookText"/>
        <w:rPr/>
      </w:pPr>
      <w:r>
        <w:rPr>
          <w:rFonts w:ascii="Amiri" w:hAnsi="Amiri" w:eastAsia="Amiri" w:cs="Amiri"/>
          <w:color w:val="111111"/>
          <w:sz w:val="28"/>
          <w:sz w:val="28"/>
          <w:szCs w:val="28"/>
          <w:rtl w:val="true"/>
          <w:lang w:bidi="ar-SA"/>
        </w:rPr>
        <w:t xml:space="preserve">إرادة الكلّ الذي ذلك المعنى جزءه ، وهو ممنوع لما ذكرنا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 ، يظهر الكلام في الملزوم واللّازم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فلزوم كون الدلالة المطابقية مطابقة لإرادة اللّافظ الجارية على قانون الوضع ، كاف في دفع انتقاض حدّ كلّ واحد من الدّلالات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 ظهر أنّ مراد المحقّق الطوسي رحمه‌الله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منه معناه التضمّني ، فيما نقله العلامة رحمه‌الله عنه ، لا يراد منه معناه التضمّني الحاصل بسبب ذلك المطابقي بإرادة مستقلّة مطابقيّة أخرى ، بالنظر الى وضعه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إنّما يدلّ على معنى واحد لا غير ، انّه لا يدلّ إلّا على معنى مطابقي واحد كما لا يخفى ، فإذا دلّ على أحد المطابقيّين الذي هو الكلّ وتبعه فهم الجزء ضمنا ، فلا يدلّ على المطابقيّ الآخر الذي هو الجزء بالاستقلال ، ومن ذلك تقدر على توجيه آخر ما نقله عنه </w:t>
      </w:r>
      <w:r>
        <w:rPr>
          <w:rStyle w:val="FootnoteAnchor"/>
          <w:rtl w:val="true"/>
        </w:rPr>
        <w:footnoteReference w:id="68"/>
      </w:r>
      <w:r>
        <w:rPr>
          <w:rFonts w:ascii="Amiri" w:hAnsi="Amiri" w:eastAsia="Amiri" w:cs="Amiri"/>
          <w:color w:val="111111"/>
          <w:sz w:val="28"/>
          <w:sz w:val="28"/>
          <w:szCs w:val="28"/>
          <w:rtl w:val="true"/>
          <w:lang w:bidi="ar-SA"/>
        </w:rPr>
        <w:t>الناقل بالمعنى في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فيما ذكرنا لك ، يظهر أنّ كثيرا من الناظرين غفلوا عن مراده </w:t>
      </w:r>
      <w:r>
        <w:rPr>
          <w:rStyle w:val="FootnoteAnchor"/>
          <w:rtl w:val="true"/>
        </w:rPr>
        <w:footnoteReference w:id="69"/>
      </w:r>
      <w:r>
        <w:rPr>
          <w:rFonts w:ascii="Amiri" w:hAnsi="Amiri" w:eastAsia="Amiri" w:cs="Amiri"/>
          <w:color w:val="111111"/>
          <w:sz w:val="28"/>
          <w:sz w:val="28"/>
          <w:szCs w:val="28"/>
          <w:rtl w:val="true"/>
          <w:lang w:bidi="ar-SA"/>
        </w:rPr>
        <w:t xml:space="preserve">واعترضوا عليه بأمور </w:t>
      </w:r>
      <w:r>
        <w:rPr>
          <w:rStyle w:val="FootnoteAnchor"/>
          <w:rtl w:val="true"/>
        </w:rPr>
        <w:footnoteReference w:id="70"/>
      </w:r>
      <w:r>
        <w:rPr>
          <w:rFonts w:ascii="Amiri" w:hAnsi="Amiri" w:eastAsia="Amiri" w:cs="Amiri"/>
          <w:color w:val="111111"/>
          <w:sz w:val="28"/>
          <w:sz w:val="28"/>
          <w:szCs w:val="28"/>
          <w:rtl w:val="true"/>
          <w:lang w:bidi="ar-SA"/>
        </w:rPr>
        <w:t>لا يرد عليه ، مثل إلزامه بامتناع الاجتماع بين الدّلالات الثلاث لما ذكره من امتناع أن يراد بلفظ واحد أكثر من معنى واحد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 اجتماع الدّلالات الثلاث التي تتوقّف على الإرادة ، وهي الدّلالات المطابقيّات ، والتضمّن ، والالتزام ، ليس في هذا القبيل ، ومثل أنّه يلزمه أن تكون الدلالة التضمّنية والالتزاميّة موقوفتين على الإرادة من 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أيضا ، إذ مطلق الدّلالة لا يتوقّف عنده على الإرادة ، ومثل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تسليم عدم ورود ما ذكر أنّه لا يفيد في هذا المقام </w:t>
      </w:r>
      <w:r>
        <w:rPr>
          <w:rStyle w:val="FootnoteAnchor"/>
          <w:rtl w:val="true"/>
        </w:rPr>
        <w:footnoteReference w:id="71"/>
      </w:r>
      <w:r>
        <w:rPr>
          <w:rFonts w:ascii="Amiri" w:hAnsi="Amiri" w:eastAsia="Amiri" w:cs="Amiri"/>
          <w:color w:val="111111"/>
          <w:sz w:val="28"/>
          <w:sz w:val="28"/>
          <w:szCs w:val="28"/>
          <w:rtl w:val="true"/>
          <w:lang w:bidi="ar-SA"/>
        </w:rPr>
        <w:t>لأنّ اللفظ المشترك بين الجزء والكلّ إذا أطلق وأريد به الجزء ، لا يظهر أنّه مطابقة أو تضمّن ، وكذا المشترك بين اللّازم والملزوم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ريب أنّه حينئذ مطابقة كما يظهر ممّا تقدّم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وصل إليه فهمى القاصر في تحقيق المرام ، وبعد هذا كلّه ، فالمتّهم إنّما هو فكري والله يهدي من يشاء الى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فلنعد الى ما كنّا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قيّدوا الألفاظ بالمفردة ، ومقتضاه أنّ الغرض من وضع الألفاظ المركّبة هو إفادة معانيها ، ولا يلزم فيها الدّور ، لمنع توقّف إفادة الألفاظ المركّبة لمعانيها على العلم بكونها موضوعة لها ، وقد يستند ذلك المنع بأنّا متى علمنا كون كلّ واحد من تلك الألفاظ المفردة موضوعا لمعناه ، وعلمنا أيضا كون حركات تلك الألفاظ المفردة دالّة على النّسب المخصوصة لتلك المعاني ، فإذا توالت الألفاظ </w:t>
      </w:r>
      <w:r>
        <w:rPr>
          <w:rStyle w:val="FootnoteAnchor"/>
          <w:rtl w:val="true"/>
        </w:rPr>
        <w:footnoteReference w:id="73"/>
      </w:r>
      <w:r>
        <w:rPr>
          <w:rFonts w:ascii="Amiri" w:hAnsi="Amiri" w:eastAsia="Amiri" w:cs="Amiri"/>
          <w:color w:val="111111"/>
          <w:sz w:val="28"/>
          <w:sz w:val="28"/>
          <w:szCs w:val="28"/>
          <w:rtl w:val="true"/>
          <w:lang w:bidi="ar-SA"/>
        </w:rPr>
        <w:t>بحركاتها المخصوصة على السّمع ، ارتسمت تلك المعاني المفردة مع نسب بعضها الى بعض في ذهن السّامع ، ومتى حصلت المعاني المفردة مع نسبة بعضها الى بعض ، حصل العلم بالمعاني المركّبة لا محالة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المقام ، إنّ المركّبات لا وضع لها بالنظر الى أشخاصها ، بل وضع المركّبات من حيث إنّها مركّبات ، نوعيّ</w:t>
      </w:r>
      <w:r>
        <w:rPr>
          <w:rFonts w:eastAsia="Amiri" w:cs="Amiri" w:ascii="Amiri" w:hAnsi="Amiri"/>
          <w:color w:val="111111"/>
          <w:sz w:val="28"/>
          <w:szCs w:val="28"/>
          <w:rtl w:val="true"/>
          <w:lang w:bidi="ar-SA"/>
        </w:rPr>
        <w:t xml:space="preserve">. </w:t>
      </w:r>
      <w:bookmarkStart w:id="24" w:name="pg14071_148827"/>
    </w:p>
    <w:p>
      <w:pPr>
        <w:pStyle w:val="BookText"/>
        <w:rPr/>
      </w:pPr>
      <w:bookmarkEnd w:id="24"/>
      <w:r>
        <w:rPr>
          <w:rFonts w:ascii="Amiri" w:hAnsi="Amiri" w:eastAsia="Amiri" w:cs="Amiri"/>
          <w:color w:val="111111"/>
          <w:sz w:val="28"/>
          <w:sz w:val="28"/>
          <w:szCs w:val="28"/>
          <w:rtl w:val="true"/>
          <w:lang w:bidi="ar-SA"/>
        </w:rPr>
        <w:t>وفائدة الوضع النوعيّ إفادة معاني أشخاصها ، فمن تحقّق نوع التركيب في ضمن فرد خاصّ يعرف التركيب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فالمركّب من حيث اشتماله على الألفاظ المفردة ، حكمه ما تقدّم ، ومن حيث اشتماله على النوع المعيّن من التركيب ، حكمه إفادة تحقّق هذا النوع في ضمن هذا الشّخص منه ، فهيئة تركيب الفعل مع الفاعل والمفعول أيضا مثلا على النهج المقرّر في الإعراب والتقديم والتأخير ، موضوعة لإفادة صدور الفعل عن الفاعل ووقوعه على المفعول ، فإذا تشخّص في مادّة ضرب زيد عمرو ، أفادت صدور الضرب عن زيد ووقوعه على عمرو ضرورة حصول الكليّ في ضمن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فهم معنى الضرب وزيد وعمرو فقد تقدّم الكلام فيه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يحصل من جهة الهيئة التركيبيّة تفاوت في أوضاع المفردات ، كما في صورة التوصيف والتقييد والاستثناء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فالمعتبر في وضع المركّب هو ما اقتضاه الهيئة التركيبيّة ، لا خصوص وضع المفردات</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495007_1738255347"/>
      <w:bookmarkStart w:id="26" w:name="_Toc9"/>
      <w:bookmarkEnd w:id="25"/>
      <w:r>
        <w:rPr>
          <w:rtl w:val="true"/>
        </w:rPr>
        <w:t xml:space="preserve">الثانية </w:t>
      </w:r>
      <w:r>
        <w:rPr>
          <w:rtl w:val="true"/>
        </w:rPr>
        <w:t>:</w:t>
      </w:r>
      <w:bookmarkEnd w:id="2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الاستثناء من النفي إثبات ، وبالعكس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للحنفيّة في الموضعين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خلافهم إنّما هو في الاوّل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الثاني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ثلاثة ، فهم أيضا يقولون بإفادة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اعتذر لذلك </w:t>
      </w:r>
      <w:r>
        <w:rPr>
          <w:rStyle w:val="FootnoteAnchor"/>
          <w:rtl w:val="true"/>
        </w:rPr>
        <w:footnoteReference w:id="78"/>
      </w:r>
      <w:r>
        <w:rPr>
          <w:rFonts w:ascii="Amiri" w:hAnsi="Amiri" w:eastAsia="Amiri" w:cs="Amiri"/>
          <w:color w:val="111111"/>
          <w:sz w:val="28"/>
          <w:sz w:val="28"/>
          <w:szCs w:val="28"/>
          <w:rtl w:val="true"/>
          <w:lang w:bidi="ar-SA"/>
        </w:rPr>
        <w:t xml:space="preserve">، بأنّ قولهم بذلك إنّما هو لأجل مطابقته لأصل البراءة لا لأجل إفادة اللّفظ ، وقد أشرنا الى مثل ذلك </w:t>
      </w:r>
      <w:r>
        <w:rPr>
          <w:rStyle w:val="FootnoteAnchor"/>
          <w:rtl w:val="true"/>
        </w:rPr>
        <w:footnoteReference w:id="79"/>
      </w:r>
      <w:r>
        <w:rPr>
          <w:rFonts w:ascii="Amiri" w:hAnsi="Amiri" w:eastAsia="Amiri" w:cs="Amiri"/>
          <w:color w:val="111111"/>
          <w:sz w:val="28"/>
          <w:sz w:val="28"/>
          <w:szCs w:val="28"/>
          <w:rtl w:val="true"/>
          <w:lang w:bidi="ar-SA"/>
        </w:rPr>
        <w:t>في مبحث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فالمختار الإفادة في المقامين للنّقل عن أهل اللّغة ، والتبادر ، ولأنّ كلمة التوحيد يفيده بلفظه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دلالتها شرعيّة ظاهر الفساد ، لأنّ النبيّ صلى‌الله‌عليه‌وآله كان يقبل ذلك من أهل البادية الغير المطّلعين بحال الشّرع ، ولو لا أنّهم يريدون به ذلك ، لما قبله منهم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الحنفيّة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والوجه في تقريره ، أنّه لو كان كما قلتم ، لزم ثبوت الصلاة بمجرّد الطهور ، وحصول النكاح بمجرّد حصول الوليّ ، مع أنّ حصول الصلاة والنكاح يتوقّف على أمور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لم يجز استثناء الطهور عن الصلاة للمخالفة ، فلا بدّ من تقدير ، إمّا في جانب المستثنى ، يعني لا صلاة صحيحة إلّا صلاة متلبّسة بطهور ، أو المستثنى منه يعني لا صلاة صحيحة بوجه من الوجوه إلّا باقترانها بالطهور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والمطلوب نفي إمكان الصحّة بدون الطّهور ، والاستثناء يقتضي إمكان الصحّة معه ، كما هو مقتضى الشرطيّة ، وحينئذ ، فالحصر بالنسبة الى أحوال عدم الطهور ، وإن جامع جميع الكمالات المتصوّرة للصلاة لا الى سائر شروط الصّحّة حتى يلزم انحصار جهة الصّحّة في الطهور ، فيصير سببا للصحّة ، ويلزم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بإرادة المبالغة في المدخليّة والحصر الادّعائي ، وما ذكرناه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فهذا النّوع من التركيب ظاهر فيما ذكرناه </w:t>
      </w:r>
      <w:r>
        <w:rPr>
          <w:rStyle w:val="FootnoteAnchor"/>
          <w:rtl w:val="true"/>
        </w:rPr>
        <w:footnoteReference w:id="82"/>
      </w:r>
      <w:r>
        <w:rPr>
          <w:rFonts w:ascii="Amiri" w:hAnsi="Amiri" w:eastAsia="Amiri" w:cs="Amiri"/>
          <w:color w:val="111111"/>
          <w:sz w:val="28"/>
          <w:sz w:val="28"/>
          <w:szCs w:val="28"/>
          <w:rtl w:val="true"/>
          <w:lang w:bidi="ar-SA"/>
        </w:rPr>
        <w:t>، وهو عين ما جعلناه حقيقة في الاستثناء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عدم الظهور ، لكنّ الاستعمال أعمّ من الحقيقة ، والمجاز خير من الاشتراك وقد أثبتنا الحقيقة فيما ادّعيناه بالتبادر ، فلا يضرّ الاستعمال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w:t>
      </w:r>
      <w:r>
        <w:rPr>
          <w:rStyle w:val="FootnoteAnchor"/>
          <w:rtl w:val="true"/>
        </w:rPr>
        <w:footnoteReference w:id="83"/>
      </w:r>
      <w:r>
        <w:rPr>
          <w:rFonts w:ascii="IRNazanin" w:hAnsi="IRNazanin" w:eastAsia="IRNazanin"/>
          <w:color w:val="111111"/>
          <w:sz w:val="28"/>
          <w:sz w:val="28"/>
          <w:szCs w:val="28"/>
          <w:rtl w:val="true"/>
          <w:lang w:bidi="fa-IR"/>
        </w:rPr>
        <w:t xml:space="preserve">الجواب عمّا استدلّ بعضهم </w:t>
      </w:r>
      <w:r>
        <w:rPr>
          <w:rStyle w:val="FootnoteAnchor"/>
          <w:rtl w:val="true"/>
        </w:rPr>
        <w:footnoteReference w:id="84"/>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أَنْ يَقْتُلَ مُؤْمِناً إِلَّا خَطَأً </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 فإنّه استثناء منقطع ، أو المراد إخبار عن حال </w:t>
      </w:r>
      <w:bookmarkStart w:id="27" w:name="pg14071_148830"/>
    </w:p>
    <w:p>
      <w:pPr>
        <w:pStyle w:val="BookText"/>
        <w:rPr/>
      </w:pPr>
      <w:bookmarkEnd w:id="27"/>
      <w:r>
        <w:rPr>
          <w:rFonts w:ascii="Amiri" w:hAnsi="Amiri" w:eastAsia="Amiri" w:cs="Amiri"/>
          <w:color w:val="111111"/>
          <w:sz w:val="28"/>
          <w:sz w:val="28"/>
          <w:szCs w:val="28"/>
          <w:rtl w:val="true"/>
          <w:lang w:bidi="ar-SA"/>
        </w:rPr>
        <w:t xml:space="preserve">المؤمن أنّه لا يفعل ذلك ، إلّا خطأ أو المراد الرّخصة فيما حصل له الظنّ بالجواز ، كما إذا حسبه المؤمن صيدا وقتله ، أو حربيا بسبب اختلاطه معهم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ينحصر الخطاء فيما لو لم يكن فيه قصد حتّى لا يصحّ الاستثناء من عدم الرّخصة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495009_1738255347"/>
      <w:bookmarkStart w:id="29" w:name="_Toc10"/>
      <w:bookmarkEnd w:id="28"/>
      <w:r>
        <w:rPr>
          <w:rtl w:val="true"/>
        </w:rPr>
        <w:t xml:space="preserve">الثالثة </w:t>
      </w:r>
      <w:r>
        <w:rPr>
          <w:rtl w:val="true"/>
        </w:rPr>
        <w:t>:</w:t>
      </w:r>
      <w:bookmarkEnd w:id="29"/>
    </w:p>
    <w:p>
      <w:pPr>
        <w:pStyle w:val="BookText"/>
        <w:rPr/>
      </w:pPr>
      <w:r>
        <w:rPr>
          <w:rFonts w:ascii="Amiri" w:hAnsi="Amiri" w:eastAsia="Amiri" w:cs="Amiri"/>
          <w:color w:val="111111"/>
          <w:sz w:val="28"/>
          <w:sz w:val="28"/>
          <w:szCs w:val="28"/>
          <w:rtl w:val="true"/>
          <w:lang w:bidi="ar-SA"/>
        </w:rPr>
        <w:t xml:space="preserve">اختلفوا في تقرير الدّلالة في الاستثناء من جهة كونه تناقضا بحسب الظاهر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بالعشرة مثلا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ثلاثة هو معناه الحقيقي ، ثم أخرج الثلاثة بحرف الاستثناء ، ثمّ أسند الحكم الى الباقي ، أعني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الكلام إلّا إسناد واحد ، فلا تناقض ، اختاره العلّامة وأكثر المتأخّرين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والأكثرون ومنهم السّكاكي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بالعشرة هو السّبعة ، وحرف الاستثناء قرينة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والقاضي أبو بكر على أنّ مجموع عشرة إلّا ثلاثة اسم لسبعة ، كلفظ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وأوسط الأقوال أوسطها </w:t>
      </w:r>
      <w:r>
        <w:rPr>
          <w:rStyle w:val="FootnoteAnchor"/>
          <w:rtl w:val="true"/>
        </w:rPr>
        <w:footnoteReference w:id="90"/>
      </w:r>
      <w:r>
        <w:rPr>
          <w:rFonts w:ascii="Amiri" w:hAnsi="Amiri" w:eastAsia="Amiri" w:cs="Amiri"/>
          <w:color w:val="111111"/>
          <w:sz w:val="28"/>
          <w:sz w:val="28"/>
          <w:szCs w:val="28"/>
          <w:rtl w:val="true"/>
          <w:lang w:bidi="ar-SA"/>
        </w:rPr>
        <w:t>لبطلان القولين الآخرين ، ولا رابع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بطلان الأوّل ، فلأنّه يستلزم أن لا يكون الاستثناء من النّفي إثباتا ، كما هو </w:t>
      </w:r>
    </w:p>
    <w:p>
      <w:pPr>
        <w:pStyle w:val="BookText"/>
        <w:rPr/>
      </w:pPr>
      <w:r>
        <w:rPr>
          <w:rFonts w:ascii="Amiri" w:hAnsi="Amiri" w:eastAsia="Amiri" w:cs="Amiri"/>
          <w:color w:val="111111"/>
          <w:sz w:val="28"/>
          <w:sz w:val="28"/>
          <w:szCs w:val="28"/>
          <w:rtl w:val="true"/>
          <w:lang w:bidi="ar-SA"/>
        </w:rPr>
        <w:t>مذهب الحنفيّة ، وهو خلاف التحقيق ،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حينئذ أن لا يثبت في ذمّة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عليّ شيء إلّا خمسة شيء ، لأنّ الخمسة مخرجة عن شيء قبل إسناد النفي الى شيء ، فهي في حكم المسكوت عنه ، بل يلزم أن لا يكون الاستثناء من الإثبات أيضا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فلو أشير الى عشرة مجتمعة شخصيّة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العشرة إلّا ثلاثة منه ، فلا يتصوّر هناك إخراج إلّا من الحكم ، فإنّ المفروض أنّه لا يخرج أشخاص الثلاثة من جملة العشرة ، بل المراد إخراجها عنها بحسب الحكم ، فلا بدّ من القول بإخراجها عن الحكم المتعلّق بالمجموع ، والمفروض أنّه لا حكم إلّا الإسناد الموجود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كرّ على ما فررت منه </w:t>
      </w:r>
      <w:r>
        <w:rPr>
          <w:rStyle w:val="FootnoteAnchor"/>
          <w:rtl w:val="true"/>
        </w:rPr>
        <w:footnoteReference w:id="91"/>
      </w:r>
      <w:r>
        <w:rPr>
          <w:rFonts w:ascii="Amiri" w:hAnsi="Amiri" w:eastAsia="Amiri" w:cs="Amiri"/>
          <w:color w:val="111111"/>
          <w:sz w:val="28"/>
          <w:sz w:val="28"/>
          <w:szCs w:val="28"/>
          <w:rtl w:val="true"/>
          <w:lang w:bidi="ar-SA"/>
        </w:rPr>
        <w:t>من لزوم التّناقض ، وكيف المناص عن ذلك على ما اخترت؟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أظنّك غافلا عن حقيقة التخصيص ، وملتبسا عليك أمره بالبداء ، فإنّك إن أردت من الإخراج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هو إخراج ما لولاه لدخل ، هو الإخراج الحقيقي عن الحكم الصادر عن المتكلّم بعنوان الجزم ، فهو لا يتحقّق إلّا في صورة البداء والاستدراك ، كما لو سها المتكلّم وغفل عن حال المخرج ثمّ تذكّره بعد إيقاع الحكم على المخرج منه ، أو جهل بكونه داخلا وحكم بالمجموع ثمّ علم فأخرج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أمثال ذلك لا يتصوّر في كلمات الله وأمنائه في </w:t>
      </w:r>
    </w:p>
    <w:p>
      <w:pPr>
        <w:pStyle w:val="BookText"/>
        <w:rPr/>
      </w:pPr>
      <w:r>
        <w:rPr>
          <w:rFonts w:ascii="Amiri" w:hAnsi="Amiri" w:eastAsia="Amiri" w:cs="Amiri"/>
          <w:color w:val="111111"/>
          <w:sz w:val="28"/>
          <w:sz w:val="28"/>
          <w:szCs w:val="28"/>
          <w:rtl w:val="true"/>
          <w:lang w:bidi="ar-SA"/>
        </w:rPr>
        <w:t xml:space="preserve">الأحكام الشرعيّة ، والتخصيص المذكور </w:t>
      </w:r>
      <w:r>
        <w:rPr>
          <w:rStyle w:val="FootnoteAnchor"/>
          <w:rtl w:val="true"/>
        </w:rPr>
        <w:footnoteReference w:id="92"/>
      </w:r>
      <w:r>
        <w:rPr>
          <w:rFonts w:ascii="Amiri" w:hAnsi="Amiri" w:eastAsia="Amiri" w:cs="Amiri"/>
          <w:color w:val="111111"/>
          <w:sz w:val="28"/>
          <w:sz w:val="28"/>
          <w:szCs w:val="28"/>
          <w:rtl w:val="true"/>
          <w:lang w:bidi="ar-SA"/>
        </w:rPr>
        <w:t>في ألسنة الاصوليّين والفقهاء ليس ذلك جزما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w:t>
      </w:r>
      <w:r>
        <w:rPr>
          <w:rStyle w:val="FootnoteAnchor"/>
          <w:rtl w:val="true"/>
        </w:rPr>
        <w:footnoteReference w:id="93"/>
      </w:r>
      <w:r>
        <w:rPr>
          <w:rFonts w:ascii="Amiri" w:hAnsi="Amiri" w:eastAsia="Amiri" w:cs="Amiri"/>
          <w:color w:val="111111"/>
          <w:sz w:val="28"/>
          <w:sz w:val="28"/>
          <w:szCs w:val="28"/>
          <w:rtl w:val="true"/>
          <w:lang w:bidi="ar-SA"/>
        </w:rPr>
        <w:t>، فيكون الهيئة الاستثنائية استعارة تمثيليّة في التخصيص المصطلح فيكون مجازا ،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معنى الاستثناء ذلك ، لا يوجب التجوّز في الهيئة الاستثنائية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أردت </w:t>
      </w:r>
      <w:r>
        <w:rPr>
          <w:rStyle w:val="FootnoteAnchor"/>
          <w:rtl w:val="true"/>
        </w:rPr>
        <w:footnoteReference w:id="94"/>
      </w:r>
      <w:r>
        <w:rPr>
          <w:rFonts w:ascii="Amiri" w:hAnsi="Amiri" w:eastAsia="Amiri" w:cs="Amiri"/>
          <w:color w:val="111111"/>
          <w:sz w:val="28"/>
          <w:sz w:val="28"/>
          <w:szCs w:val="28"/>
          <w:rtl w:val="true"/>
          <w:lang w:bidi="ar-SA"/>
        </w:rPr>
        <w:t>من الإخراج أعمّ من الإخراج الواقعي ، بأن يكون المراد الإخراج عمّا هو في صورة الثابت ، وإن لم يكن ثابتا في نفس الأمر ، فلا تناقض أيضا ، وهو المراد في التخصيص</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يسند الحكم أوّلا بالباقي ، ولكن يؤدّيه بلفظ الإسناد الى الكلّ لنكتة ثم يجيء بلفظ دالّ على الإخراج ، للقرينة على إرادة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بذلك أنّه أراد به الإخراج عمّا هو ظاهر المراد ، لا عن نفس المراد ، وذلك بعينه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يرمي ، فلا يريب أحد في أنّ المراد بالأسد حقيقة فيه هو الرّجل الشجاع ، ويرمي للعدول عمّا هو ظاهر المراد من لفظ الأسد ، ولا يمكن فيه إرادة الحيوان المفترس إلّا على جعل الاستعارة من باب المجاز العقليّ كما هو مذهب السّكاكي بجعل الأسد شاملا للأسد الادّعائي مع أنّه أيضا مجاز لغوي ، كما لا يخفى ، والمراد به غير ما هو مدلوله اللّغوي جزما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النكتة التي أشرنا إليه ، فهو أنّ المتكلّم إذا أراد النسبة الى الباقي ، فذكره بعنوان الحقيقة يستلزم تعداد أسامي الباقي ، وهو متعذّر غالبا أو متعسّر </w:t>
      </w:r>
      <w:r>
        <w:rPr>
          <w:rStyle w:val="FootnoteAnchor"/>
          <w:rtl w:val="true"/>
        </w:rPr>
        <w:footnoteReference w:id="95"/>
      </w:r>
      <w:r>
        <w:rPr>
          <w:rFonts w:ascii="Amiri" w:hAnsi="Amiri" w:eastAsia="Amiri" w:cs="Amiri"/>
          <w:color w:val="111111"/>
          <w:sz w:val="28"/>
          <w:sz w:val="28"/>
          <w:szCs w:val="28"/>
          <w:rtl w:val="true"/>
          <w:lang w:bidi="ar-SA"/>
        </w:rPr>
        <w:t>، فلا بدّ أن يجعل مقامه شيئا يتمكّن به عن ذلك ، فيطلق عليه نفس العامّ مجازا ، مع نصب قرينة عليه ، وهو الاستثناء وما يجري مجراه من المخصّصات المتّصلة ، أو يأتي باسم آخر للباقي إن كان له اسم ، كما هو موجود في الأعداد ، والعدول في الأعداد من الإسم الى ذكر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وقرينة الإخراج أيضا لا بدّ أن يكون لنكتة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فَلَبِثَ فِيهِمْ أَلْفَ سَنَةٍ إِلَّا خَمْسِينَ عاماً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مع التمكّن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مائة وخمسين عاما ، وهو أنّ عدد الألف ممّا يضرب به المثل للكثرة ، والمقام مقام بيان طول المكث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مقتضى إرادة التخصيص اللّائق بكلام الله وأوليائه الذي هو محطّ نظر الأصوليّ ، هو إسناد الحكم الى الباقي في نفس الأمر ، مع تأديته بلفظ قابل للإخراج ، ثمّ الإخراج بملاحظة ظاهر الإرادة وإن لم يكن إخراج في نفس الأمر أصلا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بعض المدقّقين </w:t>
      </w:r>
      <w:r>
        <w:rPr>
          <w:rStyle w:val="FootnoteAnchor"/>
          <w:rtl w:val="true"/>
        </w:rPr>
        <w:footnoteReference w:id="97"/>
      </w:r>
      <w:r>
        <w:rPr>
          <w:rFonts w:ascii="Amiri" w:hAnsi="Amiri" w:eastAsia="Amiri" w:cs="Amiri"/>
          <w:color w:val="111111"/>
          <w:sz w:val="28"/>
          <w:sz w:val="28"/>
          <w:szCs w:val="28"/>
          <w:rtl w:val="true"/>
          <w:lang w:bidi="ar-SA"/>
        </w:rPr>
        <w:t xml:space="preserve">في رفع التناقض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تريد أنّه مخرج عن النسبة الى المتعدّد ، بأن تريد جميع المتعدّد وتنسب الشيء إليه فتأتي بالاستثناء لإخراجه عن النّسبة ، ولا تناقض ، لأنّ الكذب صفة النسبة المتعلّقة </w:t>
      </w:r>
    </w:p>
    <w:p>
      <w:pPr>
        <w:pStyle w:val="BookText"/>
        <w:rPr/>
      </w:pPr>
      <w:r>
        <w:rPr>
          <w:rFonts w:ascii="Amiri" w:hAnsi="Amiri" w:eastAsia="Amiri" w:cs="Amiri"/>
          <w:color w:val="111111"/>
          <w:sz w:val="28"/>
          <w:sz w:val="28"/>
          <w:szCs w:val="28"/>
          <w:rtl w:val="true"/>
          <w:lang w:bidi="ar-SA"/>
        </w:rPr>
        <w:t xml:space="preserve">للاعتقاد ، ولم ترد بالنسبة </w:t>
      </w:r>
      <w:r>
        <w:rPr>
          <w:rStyle w:val="FootnoteAnchor"/>
          <w:rtl w:val="true"/>
        </w:rPr>
        <w:footnoteReference w:id="98"/>
      </w:r>
      <w:r>
        <w:rPr>
          <w:rFonts w:ascii="Amiri" w:hAnsi="Amiri" w:eastAsia="Amiri" w:cs="Amiri"/>
          <w:color w:val="111111"/>
          <w:sz w:val="28"/>
          <w:sz w:val="28"/>
          <w:szCs w:val="28"/>
          <w:rtl w:val="true"/>
          <w:lang w:bidi="ar-SA"/>
        </w:rPr>
        <w:t>إفادة الاعتقاد ، بل قصدت النسبة لتخرج عنه شيئا ثمّ تفيد الاعتقاد ، فإن أراد به ما ذكرنا فهو ، وإلّا فلا تركّب في النسبة المستفادة من الكلام ليفكّك ويجعل بعضها متعلّقا للإخراج وبعضها متعلّقا للاعتقاد ، مع أنّه لا يتأتّى حينئذ على ما هو التحقيق من كون الاستثناء من النّفي إثباتا وبالعكس ،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حقّقناه </w:t>
      </w:r>
      <w:r>
        <w:rPr>
          <w:rStyle w:val="FootnoteAnchor"/>
          <w:rtl w:val="true"/>
        </w:rPr>
        <w:footnoteReference w:id="99"/>
      </w:r>
      <w:r>
        <w:rPr>
          <w:rFonts w:ascii="Amiri" w:hAnsi="Amiri" w:eastAsia="Amiri" w:cs="Amiri"/>
          <w:color w:val="111111"/>
          <w:sz w:val="28"/>
          <w:sz w:val="28"/>
          <w:szCs w:val="28"/>
          <w:rtl w:val="true"/>
          <w:lang w:bidi="ar-SA"/>
        </w:rPr>
        <w:t xml:space="preserve">، ظهر أنّه لا وجه للإيرادات التي أوردوها على المذهب المختار من لزوم الاستثناء المستغرق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الجارية إلّا نصفها ، لو أردت بالجارية نصف كلّها ، والتسلسل لو أريد ما بقي من النصف بعد الإخراج وهو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المراد بالنّصف الرّبع فيكون المراد بالرّبع المستثنى منه الثّمن ، وهلمّ جرّا ، ومن أنّ ضمير نصفها عائد الى الجارية بكمالها قطعا ، وأنّ المراد إلّا نصف كلّها ، فيكون المراد من الجارية كلّها إلّا نصفها ، وذلك لأنّ المراد بالجارية مع انضمام الاستثناء إليه وهو القرينة نصفها لا المراد بالجارية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ملاحظة الانضمام فلا يبقى استثناء آخر ليلزم المحذور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إرجاع الضمير الى كلّ الجارية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الإخراج إذا كان من ظاهر المراد لا نفس الأمر على ما حقّقناه ، فالضمير أيضا يعود الى ظاهر المراد من اللّفظ على سبيل الاستخدام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ويظهر ممّا ذكر ، الجواب عن سائر الإيرادات التي لم نذكرها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القول الذي أبطلناه كما ترى ، مخصوص في كتبهم بالاستثناء أو المخصّص المتّصل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وزاد بعضهم </w:t>
      </w:r>
      <w:r>
        <w:rPr>
          <w:rStyle w:val="FootnoteAnchor"/>
          <w:rtl w:val="true"/>
        </w:rPr>
        <w:footnoteReference w:id="102"/>
      </w:r>
      <w:r>
        <w:rPr>
          <w:rFonts w:ascii="Amiri" w:hAnsi="Amiri" w:eastAsia="Amiri" w:cs="Amiri"/>
          <w:color w:val="111111"/>
          <w:sz w:val="28"/>
          <w:sz w:val="28"/>
          <w:szCs w:val="28"/>
          <w:rtl w:val="true"/>
          <w:lang w:bidi="ar-SA"/>
        </w:rPr>
        <w:t xml:space="preserve">تجويز هذا القول في المخصّص المنفصل أيضا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يمتنع أن يراد بلفظ العامّ ؛ الاستغراق ، ويسند الحكم الى بعضه بمعونة الخارج من سمع أو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قبحه دون التجوّز باللّفظ عن معنى لا يعلم إلّا بعد الاطّلاع على سمع أو عقل خارج ،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إنّما هو في تصرّف المتكلّم في أنّه هل تصرّف في معنى اللّفظ وأحال العلم به الى الخارج ، أو تصرّف في الحكم وأحال الأمر إليه ، ولزوم الإغراء بالجهل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مرّ من بطلان هذا القول في المخصّص المتّصل المستلزم لبطلان ذلك بطريق أولى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مفاسد هذا القول </w:t>
      </w:r>
      <w:r>
        <w:rPr>
          <w:rStyle w:val="FootnoteAnchor"/>
          <w:rtl w:val="true"/>
        </w:rPr>
        <w:footnoteReference w:id="104"/>
      </w:r>
      <w:r>
        <w:rPr>
          <w:rFonts w:ascii="Amiri" w:hAnsi="Amiri" w:eastAsia="Amiri" w:cs="Amiri"/>
          <w:color w:val="111111"/>
          <w:sz w:val="28"/>
          <w:sz w:val="28"/>
          <w:szCs w:val="28"/>
          <w:rtl w:val="true"/>
          <w:lang w:bidi="ar-SA"/>
        </w:rPr>
        <w:t>لزوم اللّغو في إرادة الحكيم ، فإنّ إرادة الاستغراق من اللّفظ حينئذ لا فائدة فيه ، بل هو غلط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فإنّا قد بيّنّا لك في المقدّمة الأولى أنّ الغرض من وضع الألفاظ هو تركيب معانيها وتفهيم التراكيب والأحكام المتعلّقة بمفاهيم تلك الألفاظ ، فإذا لم يرد في الكلام إسناد الى نفس مفهوم العامّ ، ولا إسناده الى شيء </w:t>
      </w:r>
      <w:r>
        <w:rPr>
          <w:rStyle w:val="FootnoteAnchor"/>
          <w:rtl w:val="true"/>
        </w:rPr>
        <w:footnoteReference w:id="105"/>
      </w:r>
      <w:r>
        <w:rPr>
          <w:rFonts w:ascii="Amiri" w:hAnsi="Amiri" w:eastAsia="Amiri" w:cs="Amiri"/>
          <w:color w:val="111111"/>
          <w:sz w:val="28"/>
          <w:sz w:val="28"/>
          <w:szCs w:val="28"/>
          <w:rtl w:val="true"/>
          <w:lang w:bidi="ar-SA"/>
        </w:rPr>
        <w:t>، سواء كان إسنادا تامّا أو ناقصا ، فما الفائدة في إرادتها؟</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العامّ وإرادة مفهومه أوّلا لأجل إحضاره في ذهن السّامع ، ثمّ إسناد الحكم الى بعضه وإخراج بعض آخر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هذا لو جعل العامّ في الكلام موضوعا لأن يحمل عليه هذان الحكمان </w:t>
      </w:r>
      <w:r>
        <w:rPr>
          <w:rStyle w:val="FootnoteAnchor"/>
          <w:rtl w:val="true"/>
        </w:rPr>
        <w:footnoteReference w:id="106"/>
      </w:r>
      <w:r>
        <w:rPr>
          <w:rFonts w:ascii="Amiri" w:hAnsi="Amiri" w:eastAsia="Amiri" w:cs="Amiri"/>
          <w:color w:val="111111"/>
          <w:sz w:val="28"/>
          <w:sz w:val="28"/>
          <w:szCs w:val="28"/>
          <w:rtl w:val="true"/>
          <w:lang w:bidi="ar-SA"/>
        </w:rPr>
        <w:t xml:space="preserve">،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إمّا كاتب أو غير كاتب ، وأين هذا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إلّا زيدا ، العلماء يجب إخراج زيد من جملتهم وإكرام الباقي ، فإنّه لا خلاف في صحّته وكونه حقيقة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كون </w:t>
      </w:r>
      <w:r>
        <w:rPr>
          <w:rStyle w:val="FootnoteAnchor"/>
          <w:rtl w:val="true"/>
        </w:rPr>
        <w:footnoteReference w:id="107"/>
      </w:r>
      <w:r>
        <w:rPr>
          <w:rFonts w:ascii="Amiri" w:hAnsi="Amiri" w:eastAsia="Amiri" w:cs="Amiri"/>
          <w:color w:val="111111"/>
          <w:sz w:val="28"/>
          <w:sz w:val="28"/>
          <w:szCs w:val="28"/>
          <w:rtl w:val="true"/>
          <w:lang w:bidi="ar-SA"/>
        </w:rPr>
        <w:t xml:space="preserve">معنى هذا التركيب هو ما ذكرنا ، يحتاج الى الإثبات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هو محطّ نظر أرباب البلاغة في أداء المعاني وإيهاماتهم ، إنّما هو بعد تصحيح اللّفظ ، بل جعله فصيحا أيضا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ملاحظة اعتباراتهم في البلاغة يتمّ فيما اخترناه كما أشرنا من جعل الإسناد أوّلا متوجّها الى العامّ ، ثم نصب القرينة على خلافه للنكتة التي ذكرنا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الكلام وفذلكة </w:t>
      </w:r>
      <w:r>
        <w:rPr>
          <w:rStyle w:val="FootnoteAnchor"/>
          <w:rtl w:val="true"/>
        </w:rPr>
        <w:footnoteReference w:id="109"/>
      </w:r>
      <w:r>
        <w:rPr>
          <w:rFonts w:ascii="Amiri" w:hAnsi="Amiri" w:eastAsia="Amiri" w:cs="Amiri"/>
          <w:color w:val="111111"/>
          <w:sz w:val="28"/>
          <w:sz w:val="28"/>
          <w:szCs w:val="28"/>
          <w:rtl w:val="true"/>
          <w:lang w:bidi="ar-SA"/>
        </w:rPr>
        <w:t>المرام ، أنّ علينا متابعة وضع الواضع أو رخصته في نوع المجاز ، والذي نفهمه من اللّفظ كون لفظ العامّ موردا للإسناد ، ومقتضاه كون مفهومه موردا للإسناد ، وليس في الكلام إسناد آخر يتعلّق بالباقي ، فلا بدّ من التصرّف في لفظ العامّ بمعونة قرينة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والعضديّ أسّس هنا أساسا جديدا في تحقيق المقام ، وبه أخرج كلام القوم عن ظاهره ، وردّ الأقوال الثلاثة الى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 أنّ هنا مفهومين ، أحدهما عشرة موصوفة بأنّها اخرجت عنها الثلاثة ، وثانيهما الباقي من العشرة بعد إخراج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إلّا الثلاثة ، معناه </w:t>
      </w:r>
      <w:r>
        <w:rPr>
          <w:rStyle w:val="FootnoteAnchor"/>
          <w:rtl w:val="true"/>
        </w:rPr>
        <w:footnoteReference w:id="110"/>
      </w:r>
      <w:r>
        <w:rPr>
          <w:rFonts w:ascii="Amiri" w:hAnsi="Amiri" w:eastAsia="Amiri" w:cs="Amiri"/>
          <w:color w:val="111111"/>
          <w:sz w:val="28"/>
          <w:sz w:val="28"/>
          <w:szCs w:val="28"/>
          <w:rtl w:val="true"/>
          <w:lang w:bidi="ar-SA"/>
        </w:rPr>
        <w:t>الحقيقي المفهوم الأوّل ؛ فيكون مجازا في السّبعة كما هو مذهب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الحقيقي هو الثاني ، فيكون حقيقة في السّبعة ، لا بمعنى إنّه وضع له وضعا واحدا ، بل على أنّه يعبّر عنه بلازم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القول الثالث الذي هو مختار ابن الحاجب والعلّامة والمتأخّرين الى أحد هذين القولين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 الردّ على ما فهمه التفتازاني </w:t>
      </w:r>
      <w:r>
        <w:rPr>
          <w:rStyle w:val="FootnoteAnchor"/>
          <w:rtl w:val="true"/>
        </w:rPr>
        <w:footnoteReference w:id="111"/>
      </w:r>
      <w:r>
        <w:rPr>
          <w:rFonts w:ascii="Amiri" w:hAnsi="Amiri" w:eastAsia="Amiri" w:cs="Amiri"/>
          <w:color w:val="111111"/>
          <w:sz w:val="28"/>
          <w:sz w:val="28"/>
          <w:szCs w:val="28"/>
          <w:rtl w:val="true"/>
          <w:lang w:bidi="ar-SA"/>
        </w:rPr>
        <w:t xml:space="preserve">، أنّ القول الثالث بيان لمعاني مفردات </w:t>
      </w:r>
    </w:p>
    <w:p>
      <w:pPr>
        <w:pStyle w:val="BookText"/>
        <w:rPr/>
      </w:pPr>
      <w:r>
        <w:rPr>
          <w:rFonts w:ascii="Amiri" w:hAnsi="Amiri" w:eastAsia="Amiri" w:cs="Amiri"/>
          <w:color w:val="111111"/>
          <w:sz w:val="28"/>
          <w:sz w:val="28"/>
          <w:szCs w:val="28"/>
          <w:rtl w:val="true"/>
          <w:lang w:bidi="ar-SA"/>
        </w:rPr>
        <w:t xml:space="preserve">الهيئة التركيبية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فالمفردات مستعملة في معانيها في معانيها الحقيقية ، إنّما الخلاف في المركّب ، فعند الجمهور مجاز في السّبعة ، وعند القاضي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ظهر لك بما حرّرنا ، أنّ الجمهور لا يقولون بذلك ،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بمجازيّة لفظ العشرة التي هو أحد المفردات في السّبعة ، مع أنّ تفسير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يريدون بالمركّب العشرة الموصوفة بالإخراج المذكور ، مناف لوضع الاستثناء ، والمتبادر من الإخراج وغير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القاضي ، يعني كون مجموع المركّب اسما للسّبعة لا بمعنى كونه موضوعا له بوضع على حدة حتّى يرد عليه أنّه خارج عن قانون اللّغة ، إذ ليس في لغتهم اسم مركّب من ثلاثة ألفاظ يعرب الجزء الأوّل منه وهو غير مضاف ، وأنّه يلزم إعادة الضمير على جزء الإسم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الجارية إلّا نصفها ، مع عدم دلالة فيه ، بل بمعنى التعبير عنه بلازم مركّب كالطائر الولود للخفّاش ، ومثل ذلك أربعة مضمومة الى الثلاثة لها ، ومثل بنت سبع وأربع وثلاث ، لأربعة عشر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w:t>
      </w:r>
      <w:r>
        <w:rPr>
          <w:rStyle w:val="FootnoteAnchor"/>
          <w:rtl w:val="true"/>
        </w:rPr>
        <w:footnoteReference w:id="11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لخلاف التحقيق من كون الاستثناء من النفي إثباتا ،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ذلك </w:t>
      </w:r>
      <w:r>
        <w:rPr>
          <w:rStyle w:val="FootnoteAnchor"/>
          <w:rtl w:val="true"/>
        </w:rPr>
        <w:footnoteReference w:id="113"/>
      </w:r>
      <w:r>
        <w:rPr>
          <w:rFonts w:ascii="Amiri" w:hAnsi="Amiri" w:eastAsia="Amiri" w:cs="Amiri"/>
          <w:color w:val="111111"/>
          <w:sz w:val="28"/>
          <w:sz w:val="28"/>
          <w:szCs w:val="28"/>
          <w:rtl w:val="true"/>
          <w:lang w:bidi="ar-SA"/>
        </w:rPr>
        <w:t>يتمّ لو كان معنى عشرة إلّا ثلاثة الباقي من العشرة بعد إخراج الثلاثة ، وتبادر منه كما حرّره العضديّ ، وهو ممنوع ، ومستلزم لأن لا يكون الاستثناء تخصيصا أيضا كما لا يخفى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وتنزيل مذهب الجمهور الذي اخترناه على إرادة العشرة الموصوفة بإخراج الثلاثة عنه كما فهمه العضدي أيضا ، يستلزم وحدة الحكم ، فليس هناك نفي ولا إثبات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30" w:name="pg14071_148839"/>
    </w:p>
    <w:p>
      <w:pPr>
        <w:pStyle w:val="BookText"/>
        <w:rPr/>
      </w:pPr>
      <w:bookmarkEnd w:id="30"/>
      <w:r>
        <w:rPr>
          <w:rFonts w:ascii="Amiri" w:hAnsi="Amiri" w:eastAsia="Amiri" w:cs="Amiri"/>
          <w:color w:val="111111"/>
          <w:sz w:val="28"/>
          <w:sz w:val="28"/>
          <w:szCs w:val="28"/>
          <w:rtl w:val="true"/>
          <w:lang w:bidi="ar-SA"/>
        </w:rPr>
        <w:t>وأنت خبير بأنّ جميع ذلك خروج من الظاهر ومخالف لقواعد العرف والعادة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واستقصاء الكلام في النقض والإبرام على ما ذكره القوم في هذا المقام ، تضييع للأيّام</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495011_1738255347"/>
      <w:bookmarkStart w:id="32" w:name="_Toc11"/>
      <w:bookmarkEnd w:id="31"/>
      <w:r>
        <w:rPr>
          <w:rtl w:val="true"/>
        </w:rPr>
        <w:t xml:space="preserve">الرابعة </w:t>
      </w:r>
      <w:r>
        <w:rPr>
          <w:rtl w:val="true"/>
        </w:rPr>
        <w:t>:</w:t>
      </w:r>
      <w:bookmarkEnd w:id="32"/>
    </w:p>
    <w:p>
      <w:pPr>
        <w:pStyle w:val="BookText"/>
        <w:rPr/>
      </w:pPr>
      <w:r>
        <w:rPr>
          <w:rFonts w:ascii="IRNazanin" w:hAnsi="IRNazanin" w:eastAsia="IRNazanin"/>
          <w:color w:val="111111"/>
          <w:sz w:val="28"/>
          <w:sz w:val="28"/>
          <w:szCs w:val="28"/>
          <w:rtl w:val="true"/>
          <w:lang w:bidi="fa-IR"/>
        </w:rPr>
        <w:t xml:space="preserve">الاستثناء المستغرق لغو </w:t>
      </w:r>
      <w:r>
        <w:rPr>
          <w:rStyle w:val="FootnoteAnchor"/>
          <w:rtl w:val="true"/>
        </w:rPr>
        <w:footnoteReference w:id="115"/>
      </w:r>
      <w:r>
        <w:rPr>
          <w:rFonts w:ascii="Amiri" w:hAnsi="Amiri" w:eastAsia="Amiri" w:cs="Amiri"/>
          <w:color w:val="111111"/>
          <w:sz w:val="28"/>
          <w:sz w:val="28"/>
          <w:szCs w:val="28"/>
          <w:rtl w:val="true"/>
          <w:lang w:bidi="ar-SA"/>
        </w:rPr>
        <w:t>اتّفاقا ، سواء ساوى المستثنى منه أو زاد عليه ، فيعمل على الحكم الوارد على جميع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واستثناء الأقلّ من النصف صحيح اتّفاقا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جواز استثناء الأكثر والمساوي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كونه أقلّ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المساوي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والأكثرون على جواز الأكثر </w:t>
      </w:r>
      <w:r>
        <w:rPr>
          <w:rStyle w:val="FootnoteAnchor"/>
          <w:rtl w:val="true"/>
        </w:rPr>
        <w:footnoteReference w:id="118"/>
      </w:r>
      <w:r>
        <w:rPr>
          <w:rFonts w:ascii="Amiri" w:hAnsi="Amiri" w:eastAsia="Amiri" w:cs="Amiri"/>
          <w:color w:val="111111"/>
          <w:sz w:val="28"/>
          <w:sz w:val="28"/>
          <w:szCs w:val="28"/>
          <w:rtl w:val="true"/>
          <w:lang w:bidi="ar-SA"/>
        </w:rPr>
        <w:t>، ويلزمهم جواز المساوي بطريق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إلّا الأقلّ في العدد دون غيره ، فيجوز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بني تميم إلّا الجهّال ، وإن كان العالم فيهم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واعتبر المحقّق </w:t>
      </w:r>
      <w:r>
        <w:rPr>
          <w:rStyle w:val="FootnoteAnchor"/>
          <w:rtl w:val="true"/>
        </w:rPr>
        <w:footnoteReference w:id="119"/>
      </w:r>
      <w:r>
        <w:rPr>
          <w:rFonts w:ascii="Amiri" w:hAnsi="Amiri" w:eastAsia="Amiri" w:cs="Amiri"/>
          <w:color w:val="111111"/>
          <w:sz w:val="28"/>
          <w:sz w:val="28"/>
          <w:szCs w:val="28"/>
          <w:rtl w:val="true"/>
          <w:lang w:bidi="ar-SA"/>
        </w:rPr>
        <w:t xml:space="preserve">في الجواز أن لا ينتهي الكثرة الى حدّ يقبح استثناؤها عادة ،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مائة إلّا تسعة وتسعين ونصفا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الأكثرون </w:t>
      </w:r>
      <w:r>
        <w:rPr>
          <w:rStyle w:val="FootnoteAnchor"/>
          <w:rtl w:val="true"/>
        </w:rPr>
        <w:footnoteReference w:id="120"/>
      </w:r>
      <w:r>
        <w:rPr>
          <w:rFonts w:ascii="IRNazanin" w:hAnsi="IRNazanin" w:eastAsia="IRNazanin"/>
          <w:color w:val="111111"/>
          <w:sz w:val="28"/>
          <w:sz w:val="28"/>
          <w:szCs w:val="28"/>
          <w:rtl w:val="true"/>
          <w:lang w:bidi="fa-IR"/>
        </w:rPr>
        <w:t xml:space="preserve">بامور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فَبِعِزَّتِكَ لَأُغْوِيَنَّهُمْ أَجْمَعِينَ إِلَّا عِبادَكَ مِنْهُمُ الْمُخْلَصِينَ</w:t>
      </w:r>
      <w:r>
        <w:rPr>
          <w:rFonts w:eastAsia="Amiri" w:cs="Amiri" w:ascii="Amiri" w:hAnsi="Amiri"/>
          <w:color w:val="111111"/>
          <w:sz w:val="28"/>
          <w:szCs w:val="28"/>
          <w:rtl w:val="true"/>
          <w:lang w:bidi="ar-SA"/>
        </w:rPr>
        <w:t xml:space="preserve">. )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فإن قلنا باشتراط كون المستثنى أقلّ من المستثنى منه ، يلزم أن يكون كلّ من المخلصين والغاوين أقلّ من الآخر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الآية الثانية تدلّ على أنّ غير المخلصين كلّهم غاوون ولا واسطة ، فيكون الباقي من العباد بعد إخراج الغاوين في الآية الأولى ، هم المخلصين لعدم الواسطة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قرّرناه وحرّرناه في وجه الاستدلال ، يظهر لك فساد كلّ ما أورد عليه ، فلا نطيل ببيانه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يرد عليه أنّه لا يدلّ على جواز استثناء الأكثر لجواز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الاستدلال على وجه آخر ، وهو أن يضمّ الى الآية الأولى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xml:space="preserve">. ) </w:t>
      </w:r>
      <w:r>
        <w:rPr>
          <w:rStyle w:val="FootnoteAnchor"/>
          <w:rtl w:val="true"/>
        </w:rPr>
        <w:footnoteReference w:id="123"/>
      </w:r>
      <w:r>
        <w:rPr>
          <w:rFonts w:ascii="Amiri" w:hAnsi="Amiri" w:eastAsia="Amiri" w:cs="Amiri"/>
          <w:color w:val="111111"/>
          <w:sz w:val="28"/>
          <w:sz w:val="28"/>
          <w:szCs w:val="28"/>
          <w:rtl w:val="true"/>
          <w:lang w:bidi="ar-SA"/>
        </w:rPr>
        <w:t xml:space="preserve">بتقريب أنّ كلمة من بيانيّة ، والغاوون المتّبعون للشيطان ، وإذا كان أكثر الناس غير مؤمن بحكم الآية الثانية </w:t>
      </w:r>
      <w:r>
        <w:rPr>
          <w:rStyle w:val="FootnoteAnchor"/>
          <w:rtl w:val="true"/>
        </w:rPr>
        <w:footnoteReference w:id="124"/>
      </w:r>
      <w:r>
        <w:rPr>
          <w:rFonts w:ascii="Amiri" w:hAnsi="Amiri" w:eastAsia="Amiri" w:cs="Amiri"/>
          <w:color w:val="111111"/>
          <w:sz w:val="28"/>
          <w:sz w:val="28"/>
          <w:szCs w:val="28"/>
          <w:rtl w:val="true"/>
          <w:lang w:bidi="ar-SA"/>
        </w:rPr>
        <w:t>، فيكون متّبعو الشيطان الغاوون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عِبادِي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هم المؤمنون ، لكون الإضافة للتّشريف فيكون المستثنى منقطعا ، فلا 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 لا نسلّم أكثريّة الغاوين ، لأنّ من العباد الملائكة والجنّ وكلّ الغاوين أقلّ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المنقطع مجاز ، ومتى أمكن الحمل على الحقيقة ، فلا يصار الى المجاز ، ولذلك يحمل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درهم إلّا ثوبا ، على قيمة الثوب ، وكون الإضافة للتشريف ممنوع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وصرّح المفسّرون بأنّ المراد من العباد بنو آدم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العلماء على أنّ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تسعة ، يلزم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صحّته لحكموا بإلغاء الاستثناء وألزموه بعشرة كما في المستغرق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جائع إلّا من أطعمته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الاستدلال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لي إشكالا في هذا المقام لم يسبقني إليه فيما أعلم أحد من الأعلام وتحقيقا في المخلص عنه من مواهب كريم المنعام ، ولكنّه لا ينفع لما يرد من جهته على الأقوام ، وهو أنّهم ذكروا الاختلاف في منتهى التخصيص ، وذهب المحقّقون من الجمهور الى أنّه لا بدّ من بقاء جمع يقرب من مدلول العامّ ، ثم ذكروا الاختلاف في هذه المسألة وأسندوا القول بوجوب بقاء الأكثر الى شاذّ من العامّة ، وجواز استثناء الأكثر الى أكثر المحقّقين ، فإن كان وجه التفرقة الفرق بين المتّصل والمنفصل ، وأنّ الكلام في المبحث السّابق كان فيما كان المخصّص فيه منفصلا ، وفي هذا المبحث في المستثنى ، فهذا ينافي نقل القول بالفرق بين المتّصل والمنفصل ثمّة بين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كون الاستثناء تخصيصا ، والكلام في المبحث السّابق إنّما كان في التخصيص</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ينافي نقل القول بالتفصيل المذكور ثمّة ،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جمهور الأصوليين </w:t>
      </w:r>
    </w:p>
    <w:p>
      <w:pPr>
        <w:pStyle w:val="BookText"/>
        <w:rPr/>
      </w:pPr>
      <w:r>
        <w:rPr>
          <w:rFonts w:ascii="Amiri" w:hAnsi="Amiri" w:eastAsia="Amiri" w:cs="Amiri"/>
          <w:color w:val="111111"/>
          <w:sz w:val="28"/>
          <w:sz w:val="28"/>
          <w:szCs w:val="28"/>
          <w:rtl w:val="true"/>
          <w:lang w:bidi="ar-SA"/>
        </w:rPr>
        <w:t>قائلون بكون الاستثناء تخصيصا لما عرفت من أنّهم قائلون بكون المراد من العامّ هو الباقي ، والاستثناء قرينة له ، وهذا معنى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يلزم أن يكون مختار الأكثرين في الاستثناء لزوم بقاء الأكثر ، وكون المخرج أقلّ ، وكيف يجتمع هذا </w:t>
      </w:r>
      <w:r>
        <w:rPr>
          <w:rStyle w:val="FootnoteAnchor"/>
          <w:rtl w:val="true"/>
        </w:rPr>
        <w:footnoteReference w:id="128"/>
      </w:r>
      <w:r>
        <w:rPr>
          <w:rFonts w:ascii="Amiri" w:hAnsi="Amiri" w:eastAsia="Amiri" w:cs="Amiri"/>
          <w:color w:val="111111"/>
          <w:sz w:val="28"/>
          <w:sz w:val="28"/>
          <w:szCs w:val="28"/>
          <w:rtl w:val="true"/>
          <w:lang w:bidi="ar-SA"/>
        </w:rPr>
        <w:t>مع اختيارهم جواز استثناء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يجمع بين أدلّتهم في المقامين ، وما تحقيق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يختلج بالبال ، أنّهم قد غفلوا عمّا بنوا عليه الأمر لظاهر هذه الأدلّة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ما حقّقوه في المبحث السّابق كما اخترناه وشيّدناه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ذلك الأدلّة ، فيتوقّف على تمهيد مقدّمة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قد بيّنا لك في أوائل الكتاب أنّ وضع الحقائق شخصيّة ، ووضع المجازات نوعيّة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ونزيدك هاهنا أنّ الحقيقة والمجاز يعرضان للمركّبات كما يعرضان للمفردات ، ووضع المركّبات قاطبة نوعيّة ، حقيقية كانت أو 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والأوضاع النوعيّة إنّما هو للقدر المستفاد من تتبّع كلماتهم من الرّخصة ، فالاستثناء مثلا تركيب وضع بالوضع النوعي للإخراج ، بمعنى أنّه لا يتوقّف على سماع كلّ واحد من أفراده كما يتوقّف في الحقائق المفردة ، والقدر الذي يستفاد من الرّخصة في ذلك النوع إنّما هو المتّبع ، نظير ما بيّناه في العلائق المجازيّة ، ألا ترى إنّهم يحكمون </w:t>
      </w:r>
      <w:r>
        <w:rPr>
          <w:rStyle w:val="FootnoteAnchor"/>
          <w:rtl w:val="true"/>
        </w:rPr>
        <w:footnoteReference w:id="130"/>
      </w:r>
      <w:r>
        <w:rPr>
          <w:rFonts w:ascii="Amiri" w:hAnsi="Amiri" w:eastAsia="Amiri" w:cs="Amiri"/>
          <w:color w:val="111111"/>
          <w:sz w:val="28"/>
          <w:sz w:val="28"/>
          <w:szCs w:val="28"/>
          <w:rtl w:val="true"/>
          <w:lang w:bidi="ar-SA"/>
        </w:rPr>
        <w:t xml:space="preserve">بأنّ الاستثناء المنقطع مجاز ، فعلم أنّه في المتّصل حقيقة ، وكذلك يحكمون بأنّ </w:t>
      </w:r>
    </w:p>
    <w:p>
      <w:pPr>
        <w:pStyle w:val="BookText"/>
        <w:rPr/>
      </w:pPr>
      <w:r>
        <w:rPr>
          <w:rFonts w:ascii="Amiri" w:hAnsi="Amiri" w:eastAsia="Amiri" w:cs="Amiri"/>
          <w:color w:val="111111"/>
          <w:sz w:val="28"/>
          <w:sz w:val="28"/>
          <w:szCs w:val="28"/>
          <w:rtl w:val="true"/>
          <w:lang w:bidi="ar-SA"/>
        </w:rPr>
        <w:t>الاستثناء من النفي إثبات بعنوان الحقيقة لأجل التبادر وبالعكس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الذي تيقّن ثبوته من أهل اللّغة هنا هو لزوم الإخراج عن متعدّد في الجملة ، وأمّا أنّه يكفي في ذلك أيّ إخراج يكون ، أم لا بدّ أن يكون على وجه خاصّ من كون المخرج أقلّ من الباقي ، فلا بدّ من إقامة الدّليل عليه وإثبات الرّخصة فيه من جهة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الحقيقة والمجاز في المفردات يرجع الى النقل والتبادر وعدم صحّة السّلب وأمثالها ، فكذلك في المركّبات كما عرفت في نظرائه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الاستعمال لا يثبت الحقيقة كما حقّقناه في محلّه وبيّنّا أنّ الاستعمال أعمّ من الحقيقة ، فمجرّد الاستعمال في إخراج الأكثر لا يدلّ على كونه حقيقة فيه ، والمقصود الأصليّ للأصولي هو ذلك </w:t>
      </w:r>
      <w:r>
        <w:rPr>
          <w:rStyle w:val="FootnoteAnchor"/>
          <w:rtl w:val="true"/>
        </w:rPr>
        <w:footnoteReference w:id="132"/>
      </w:r>
      <w:r>
        <w:rPr>
          <w:rFonts w:ascii="IRNazanin" w:hAnsi="IRNazanin" w:eastAsia="IRNazanin"/>
          <w:color w:val="111111"/>
          <w:sz w:val="28"/>
          <w:sz w:val="28"/>
          <w:szCs w:val="28"/>
          <w:rtl w:val="true"/>
          <w:lang w:bidi="fa-IR"/>
        </w:rPr>
        <w:t>لا مطلق الاستعمال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الثابت المتيقّن هو ما لو كان المخرج أقلّ ، وكون ما لو كان المخرج أكثر من الباقي ممّا رخّص فيه من العرب بعنوان الوضع الحقيقي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الثبوت ، دليل على العدم لكون الوضع توقيفيا ، وحينئذ فالصّور المشكوكة مثل ما لو كان المخرج أكثر ، فيمكن كونها من أفراد الحقيقة ، وكونها من أفراد المجاز ، بأن يستعمل الاستثناء فيه بعلاقة مشابهته </w:t>
      </w:r>
      <w:r>
        <w:rPr>
          <w:rStyle w:val="FootnoteAnchor"/>
          <w:rtl w:val="true"/>
        </w:rPr>
        <w:footnoteReference w:id="133"/>
      </w:r>
      <w:r>
        <w:rPr>
          <w:rFonts w:ascii="Amiri" w:hAnsi="Amiri" w:eastAsia="Amiri" w:cs="Amiri"/>
          <w:color w:val="111111"/>
          <w:sz w:val="28"/>
          <w:sz w:val="28"/>
          <w:szCs w:val="28"/>
          <w:rtl w:val="true"/>
          <w:lang w:bidi="ar-SA"/>
        </w:rPr>
        <w:t xml:space="preserve">أو إدّعاء القلّة فيه للمبالغة في التحقير وإن كان كثيرا ونحو ذلك </w:t>
      </w:r>
      <w:r>
        <w:rPr>
          <w:rStyle w:val="FootnoteAnchor"/>
          <w:rtl w:val="true"/>
        </w:rPr>
        <w:footnoteReference w:id="134"/>
      </w:r>
      <w:r>
        <w:rPr>
          <w:rFonts w:ascii="Amiri" w:hAnsi="Amiri" w:eastAsia="Amiri" w:cs="Amiri"/>
          <w:color w:val="111111"/>
          <w:sz w:val="28"/>
          <w:sz w:val="28"/>
          <w:szCs w:val="28"/>
          <w:rtl w:val="true"/>
          <w:lang w:bidi="ar-SA"/>
        </w:rPr>
        <w:t xml:space="preserve">، فلا يثبت كونها </w:t>
      </w:r>
      <w:r>
        <w:rPr>
          <w:rStyle w:val="FootnoteAnchor"/>
          <w:rtl w:val="true"/>
        </w:rPr>
        <w:footnoteReference w:id="135"/>
      </w:r>
      <w:r>
        <w:rPr>
          <w:rFonts w:ascii="Amiri" w:hAnsi="Amiri" w:eastAsia="Amiri" w:cs="Amiri"/>
          <w:color w:val="111111"/>
          <w:sz w:val="28"/>
          <w:sz w:val="28"/>
          <w:szCs w:val="28"/>
          <w:rtl w:val="true"/>
          <w:lang w:bidi="ar-SA"/>
        </w:rPr>
        <w:t xml:space="preserve">حقيقة ، مع أنّه لا يبعد </w:t>
      </w:r>
    </w:p>
    <w:p>
      <w:pPr>
        <w:pStyle w:val="BookText"/>
        <w:rPr/>
      </w:pPr>
      <w:r>
        <w:rPr>
          <w:rFonts w:ascii="Amiri" w:hAnsi="Amiri" w:eastAsia="Amiri" w:cs="Amiri"/>
          <w:color w:val="111111"/>
          <w:sz w:val="28"/>
          <w:sz w:val="28"/>
          <w:szCs w:val="28"/>
          <w:rtl w:val="true"/>
          <w:lang w:bidi="ar-SA"/>
        </w:rPr>
        <w:t>أن يدّعى التبادر فيما لو كان المخرج أقلّ ، وهو علامة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أهل العرف يعدّون مثل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مائة إلّا تسعة وتسعين ، مستهجنا ركيكا ، لا لأنّه إطالة مملّة ، بل لمخالفته لما بلغهم من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يقال ذلك في موضع السّخرية والتمليح ، بل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عشرة إلّا تسعة ، فضلا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تسعة ونصفا ، وثلثا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ذكرناه ، أنّ المستثنى في معرض النسيان غالبا ، لقلّته ، وأنّ الغالب الوقوع في الاستثناء البدائي ، كما هو الغالب في ألسنة العوامّ هو إخراج القليل ، وليس ذلك إلّا لمطابقته لأصل وضع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فقد ظهر لك بحمد الله تعالى أنّ التحقيق هو ما حقّقناه سابقا ، من لزوم بقاء جمع قريب من المدلول ، وغفلة الأكثرين إنّما حصل من جهة الأمثلة المذكورة ، وقد عرفت أنّ مجرّد الاستعمال لا يدلّ على الحقيقة كما هو محطّ نظر الأصولي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 أنّه لم يثبت كون الاستثناء حقيقة في غير إخراج الأقلّ ، ولم يثبت جواز التجوّز في المستثنى منه في غير استعماله في الأكثر كما بيّناه آنفا </w:t>
      </w:r>
      <w:r>
        <w:rPr>
          <w:rStyle w:val="FootnoteAnchor"/>
          <w:rtl w:val="true"/>
        </w:rPr>
        <w:footnoteReference w:id="137"/>
      </w:r>
      <w:r>
        <w:rPr>
          <w:rFonts w:ascii="Amiri" w:hAnsi="Amiri" w:eastAsia="Amiri" w:cs="Amiri"/>
          <w:color w:val="111111"/>
          <w:sz w:val="28"/>
          <w:sz w:val="28"/>
          <w:szCs w:val="28"/>
          <w:rtl w:val="true"/>
          <w:lang w:bidi="ar-SA"/>
        </w:rPr>
        <w:t>، فلا بأس علينا أن نجيب من الأمثلة المذكورة التي استدلّ بها الأكثرون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دفع الأوّل </w:t>
      </w:r>
      <w:r>
        <w:rPr>
          <w:rStyle w:val="FootnoteAnchor"/>
          <w:rtl w:val="true"/>
        </w:rPr>
        <w:footnoteReference w:id="138"/>
      </w:r>
      <w:r>
        <w:rPr>
          <w:rFonts w:ascii="Amiri" w:hAnsi="Amiri" w:eastAsia="Amiri" w:cs="Amiri"/>
          <w:color w:val="111111"/>
          <w:sz w:val="28"/>
          <w:sz w:val="28"/>
          <w:szCs w:val="28"/>
          <w:rtl w:val="true"/>
          <w:lang w:bidi="ar-SA"/>
        </w:rPr>
        <w:t xml:space="preserve">بمنع الدلالة من جهة أنّ ظاهر العامّ قابل لأصناف كثيرة ، فإخراج صنف منه يكون أفراده أكثر من سائر الأصناف لا يستلزم كون </w:t>
      </w:r>
    </w:p>
    <w:p>
      <w:pPr>
        <w:pStyle w:val="BookText"/>
        <w:rPr/>
      </w:pPr>
      <w:r>
        <w:rPr>
          <w:rFonts w:ascii="Amiri" w:hAnsi="Amiri" w:eastAsia="Amiri" w:cs="Amiri"/>
          <w:color w:val="111111"/>
          <w:sz w:val="28"/>
          <w:sz w:val="28"/>
          <w:szCs w:val="28"/>
          <w:rtl w:val="true"/>
          <w:lang w:bidi="ar-SA"/>
        </w:rPr>
        <w:t xml:space="preserve">نفس الأصناف الباقية أقلّ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هنا إخراج الصّنف ، يعني أفراد صنف خاصّ من حيث إنّها أفراد ذلك الصّنف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الآية استثناء صنف من الأصناف لا أفراد من جميع الأفراد ، وأكثريّة الصّنف لا تستلزم أكثريّة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إذا لوحظ الصّنف الواحد بالنسبة الى العامّ القابل للأصناف ، فهو أقلّ من الباقي ، وإن فرض كونه بالنسبة الى الأفراد أكثر من الباقي ، وذلك يختلف باختلاف الحيثيّات والاعتبارات فيه أنّ عموم الجمع أفرادي لا أصنافي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يؤيّد ما ذكرنا </w:t>
      </w:r>
      <w:r>
        <w:rPr>
          <w:rStyle w:val="FootnoteAnchor"/>
          <w:rtl w:val="true"/>
        </w:rPr>
        <w:footnoteReference w:id="140"/>
      </w:r>
      <w:r>
        <w:rPr>
          <w:rFonts w:ascii="Amiri" w:hAnsi="Amiri" w:eastAsia="Amiri" w:cs="Amiri"/>
          <w:color w:val="111111"/>
          <w:sz w:val="28"/>
          <w:sz w:val="28"/>
          <w:szCs w:val="28"/>
          <w:rtl w:val="true"/>
          <w:lang w:bidi="ar-SA"/>
        </w:rPr>
        <w:t>، انّ المقصد الأصليّ لله تعالى لمّا كان هو الهداية والرّشاد ، فجعل الغاوين مخرجا ، جعلا لما ليس موافقا للغرض الأصليّ ، كالقليل الذي لا يعتنى به ، وفي إبليس بالعكس ، بل ذلك المعنى إنّما يلاحظ بالنسبة الى قابلية العامّ ، لا فعلية تحقّق الأصناف فيه ، ففي كلّ واحد من الآيتين استثناء أقلّ من الأكثر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ويوضّح ما بيّنا ، أن لو فرض أنّك أضفت جماعة من العلماء والشعراء والظرفاء ، وكان عدد كلّ واحد من العلماء والشعراء ثلاثة ، وعدد الظرفاء مائة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الأضياف إلّا الظرفاء فيمكن تصحيحه بما ذكرنا ، لأنّ الباقي حينئذ أكثر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الأضياف إلّا زيدا وعمرا وبكرا وخالدا الى آخر المائة من الظرفاء لعدّ قبيحا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ودفع الثاني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اتفاقهم على إلزام الواحد لا يدلّ على اتّفاقهم على صحّة الاستثناء أو كونه حقيقة ، فإنّ فتوى الأكثرين لعلّه مبنيّ على تجويزهم ذلك </w:t>
      </w:r>
      <w:r>
        <w:rPr>
          <w:rStyle w:val="FootnoteAnchor"/>
          <w:rtl w:val="true"/>
        </w:rPr>
        <w:footnoteReference w:id="143"/>
      </w:r>
      <w:r>
        <w:rPr>
          <w:rFonts w:ascii="Amiri" w:hAnsi="Amiri" w:eastAsia="Amiri" w:cs="Amiri"/>
          <w:color w:val="111111"/>
          <w:sz w:val="28"/>
          <w:sz w:val="28"/>
          <w:szCs w:val="28"/>
          <w:rtl w:val="true"/>
          <w:lang w:bidi="ar-SA"/>
        </w:rPr>
        <w:t xml:space="preserve">، وبناء الباقين </w:t>
      </w:r>
      <w:r>
        <w:rPr>
          <w:rStyle w:val="FootnoteAnchor"/>
          <w:rtl w:val="true"/>
        </w:rPr>
        <w:footnoteReference w:id="144"/>
      </w:r>
      <w:r>
        <w:rPr>
          <w:rFonts w:ascii="Amiri" w:hAnsi="Amiri" w:eastAsia="Amiri" w:cs="Amiri"/>
          <w:color w:val="111111"/>
          <w:sz w:val="28"/>
          <w:sz w:val="28"/>
          <w:szCs w:val="28"/>
          <w:rtl w:val="true"/>
          <w:lang w:bidi="ar-SA"/>
        </w:rPr>
        <w:t xml:space="preserve">على أنّ الإقرار عبارة عمّا يفهم منه اشتغال الذمّة بعنوان النصوصيّة ولو كان بلفظ غلط أو لفظ مجازي </w:t>
      </w:r>
      <w:r>
        <w:rPr>
          <w:rStyle w:val="FootnoteAnchor"/>
          <w:rtl w:val="true"/>
        </w:rPr>
        <w:footnoteReference w:id="145"/>
      </w:r>
      <w:r>
        <w:rPr>
          <w:rFonts w:ascii="Amiri" w:hAnsi="Amiri" w:eastAsia="Amiri" w:cs="Amiri"/>
          <w:color w:val="111111"/>
          <w:sz w:val="28"/>
          <w:sz w:val="28"/>
          <w:szCs w:val="28"/>
          <w:rtl w:val="true"/>
          <w:lang w:bidi="ar-SA"/>
        </w:rPr>
        <w:t xml:space="preserve">، ولما كان الأصل براءة الذمّة حتى يحصل اليقين بالاشتغال ، فمع قابليّة اللفظ للدلالة على المراد وانفهام المعنى عنه بمعونة المقام ، أو بسبب التشبيه بالاستثناء مع قرينة واضحة ، لا يحكم باشتغال الذمّة بالعشرة لكون اللّفظ غلطا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تسعة بالرّفع لا يحكم باشتغال الذمّة بالعشرة ، لكون الاستثناء غلطا ، بخلاف الاستثناء المستغرق ، فإنّه لغو بحث فيؤخذ بأوّل الكلام ويترك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ودفع الثالث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الإطعام إلّا أنا ، فكلّكم يبقى على صفة الجوع لو أراد الإطعام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واضح على من كان له ذوق سليم وسليقة مستقيمة ، فلا دلالة فيه على مطلبهم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تمهّد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موضوع المسألة في الأقوال المذكورة في المسألة </w:t>
      </w:r>
    </w:p>
    <w:p>
      <w:pPr>
        <w:pStyle w:val="BookText"/>
        <w:rPr/>
      </w:pPr>
      <w:r>
        <w:rPr>
          <w:rFonts w:ascii="Amiri" w:hAnsi="Amiri" w:eastAsia="Amiri" w:cs="Amiri"/>
          <w:color w:val="111111"/>
          <w:sz w:val="28"/>
          <w:sz w:val="28"/>
          <w:szCs w:val="28"/>
          <w:rtl w:val="true"/>
          <w:lang w:bidi="ar-SA"/>
        </w:rPr>
        <w:t xml:space="preserve">مختلفة ، فلا بدّ من تحرير محلّ النزاع بحيث يصحّ ورود الأقوال عليه ، وذلك لأنّ بعض القائلين بالحقيقة </w:t>
      </w:r>
      <w:r>
        <w:rPr>
          <w:rStyle w:val="FootnoteAnchor"/>
          <w:rtl w:val="true"/>
        </w:rPr>
        <w:footnoteReference w:id="148"/>
      </w:r>
      <w:r>
        <w:rPr>
          <w:rFonts w:ascii="Amiri" w:hAnsi="Amiri" w:eastAsia="Amiri" w:cs="Amiri"/>
          <w:color w:val="111111"/>
          <w:sz w:val="28"/>
          <w:sz w:val="28"/>
          <w:szCs w:val="28"/>
          <w:rtl w:val="true"/>
          <w:lang w:bidi="ar-SA"/>
        </w:rPr>
        <w:t xml:space="preserve">يريدون كون العامّ مع المخصّص حقيقة في الباقي </w:t>
      </w:r>
      <w:r>
        <w:rPr>
          <w:rStyle w:val="FootnoteAnchor"/>
          <w:rtl w:val="true"/>
        </w:rPr>
        <w:footnoteReference w:id="149"/>
      </w:r>
      <w:r>
        <w:rPr>
          <w:rFonts w:ascii="Amiri" w:hAnsi="Amiri" w:eastAsia="Amiri" w:cs="Amiri"/>
          <w:color w:val="111111"/>
          <w:sz w:val="28"/>
          <w:sz w:val="28"/>
          <w:szCs w:val="28"/>
          <w:rtl w:val="true"/>
          <w:lang w:bidi="ar-SA"/>
        </w:rPr>
        <w:t xml:space="preserve">، وبعضهم يريدون </w:t>
      </w:r>
      <w:r>
        <w:rPr>
          <w:rStyle w:val="FootnoteAnchor"/>
          <w:rtl w:val="true"/>
        </w:rPr>
        <w:footnoteReference w:id="150"/>
      </w:r>
      <w:r>
        <w:rPr>
          <w:rFonts w:ascii="Amiri" w:hAnsi="Amiri" w:eastAsia="Amiri" w:cs="Amiri"/>
          <w:color w:val="111111"/>
          <w:sz w:val="28"/>
          <w:sz w:val="28"/>
          <w:szCs w:val="28"/>
          <w:rtl w:val="true"/>
          <w:lang w:bidi="ar-SA"/>
        </w:rPr>
        <w:t>كون نفس العامّ حقيقة ، وهؤلاء أيضا مختلفون في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أن يقال في تقرير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العامّ في هذا التركيب هل استعمل في معنى مجازيّ أم لا؟</w:t>
      </w:r>
    </w:p>
    <w:p>
      <w:pPr>
        <w:pStyle w:val="BookText"/>
        <w:rPr/>
      </w:pPr>
      <w:r>
        <w:rPr>
          <w:rFonts w:ascii="Amiri" w:hAnsi="Amiri" w:eastAsia="Amiri" w:cs="Amiri"/>
          <w:color w:val="111111"/>
          <w:sz w:val="28"/>
          <w:sz w:val="28"/>
          <w:szCs w:val="28"/>
          <w:rtl w:val="true"/>
          <w:lang w:bidi="ar-SA"/>
        </w:rPr>
        <w:t xml:space="preserve">فذهب الأكثرون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كون العامّ مجازا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مطلقا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إن كان الباقي غير منحصر </w:t>
      </w:r>
      <w:r>
        <w:rPr>
          <w:rStyle w:val="FootnoteAnchor"/>
          <w:rtl w:val="true"/>
        </w:rPr>
        <w:footnoteReference w:id="153"/>
      </w:r>
      <w:r>
        <w:rPr>
          <w:rFonts w:ascii="Amiri" w:hAnsi="Amiri" w:eastAsia="Amiri" w:cs="Amiri"/>
          <w:color w:val="111111"/>
          <w:sz w:val="28"/>
          <w:sz w:val="28"/>
          <w:szCs w:val="28"/>
          <w:rtl w:val="true"/>
          <w:lang w:bidi="ar-SA"/>
        </w:rPr>
        <w:t>أي له كثرة يعسر العلم بقدرها ، وإلّا فمجاز</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إن خصّص بغير مستقلّ </w:t>
      </w:r>
      <w:r>
        <w:rPr>
          <w:rStyle w:val="FootnoteAnchor"/>
          <w:rtl w:val="true"/>
        </w:rPr>
        <w:footnoteReference w:id="154"/>
      </w:r>
      <w:r>
        <w:rPr>
          <w:rFonts w:ascii="Amiri" w:hAnsi="Amiri" w:eastAsia="Amiri" w:cs="Amiri"/>
          <w:color w:val="111111"/>
          <w:sz w:val="28"/>
          <w:sz w:val="28"/>
          <w:szCs w:val="28"/>
          <w:rtl w:val="true"/>
          <w:lang w:bidi="ar-SA"/>
        </w:rPr>
        <w:t xml:space="preserve">كالشّرط والصّفة والغاية والاستثناء ، ومجاز إن خصّص بالمستقلّ من عقل أو سمع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 هؤلاء أنّهم يريدون أنّ مجموع التركيب حقيقة في إرادة الباقي ، وهكذا ما في معناه من التفصيلين اللّذين بعده ، فلا يكون العامّ بنفسه حقيقة ولا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إن خصّص بشرط أو استثناء لا صفة وغيرها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إن خصّص بلفظيّ اتّصل أو انفصل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تناوله ، ومجاز في الاقتصار عليه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 أقرب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حقيقة في الباقي كما كان في الكلّ ، لزم الاشتراك ، والمفروض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يقال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الاستغراق باقية ، فلا يراد به الباقي حتى يلزم الاشتراك على تقدير كونه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بقول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بني تميم الطّوال ، عند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من بني تميم من قد علمت من صفتهم أنّهم الطّوال سواء عمّهم الطّول أو خصّ بعضهم ، ولذلك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القصار منهم فلا تكرمهم ، ويرجع الضمير الى بني تميم لا الى الطّوال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بني تميم الى اللّيل أو إن دخلوا الدّار ، الحكم على جميعهم ، غايته أنّه ليس في جميع الأزمنة في الأوّل ، وعلى جميع الأحوال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بني تميم إلّا الجهّال منهم ، الحكم على كلّ واحد بشرط اتّصافه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ذلك كلّه تكلّفات باردة ، وتجشّم حمل الهيئة التركيبية على خلاف وضعه مع استلزامه التجوّز في بعض المفردات أيضا ، ليس بأولى من حمل العامّ فقط على 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الهيئة المفسّرة مغايرة للهيئة المفسّرة وكلّ منهما موضوع لمعنى ، وأوّل </w:t>
      </w:r>
      <w:r>
        <w:rPr>
          <w:rStyle w:val="FootnoteAnchor"/>
          <w:rtl w:val="true"/>
        </w:rPr>
        <w:footnoteReference w:id="162"/>
      </w:r>
      <w:r>
        <w:rPr>
          <w:rFonts w:ascii="Amiri" w:hAnsi="Amiri" w:eastAsia="Amiri" w:cs="Amiri"/>
          <w:color w:val="111111"/>
          <w:sz w:val="28"/>
          <w:sz w:val="28"/>
          <w:szCs w:val="28"/>
          <w:rtl w:val="true"/>
          <w:lang w:bidi="ar-SA"/>
        </w:rPr>
        <w:t xml:space="preserve">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يرمي ، مع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شجاعا مثلا ، الى أمر واحد لا يقتضي اتّحادهما ، وكذلك تأدية التراكيب الحقيقية لمعنى واحد لا يوجب اتّحادها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إرجاع الضمير الى بني تميم ، فجوابه يظهر ممّا مرّ </w:t>
      </w:r>
      <w:r>
        <w:rPr>
          <w:rStyle w:val="FootnoteAnchor"/>
          <w:rtl w:val="true"/>
        </w:rPr>
        <w:footnoteReference w:id="163"/>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الجارية إلّا نصفها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بني تميم الى اللّيل الى آخره ، فهو من غرائب الكلام ، إذ التخصيص هنا ليس متوجّها الى بني تميم ، بل الى زمان الإكرام المستفاد من </w:t>
      </w:r>
    </w:p>
    <w:p>
      <w:pPr>
        <w:pStyle w:val="BookText"/>
        <w:rPr/>
      </w:pPr>
      <w:r>
        <w:rPr>
          <w:rFonts w:ascii="Amiri" w:hAnsi="Amiri" w:eastAsia="Amiri" w:cs="Amiri"/>
          <w:color w:val="111111"/>
          <w:sz w:val="28"/>
          <w:sz w:val="28"/>
          <w:szCs w:val="28"/>
          <w:rtl w:val="true"/>
          <w:lang w:bidi="ar-SA"/>
        </w:rPr>
        <w:t xml:space="preserve">الإطلاق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دخلوا ، إن لم يرد به الداخلين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والمثال المناسب لتخصيص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الناس الى أن يفسقوا أو أن يجهلوا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وغرابة تفسير الاستثناء بما ذكره لا يحتاج الى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Style w:val="FootnoteAnchor"/>
          <w:rtl w:val="true"/>
        </w:rPr>
        <w:footnoteReference w:id="164"/>
      </w:r>
      <w:r>
        <w:rPr>
          <w:rFonts w:ascii="Amiri" w:hAnsi="Amiri" w:eastAsia="Amiri" w:cs="Amiri"/>
          <w:color w:val="111111"/>
          <w:sz w:val="28"/>
          <w:sz w:val="28"/>
          <w:szCs w:val="28"/>
          <w:rtl w:val="true"/>
          <w:lang w:bidi="ar-SA"/>
        </w:rPr>
        <w:t>إنّما يتمّ لو كان اللّفظ مستعملا في الباقى ، أمّا إذا كان مستعملا في العموم وإرادة الباقي طرأ بعد التخصيص ، بمعنى أنّ الإسناد وقع الى الباقي بعد إخراج البعض من العامّ ، فلا يلزم الاشتراك ولا المجاز ، فلا يتمّ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ضعفه ممّا قدّمناه </w:t>
      </w:r>
      <w:r>
        <w:rPr>
          <w:rStyle w:val="FootnoteAnchor"/>
          <w:rtl w:val="true"/>
        </w:rPr>
        <w:footnoteReference w:id="165"/>
      </w:r>
      <w:r>
        <w:rPr>
          <w:rFonts w:ascii="Amiri" w:hAnsi="Amiri" w:eastAsia="Amiri" w:cs="Amiri"/>
          <w:color w:val="111111"/>
          <w:sz w:val="28"/>
          <w:sz w:val="28"/>
          <w:szCs w:val="28"/>
          <w:rtl w:val="true"/>
          <w:lang w:bidi="ar-SA"/>
        </w:rPr>
        <w:t xml:space="preserve">في المقدّمة الثالثة ، سيّما في المخصّصات المنفصلة ، كما نقلنا جريان القول فيه عن بعضهم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حقّقناه ثمّة ، يظهر لك أنّه لا يمكن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إنّما يتمّ لو بطل القول بكون المجموع حقيقة في الباقي ، إذ مقتضاه </w:t>
      </w:r>
      <w:r>
        <w:rPr>
          <w:rStyle w:val="FootnoteAnchor"/>
          <w:rtl w:val="true"/>
        </w:rPr>
        <w:footnoteReference w:id="167"/>
      </w:r>
      <w:r>
        <w:rPr>
          <w:rFonts w:ascii="Amiri" w:hAnsi="Amiri" w:eastAsia="Amiri" w:cs="Amiri"/>
          <w:color w:val="111111"/>
          <w:sz w:val="28"/>
          <w:sz w:val="28"/>
          <w:szCs w:val="28"/>
          <w:rtl w:val="true"/>
          <w:lang w:bidi="ar-SA"/>
        </w:rPr>
        <w:t>كون كلّ من المفردات حقيقة في معناه أو عدم كون واحد منها حقيقة ولا مجازا ، فلا يتمّ القول بكون العامّ مجازا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بكونه حقيقة في الباقي مطلقا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كان متناولا له حقيقة بالاتّفاق ، والتناول باق على ما كان عليه ، لم يتغيّر ، إنّما طرأ عدم تناول الغير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الباقي يسبق الى الفهم حينئذ ، وذلك دليل الحقيقة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من تناوله حقيقة ثبوت التناول في نفس الأمر ، فهو لا يثبت الحقيقة المصطلحة المبحوث عنها ، وإن أراد تناولها بعنوان الحقيقة المصطلحة ، فنمنع ذلك أوّلا قبل التّخصيص </w:t>
      </w:r>
      <w:r>
        <w:rPr>
          <w:rStyle w:val="FootnoteAnchor"/>
          <w:rtl w:val="true"/>
        </w:rPr>
        <w:footnoteReference w:id="170"/>
      </w:r>
      <w:r>
        <w:rPr>
          <w:rFonts w:ascii="Amiri" w:hAnsi="Amiri" w:eastAsia="Amiri" w:cs="Amiri"/>
          <w:color w:val="111111"/>
          <w:sz w:val="28"/>
          <w:sz w:val="28"/>
          <w:szCs w:val="28"/>
          <w:rtl w:val="true"/>
          <w:lang w:bidi="ar-SA"/>
        </w:rPr>
        <w:t xml:space="preserve">إذ المتّصف بالحقيقة هو اللّفظ باعتبار تناوله للجميع لا للباقي ، وكون الباقي داخلا في المعنى الحقيقي لا يستلزم كون اللّفظ حقيقة فيه ، لا من جهة أنّ الباقي جزء المجموع وأنّ الدلالة التضمّنيّة ليست بنفس المعنى الحقيقي ، بل هو تابع له كما صرّح به علماء البيان وجعلوه </w:t>
      </w:r>
      <w:r>
        <w:rPr>
          <w:rStyle w:val="FootnoteAnchor"/>
          <w:rtl w:val="true"/>
        </w:rPr>
        <w:footnoteReference w:id="171"/>
      </w:r>
      <w:r>
        <w:rPr>
          <w:rFonts w:ascii="Amiri" w:hAnsi="Amiri" w:eastAsia="Amiri" w:cs="Amiri"/>
          <w:color w:val="111111"/>
          <w:sz w:val="28"/>
          <w:sz w:val="28"/>
          <w:szCs w:val="28"/>
          <w:rtl w:val="true"/>
          <w:lang w:bidi="ar-SA"/>
        </w:rPr>
        <w:t xml:space="preserve">من الدلالة العقليّة لا الوضعيّة ، حتّى يقال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الخاصّ ليس بجزء للعامّ ، بل لأنّ دلالة العامّ على كلّ واحد من الأفراد منفردا ، غير الموضوع له الحقيقي ، بل الموضوع له هو كلّ فرد بدون قيد الانفراد ولا قيد الاجتماع ، لا بمعنى إرادة كلّ فرد لا بشرط الانضمام ولا عدمه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ينافي كونه حقيقة في المنفرد ، بل بمعنى أنّ الوضع إنّما ثبت في حال إرادة جميع الأفراد بعنوان الكلّي التفصيليّ الأفرادي ، كما حقّقناه في مبحث استعمال المشترك في معنييه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ذلك فإنّه لا ينافي ما حقّقناه سابقا من أنّ دلالة العامّ على أفراده دلالة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 يظهر أنّه لا معنى للتمسّك بالاستصحاب </w:t>
      </w:r>
      <w:r>
        <w:rPr>
          <w:rStyle w:val="FootnoteAnchor"/>
          <w:rtl w:val="true"/>
        </w:rPr>
        <w:footnoteReference w:id="173"/>
      </w:r>
      <w:r>
        <w:rPr>
          <w:rFonts w:ascii="Amiri" w:hAnsi="Amiri" w:eastAsia="Amiri" w:cs="Amiri"/>
          <w:color w:val="111111"/>
          <w:sz w:val="28"/>
          <w:sz w:val="28"/>
          <w:szCs w:val="28"/>
          <w:rtl w:val="true"/>
          <w:lang w:bidi="ar-SA"/>
        </w:rPr>
        <w:t>، إذ لم يكن تناول العامّ للباقي في حال تناوله للجميع بعنوان الحقيقة حتى يستصحب ، بل لأنّه كان تابعا للمدلول الحقيقي وهو الجميع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سلّمنا كونه حقيقة ، فإنّما يثبت ذلك في حال كونه في ضمن الجميع ، وقد </w:t>
      </w:r>
    </w:p>
    <w:p>
      <w:pPr>
        <w:pStyle w:val="BookText"/>
        <w:rPr/>
      </w:pPr>
      <w:r>
        <w:rPr>
          <w:rFonts w:ascii="Amiri" w:hAnsi="Amiri" w:eastAsia="Amiri" w:cs="Amiri"/>
          <w:color w:val="111111"/>
          <w:sz w:val="28"/>
          <w:sz w:val="28"/>
          <w:szCs w:val="28"/>
          <w:rtl w:val="true"/>
          <w:lang w:bidi="ar-SA"/>
        </w:rPr>
        <w:t>تغيّر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الثاني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السّبق بلا قرينة ، وبدونها يسبق العموم ، وسبق الغير علامة المجاز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يقال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الباقي معلومة بدون القرينة ، وإنّما المحتاج إليها هو خروج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بإرادة الباقي إنّما هو لأجل دخوله تحت المراد ، وذلك لا يوجب كونه حقيقة فيه ، إنّما الذي يقتضي كون اللفظ حقيقة هو سبق المعنى والعلم بإرادته على أنّه نفس المراد ، ولا يحصل ذلك فيما نحن فيه إلّا بالقرينة ، وهو معنى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من قال بأنّه حقيقة إن بقي غير منحصر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177"/>
      </w:r>
      <w:r>
        <w:rPr>
          <w:rFonts w:ascii="Amiri" w:hAnsi="Amiri" w:eastAsia="Amiri" w:cs="Amiri"/>
          <w:color w:val="111111"/>
          <w:sz w:val="28"/>
          <w:sz w:val="28"/>
          <w:szCs w:val="28"/>
          <w:rtl w:val="true"/>
          <w:lang w:bidi="ar-SA"/>
        </w:rPr>
        <w:t xml:space="preserve">معنى العموم حقيقة هو كون اللّفظ دالّا على أمر غير منحصر في عدد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معناه ذلك ، بل معناه تناوله للجميع وقد صار الآن لغيره فصار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الكلام في صيغ العموم لا في نفس العامّ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افعل ، حقيقة في الوجوب لا يقتضي كون مفهوم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يقتضي كون مفهوم الأمر معتبرا فيه الإيجاب ، كون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 حقيقة في الوجوب ، فهكذا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أيضا أنّ كون الهيئة الاستثنائية حقيقة في المنقطع ؛ لا يقتضي كون الاستثناء حقيقة فيه ؛ ليرد أنّه ليس بإخراج ما لولاه لدخل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 بأنّه حقيقة إن خصّ بغير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لفظ العامّ حال انضمام المخصّص المتّصل ، ليس مفيدا للبعض ، أعني ما عدا المخرج بالمخصّص ، لأنّه لو كان كذلك لما بقي شيء يفيده المخصّص ، فلا يكون مجازا في البعض ، بل المجموع منه ومن المتّصل يفيد البعض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عدم إفادته البعض بخصوصه بحسب الوضع ، فلا كلام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أنّه لا يفيد البعض بحسب إرادة اللّافظ فهو ممنوع ، غاية الأمر عدم الإفادة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انضمام المخصّص ، فلا ريب في إفادته ذلك كما هو المدار في المجازات ، وأمّا المخصّص فهو يدلّ على إخراج البعض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Style w:val="FootnoteAnchor"/>
          <w:rtl w:val="true"/>
        </w:rPr>
        <w:footnoteReference w:id="181"/>
      </w:r>
      <w:r>
        <w:rPr>
          <w:rFonts w:ascii="Amiri" w:hAnsi="Amiri" w:eastAsia="Amiri" w:cs="Amiri"/>
          <w:color w:val="111111"/>
          <w:sz w:val="28"/>
          <w:sz w:val="28"/>
          <w:szCs w:val="28"/>
          <w:rtl w:val="true"/>
          <w:lang w:bidi="ar-SA"/>
        </w:rPr>
        <w:t xml:space="preserve">يرجع هذا الكلام الى اختيار مذهب القاضي في رفع التناقض عن الهيئة الاستثنائية ، ولفظ العامّ حينئذ إمّا حقيقة في معناه </w:t>
      </w:r>
      <w:r>
        <w:rPr>
          <w:rStyle w:val="FootnoteAnchor"/>
          <w:rtl w:val="true"/>
        </w:rPr>
        <w:footnoteReference w:id="182"/>
      </w:r>
      <w:r>
        <w:rPr>
          <w:rFonts w:ascii="Amiri" w:hAnsi="Amiri" w:eastAsia="Amiri" w:cs="Amiri"/>
          <w:color w:val="111111"/>
          <w:sz w:val="28"/>
          <w:sz w:val="28"/>
          <w:szCs w:val="28"/>
          <w:rtl w:val="true"/>
          <w:lang w:bidi="ar-SA"/>
        </w:rPr>
        <w:t>والنسبة الى الباقي وقع بعد الإخراج ، وإمّا أنّه ليس بحقيقة ولا مجاز إن قلنا بالوضع الجديد ، وقد عرفت بطلانهما سابقا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أيضا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التقييد بما لا يستقلّ موجبا للتجوّز في نحو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الرّجال المسلمون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بني تميم إن دخلوا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الناس إلّا الجهّال ، لكان نحو المسلمون للجماعة ، والمسلم للجنس أو العهد ، وألف سنة إلّا خمسين عاما مجازات ، واللّوازم باطلة ، أمّا الأوّلان فإجماعا ، وأمّا الأخير فبالتزام الخصم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الملازمة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المذكورات يقيّد بقيد هو كالجزء له وقد صار به </w:t>
      </w:r>
      <w:r>
        <w:rPr>
          <w:rStyle w:val="FootnoteAnchor"/>
          <w:rtl w:val="true"/>
        </w:rPr>
        <w:footnoteReference w:id="186"/>
      </w:r>
      <w:r>
        <w:rPr>
          <w:rFonts w:ascii="Amiri" w:hAnsi="Amiri" w:eastAsia="Amiri" w:cs="Amiri"/>
          <w:color w:val="111111"/>
          <w:sz w:val="28"/>
          <w:sz w:val="28"/>
          <w:szCs w:val="28"/>
          <w:rtl w:val="true"/>
          <w:lang w:bidi="ar-SA"/>
        </w:rPr>
        <w:t>لمعنى غير ما وضع له أوّلا ، وهي بدونه للمنقول عنه ، ومعه للمنقول إليه ، ولا يحتمل غيره ، وقد جعلتم ذلك موجبا للتجوّز ، فالفرق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إن أردت أنّ لفظة 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 والمسلم حقيقة مع تغيير معناه بسبب القيد فهو ممنوع ، فكيف يدّعى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المسلمون حقيقة في الجماعة ، والمسلم في الجنس أو العهد ، فهو إنّما يثبت حقيقة المركّب من حيث التركيب لا من حيث إنّه حقيقة في معنى مفرد ، وهو خارج على المبحث</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ذلك ، أنّ المفردات مختلفة الأوضاع </w:t>
      </w:r>
      <w:r>
        <w:rPr>
          <w:rStyle w:val="FootnoteAnchor"/>
          <w:rtl w:val="true"/>
        </w:rPr>
        <w:footnoteReference w:id="187"/>
      </w:r>
      <w:r>
        <w:rPr>
          <w:rFonts w:ascii="Amiri" w:hAnsi="Amiri" w:eastAsia="Amiri" w:cs="Amiri"/>
          <w:color w:val="111111"/>
          <w:sz w:val="28"/>
          <w:sz w:val="28"/>
          <w:szCs w:val="28"/>
          <w:rtl w:val="true"/>
          <w:lang w:bidi="ar-SA"/>
        </w:rPr>
        <w:t>، كما أشرنا سابقا ، فوضع الأعلام وأسماء الأجناس ونحوها وضع شخصي ، ووضع الأفعال والمشتقّات والتثنية والجمع ونحوها وضع 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وضع المركّبات كلّها نوعيّة ومنقسمة الى الحقيقة والمجاز كما أشرنا ، وكما أنّ كون وضع المركّبات حقيقة ، لا ينافي كون بعض مفرداتها مجازا لما ذكرنا في المقدّمة الأولى ، كذلك كون وضع المفردات النوعيّة حقيقة ، لا ينافي كون بعض أجزائها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لا ينافي كون العامّ </w:t>
      </w:r>
    </w:p>
    <w:p>
      <w:pPr>
        <w:pStyle w:val="BookText"/>
        <w:rPr/>
      </w:pPr>
      <w:r>
        <w:rPr>
          <w:rFonts w:ascii="Amiri" w:hAnsi="Amiri" w:eastAsia="Amiri" w:cs="Amiri"/>
          <w:color w:val="111111"/>
          <w:sz w:val="28"/>
          <w:sz w:val="28"/>
          <w:szCs w:val="28"/>
          <w:rtl w:val="true"/>
          <w:lang w:bidi="ar-SA"/>
        </w:rPr>
        <w:t xml:space="preserve">مستعملا في المعنى المجازي على ما اخترناه كون الهيئة الاستثنائية حقيقة في الإخراج ، فلا ينافي كون المراد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 جماعة من أفراد هذا الجنس ، يعني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 المسلم المتحقّق في ضمن أفراد حقيقة ، كون </w:t>
      </w:r>
      <w:r>
        <w:rPr>
          <w:rStyle w:val="FootnoteAnchor"/>
          <w:rtl w:val="true"/>
        </w:rPr>
        <w:footnoteReference w:id="188"/>
      </w:r>
      <w:r>
        <w:rPr>
          <w:rFonts w:ascii="Amiri" w:hAnsi="Amiri" w:eastAsia="Amiri" w:cs="Amiri"/>
          <w:color w:val="111111"/>
          <w:sz w:val="28"/>
          <w:sz w:val="28"/>
          <w:szCs w:val="28"/>
          <w:rtl w:val="true"/>
          <w:lang w:bidi="ar-SA"/>
        </w:rPr>
        <w:t>لفظ المسلم في هذه الكلمة مجازا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اعتبرنا دلالة الكلمة على الجنس ودلالة علامة الجمع والعهد وتعيين الماهيّة على مدلولها ، وإن جعلناها كلمة واحدة موضوعة بالاستقلال لمجموع هذا المعنى ، فوجه الدّفع أنّ الاستدلال قياس مع الفارق ، لكون المقيس عليه كلمة مستقلّة موضوعة بوضع واحد ، ولم يلاحظ فيها دلالة القيد والمقيّد ، بل وضع مجموع اللّفظ بإزاء مجموع المعنى ، بخلاف المقيس ، فإنّه أريد من كلّ كلمة منه معنى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المجموع عبارة عن الباقي بعنوان الحقيقة ، فهو مع بطلانه كما بيّنا سابقا لا يلائم ظاهر الاستدلال من ملاحظة العلّة المستنبطة في قياسه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المستدلّ إن أراد مقايسة المركّبات المذكورة ، التي هي موضوعة بوضع حقيقي نوعيّ لمعان مركّبة معهودة في كونها حقيقة في معانيها التركيبيّة الحقيقيّة على المفردات المشتقّة الموضوعة بالوضع النوعي للمعاني المنحلّة بأجزاء متعدّدة ، مع قطع النظر عن ملاحظة مفرداتها وأجزائها </w:t>
      </w:r>
      <w:r>
        <w:rPr>
          <w:rStyle w:val="FootnoteAnchor"/>
          <w:rtl w:val="true"/>
        </w:rPr>
        <w:footnoteReference w:id="189"/>
      </w:r>
      <w:r>
        <w:rPr>
          <w:rFonts w:ascii="Amiri" w:hAnsi="Amiri" w:eastAsia="Amiri" w:cs="Amiri"/>
          <w:color w:val="111111"/>
          <w:sz w:val="28"/>
          <w:sz w:val="28"/>
          <w:szCs w:val="28"/>
          <w:rtl w:val="true"/>
          <w:lang w:bidi="ar-SA"/>
        </w:rPr>
        <w:t>؛ فلا ريب أنّه ليس من محلّ النزاع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كلّ منهما </w:t>
      </w:r>
      <w:r>
        <w:rPr>
          <w:rStyle w:val="FootnoteAnchor"/>
          <w:rtl w:val="true"/>
        </w:rPr>
        <w:footnoteReference w:id="190"/>
      </w:r>
      <w:r>
        <w:rPr>
          <w:rFonts w:ascii="Amiri" w:hAnsi="Amiri" w:eastAsia="Amiri" w:cs="Amiri"/>
          <w:color w:val="111111"/>
          <w:sz w:val="28"/>
          <w:sz w:val="28"/>
          <w:szCs w:val="28"/>
          <w:rtl w:val="true"/>
          <w:lang w:bidi="ar-SA"/>
        </w:rPr>
        <w:t>حقيقة في معانيها ، متّفق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أراد مقايسة بعض أجزائها ، وهي المقيّدات بباقي الأجزاء في كونها حقيقة على أجزاء المفردات المقيّدة ، فثبوت الحقيقة في المقيس عليه أوّل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ادّعى في المفردات وضعا مستقلّا ، فلا مناسبة حينئذ بين المقيس والمقيس عليه ، ولا جامع بينهما </w:t>
      </w:r>
      <w:r>
        <w:rPr>
          <w:rStyle w:val="FootnoteAnchor"/>
          <w:rtl w:val="true"/>
        </w:rPr>
        <w:footnoteReference w:id="191"/>
      </w:r>
      <w:r>
        <w:rPr>
          <w:rFonts w:ascii="IRNazanin" w:hAnsi="IRNazanin" w:eastAsia="IRNazanin"/>
          <w:color w:val="111111"/>
          <w:sz w:val="28"/>
          <w:sz w:val="28"/>
          <w:szCs w:val="28"/>
          <w:rtl w:val="true"/>
          <w:lang w:bidi="fa-IR"/>
        </w:rPr>
        <w:t>على ما هو ظاهر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هذا يظهر جواب من أراد الاستدلال بهذا الدليل على كون العامّ مع المخصّص حقيقة في الباقي ، إذ الفرق واضح بين المقيس والمقيس عليه حينئذ </w:t>
      </w:r>
      <w:r>
        <w:rPr>
          <w:rStyle w:val="FootnoteAnchor"/>
          <w:rtl w:val="true"/>
        </w:rPr>
        <w:footnoteReference w:id="192"/>
      </w:r>
      <w:r>
        <w:rPr>
          <w:rFonts w:ascii="Amiri" w:hAnsi="Amiri" w:eastAsia="Amiri" w:cs="Amiri"/>
          <w:color w:val="111111"/>
          <w:sz w:val="28"/>
          <w:sz w:val="28"/>
          <w:szCs w:val="28"/>
          <w:rtl w:val="true"/>
          <w:lang w:bidi="ar-SA"/>
        </w:rPr>
        <w:t>، وذلك الوضع لم يثبت في المقيس ، ولا معنى للقياس هنا في إثبات الوضع ، كما لا يخفى ، فإنّ الوضع لم يثبت حينئذ في المقيس عليه من جهة اختلاف المعنى بسبب القيد حتّى يقال أنّه موجود في المقيس ، بل بسبب جعل الواضع ، وهو فيما نحن فيه ،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المثال الأخير وجعله مقيسا عليه ، ووجهه ، أنّ الخصم يفرّق بين أسماء العدد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الفرق بينهما ، ووجهه ما تقدّم في المقدّمات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الخصم لعلّه يقول في المثال المذكور ، بأنّ المراد بالألف تمام المدلول ، وأنّ الإخراج وقع قبل الإسناد والحكم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من فساد هذه الطريقة ، أنّه </w:t>
      </w:r>
      <w:r>
        <w:rPr>
          <w:rStyle w:val="FootnoteAnchor"/>
          <w:rtl w:val="true"/>
        </w:rPr>
        <w:footnoteReference w:id="193"/>
      </w:r>
      <w:r>
        <w:rPr>
          <w:rFonts w:ascii="Amiri" w:hAnsi="Amiri" w:eastAsia="Amiri" w:cs="Amiri"/>
          <w:color w:val="111111"/>
          <w:sz w:val="28"/>
          <w:sz w:val="28"/>
          <w:szCs w:val="28"/>
          <w:rtl w:val="true"/>
          <w:lang w:bidi="ar-SA"/>
        </w:rPr>
        <w:t xml:space="preserve">مبنيّ على الفرق بين أسماء العدد وغيرها في ذلك </w:t>
      </w:r>
      <w:r>
        <w:rPr>
          <w:rStyle w:val="FootnoteAnchor"/>
          <w:rtl w:val="true"/>
        </w:rPr>
        <w:footnoteReference w:id="194"/>
      </w:r>
      <w:r>
        <w:rPr>
          <w:rFonts w:ascii="Amiri" w:hAnsi="Amiri" w:eastAsia="Amiri" w:cs="Amiri"/>
          <w:color w:val="111111"/>
          <w:sz w:val="28"/>
          <w:sz w:val="28"/>
          <w:szCs w:val="28"/>
          <w:rtl w:val="true"/>
          <w:lang w:bidi="ar-SA"/>
        </w:rPr>
        <w:t>، وهو غير ظاهر الوجه والقائل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التفصيل الثالث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الحجّة السّابقة ، واستثناء الصّفة وغيرها لكونها عند القائل من قبيل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حجّة التفصيل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الحجّة السّابقة ، وضعفها غنيّ عن البيان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حجّة القول الأخير ، وهو قول فخر الدّين ،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أراه اجتماع جهتي الحقيقة والمجاز في اللّفظ ، لأنّ تناوله لبقيّة المسمّيات لا تجوّز فيه ، فهو من هذا الوجه حقيقة في المتناول ، واختصاصه بها وقصوره عمّا عداها ، جهة في التجوّز </w:t>
      </w:r>
      <w:r>
        <w:rPr>
          <w:rStyle w:val="FootnoteAnchor"/>
          <w:rtl w:val="true"/>
        </w:rPr>
        <w:footnoteReference w:id="196"/>
      </w:r>
      <w:r>
        <w:rPr>
          <w:rFonts w:ascii="Amiri" w:hAnsi="Amiri" w:eastAsia="Amiri" w:cs="Amiri"/>
          <w:color w:val="111111"/>
          <w:sz w:val="28"/>
          <w:sz w:val="28"/>
          <w:szCs w:val="28"/>
          <w:rtl w:val="true"/>
          <w:lang w:bidi="ar-SA"/>
        </w:rPr>
        <w:t>، وضعفه ظاهر ممّا مرّ</w:t>
      </w:r>
      <w:r>
        <w:rPr>
          <w:rFonts w:eastAsia="Amiri" w:cs="Amiri" w:ascii="Amiri" w:hAnsi="Amiri"/>
          <w:color w:val="111111"/>
          <w:sz w:val="28"/>
          <w:szCs w:val="28"/>
          <w:rtl w:val="true"/>
          <w:lang w:bidi="ar-SA"/>
        </w:rPr>
        <w:t xml:space="preserve">. </w:t>
      </w:r>
      <w:bookmarkStart w:id="33" w:name="pg14071_148859"/>
    </w:p>
    <w:p>
      <w:pPr>
        <w:pStyle w:val="Heading3"/>
        <w:numPr>
          <w:ilvl w:val="2"/>
          <w:numId w:val="1"/>
        </w:numPr>
        <w:rPr/>
      </w:pPr>
      <w:bookmarkStart w:id="34" w:name="__RefHeading___Toc495013_1738255347"/>
      <w:bookmarkStart w:id="35" w:name="_Toc12"/>
      <w:bookmarkEnd w:id="33"/>
      <w:bookmarkEnd w:id="34"/>
      <w:r>
        <w:rPr>
          <w:rtl w:val="true"/>
        </w:rPr>
        <w:t>قانون</w:t>
      </w:r>
      <w:bookmarkEnd w:id="35"/>
    </w:p>
    <w:p>
      <w:pPr>
        <w:pStyle w:val="BookText"/>
        <w:rPr/>
      </w:pPr>
      <w:r>
        <w:rPr>
          <w:rFonts w:ascii="Amiri" w:hAnsi="Amiri" w:eastAsia="Amiri" w:cs="Amiri"/>
          <w:color w:val="111111"/>
          <w:sz w:val="28"/>
          <w:sz w:val="28"/>
          <w:szCs w:val="28"/>
          <w:rtl w:val="true"/>
          <w:lang w:bidi="ar-SA"/>
        </w:rPr>
        <w:t xml:space="preserve">العامّ المخصّص بمجمل ليس بحجّة اتفاقا </w:t>
      </w:r>
      <w:r>
        <w:rPr>
          <w:rStyle w:val="FootnoteAnchor"/>
          <w:rtl w:val="true"/>
        </w:rPr>
        <w:footnoteReference w:id="197"/>
      </w:r>
      <w:r>
        <w:rPr>
          <w:rFonts w:ascii="Amiri" w:hAnsi="Amiri" w:eastAsia="Amiri" w:cs="Amiri"/>
          <w:color w:val="111111"/>
          <w:sz w:val="28"/>
          <w:sz w:val="28"/>
          <w:szCs w:val="28"/>
          <w:rtl w:val="true"/>
          <w:lang w:bidi="ar-SA"/>
        </w:rPr>
        <w:t xml:space="preserve">، فإن كان مجملا من جميع الوجوه ، ففي الجميع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أُحِلَّتْ لَكُمْ بَهِيمَةُ الْأَنْعامِ إِلَّا ما يُتْلى عَلَيْكُمْ</w:t>
      </w:r>
      <w:r>
        <w:rPr>
          <w:rFonts w:eastAsia="Amiri" w:cs="Amiri" w:ascii="Amiri" w:hAnsi="Amiri"/>
          <w:color w:val="111111"/>
          <w:sz w:val="28"/>
          <w:szCs w:val="28"/>
          <w:rtl w:val="true"/>
          <w:lang w:bidi="ar-SA"/>
        </w:rPr>
        <w:t xml:space="preserve">. ) </w:t>
      </w:r>
      <w:r>
        <w:rPr>
          <w:rStyle w:val="FootnoteAnchor"/>
          <w:rtl w:val="true"/>
        </w:rPr>
        <w:footnoteReference w:id="198"/>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المشركين إلّا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إجماله في الجملة ، ففي قدر الإجمال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بعض اليهود ، فلا إجمال في غير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المخصّص بمبيّن فالمعروف من مذهب أصحابنا ، الحجيّة في الباقي مطلقا ، ونقل بعض الأصحاب اتّفاقهم على ذلك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العامّة </w:t>
      </w:r>
      <w:r>
        <w:rPr>
          <w:rStyle w:val="FootnoteAnchor"/>
          <w:rtl w:val="true"/>
        </w:rPr>
        <w:footnoteReference w:id="200"/>
      </w:r>
      <w:r>
        <w:rPr>
          <w:rFonts w:ascii="Amiri" w:hAnsi="Amiri" w:eastAsia="Amiri" w:cs="Amiri"/>
          <w:color w:val="111111"/>
          <w:sz w:val="28"/>
          <w:sz w:val="28"/>
          <w:szCs w:val="28"/>
          <w:rtl w:val="true"/>
          <w:lang w:bidi="ar-SA"/>
        </w:rPr>
        <w:t xml:space="preserve">،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الحجيّة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 الحجيّة بما لو كان المخصّص متّصلا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بحجيّته في أقلّ الجمع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بالحجيّة فيما لو كان العامّ منبئا عن الباقي قبل التخصيص </w:t>
      </w:r>
      <w:r>
        <w:rPr>
          <w:rStyle w:val="FootnoteAnchor"/>
          <w:rtl w:val="true"/>
        </w:rPr>
        <w:footnoteReference w:id="20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كالمشركين بالنسبة الى الحربي </w:t>
      </w:r>
      <w:r>
        <w:rPr>
          <w:rStyle w:val="FootnoteAnchor"/>
          <w:rtl w:val="true"/>
        </w:rPr>
        <w:footnoteReference w:id="204"/>
      </w:r>
      <w:r>
        <w:rPr>
          <w:rFonts w:ascii="Amiri" w:hAnsi="Amiri" w:eastAsia="Amiri" w:cs="Amiri"/>
          <w:color w:val="111111"/>
          <w:sz w:val="28"/>
          <w:sz w:val="28"/>
          <w:szCs w:val="28"/>
          <w:rtl w:val="true"/>
          <w:lang w:bidi="ar-SA"/>
        </w:rPr>
        <w:t>، بخلاف مثل السّارق ، فإنّه لا ينصرف الذّهن منه الى من يسرق ربع دينار فما فوقها من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 الحجيّة بما لو كان العامّ قبل التخصيص غير محتاج الى البيان </w:t>
      </w:r>
      <w:r>
        <w:rPr>
          <w:rStyle w:val="FootnoteAnchor"/>
          <w:rtl w:val="true"/>
        </w:rPr>
        <w:footnoteReference w:id="205"/>
      </w:r>
      <w:r>
        <w:rPr>
          <w:rFonts w:ascii="Amiri" w:hAnsi="Amiri" w:eastAsia="Amiri" w:cs="Amiri"/>
          <w:color w:val="111111"/>
          <w:sz w:val="28"/>
          <w:sz w:val="28"/>
          <w:szCs w:val="28"/>
          <w:rtl w:val="true"/>
          <w:lang w:bidi="ar-SA"/>
        </w:rPr>
        <w:t xml:space="preserve">كالمشركين قبل إخراج الذّمي بخلاف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 </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قبل إخراج الحائض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إرادة الباقي بحيث لا يتوقّف أهل العرف في فهم ذلك حتّى ينصب قرينة أخرى عليه غير المخصّص ، ولذلك ترى العقلاء يذمّون عبدا قال له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من دخل داري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 إذا ترك إكرام غير زيد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 العامّ كان حجّة في الباقي في ضمن الجميع قبل التخصيص ، بمعنى أنّه كان بحيث يجب العمل على مقتضاه في كلّ واحد من الأفراد ، خرج المخرج بالدّليل ، وبقي الباقي ، فيستصحب </w:t>
      </w:r>
      <w:r>
        <w:rPr>
          <w:rStyle w:val="FootnoteAnchor"/>
          <w:rtl w:val="true"/>
        </w:rPr>
        <w:footnoteReference w:id="208"/>
      </w:r>
      <w:r>
        <w:rPr>
          <w:rFonts w:ascii="Amiri" w:hAnsi="Amiri" w:eastAsia="Amiri" w:cs="Amiri"/>
          <w:color w:val="111111"/>
          <w:sz w:val="28"/>
          <w:sz w:val="28"/>
          <w:szCs w:val="28"/>
          <w:rtl w:val="true"/>
          <w:lang w:bidi="ar-SA"/>
        </w:rPr>
        <w:t>حجّيّته في الباقي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بعضهم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متناولا للباقي قبل التخصيص وهو مستصحب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أراد التناول الواقعي ، فهو غلط لعدم العلم به ولزوم البداء في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التناول الظّاهري ، فلا معنى لاستصحاب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استصحاب حكم التناول الظاهري ، فهو 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أيضا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السّلف من العلماء وأهل العصمة عليهم‌السلام بالعمومات المخصّصة بحيث لا يقبل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أيضا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لم يكن حجّة في الباقي ، لكانت إفادة العامّ لدخول الباقي موقوفة على إفادته للمخرج ، فلو كانت إفادته للمخرج أيضا متوقّفة على ذلك ، لزم الدّور ، وإلّا لزم الترجيح بلا مرجّح وهو ضعيف ، لأنّه دور معيّة </w:t>
      </w:r>
      <w:r>
        <w:rPr>
          <w:rStyle w:val="FootnoteAnchor"/>
          <w:rtl w:val="true"/>
        </w:rPr>
        <w:footnoteReference w:id="212"/>
      </w:r>
      <w:r>
        <w:rPr>
          <w:rFonts w:ascii="Amiri" w:hAnsi="Amiri" w:eastAsia="Amiri" w:cs="Amiri"/>
          <w:color w:val="111111"/>
          <w:sz w:val="28"/>
          <w:sz w:val="28"/>
          <w:szCs w:val="28"/>
          <w:rtl w:val="true"/>
          <w:lang w:bidi="ar-SA"/>
        </w:rPr>
        <w:t>كالمتضايفين واللّبنتين المتساندتين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المنكر مطلقا بوجهين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العموم غير مراد ، والباقي أحد من المجازات ، فلا يتعيّن الحمل </w:t>
      </w:r>
    </w:p>
    <w:p>
      <w:pPr>
        <w:pStyle w:val="BookText"/>
        <w:rPr/>
      </w:pPr>
      <w:r>
        <w:rPr>
          <w:rFonts w:ascii="Amiri" w:hAnsi="Amiri" w:eastAsia="Amiri" w:cs="Amiri"/>
          <w:color w:val="111111"/>
          <w:sz w:val="28"/>
          <w:sz w:val="28"/>
          <w:szCs w:val="28"/>
          <w:rtl w:val="true"/>
          <w:lang w:bidi="ar-SA"/>
        </w:rPr>
        <w:t xml:space="preserve">عليه لاحتمال إرادة سائر مراتب الخصوص ، ولا مرجّح ، فيصير مجملا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بالتخصيص عن كونه ظاهرا ، وما لا يكون ظاهرا لا يكون حجّة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الإجمال وعدم المرجّح ، إذ الأقربيّة الى العامّ مرجّح ومدار مباحث الألفاظ على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التبادر علامة الحقيقة ، فظهور العلاقة علامة تعيين المجاز ، ولذلك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يرمي ، لتبادر الى الذّهن معنى الشجاع لا البخر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العامّ المخصّص سيّما مع ملاحظة عدم ذكر مخصّص آخر معه ، ينصرف منه الباقي لكونه أقرب الى أصل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وكفاك في المرجّح ما ذكرنا من الأدلّة ، مع أنّ الوقوع في كلام الحكيم أيضا يصرفه عن الإجمال ، لا بمعنى أنّه لا يقع المجمل في كلام الحكيم أبدا لوقوعه في الجملة كما لا يخفى ، بل بمعنى أنّ الأصل والقاعدة الناشئة عن الحكمة ، والاعتبار يقتضي عدمه حتّى يثبت بالدّليل وقوعه ، كحمل كلامه على خلاف الظاهر إذا دلّ الدليل عليه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والحمل على أقلّ الجمع كما ذكره القائل به ، وإن كان يدفع الإجمال ، لكنّ الحمل على تمام الباقي أولي منه لضعف دليله </w:t>
      </w:r>
      <w:r>
        <w:rPr>
          <w:rStyle w:val="FootnoteAnchor"/>
          <w:rtl w:val="true"/>
        </w:rPr>
        <w:footnoteReference w:id="215"/>
      </w:r>
      <w:r>
        <w:rPr>
          <w:rFonts w:ascii="Amiri" w:hAnsi="Amiri" w:eastAsia="Amiri" w:cs="Amiri"/>
          <w:color w:val="111111"/>
          <w:sz w:val="28"/>
          <w:sz w:val="28"/>
          <w:szCs w:val="28"/>
          <w:rtl w:val="true"/>
          <w:lang w:bidi="ar-SA"/>
        </w:rPr>
        <w:t xml:space="preserve">، لظهور الفرق بين الجمع والعامّ كما مرّ ، ولا قائل بإرادة غيرهما بالخصوص ، مضافا الى ما سنذكره في بطلان ذلك القول أيضا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وممّا ذكرنا ، يظهر الجواب عن الثاني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الإشكال في أنّ مقتضى محلّ النزاع أنّ القول بعدم الحجيّة مطلق </w:t>
      </w:r>
      <w:r>
        <w:rPr>
          <w:rStyle w:val="FootnoteAnchor"/>
          <w:rtl w:val="true"/>
        </w:rPr>
        <w:footnoteReference w:id="218"/>
      </w:r>
      <w:r>
        <w:rPr>
          <w:rFonts w:ascii="Amiri" w:hAnsi="Amiri" w:eastAsia="Amiri" w:cs="Amiri"/>
          <w:color w:val="111111"/>
          <w:sz w:val="28"/>
          <w:sz w:val="28"/>
          <w:szCs w:val="28"/>
          <w:rtl w:val="true"/>
          <w:lang w:bidi="ar-SA"/>
        </w:rPr>
        <w:t>، وهذا الدّليل يقتضي اختصاصه بالقول بكون العامّ المخصوص مجازا في الباقي ، ولا ينهض على من قال بأنّه حقيقة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ذلك وكيف يجتمع هذا </w:t>
      </w:r>
      <w:r>
        <w:rPr>
          <w:rStyle w:val="FootnoteAnchor"/>
          <w:rtl w:val="true"/>
        </w:rPr>
        <w:footnoteReference w:id="219"/>
      </w:r>
      <w:r>
        <w:rPr>
          <w:rFonts w:ascii="Amiri" w:hAnsi="Amiri" w:eastAsia="Amiri" w:cs="Amiri"/>
          <w:color w:val="111111"/>
          <w:sz w:val="28"/>
          <w:sz w:val="28"/>
          <w:szCs w:val="28"/>
          <w:rtl w:val="true"/>
          <w:lang w:bidi="ar-SA"/>
        </w:rPr>
        <w:t>مع الكلام في القانون السّابق ، فإنّ الكلام ثمّة يقتضي حجّيّته في الباقي سواء كان حقيقة أو مجازا ، لأنّ كلّا من الحقيقة والمجاز ظاهر في معناه ، والكلام هاهنا يقتضي الخلاف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هنا الاستدلال </w:t>
      </w:r>
      <w:r>
        <w:rPr>
          <w:rStyle w:val="FootnoteAnchor"/>
          <w:rtl w:val="true"/>
        </w:rPr>
        <w:footnoteReference w:id="220"/>
      </w:r>
      <w:r>
        <w:rPr>
          <w:rFonts w:ascii="Amiri" w:hAnsi="Amiri" w:eastAsia="Amiri" w:cs="Amiri"/>
          <w:color w:val="111111"/>
          <w:sz w:val="28"/>
          <w:sz w:val="28"/>
          <w:szCs w:val="28"/>
          <w:rtl w:val="true"/>
          <w:lang w:bidi="ar-SA"/>
        </w:rPr>
        <w:t xml:space="preserve">بحيث ينهض على القول بالحقيقة ، بأنّ مراد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المخصّص حقيقة في الباقي ، أنّه حقيقة فيه من حيث إنّه أحد أبعاض العامّ لا إنّه حقيقة في الباقي من حيث إنّه تمام الباقي ، فحينئذ يقال في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 الباقي أحد الحقائق ، فلا يحمل عليه بخصوصه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يجري على القول بكون المجموع اسما للباقي </w:t>
      </w:r>
      <w:r>
        <w:rPr>
          <w:rStyle w:val="FootnoteAnchor"/>
          <w:rtl w:val="true"/>
        </w:rPr>
        <w:footnoteReference w:id="221"/>
      </w:r>
      <w:r>
        <w:rPr>
          <w:rFonts w:ascii="Amiri" w:hAnsi="Amiri" w:eastAsia="Amiri" w:cs="Amiri"/>
          <w:color w:val="111111"/>
          <w:sz w:val="28"/>
          <w:sz w:val="28"/>
          <w:szCs w:val="28"/>
          <w:rtl w:val="true"/>
          <w:lang w:bidi="ar-SA"/>
        </w:rPr>
        <w:t xml:space="preserve">، فكما لا يقول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السّبعة مثلا اسم لهذا العدد فما دونها ، كذلك لا ينبغي أن يجوّز ذلك في عشرة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القول بأنّ الإسناد وقع بعد الإخراج ، فإنّ المراد بلفظ </w:t>
      </w:r>
    </w:p>
    <w:p>
      <w:pPr>
        <w:pStyle w:val="BookText"/>
        <w:rPr/>
      </w:pPr>
      <w:r>
        <w:rPr>
          <w:rFonts w:ascii="Amiri" w:hAnsi="Amiri" w:eastAsia="Amiri" w:cs="Amiri"/>
          <w:color w:val="111111"/>
          <w:sz w:val="28"/>
          <w:sz w:val="28"/>
          <w:szCs w:val="28"/>
          <w:rtl w:val="true"/>
          <w:lang w:bidi="ar-SA"/>
        </w:rPr>
        <w:t>العامّ هو معناه الحقيقي الأصلي إلّا الباقي فقط ، فهو عين الحقيقة لا أحد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القول بأنّه حقيقة في الباقي </w:t>
      </w:r>
      <w:r>
        <w:rPr>
          <w:rStyle w:val="FootnoteAnchor"/>
          <w:rtl w:val="true"/>
        </w:rPr>
        <w:footnoteReference w:id="222"/>
      </w:r>
      <w:r>
        <w:rPr>
          <w:rFonts w:ascii="Amiri" w:hAnsi="Amiri" w:eastAsia="Amiri" w:cs="Amiri"/>
          <w:color w:val="111111"/>
          <w:sz w:val="28"/>
          <w:sz w:val="28"/>
          <w:szCs w:val="28"/>
          <w:rtl w:val="true"/>
          <w:lang w:bidi="ar-SA"/>
        </w:rPr>
        <w:t>، لاستصحاب التناول السّابق وعدم منافاة عدم تناول الغير لتناول الباقي ، فإنّ ظاهره أنّه لم يطرأ عليه شيء إلّا خروج ما أخرجه المخصّص ، فلا يبقى إلّا تمام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يجري على الدّليل الآخر الذي هو سبق الباقي الى الذّهن ، فإنّه لا معنى لسبق أحد الأبعاض من دون تعيين ، ولا على القول بكونه حقيقة فيما لو بقي غير منحصر ، لأنّ هذا القول منهم ليس لأنّه أحد أبعاض العامّ ، كما هو مناط التوجيه في الاستدلال ، بل لأنّه هو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النّزاع هنا إنّما هو على القول بمجازيّة لفظ العامّ في الباقي كما هو المختار في القانون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المفصّل بالمتّصل والمنفصل أيضا مبنيّ على ذلك ، فإنّه مبنيّ على أنّ المخصّص بالمنفصل مجاز دون المتّصل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التفصيلات الأخر في المسألة أيضا على هذا ناظرة الى ملاحظة مناسبة بعض المجازات للعامّ دون بعض ، بحسب المقامات ، فإنّ ما أنبأ عن الباقي قبل التخصيص أقوى </w:t>
      </w:r>
      <w:r>
        <w:rPr>
          <w:rStyle w:val="FootnoteAnchor"/>
          <w:rtl w:val="true"/>
        </w:rPr>
        <w:footnoteReference w:id="224"/>
      </w:r>
      <w:r>
        <w:rPr>
          <w:rFonts w:ascii="Amiri" w:hAnsi="Amiri" w:eastAsia="Amiri" w:cs="Amiri"/>
          <w:color w:val="111111"/>
          <w:sz w:val="28"/>
          <w:sz w:val="28"/>
          <w:szCs w:val="28"/>
          <w:rtl w:val="true"/>
          <w:lang w:bidi="ar-SA"/>
        </w:rPr>
        <w:t>من غير المنبئ ، وكذلك ما لا يحتاج الى البيان أقوى ممّا يحتاج إليه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 من قال بالحجيّة في أقلّ الجمع ، هو أنّ أقلّ الجمع هو المتيقّن من بين </w:t>
      </w:r>
    </w:p>
    <w:p>
      <w:pPr>
        <w:pStyle w:val="BookText"/>
        <w:rPr/>
      </w:pPr>
      <w:r>
        <w:rPr>
          <w:rFonts w:ascii="Amiri" w:hAnsi="Amiri" w:eastAsia="Amiri" w:cs="Amiri"/>
          <w:color w:val="111111"/>
          <w:sz w:val="28"/>
          <w:sz w:val="28"/>
          <w:szCs w:val="28"/>
          <w:rtl w:val="true"/>
          <w:lang w:bidi="ar-SA"/>
        </w:rPr>
        <w:t>المجازات ، يعني جميع أفراد الباقي ، والزّائد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حاصل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قلنا بأنّ العامّ لم يستعمل في معنى مجازي وبنينا على القول بالحقيقة في القانون السّابق ، فلا مناص عن الحجيّة ، وإن قلنا بالمجازيّة فيجيء فيه هذا الخلاف المذكور في هذا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يندفع المنافاة المتوهّمة بين الأصلين </w:t>
      </w:r>
      <w:r>
        <w:rPr>
          <w:rStyle w:val="FootnoteAnchor"/>
          <w:rtl w:val="true"/>
        </w:rPr>
        <w:footnoteReference w:id="22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أنّ ما ذكر في الترديد </w:t>
      </w:r>
      <w:r>
        <w:rPr>
          <w:rStyle w:val="FootnoteAnchor"/>
          <w:rtl w:val="true"/>
        </w:rPr>
        <w:footnoteReference w:id="226"/>
      </w:r>
      <w:r>
        <w:rPr>
          <w:rFonts w:ascii="Amiri" w:hAnsi="Amiri" w:eastAsia="Amiri" w:cs="Amiri"/>
          <w:color w:val="111111"/>
          <w:sz w:val="28"/>
          <w:sz w:val="28"/>
          <w:szCs w:val="28"/>
          <w:rtl w:val="true"/>
          <w:lang w:bidi="ar-SA"/>
        </w:rPr>
        <w:t>لا يدفع التوجيه المذكور ، لأنّ مراد من يقول بأنّه حقيقة في الباقي أنّه حقيقة فيما لم يخرج عن حكم العامّ ، فلو فرض تخصيص تمام الباقي ، مرّة أخرى وكرّة بعد أولى ، بل وكرّات متعدّدة ، ولم نطّلع إلّا على التخصيص الأوّل ، فاحتمال التخصيصات حاصل عند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القائل بكونه حقيقة في الباقي ، يقول بالحقيقة في المرّة الأخيرة أيضا ، كما هو مقتضى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بالباقي ما لم يثبت خروجه بهذا التخصيص وإن احتمل خروجه عنه بتخصيص آخر ، وحينئذ فالعامّ محتمل لحقائق متعدّدة ، فإذا قامت القرينة على عدم إرادة الجميع ، فيتساوى احتمال سائر الحقائق ، ويتمّ الدّليل ، إذ الكلام في هذا المقام بعد تسليم تصحيح هذا القسم من الحقيقة ، فيصير ذلك نظير إطلاق العامّ المنطقي على أفراده من حيث وجوده في ضمن كلّ واحد ، لا من حيث الخصوص</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تسليم ذلك </w:t>
      </w:r>
      <w:r>
        <w:rPr>
          <w:rStyle w:val="FootnoteAnchor"/>
          <w:rtl w:val="true"/>
        </w:rPr>
        <w:footnoteReference w:id="227"/>
      </w:r>
      <w:r>
        <w:rPr>
          <w:rFonts w:ascii="Amiri" w:hAnsi="Amiri" w:eastAsia="Amiri" w:cs="Amiri"/>
          <w:color w:val="111111"/>
          <w:sz w:val="28"/>
          <w:sz w:val="28"/>
          <w:szCs w:val="28"/>
          <w:rtl w:val="true"/>
          <w:lang w:bidi="ar-SA"/>
        </w:rPr>
        <w:t xml:space="preserve">، فمنع جريان الاستدلال مكابرة ، فيتمّ الكلام فيه مثل </w:t>
      </w:r>
    </w:p>
    <w:p>
      <w:pPr>
        <w:pStyle w:val="BookText"/>
        <w:rPr/>
      </w:pPr>
      <w:r>
        <w:rPr>
          <w:rFonts w:ascii="Amiri" w:hAnsi="Amiri" w:eastAsia="Amiri" w:cs="Amiri"/>
          <w:color w:val="111111"/>
          <w:sz w:val="28"/>
          <w:sz w:val="28"/>
          <w:szCs w:val="28"/>
          <w:rtl w:val="true"/>
          <w:lang w:bidi="ar-SA"/>
        </w:rPr>
        <w:t>القول بالمجازيّة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Style w:val="FootnoteAnchor"/>
          <w:rtl w:val="true"/>
        </w:rPr>
        <w:footnoteReference w:id="228"/>
      </w:r>
      <w:r>
        <w:rPr>
          <w:rFonts w:ascii="Amiri" w:hAnsi="Amiri" w:eastAsia="Amiri" w:cs="Amiri"/>
          <w:color w:val="111111"/>
          <w:sz w:val="28"/>
          <w:sz w:val="28"/>
          <w:szCs w:val="28"/>
          <w:rtl w:val="true"/>
          <w:lang w:bidi="ar-SA"/>
        </w:rPr>
        <w:t xml:space="preserve">، تقدر بعد التأمّل على إجراء الدّليل على جميع الأقوال في الحقيقة ، فإنّ مراد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عشرة إلّا ثلاثة اسم للسّبعة ، لعلّة كون المستثنى والمستثنى منه اسما للباقي ، وذكر السّبعة بعنوان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الكلام السّابق في الباقي ، من أنّه يحتمل مراتب متعدّدة كلّها معنى حقيقي لمجموع التركيب على قول هذا القائل ، وكذلك الكلام على القول بكونه حقيقة في غير المحصور ، لأنّ لغير المحصور أيضا مراتب متعدّدة كلّها معنى حقيقي للعامّ على قول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يخدش في ذلك ، أنّ ذلك إنّما يتمّ فيما كان أفراد العامّ غير محصور واحتمل التخصيص مراتب متعدّدة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بكون الإسناد الى الباقي بعد الإخراج ، فأنّت بعد التأمّل فيما ذكرنا في بطلان هذا القول ، تعلم أنّ الكلام في الحجّيّة ، وعدم الحجّيّة إنّما يرجع الى الحكم والإسناد المتعلّق باللّفظ ، وقد فرض أنّه ليس إلّا بالنسبة الى الباقي ، والتخصيص لم يتحقّق فيه بالنسبة الى لفظ العامّ ، بل إنّما تحقّق بالنسبة الى الإسناد والحكم ، فإذا خصّ الإسناد بغير القدر المخرج ، فهو يحتمل المراتب المتعدّدة ، ويجري فيه الكلام السّابق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w:t>
      </w:r>
      <w:r>
        <w:rPr>
          <w:rStyle w:val="FootnoteAnchor"/>
          <w:rtl w:val="true"/>
        </w:rPr>
        <w:footnoteReference w:id="229"/>
      </w:r>
      <w:r>
        <w:rPr>
          <w:rFonts w:ascii="Amiri" w:hAnsi="Amiri" w:eastAsia="Amiri" w:cs="Amiri"/>
          <w:color w:val="111111"/>
          <w:sz w:val="28"/>
          <w:sz w:val="28"/>
          <w:szCs w:val="28"/>
          <w:rtl w:val="true"/>
          <w:lang w:bidi="ar-SA"/>
        </w:rPr>
        <w:t xml:space="preserve">، يظهر اندفاع المنافاة بين الأصلين أيضا ، إذ الحقيقة والمجاز </w:t>
      </w:r>
    </w:p>
    <w:p>
      <w:pPr>
        <w:pStyle w:val="BookText"/>
        <w:rPr/>
      </w:pPr>
      <w:r>
        <w:rPr>
          <w:rFonts w:ascii="Amiri" w:hAnsi="Amiri" w:eastAsia="Amiri" w:cs="Amiri"/>
          <w:color w:val="111111"/>
          <w:sz w:val="28"/>
          <w:sz w:val="28"/>
          <w:szCs w:val="28"/>
          <w:rtl w:val="true"/>
          <w:lang w:bidi="ar-SA"/>
        </w:rPr>
        <w:t xml:space="preserve">لا يستلزمان الظهور والحجّيّة في جميع الأحوال ، بل إنّما هو إذا لم يطرأهما إجمال ، فقد يحتاج الحقيقة الى القرينة كما في المشترك ، وكذلك المجاز إذا تعدّدت المجازات ، بل وكذلك المشترك المعنوي إذا أريد منه فرد معيّن ، فإنّ معرفة أنّ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مِنْ أَقْصَى الْمَدِينَةِ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هو الحبيب النجّار يحتاج الى القرينة ، مع أنّه حقيقة على الظاهر كما بيّناه في مباحث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القانون السّابق </w:t>
      </w:r>
      <w:r>
        <w:rPr>
          <w:rStyle w:val="FootnoteAnchor"/>
          <w:rtl w:val="true"/>
        </w:rPr>
        <w:footnoteReference w:id="231"/>
      </w:r>
      <w:r>
        <w:rPr>
          <w:rFonts w:ascii="Amiri" w:hAnsi="Amiri" w:eastAsia="Amiri" w:cs="Amiri"/>
          <w:color w:val="111111"/>
          <w:sz w:val="28"/>
          <w:sz w:val="28"/>
          <w:szCs w:val="28"/>
          <w:rtl w:val="true"/>
          <w:lang w:bidi="ar-SA"/>
        </w:rPr>
        <w:t xml:space="preserve">إنّما هو بعد تسليم الحجّيّة ، فلا منافاة </w:t>
      </w:r>
      <w:r>
        <w:rPr>
          <w:rStyle w:val="FootnoteAnchor"/>
          <w:rtl w:val="true"/>
        </w:rPr>
        <w:footnoteReference w:id="232"/>
      </w:r>
      <w:r>
        <w:rPr>
          <w:rFonts w:ascii="Amiri" w:hAnsi="Amiri" w:eastAsia="Amiri" w:cs="Amiri"/>
          <w:color w:val="111111"/>
          <w:sz w:val="28"/>
          <w:sz w:val="28"/>
          <w:szCs w:val="28"/>
          <w:rtl w:val="true"/>
          <w:lang w:bidi="ar-SA"/>
        </w:rPr>
        <w:t>، وهو أيضا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ينادي ببطلانه بناء استدلالهم على عدم الحجّيّة في هذا الأصل بتعدّد المجازات وإجمالها ، وهو موقوف على كون المجازيّة مفروغا عنها في هذا القانون ، فكيف يختلفون بعد ذلك </w:t>
      </w:r>
      <w:r>
        <w:rPr>
          <w:rStyle w:val="FootnoteAnchor"/>
          <w:rtl w:val="true"/>
        </w:rPr>
        <w:footnoteReference w:id="233"/>
      </w:r>
      <w:r>
        <w:rPr>
          <w:rFonts w:ascii="Amiri" w:hAnsi="Amiri" w:eastAsia="Amiri" w:cs="Amiri"/>
          <w:color w:val="111111"/>
          <w:sz w:val="28"/>
          <w:sz w:val="28"/>
          <w:szCs w:val="28"/>
          <w:rtl w:val="true"/>
          <w:lang w:bidi="ar-SA"/>
        </w:rPr>
        <w:t>في الحقيقة والمجاز؟ مع أنّه كان ينبغي حينئذ تقديم هذا القانون على السّابق ، وكتب الأصول التي حضرتنا الآن كلّها متّفقة في تقديم القانون السّابق على هذا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w:t>
      </w:r>
      <w:r>
        <w:rPr>
          <w:rStyle w:val="FootnoteAnchor"/>
          <w:rtl w:val="true"/>
        </w:rPr>
        <w:footnoteReference w:id="234"/>
      </w:r>
      <w:r>
        <w:rPr>
          <w:rFonts w:ascii="Amiri" w:hAnsi="Amiri" w:eastAsia="Amiri" w:cs="Amiri"/>
          <w:color w:val="111111"/>
          <w:sz w:val="28"/>
          <w:sz w:val="28"/>
          <w:szCs w:val="28"/>
          <w:rtl w:val="true"/>
          <w:lang w:bidi="ar-SA"/>
        </w:rPr>
        <w:t>، أنّ الخلاف فيما سبق مبنيّ على فرض إرادة الباقي ، وأمّا ظهوره فغير لازم ، والقائل بكونه حقيقة ، يلزمه ظهوره ، والقائل بكونه مجازا على خلافه ، إذ المجاز قد يكون ظاهرا وقد يكون غيره ، وقس عليه التفصيل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ما فيه بالتأمّل فيما قدّمناه ، إذ لو بنينا على التحقيق واقتفاء الدّليل ، فالحقّ أنّ الحقيقة والمجاز كليهما ظاهران في معناهما إذا اتّحدا ، وتعيّن القرينة على كلّ منهما فيما احتاج إليه على فرض الاشتراك أو تعدّد المجاز ، وقد بيّنا لك سابقا بطلان الحقيقة ، وتعيّن المجاز في تمام الباقي ، واحتمال إرادة ما دون تمام الباقي ، خلاف الظّاهر ولا يصار إليه ، فلو أعرضنا عن التحقيق ، وتماشينا مع الخصم في تصحيح الحمل على الحقيقة ، فلا يتفاوت الكلام في هذا القانون على القولين </w:t>
      </w:r>
      <w:r>
        <w:rPr>
          <w:rStyle w:val="FootnoteAnchor"/>
          <w:rtl w:val="true"/>
        </w:rPr>
        <w:footnoteReference w:id="23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ذكرنا ، استدلالهم الثاني ، فإنّه لو لم يكن ناظرا الى احتمال الحقيقة ، لرجع الى الدّليل الأوّل ولكان تكراره لغوا ، إذ الإجمال من جهة تعدّد المجاز أخصّ من عدم الظّهور ، فإنّه أعمّ من أن يكون من تلك الجهة ، أو من جهة احتمال الحقائق ، فحينئذ يصير العامّ في محتملات الباقي على القول بالحقيقة ، مثل النّكرة التي أريد بها فرد معيّن عند المتكلّم غير معيّن عند المخاطب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رَجُلٌ مِنْ أَقْصَى الْمَدِينَةِ</w:t>
      </w:r>
      <w:r>
        <w:rPr>
          <w:rFonts w:eastAsia="Amiri" w:cs="Amiri" w:ascii="Amiri" w:hAnsi="Amiri"/>
          <w:color w:val="111111"/>
          <w:sz w:val="28"/>
          <w:szCs w:val="28"/>
          <w:rtl w:val="true"/>
          <w:lang w:bidi="ar-SA"/>
        </w:rPr>
        <w:t xml:space="preserve">. ) </w:t>
      </w:r>
      <w:r>
        <w:rPr>
          <w:rStyle w:val="FootnoteAnchor"/>
          <w:rtl w:val="true"/>
        </w:rPr>
        <w:footnoteReference w:id="236"/>
      </w:r>
      <w:r>
        <w:rPr>
          <w:rFonts w:ascii="Amiri" w:hAnsi="Amiri" w:eastAsia="Amiri" w:cs="Amiri"/>
          <w:color w:val="111111"/>
          <w:sz w:val="28"/>
          <w:sz w:val="28"/>
          <w:szCs w:val="28"/>
          <w:rtl w:val="true"/>
          <w:lang w:bidi="ar-SA"/>
        </w:rPr>
        <w:t xml:space="preserve">وكذلك كلّ أدلّة القائلين بالحجيّة قابلة للقولين </w:t>
      </w:r>
      <w:r>
        <w:rPr>
          <w:rStyle w:val="FootnoteAnchor"/>
          <w:rtl w:val="true"/>
        </w:rPr>
        <w:footnoteReference w:id="237"/>
      </w:r>
      <w:r>
        <w:rPr>
          <w:rFonts w:ascii="IRNazanin" w:hAnsi="IRNazanin" w:eastAsia="IRNazanin"/>
          <w:color w:val="111111"/>
          <w:sz w:val="28"/>
          <w:sz w:val="28"/>
          <w:szCs w:val="28"/>
          <w:rtl w:val="true"/>
          <w:lang w:bidi="fa-IR"/>
        </w:rPr>
        <w:t xml:space="preserve">، من دعوى الظهور </w:t>
      </w:r>
      <w:r>
        <w:rPr>
          <w:rStyle w:val="FootnoteAnchor"/>
          <w:rtl w:val="true"/>
        </w:rPr>
        <w:footnoteReference w:id="238"/>
      </w:r>
      <w:r>
        <w:rPr>
          <w:rFonts w:ascii="Amiri" w:hAnsi="Amiri" w:eastAsia="Amiri" w:cs="Amiri"/>
          <w:color w:val="111111"/>
          <w:sz w:val="28"/>
          <w:sz w:val="28"/>
          <w:szCs w:val="28"/>
          <w:rtl w:val="true"/>
          <w:lang w:bidi="ar-SA"/>
        </w:rPr>
        <w:t xml:space="preserve">ولزوم الذّمّ واستصحاب التناول ، وغيرها كما بيّناها ، بل بعضها </w:t>
      </w:r>
      <w:r>
        <w:rPr>
          <w:rStyle w:val="FootnoteAnchor"/>
          <w:rtl w:val="true"/>
        </w:rPr>
        <w:footnoteReference w:id="239"/>
      </w:r>
      <w:r>
        <w:rPr>
          <w:rFonts w:ascii="Amiri" w:hAnsi="Amiri" w:eastAsia="Amiri" w:cs="Amiri"/>
          <w:color w:val="111111"/>
          <w:sz w:val="28"/>
          <w:sz w:val="28"/>
          <w:szCs w:val="28"/>
          <w:rtl w:val="true"/>
          <w:lang w:bidi="ar-SA"/>
        </w:rPr>
        <w:t>في الدلالة على القول بالحقيقة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هاهنا أمرا لا بدّ أن ينبّه عليه ، وهو أنّ ظاهر كلام المستدلّ في أقلّ الجمع ، أنّ محلّ النزاع فيما وكل المتكلّم تعيين أفراد المخرج والباقي الى المخاطب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البيضات إلّا ثلاثة منها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يلزم على القول بجواز التخصيص الى الواحد أن يكون العامّ حجّة في الواحد ، لأنّه المتيقّن أيضا ، ولم يستثنه المستدلّ وعمّم في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نظر المستدلّ </w:t>
      </w:r>
      <w:r>
        <w:rPr>
          <w:rStyle w:val="FootnoteAnchor"/>
          <w:rtl w:val="true"/>
        </w:rPr>
        <w:footnoteReference w:id="240"/>
      </w:r>
      <w:r>
        <w:rPr>
          <w:rFonts w:ascii="Amiri" w:hAnsi="Amiri" w:eastAsia="Amiri" w:cs="Amiri"/>
          <w:color w:val="111111"/>
          <w:sz w:val="28"/>
          <w:sz w:val="28"/>
          <w:szCs w:val="28"/>
          <w:rtl w:val="true"/>
          <w:lang w:bidi="ar-SA"/>
        </w:rPr>
        <w:t>في ذلك إنّما هو الصحيح ، لا نظر القائل بالحجّيّة في أقلّ الجمع ، فإنّ الغالب الوقوع في كلام الحكيم في التخصيصات ملاحظة التعيّنات في الأحكام ، ولا بدّ أن يكون مراد من يجوّز التخصيص الى الواحد في القانون المتقدّم أيضا التخصيص الى واحد معيّن عند المتكلّم ، لا أيّ واحد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أقلّ الجمع عند القائل به ثمّة ، مثلا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w:t>
      </w:r>
      <w:r>
        <w:rPr>
          <w:rFonts w:eastAsia="Amiri" w:cs="Amiri" w:ascii="Amiri" w:hAnsi="Amiri"/>
          <w:color w:val="111111"/>
          <w:sz w:val="28"/>
          <w:szCs w:val="28"/>
          <w:rtl w:val="true"/>
          <w:lang w:bidi="ar-SA"/>
        </w:rPr>
        <w:t xml:space="preserve">. ) </w:t>
      </w:r>
      <w:r>
        <w:rPr>
          <w:rStyle w:val="FootnoteAnchor"/>
          <w:rtl w:val="true"/>
        </w:rPr>
        <w:footnoteReference w:id="241"/>
      </w:r>
      <w:r>
        <w:rPr>
          <w:rFonts w:ascii="Amiri" w:hAnsi="Amiri" w:eastAsia="Amiri" w:cs="Amiri"/>
          <w:color w:val="111111"/>
          <w:sz w:val="28"/>
          <w:sz w:val="28"/>
          <w:szCs w:val="28"/>
          <w:rtl w:val="true"/>
          <w:lang w:bidi="ar-SA"/>
        </w:rPr>
        <w:t xml:space="preserve">قد تعلّق الإخراج عن نفي التحريم بهذه الثلاثة بخصوصها ، وكذلك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حَرَّمَ عَلَيْكُمُ الْمَيْتَةَ وَالدَّمَ وَلَحْمَ الْخِنْزِيرِ ،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فإذا ورد النصّ بحرمة لحم الأسد ولحم الكلب ، فيجب الإخراج أيضا وهكذا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الحرمة تتعلّق بالمخرج بخصوصه ، فكذلك نفي الحرمة لا بدّ أن يتعلّق بالباقي بتعيّنه ، فلا بدّ أن يكون الباقي متعيّنا سواء كان واحدا خاصّا أو أقلّ جمع خاصّ</w:t>
      </w:r>
      <w:r>
        <w:rPr>
          <w:rFonts w:eastAsia="Amiri" w:cs="Amiri" w:ascii="Amiri" w:hAnsi="Amiri"/>
          <w:color w:val="111111"/>
          <w:sz w:val="28"/>
          <w:szCs w:val="28"/>
          <w:rtl w:val="true"/>
          <w:lang w:bidi="ar-SA"/>
        </w:rPr>
        <w:t xml:space="preserve">. </w:t>
      </w:r>
      <w:bookmarkStart w:id="36" w:name="pg14071_148870"/>
    </w:p>
    <w:p>
      <w:pPr>
        <w:pStyle w:val="BookText"/>
        <w:rPr/>
      </w:pPr>
      <w:bookmarkEnd w:id="36"/>
      <w:r>
        <w:rPr>
          <w:rFonts w:ascii="Amiri" w:hAnsi="Amiri" w:eastAsia="Amiri" w:cs="Amiri"/>
          <w:color w:val="111111"/>
          <w:sz w:val="28"/>
          <w:sz w:val="28"/>
          <w:szCs w:val="28"/>
          <w:rtl w:val="true"/>
          <w:lang w:bidi="ar-SA"/>
        </w:rPr>
        <w:t xml:space="preserve">والى ما ذكرنا </w:t>
      </w:r>
      <w:r>
        <w:rPr>
          <w:rStyle w:val="FootnoteAnchor"/>
          <w:rtl w:val="true"/>
        </w:rPr>
        <w:footnoteReference w:id="243"/>
      </w:r>
      <w:r>
        <w:rPr>
          <w:rFonts w:ascii="Amiri" w:hAnsi="Amiri" w:eastAsia="Amiri" w:cs="Amiri"/>
          <w:color w:val="111111"/>
          <w:sz w:val="28"/>
          <w:sz w:val="28"/>
          <w:szCs w:val="28"/>
          <w:rtl w:val="true"/>
          <w:lang w:bidi="ar-SA"/>
        </w:rPr>
        <w:t>، ينظر الكلام السّابق على الاستدلال وإجرائه على القول بالحقيقة أيضا كما نبّهنا عليه ، وسيجيء في القانون الآتي أيضا إشارة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 يظهر لك ضعف ما قد يعارض أقربيّة المجاز المرجّحة للحجّيّة في تمام الباقي على ما ذكرنا ، بتيقّن إرادة الواحد وأقلّ الجمع ، وكذلك ضعف هذه المعارضة في بيان عدم جواز التخصيص إلّا بإرادة جمع يقرب من المدلول ، كما أشرنا إليه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ولكنّي لم أقف في كلماتهم تنبيها على ما ذكرنا ، فإنّهم ذكروا حجّة المفصّل بالحجّيّة في أقلّ الجمع دون غيره كما ذكرنا ، ولم يتعرّضوا لما فيه ، فلا بدّ لهم أن يجيبوا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تيقّن الأقلّ إنّما يفيد الحجّيّة إذا تعيّن ، فلا ثمرة لهذا الكلام ، وإن اعتمد المفصّل في التعيين على قرينة أخرى ، فهذا ليس من حجّيّة العامّ في الباقي في شيء كما لا يخفى ، بل الحجّيّة حينئذ إنّما ثبت في العام مع القرينة المذكورة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495015_1738255347"/>
      <w:bookmarkStart w:id="38" w:name="_Toc13"/>
      <w:bookmarkEnd w:id="37"/>
      <w:r>
        <w:rPr>
          <w:rtl w:val="true"/>
        </w:rPr>
        <w:t>تنبيه</w:t>
      </w:r>
      <w:bookmarkEnd w:id="3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المخصّص المتّصل هو الاستثناء المتّصل والغاية والشرط والصّفة وبدل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المخرج في الاستثناء والغاية هو المذكور بعد أداتهما ، وفي الباقيات هو الغير المذكور ، فالباقي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الناس إلّا الجهّال ، هو الناس العلماء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الى أن يفسقوا ، هو غير من فسق من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والمخرج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إن كانوا صلحاء ، هو غير الصالحين منهم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الرّجال المسلمين ، هو غير المسلمين من الرّجال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شعراءهم هو غير الشعراء منهم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بعد ذلك خبير بطريق إجراء الكلام في المباحث السّابقة فيها ، من بيان مورد الحقيقة والمجاز والحجيّة وعدم الحجيّة وغيرها ، وتميّز المختار والمزيّف</w:t>
      </w:r>
      <w:r>
        <w:rPr>
          <w:rFonts w:eastAsia="Amiri" w:cs="Amiri" w:ascii="Amiri" w:hAnsi="Amiri"/>
          <w:color w:val="111111"/>
          <w:sz w:val="28"/>
          <w:szCs w:val="28"/>
          <w:rtl w:val="true"/>
          <w:lang w:bidi="ar-SA"/>
        </w:rPr>
        <w:t xml:space="preserve">. </w:t>
      </w:r>
      <w:bookmarkStart w:id="39" w:name="pg14071_148872"/>
    </w:p>
    <w:p>
      <w:pPr>
        <w:pStyle w:val="Heading3"/>
        <w:numPr>
          <w:ilvl w:val="2"/>
          <w:numId w:val="1"/>
        </w:numPr>
        <w:rPr/>
      </w:pPr>
      <w:bookmarkStart w:id="40" w:name="__RefHeading___Toc495017_1738255347"/>
      <w:bookmarkStart w:id="41" w:name="_Toc14"/>
      <w:bookmarkEnd w:id="39"/>
      <w:bookmarkEnd w:id="40"/>
      <w:r>
        <w:rPr>
          <w:rtl w:val="true"/>
        </w:rPr>
        <w:t>قانون</w:t>
      </w:r>
      <w:bookmarkEnd w:id="41"/>
    </w:p>
    <w:p>
      <w:pPr>
        <w:pStyle w:val="Heading4"/>
        <w:numPr>
          <w:ilvl w:val="3"/>
          <w:numId w:val="1"/>
        </w:numPr>
        <w:rPr/>
      </w:pPr>
      <w:bookmarkStart w:id="42" w:name="__RefHeading___Toc495019_1738255347"/>
      <w:bookmarkStart w:id="43" w:name="_Toc15"/>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الحقّ ، موافقا للأكثرين </w:t>
      </w:r>
      <w:r>
        <w:rPr>
          <w:rStyle w:val="FootnoteAnchor"/>
          <w:rtl w:val="true"/>
        </w:rPr>
        <w:footnoteReference w:id="244"/>
      </w:r>
      <w:r>
        <w:rPr>
          <w:rFonts w:ascii="Amiri" w:hAnsi="Amiri" w:eastAsia="Amiri" w:cs="Amiri"/>
          <w:color w:val="111111"/>
          <w:sz w:val="28"/>
          <w:sz w:val="28"/>
          <w:szCs w:val="28"/>
          <w:rtl w:val="true"/>
          <w:lang w:bidi="ar-SA"/>
        </w:rPr>
        <w:t xml:space="preserve">حتى ادّعى عليه جمع منهم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وذهب إلى ذلك منّا الوحيد البهبهاني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 عدم جواز العمل بالعامّ قبل الفحص على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المختار ، فالحقّ الاكتفاء بالظنّ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تحصيل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في تحرير محلّ النزاع وتحقيق المقام من تمهيد مقدّمة ينكشف بملاحظتها غواشي الأوهام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الواضح حاصل بين حالنا وحال أصحاب النبيّ صلى‌الله‌عليه‌وآله والأئمة عليهم‌السلام في طريق فهم الأحكام ومعرفتها وأخذها منهم عليهم‌السلام ومن أحاديثهم ، لأنّهم كانوا مشافهين لهم ومخاطبين بخطابهم ، وعارفين بمصطلحهم ، واجدين للقرائن الحاليّة والمقاليّة ، عالمين لبعض الأحكام من الضّرورة والبداهة ، آخذين ما لا يعلمونه من كلماتهم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قد يعلمون العموم ويشتبه عليهم الخصوصية في بعض الموارد ويسألون </w:t>
      </w:r>
    </w:p>
    <w:p>
      <w:pPr>
        <w:pStyle w:val="BookText"/>
        <w:rPr/>
      </w:pPr>
      <w:r>
        <w:rPr>
          <w:rFonts w:ascii="Amiri" w:hAnsi="Amiri" w:eastAsia="Amiri" w:cs="Amiri"/>
          <w:color w:val="111111"/>
          <w:sz w:val="28"/>
          <w:sz w:val="28"/>
          <w:szCs w:val="28"/>
          <w:rtl w:val="true"/>
          <w:lang w:bidi="ar-SA"/>
        </w:rPr>
        <w:t xml:space="preserve">عنه ، وقد يعلمون الخصوص من الخارج وأنّه مخالف لباقي الأفراد ، ويعرفون أنّ المراد من العامّ هو الباقي بقرينة ما سمعوه أو بقرينة المقام ، وأكثرهم كانوا محتاجين حين السّؤال ، فمكالمة المعصوم عليه‌السلام معهم لا بدّ أن يكون معهم بحيث يفهمون ولا يؤخّر بيانه عن وقت حاجتهم ، فيجب عليهم العمل على العامّ والمطلق إذا سمعوه بدون التخصيص ، فربّما كان الوقت يقتضي التعميم له والتخصيص لآخر ، وربّما كان يتفاوت الحال </w:t>
      </w:r>
      <w:r>
        <w:rPr>
          <w:rStyle w:val="FootnoteAnchor"/>
          <w:rtl w:val="true"/>
        </w:rPr>
        <w:footnoteReference w:id="248"/>
      </w:r>
      <w:r>
        <w:rPr>
          <w:rFonts w:ascii="Amiri" w:hAnsi="Amiri" w:eastAsia="Amiri" w:cs="Amiri"/>
          <w:color w:val="111111"/>
          <w:sz w:val="28"/>
          <w:sz w:val="28"/>
          <w:szCs w:val="28"/>
          <w:rtl w:val="true"/>
          <w:lang w:bidi="ar-SA"/>
        </w:rPr>
        <w:t>من أجل التقيّة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توضيح الحال فقايسهم </w:t>
      </w:r>
      <w:r>
        <w:rPr>
          <w:rStyle w:val="FootnoteAnchor"/>
          <w:rtl w:val="true"/>
        </w:rPr>
        <w:footnoteReference w:id="249"/>
      </w:r>
      <w:r>
        <w:rPr>
          <w:rFonts w:ascii="Amiri" w:hAnsi="Amiri" w:eastAsia="Amiri" w:cs="Amiri"/>
          <w:color w:val="111111"/>
          <w:sz w:val="28"/>
          <w:sz w:val="28"/>
          <w:szCs w:val="28"/>
          <w:rtl w:val="true"/>
          <w:lang w:bidi="ar-SA"/>
        </w:rPr>
        <w:t>بالمقلّد السّائل عن مجتهده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نقلهم الأخبار الى آخرين في زمانهم وعملهم عليه ، فهو أيضا لا يشبه الأخبار الموجودة عندنا ، فإنّه كان أسباب الاختلال والاشتباه قليلا ، ألا ترى إنّهم كانوا يستشكلون فيما لو ورد عليهم أخبار مختلفة من أصحابهم ، وكانوا يسألون عن أئمّتهم عليهم‌السلام في ذلك ويجيبون بالعلاج بالرّجوع الى موافقة الكتاب أو السنّة أو مخالفة العامّة أو الشّهرة أو غير ذلك </w:t>
      </w:r>
      <w:r>
        <w:rPr>
          <w:rStyle w:val="FootnoteAnchor"/>
          <w:rtl w:val="true"/>
        </w:rPr>
        <w:footnoteReference w:id="250"/>
      </w:r>
      <w:r>
        <w:rPr>
          <w:rFonts w:ascii="Amiri" w:hAnsi="Amiri" w:eastAsia="Amiri" w:cs="Amiri"/>
          <w:color w:val="111111"/>
          <w:sz w:val="28"/>
          <w:sz w:val="28"/>
          <w:szCs w:val="28"/>
          <w:rtl w:val="true"/>
          <w:lang w:bidi="ar-SA"/>
        </w:rPr>
        <w:t xml:space="preserve">، ثمّ التخيير أو الاحتياط </w:t>
      </w:r>
      <w:r>
        <w:rPr>
          <w:rStyle w:val="FootnoteAnchor"/>
          <w:rtl w:val="true"/>
        </w:rPr>
        <w:footnoteReference w:id="251"/>
      </w:r>
      <w:r>
        <w:rPr>
          <w:rFonts w:ascii="Amiri" w:hAnsi="Amiri" w:eastAsia="Amiri" w:cs="Amiri"/>
          <w:color w:val="111111"/>
          <w:sz w:val="28"/>
          <w:sz w:val="28"/>
          <w:szCs w:val="28"/>
          <w:rtl w:val="true"/>
          <w:lang w:bidi="ar-SA"/>
        </w:rPr>
        <w:t>، وهو بعينه مثل الخبر المنقول في زماننا عن مجتهد بعيد عنّا ، أو أخبار منقولة متخالفة عنه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انحصر أمرنا في هذا الزّمان في الرّجوع الى كتب الأحاديث الموجودة بيننا ، ولا ريب أنّ المتعارضات فيها في غاية الكثرة ، بل لا يوجد فيها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بلا معارض إلّا في غاية النّدرة ، فكيف يقاس هذا بخبر ينقله الثّقة عن إمامه بلا واسطة الى أهله أو الى بلد آخر مع عدم علم المستمع بمعارض له ، ولا ظنّ بذلك مع اتّحاد الاصطلاح وقلّة أسباب الاختلال ، وإنّما عرض الاختلالات بسبب طول الزّمان وكثرة تداولها بالأيدي ، سيّما أيدي الكذّابة وأهل الرّيبة والمعاندين للأئمة عليهم‌السلام ، فأدرجوا فيها ما ليس منهم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في الأخبار التي وصلت إلينا في وجوه من الاختلال من جهة العلم بالصّدور عنهم وعدمه ، ومن جهة جواز العمل بخبر الواحد الظنّي وعدمه ، وكذلك في اشتراط العدالة ، وتحقيق معنى العدالة ومعرفة حصولها في الرّاوي ، وكيفية الحصول من تزكية عدل أو عدلين ، ومن جهة الاختلال في المتن من جهة النّقل بالمعنى مرّة أو مرارا مختلفة ، واحتمال السّقط والتحريف والتبديل </w:t>
      </w:r>
      <w:r>
        <w:rPr>
          <w:rStyle w:val="FootnoteAnchor"/>
          <w:rtl w:val="true"/>
        </w:rPr>
        <w:footnoteReference w:id="253"/>
      </w:r>
      <w:r>
        <w:rPr>
          <w:rFonts w:ascii="Amiri" w:hAnsi="Amiri" w:eastAsia="Amiri" w:cs="Amiri"/>
          <w:color w:val="111111"/>
          <w:sz w:val="28"/>
          <w:sz w:val="28"/>
          <w:szCs w:val="28"/>
          <w:rtl w:val="true"/>
          <w:lang w:bidi="ar-SA"/>
        </w:rPr>
        <w:t xml:space="preserve">وحصول التّقطيع </w:t>
      </w:r>
      <w:r>
        <w:rPr>
          <w:rStyle w:val="FootnoteAnchor"/>
          <w:rtl w:val="true"/>
        </w:rPr>
        <w:footnoteReference w:id="254"/>
      </w:r>
      <w:r>
        <w:rPr>
          <w:rFonts w:ascii="Amiri" w:hAnsi="Amiri" w:eastAsia="Amiri" w:cs="Amiri"/>
          <w:color w:val="111111"/>
          <w:sz w:val="28"/>
          <w:sz w:val="28"/>
          <w:szCs w:val="28"/>
          <w:rtl w:val="true"/>
          <w:lang w:bidi="ar-SA"/>
        </w:rPr>
        <w:t xml:space="preserve">فيها </w:t>
      </w:r>
    </w:p>
    <w:p>
      <w:pPr>
        <w:pStyle w:val="BookText"/>
        <w:rPr/>
      </w:pPr>
      <w:r>
        <w:rPr>
          <w:rFonts w:ascii="Amiri" w:hAnsi="Amiri" w:eastAsia="Amiri" w:cs="Amiri"/>
          <w:color w:val="111111"/>
          <w:sz w:val="28"/>
          <w:sz w:val="28"/>
          <w:szCs w:val="28"/>
          <w:rtl w:val="true"/>
          <w:lang w:bidi="ar-SA"/>
        </w:rPr>
        <w:t xml:space="preserve">الموجبة </w:t>
      </w:r>
      <w:r>
        <w:rPr>
          <w:rStyle w:val="FootnoteAnchor"/>
          <w:rtl w:val="true"/>
        </w:rPr>
        <w:footnoteReference w:id="255"/>
      </w:r>
      <w:r>
        <w:rPr>
          <w:rFonts w:ascii="Amiri" w:hAnsi="Amiri" w:eastAsia="Amiri" w:cs="Amiri"/>
          <w:color w:val="111111"/>
          <w:sz w:val="28"/>
          <w:sz w:val="28"/>
          <w:szCs w:val="28"/>
          <w:rtl w:val="true"/>
          <w:lang w:bidi="ar-SA"/>
        </w:rPr>
        <w:t xml:space="preserve">لتفاوت الحال من جهة السّند والدلالة ، ومن جهة الاختلال في الدلالة ، بسبب تفاوت العرف </w:t>
      </w:r>
      <w:r>
        <w:rPr>
          <w:rStyle w:val="FootnoteAnchor"/>
          <w:rtl w:val="true"/>
        </w:rPr>
        <w:footnoteReference w:id="256"/>
      </w:r>
      <w:r>
        <w:rPr>
          <w:rFonts w:ascii="Amiri" w:hAnsi="Amiri" w:eastAsia="Amiri" w:cs="Amiri"/>
          <w:color w:val="111111"/>
          <w:sz w:val="28"/>
          <w:sz w:val="28"/>
          <w:szCs w:val="28"/>
          <w:rtl w:val="true"/>
          <w:lang w:bidi="ar-SA"/>
        </w:rPr>
        <w:t xml:space="preserve">والاصطلاح ، وخفاء القرائن وحصول المعارضات اليقينيّة ، والإشكال في جهة العلاج من جهة اختلاف النصوص الواردة في التعارض ، وأنّ التكليف اليقيني </w:t>
      </w:r>
      <w:r>
        <w:rPr>
          <w:rStyle w:val="FootnoteAnchor"/>
          <w:rtl w:val="true"/>
        </w:rPr>
        <w:footnoteReference w:id="257"/>
      </w:r>
      <w:r>
        <w:rPr>
          <w:rFonts w:ascii="Amiri" w:hAnsi="Amiri" w:eastAsia="Amiri" w:cs="Amiri"/>
          <w:color w:val="111111"/>
          <w:sz w:val="28"/>
          <w:sz w:val="28"/>
          <w:szCs w:val="28"/>
          <w:rtl w:val="true"/>
          <w:lang w:bidi="ar-SA"/>
        </w:rPr>
        <w:t xml:space="preserve">الثابت بالضّرورة من الدّين ، لا بدّ من تحصيل معرفته من وجه يرضى به صاحب الشّرع وسبيل العلم به منسدّ غالبا ، وليس لنا وجه وسبيل في ذلك إلّا الرجوع الى الأدلّة </w:t>
      </w:r>
      <w:r>
        <w:rPr>
          <w:rStyle w:val="FootnoteAnchor"/>
          <w:rtl w:val="true"/>
        </w:rPr>
        <w:footnoteReference w:id="258"/>
      </w:r>
      <w:r>
        <w:rPr>
          <w:rFonts w:ascii="Amiri" w:hAnsi="Amiri" w:eastAsia="Amiri" w:cs="Amiri"/>
          <w:color w:val="111111"/>
          <w:sz w:val="28"/>
          <w:sz w:val="28"/>
          <w:szCs w:val="28"/>
          <w:rtl w:val="true"/>
          <w:lang w:bidi="ar-SA"/>
        </w:rPr>
        <w:t>المتعارفة ، والكتاب العزيز لا يستفاد منه إلّا أقلّ قليل من الأحكام ، مع اختلال وإشكال في كيفيّة الدّلالة في أكثرها ، والإجماع اليقينيّ نادر الحصول ، وكذلك الخبر المتواتر ، والاستصحاب لا يفيد إلّا الظنّ ، والأخبار مع أنّها لا تفيد إلّا الظنّ ، متخالفة ومتعارضة في غاية الاختلاف والتعارض ، بل الاختلاف حاصل بينها وبين سائر الأدلّة أيضا ، بل الاختلاف موجود بين جميع الأدلة ، ولا بدّ في الاعتماد على شيء منها على بيان مرجّح لئلّا يلزم ترجيح المرجوح أو المساوي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بالتخيير مطلقا أو الأخذ بأحد الطرفين من باب التسليم ، إنّما يتمّ مع </w:t>
      </w:r>
    </w:p>
    <w:p>
      <w:pPr>
        <w:pStyle w:val="BookText"/>
        <w:rPr/>
      </w:pPr>
      <w:r>
        <w:rPr>
          <w:rFonts w:ascii="Amiri" w:hAnsi="Amiri" w:eastAsia="Amiri" w:cs="Amiri"/>
          <w:color w:val="111111"/>
          <w:sz w:val="28"/>
          <w:sz w:val="28"/>
          <w:szCs w:val="28"/>
          <w:rtl w:val="true"/>
          <w:lang w:bidi="ar-SA"/>
        </w:rPr>
        <w:t>العجز عن الترجيح ، كما هو منصوص عليه في الأخبار ، مدلول عليه بالاعتبار ، فالأخذ بكلّ ما رأيناه أوّلا من حديث أو ظاهر آية أو استصحاب مع وجود الظنّ الغالب بوجود المعارض ، مجازفة من القول ، إذ يلزم على هذا التخيير في العمل مطلقا ورأسا ، وهو باطل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الذي نجزم به ويمكن أن نعتقده بعد ثبوت العجز عن تحصيل العلم وسدّ بابه ، هو استخراج الحكم عن هذه الأدلّة في الجملة ، بمعنى أنّه يمكن الاعتماد على ما حصل الظنّ بحقيقته من جملتها ، لا الاعتماد على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حرمة العمل بالظنّ إلّا ما قام عليه الدّليل ، ولم يقم إلّا على هذا القدر ، مع أنّا لو قلنا أنّه يجوز لكلّ من رأى حديثا أو فهم استصحابا أن يعمل عليه ، وكذلك سائر الأدلّة ، فيصير الفقه حينئذ من باب الهرج والمرج ، ولا يكاد ينتظم له نسق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قائل بأنّ الخبر الصّحيح من باب الخبر الواحد حجّة مثلا ، فإذا رأينا حديثا صحيحا نعمل عليه لأنّ الأصل عدم المعارض ، ولا علم لنا بوجوده فيه بخصوصه ، وهكذا في غيره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الأصل مع وجود العلم بوجود المعارضات غالبا لا معنى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بوجود المعارضات إنّما هو في الجملة ، وليس في خصوص هذا الحديث</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يصير من باب الشّبهة المحصورة التي حكموا بوجوب الاجتناب عنها ، مع أنّا لو قلنا بجواز الارتكاب في الشبهة المحصورة أيضا الى أن يلزم منه </w:t>
      </w:r>
    </w:p>
    <w:p>
      <w:pPr>
        <w:pStyle w:val="BookText"/>
        <w:rPr/>
      </w:pPr>
      <w:r>
        <w:rPr>
          <w:rFonts w:ascii="Amiri" w:hAnsi="Amiri" w:eastAsia="Amiri" w:cs="Amiri"/>
          <w:color w:val="111111"/>
          <w:sz w:val="28"/>
          <w:sz w:val="28"/>
          <w:szCs w:val="28"/>
          <w:rtl w:val="true"/>
          <w:lang w:bidi="ar-SA"/>
        </w:rPr>
        <w:t xml:space="preserve">العمل بالحرام ، لا يتمّ الكلام هنا ، لأنّ فتح باب الرخصة في ذلك لآحاد المكلّفين يقتضي تجويز الارتكاب في الجميع </w:t>
      </w:r>
      <w:r>
        <w:rPr>
          <w:rStyle w:val="FootnoteAnchor"/>
          <w:rtl w:val="true"/>
        </w:rPr>
        <w:footnoteReference w:id="261"/>
      </w:r>
      <w:r>
        <w:rPr>
          <w:rFonts w:ascii="Amiri" w:hAnsi="Amiri" w:eastAsia="Amiri" w:cs="Amiri"/>
          <w:color w:val="111111"/>
          <w:sz w:val="28"/>
          <w:sz w:val="28"/>
          <w:szCs w:val="28"/>
          <w:rtl w:val="true"/>
          <w:lang w:bidi="ar-SA"/>
        </w:rPr>
        <w:t>، فأين اعتبار ملاحظة المعارض مع أنّ الغالب في ذلك هو التعارض ، وخبر لم يوجد له معارض لمن أنس بطريقة الاستنباط في غاية النّدرة ، وإن كان في أوّل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المجتهد إذا علم أنّ دليل الحكم إنّما هو في جملة هذه الأدلّة المتعارضة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 ، لا نفس كلّ واحد منها ، فلا بدّ من البحث عن المعارض حتّى يعرف أنّ العمل بأيّها هو الرّاجح في ظنّه ، لئلّا يكون مؤثرا للمرجوح ، ولئلّا يكون تاركا للأخبار المستفيضة الواردة بالعلاج والترجيح فيما لو كان الخبران متخالفين ، إذ العلم بوجود الخبرين المتعارضين في جملة تلك الأخبار حاصل لنا ويجب علينا علاجه ، وعدم العلم بالفعل بأنّ هذا الخبر الذي رآه أوّلا هل هو من هذا الباب أم لا ، لا يوجب العلم بعدم ذلك ، لأنّ ورود الخبرين المتعارضين صادق على ما ورد علينا في جملة الأدلّة مع إمكان معرفتهما بعينهما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 يظهر </w:t>
      </w:r>
      <w:r>
        <w:rPr>
          <w:rStyle w:val="FootnoteAnchor"/>
          <w:rtl w:val="true"/>
        </w:rPr>
        <w:footnoteReference w:id="262"/>
      </w:r>
      <w:r>
        <w:rPr>
          <w:rFonts w:ascii="Amiri" w:hAnsi="Amiri" w:eastAsia="Amiri" w:cs="Amiri"/>
          <w:color w:val="111111"/>
          <w:sz w:val="28"/>
          <w:sz w:val="28"/>
          <w:szCs w:val="28"/>
          <w:rtl w:val="true"/>
          <w:lang w:bidi="ar-SA"/>
        </w:rPr>
        <w:t xml:space="preserve">أنّه لا يمكن التمسّك بأصالة عدم المعارض في كلّ رواية ، إذ المفروض أنّ أحاديثنا مشتملة على الحديث الذي له معارض والحديث الذي لا معارض له ، وكون الأصل عدم كون الحديث الذي نراه أوّلا هو ما لا معارض له ، ليس بأولى من كونه هو الذي له معارض </w:t>
      </w:r>
      <w:r>
        <w:rPr>
          <w:rStyle w:val="FootnoteAnchor"/>
          <w:rtl w:val="true"/>
        </w:rPr>
        <w:footnoteReference w:id="263"/>
      </w:r>
      <w:r>
        <w:rPr>
          <w:rFonts w:ascii="Amiri" w:hAnsi="Amiri" w:eastAsia="Amiri" w:cs="Amiri"/>
          <w:color w:val="111111"/>
          <w:sz w:val="28"/>
          <w:sz w:val="28"/>
          <w:szCs w:val="28"/>
          <w:rtl w:val="true"/>
          <w:lang w:bidi="ar-SA"/>
        </w:rPr>
        <w:t xml:space="preserve">، فيجب إجراء حكم كلّ من الصّنفين </w:t>
      </w:r>
    </w:p>
    <w:p>
      <w:pPr>
        <w:pStyle w:val="BookText"/>
        <w:rPr/>
      </w:pPr>
      <w:r>
        <w:rPr>
          <w:rFonts w:ascii="Amiri" w:hAnsi="Amiri" w:eastAsia="Amiri" w:cs="Amiri"/>
          <w:color w:val="111111"/>
          <w:sz w:val="28"/>
          <w:sz w:val="28"/>
          <w:szCs w:val="28"/>
          <w:rtl w:val="true"/>
          <w:lang w:bidi="ar-SA"/>
        </w:rPr>
        <w:t>فيه ، وهو لا يتمّ إلّا بعد البحث والفحص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المقام ، أنّ حجّة الله على العباد منحصر في النّبي صلى‌الله‌عليه‌وآله والوصيّ عليه‌السلام ، وبعد العجز عن الوصول إليهما وبقاء التكليف ، فلا دليل على جواز الاعتماد إلّا على ظنّ من استفرغ وسعه في تحصيل الظنّ من جهة الأدلّة المنسوبة إليهم ، ولا يمكن ذلك إلّا بعد الفحص عن المعارضات والاعتماد على الترجيحات ، وسيأتي الكلام في كفاية الظنّ وعدم وجوب تحصيل العلم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تمهّد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المتنازع فيه واحد من الأدلّة ، واحتمال وجود المعارض أعمّ من المناقض الرّافع لجميع حكمه أو المخصّص الرّافع لبعضه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الغالب في العمومات التخصيص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وقد خصّ ، فقوي احتمال وجود المعارض هنا ، فصار مظنونا ، فصار ذلك أولى بوجوب الفحص عن المعارض عن سائر الأدلّة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وشبهة من لا يقول بوجوب الفحص عن المخصّص في العامّ ، هو أنّه لو وجب طلب المخصّص في التمسّك بالعام ، لوجب طلب المجاز في التمسّك بالحقيقة ، إذ احتمال إرادة خلاف الظاهر ولزوم الوقوع في الخطأ بالعمل على الظاهر قائم فيهما ، ولا يجب ذلك في الحقيقة اتّفاقا ، وبدلالة </w:t>
      </w:r>
      <w:r>
        <w:rPr>
          <w:rStyle w:val="FootnoteAnchor"/>
          <w:rtl w:val="true"/>
        </w:rPr>
        <w:footnoteReference w:id="264"/>
      </w:r>
      <w:r>
        <w:rPr>
          <w:rFonts w:ascii="Amiri" w:hAnsi="Amiri" w:eastAsia="Amiri" w:cs="Amiri"/>
          <w:color w:val="111111"/>
          <w:sz w:val="28"/>
          <w:sz w:val="28"/>
          <w:szCs w:val="28"/>
          <w:rtl w:val="true"/>
          <w:lang w:bidi="ar-SA"/>
        </w:rPr>
        <w:t>قضاء العرف بذلك ، فكذلك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أنّه لا يجب التفحّص عن الحقيقة أصلا ، بمعنى أنّه إذا ورد حديث يدلّ على فعل شيء بعنوان الوجوب ولكن احتمل احتمالا راجحا وجود حديث آخر يدلّ على أنّ المراد بالأمر في الحديث الأوّل الاستحباب ، فهو في الحقيقة احتمال المعارض ، فلا معنى لعدم وجوب البحث عنه ، فكيف يدّعي عليه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أنّه لا يجب في الحقيقة طلب المجاز إذا لم يكن هنا ظنّ بوجود المعارض من الأدلّة ، بل ولا احتمال له ، بمعنى أن يتفحّص لاحتمال قيام قرينة حاليّة أو مقاليّة دلّت على إرادة المعنى المجازي من الكلمة ، فهو صحيح ومسلّم في العامّ أيضا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نتفحّص في العامّ عن المخصّص ، لاحتمال أن يكون المراد معناه المجازي ، بل لأنّ وجود دليل خاصّ يرفع أحكام بعض أفراد العامّ ؛ محتمل </w:t>
      </w:r>
      <w:r>
        <w:rPr>
          <w:rStyle w:val="FootnoteAnchor"/>
          <w:rtl w:val="true"/>
        </w:rPr>
        <w:footnoteReference w:id="265"/>
      </w:r>
      <w:r>
        <w:rPr>
          <w:rFonts w:ascii="Amiri" w:hAnsi="Amiri" w:eastAsia="Amiri" w:cs="Amiri"/>
          <w:color w:val="111111"/>
          <w:sz w:val="28"/>
          <w:sz w:val="28"/>
          <w:szCs w:val="28"/>
          <w:rtl w:val="true"/>
          <w:lang w:bidi="ar-SA"/>
        </w:rPr>
        <w:t xml:space="preserve">أو مظنون ، وإن آل ذلك الى حصول التجوّز في العامّ بعد ظهوره ، فتداخل البحثين </w:t>
      </w:r>
      <w:r>
        <w:rPr>
          <w:rStyle w:val="FootnoteAnchor"/>
          <w:rtl w:val="true"/>
        </w:rPr>
        <w:footnoteReference w:id="266"/>
      </w:r>
      <w:r>
        <w:rPr>
          <w:rFonts w:ascii="Amiri" w:hAnsi="Amiri" w:eastAsia="Amiri" w:cs="Amiri"/>
          <w:color w:val="111111"/>
          <w:sz w:val="28"/>
          <w:sz w:val="28"/>
          <w:szCs w:val="28"/>
          <w:rtl w:val="true"/>
          <w:lang w:bidi="ar-SA"/>
        </w:rPr>
        <w:t>لا يوجب كون كلّ منهما مقصودا بالذّات ، ولمّا كان العامّ من جملة الأدلّة أكثر احتمالا لوجود المعارض ، خصّوه بالبحث دون سائر الأدلّة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كون البحث عن العامّ من جهة دلالة اللّفظ وحقيقته والاحتراز عن التجوّز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الاتّفاق الذي ذكره المستدلّ هو الفارق بين أنواع الحقائق لعدم تحقّقه فيما نحن فيه ، بل تحقّق خلافه ، فقد ادّعى جمع من المحقّقين الإجماع على وجوب الفحص </w:t>
      </w:r>
      <w:r>
        <w:rPr>
          <w:rStyle w:val="FootnoteAnchor"/>
          <w:rtl w:val="true"/>
        </w:rPr>
        <w:footnoteReference w:id="267"/>
      </w:r>
      <w:r>
        <w:rPr>
          <w:rFonts w:ascii="Amiri" w:hAnsi="Amiri" w:eastAsia="Amiri" w:cs="Amiri"/>
          <w:color w:val="111111"/>
          <w:sz w:val="28"/>
          <w:sz w:val="28"/>
          <w:szCs w:val="28"/>
          <w:rtl w:val="true"/>
          <w:lang w:bidi="ar-SA"/>
        </w:rPr>
        <w:t xml:space="preserve">، فحصل الفارق وبطل القياس ، مع أنّ </w:t>
      </w:r>
    </w:p>
    <w:p>
      <w:pPr>
        <w:pStyle w:val="BookText"/>
        <w:rPr/>
      </w:pPr>
      <w:r>
        <w:rPr>
          <w:rFonts w:ascii="Amiri" w:hAnsi="Amiri" w:eastAsia="Amiri" w:cs="Amiri"/>
          <w:color w:val="111111"/>
          <w:sz w:val="28"/>
          <w:sz w:val="28"/>
          <w:szCs w:val="28"/>
          <w:rtl w:val="true"/>
          <w:lang w:bidi="ar-SA"/>
        </w:rPr>
        <w:t>الفارق موجود بوجه آخر ، وهو تفاوت الحقائق في الظهور ، ألا ترى إنّهم اختلفوا في ترجيح المجاز المشهور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العامّ في معناه المجازي بلغ حدّ الاشتهار الى أن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8"/>
      </w:r>
      <w:r>
        <w:rPr>
          <w:rFonts w:ascii="Amiri" w:hAnsi="Amiri" w:eastAsia="Amiri" w:cs="Amiri"/>
          <w:color w:val="111111"/>
          <w:sz w:val="28"/>
          <w:sz w:val="28"/>
          <w:szCs w:val="28"/>
          <w:rtl w:val="true"/>
          <w:lang w:bidi="ar-SA"/>
        </w:rPr>
        <w:t>، بخلاف سائر الحقائق ، فإن لم نقل بترجيح المجاز المشهور ، فلا أقلّ من التوقّف ، فالغلبة مرجّحة للتجوّز وأصالة الحقيقة وعدم التّخصيص للحقيقة ، فيصير مجملا فيحتاج الى الفحص ، بخلاف سائر الحقائق ، فإنّ الغلبة ليس فيها الى هذا الحدّ ، بل أكثر الألفاظ محمول على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كلام العرب مجازات فهو إغراق </w:t>
      </w:r>
      <w:r>
        <w:rPr>
          <w:rStyle w:val="FootnoteAnchor"/>
          <w:rtl w:val="true"/>
        </w:rPr>
        <w:footnoteReference w:id="270"/>
      </w:r>
      <w:r>
        <w:rPr>
          <w:rFonts w:ascii="Amiri" w:hAnsi="Amiri" w:eastAsia="Amiri" w:cs="Amiri"/>
          <w:color w:val="111111"/>
          <w:sz w:val="28"/>
          <w:sz w:val="28"/>
          <w:szCs w:val="28"/>
          <w:rtl w:val="true"/>
          <w:lang w:bidi="ar-SA"/>
        </w:rPr>
        <w:t>ليس على حقيقته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يوضّح ما ذكرنا أنّه لا يجب الفحص عن احتمال سائر المجازات في العامّ أيضا كما إذا احتمل إطلاق العامّ على شخص باعتبار جامعيّته ، جميع أوصاف أفراد العامّ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العلماء ، فيحتمل أن يراد منه زيد باعتبار أنّ علمه مساو لعلم كلّهم بعلاقة المشابهة ، ويحتمل أن يراد منه أمرهم أو حكمهم أو نوّابهم بعلاقة المجاورة أو التعلّق ونحو ذلك ، بل نحمله على حقيقته من هذه الجهة ، بخلاف احتمال جهة التخصيص بإرادة بعضهم دون البعض ، وكأنّه غفل من غفل في هذا الأصل من جهة الغفلة عن تفاوت المجازات أو عن أنّ الكلام في الفحص عن المعارض من حيث إنّه معارض </w:t>
      </w:r>
      <w:r>
        <w:rPr>
          <w:rStyle w:val="FootnoteAnchor"/>
          <w:rtl w:val="true"/>
        </w:rPr>
        <w:footnoteReference w:id="271"/>
      </w:r>
      <w:r>
        <w:rPr>
          <w:rFonts w:ascii="Amiri" w:hAnsi="Amiri" w:eastAsia="Amiri" w:cs="Amiri"/>
          <w:color w:val="111111"/>
          <w:sz w:val="28"/>
          <w:sz w:val="28"/>
          <w:szCs w:val="28"/>
          <w:rtl w:val="true"/>
          <w:lang w:bidi="ar-SA"/>
        </w:rPr>
        <w:t xml:space="preserve">لا في طلب المجاز من حيث إنّه طلب المجاز ، </w:t>
      </w:r>
    </w:p>
    <w:p>
      <w:pPr>
        <w:pStyle w:val="BookText"/>
        <w:rPr/>
      </w:pPr>
      <w:r>
        <w:rPr>
          <w:rFonts w:ascii="Amiri" w:hAnsi="Amiri" w:eastAsia="Amiri" w:cs="Amiri"/>
          <w:color w:val="111111"/>
          <w:sz w:val="28"/>
          <w:sz w:val="28"/>
          <w:szCs w:val="28"/>
          <w:rtl w:val="true"/>
          <w:lang w:bidi="ar-SA"/>
        </w:rPr>
        <w:t>وقد عرفت إمكان اجتماع الحيثيّات وافتراقها ، فتأمّل فيما ذكرنا بعين الإنصاف تجده حقيقا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على كفاية الظنّ بعدم وجود المخصّص بعد الفحص ، فهو الدليل على كفاية الظنّ في مطلق معارضات الأدلّة ، وهو أنّ ضرورة بقاء التكليف وعدم السّبيل الى تحصيل الأحكام الواقعيّة بعنوان اليقين يفيد جواز العمل به وإن فرض إمكان الوصول إليه في بعضها </w:t>
      </w:r>
      <w:r>
        <w:rPr>
          <w:rStyle w:val="FootnoteAnchor"/>
          <w:rtl w:val="true"/>
        </w:rPr>
        <w:footnoteReference w:id="272"/>
      </w:r>
      <w:r>
        <w:rPr>
          <w:rFonts w:ascii="Amiri" w:hAnsi="Amiri" w:eastAsia="Amiri" w:cs="Amiri"/>
          <w:color w:val="111111"/>
          <w:sz w:val="28"/>
          <w:sz w:val="28"/>
          <w:szCs w:val="28"/>
          <w:rtl w:val="true"/>
          <w:lang w:bidi="ar-SA"/>
        </w:rPr>
        <w:t xml:space="preserve">، لأنّ الحكم الذي يمكن أن يحصل فيه العلم ، إن كان مركّبا أو كان جزء للعبادات المركّبة ، فتحصيل العلم بالجزء ليس تحصيلا للعلم بالكلّ ، وما بعضه ظنّي فكلّه ليس بعلميّ جزما ، كما هو واضح ، وتحصيل العلم بالكلّ في غاية البعد وإن كان بسيطا أو كان هو نفس المركّب أيضا ، فاستفراغ الوسع في تحصيله إنّما يمكن بعد تتبّع جميع الأدلّة ، وهو مستغرق للأوقات غالبا ، مفوّت للمقصود ، مع أنّه عسر عظيم وحرج شديد ، وهما منفيّان في الدّين بالإجماع والآيات والأخبار ، فثبت كفاية العمل بالظنّ مطلقا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بعدم المخصّص في العامّ غير ممكن غالبا ، وتحصيل ما يمكن العلم فيه مستلزم لتفويت العمل بأكثر العمومات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التقرير </w:t>
      </w:r>
      <w:r>
        <w:rPr>
          <w:rStyle w:val="FootnoteAnchor"/>
          <w:rtl w:val="true"/>
        </w:rPr>
        <w:footnoteReference w:id="274"/>
      </w:r>
      <w:r>
        <w:rPr>
          <w:rFonts w:ascii="Amiri" w:hAnsi="Amiri" w:eastAsia="Amiri" w:cs="Amiri"/>
          <w:color w:val="111111"/>
          <w:sz w:val="28"/>
          <w:sz w:val="28"/>
          <w:szCs w:val="28"/>
          <w:rtl w:val="true"/>
          <w:lang w:bidi="ar-SA"/>
        </w:rPr>
        <w:t xml:space="preserve">، يندفع ما قد يتوهّم أنّ ذلك يقتضي جواز العمل بالظنّ في </w:t>
      </w:r>
    </w:p>
    <w:p>
      <w:pPr>
        <w:pStyle w:val="BookText"/>
        <w:rPr/>
      </w:pPr>
      <w:r>
        <w:rPr>
          <w:rFonts w:ascii="Amiri" w:hAnsi="Amiri" w:eastAsia="Amiri" w:cs="Amiri"/>
          <w:color w:val="111111"/>
          <w:sz w:val="28"/>
          <w:sz w:val="28"/>
          <w:szCs w:val="28"/>
          <w:rtl w:val="true"/>
          <w:lang w:bidi="ar-SA"/>
        </w:rPr>
        <w:t>البعض دون البعض ، وأنّ العمل بالظنّ إنّما هو فيما إذا لم يمكن تحصيل القطع ، وهو مخالف لما هو المعهود من طريقتهم في الفقه من جواز العمل بالظنّ وإن أمكن تحصيل العلم في بعض الأحكام أيضا ، فإنّ المراد في هذا الاستدلال أنّ العمل بالظنّ في الكلّ إنّما هو لأجل أنّ تحصيل العلم فيما يمكن فيه من الصّور النادرة يوجب تفويت العمل بالأكثر والعسر والحرج ، لا انّه لا يجوز العمل بالظنّ إلّا فيما لا يمكن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يمكن أن يوجّه للقول بلزوم تحصيل القطع بعدم المخصّص في العمل على العامّ ، فهو أنّ العمل بالظنّ مشروط بعدم إمكان تحصيل اليقين ، وهو ممكن ، لأنّ ما يعمّ البحث فيه </w:t>
      </w:r>
      <w:r>
        <w:rPr>
          <w:rStyle w:val="FootnoteAnchor"/>
          <w:rtl w:val="true"/>
        </w:rPr>
        <w:footnoteReference w:id="275"/>
      </w:r>
      <w:r>
        <w:rPr>
          <w:rFonts w:ascii="Amiri" w:hAnsi="Amiri" w:eastAsia="Amiri" w:cs="Amiri"/>
          <w:color w:val="111111"/>
          <w:sz w:val="28"/>
          <w:sz w:val="28"/>
          <w:szCs w:val="28"/>
          <w:rtl w:val="true"/>
          <w:lang w:bidi="ar-SA"/>
        </w:rPr>
        <w:t>وكان ممّا يبتلى به عموما ، فالعادة تقتضي باطلاع الباحثين عليه وتنصيصهم على وجوده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ليس بهذه المثابة فالمجتهد بعد البحث يحصل له القطع بذلك ، إذ لو كان مخصّص لذكروه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مع ما فيه من منع حصول القطع في المقامين </w:t>
      </w:r>
      <w:r>
        <w:rPr>
          <w:rStyle w:val="FootnoteAnchor"/>
          <w:rtl w:val="true"/>
        </w:rPr>
        <w:footnoteReference w:id="276"/>
      </w:r>
      <w:r>
        <w:rPr>
          <w:rFonts w:ascii="Amiri" w:hAnsi="Amiri" w:eastAsia="Amiri" w:cs="Amiri"/>
          <w:color w:val="111111"/>
          <w:sz w:val="28"/>
          <w:sz w:val="28"/>
          <w:szCs w:val="28"/>
          <w:rtl w:val="true"/>
          <w:lang w:bidi="ar-SA"/>
        </w:rPr>
        <w:t>، إذ غاية الأمر عدم الوجدان وهو لا يدلّ على 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اشتراط العمل بالظنّ بعدم إمكان تحصيل اليقين لا دليل عليه ، إذ اليقين بحكم الله الواقعي لا يحصل بالقطع بعدم المخصّص ، إذ عدم المخصّص لو سلّم القطع به في نفس الأمر أيضا ، فكيف يحصل القطع بأنّ المراد من العامّ هو جميع الأفراد ، بل لعلّه كان في مقام الخطاب قرينة </w:t>
      </w:r>
    </w:p>
    <w:p>
      <w:pPr>
        <w:pStyle w:val="BookText"/>
        <w:rPr/>
      </w:pPr>
      <w:r>
        <w:rPr>
          <w:rFonts w:ascii="Amiri" w:hAnsi="Amiri" w:eastAsia="Amiri" w:cs="Amiri"/>
          <w:color w:val="111111"/>
          <w:sz w:val="28"/>
          <w:sz w:val="28"/>
          <w:szCs w:val="28"/>
          <w:rtl w:val="true"/>
          <w:lang w:bidi="ar-SA"/>
        </w:rPr>
        <w:t>حاليّة أفهمت إرادة البعض مجازا ، مع ما في سند العامّ ودلالته من غير جهة العموم والخصوص أيضا وجوه من الاحتمال تمنع عن القطع بحكم الله تعالى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سائر الأدلّة بالنسبة الى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وجود المعارض وعدمه ، أحد أسباب الخلل كما أشرنا سابقا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أنّه بعد حصول القطع بعدم المعارض والمخصّص يحصل القطع بحكم الله ، جزاف من القول ، وإمكان سدّ جميع الخلل في المتن والسّند وسائر كيفيّات الدّلالة لم نر الى الآن سبيلا الى التمكّن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اشتراط قطعيّة بعض مقدّمات الدّليل إذا أمكن مع عدم إفادة الدليل إلّا الظنّ ،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 يوجب الاكتفاء بمطلق الظّواهر في حكم الله الظّاهري ، فلا يجب البحث عن المعارض أصلا فضلا عن تحصيل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الظّاهر هو الرّاجح الدلالة ، المرجوح خلافه ، وبعد ملاحظة احتمال المعارض احتمالا راجحا لا يبقى ظهور في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الظّواهر في نفسها مع قطع النظر عن احتمال المعارض لها ظهور في مدلولاتها ، هو لا يكفي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هو يكفي لأصحاب الأئمة عليهم‌السلام والحاضرين مجلس الخطاب ومن قاربهم وشابههم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فدليلنا على المطلوب ، هو ما يظهر من ملاحظة مجموع الأدلّة بعد البحث والفحص ، لا كلّ واحد ممّا يمكن أن يصير دليلا ، ولكن لا يجب في الحكم بذلك الظهور القطع بعدم المعارض ، بل يكفي الظنّ</w:t>
      </w:r>
      <w:r>
        <w:rPr>
          <w:rFonts w:eastAsia="Amiri" w:cs="Amiri" w:ascii="Amiri" w:hAnsi="Amiri"/>
          <w:color w:val="111111"/>
          <w:sz w:val="28"/>
          <w:szCs w:val="28"/>
          <w:rtl w:val="true"/>
          <w:lang w:bidi="ar-SA"/>
        </w:rPr>
        <w:t xml:space="preserve">. </w:t>
      </w:r>
      <w:bookmarkStart w:id="44" w:name="pg14071_148884"/>
    </w:p>
    <w:p>
      <w:pPr>
        <w:pStyle w:val="BookText"/>
        <w:rPr/>
      </w:pPr>
      <w:bookmarkEnd w:id="44"/>
      <w:r>
        <w:rPr>
          <w:rFonts w:ascii="Amiri" w:hAnsi="Amiri" w:eastAsia="Amiri" w:cs="Amiri"/>
          <w:color w:val="111111"/>
          <w:sz w:val="28"/>
          <w:sz w:val="28"/>
          <w:szCs w:val="28"/>
          <w:rtl w:val="true"/>
          <w:lang w:bidi="ar-SA"/>
        </w:rPr>
        <w:t xml:space="preserve">ثمّ إنّ بعض أفاضل المتأخرين </w:t>
      </w:r>
      <w:r>
        <w:rPr>
          <w:rStyle w:val="FootnoteAnchor"/>
          <w:rtl w:val="true"/>
        </w:rPr>
        <w:footnoteReference w:id="278"/>
      </w:r>
      <w:r>
        <w:rPr>
          <w:rFonts w:ascii="Amiri" w:hAnsi="Amiri" w:eastAsia="Amiri" w:cs="Amiri"/>
          <w:color w:val="111111"/>
          <w:sz w:val="28"/>
          <w:sz w:val="28"/>
          <w:szCs w:val="28"/>
          <w:rtl w:val="true"/>
          <w:lang w:bidi="ar-SA"/>
        </w:rPr>
        <w:t xml:space="preserve">خبط خبطا عظيما ، وتبعه بعض أفاضل من تأخّر عنه </w:t>
      </w:r>
      <w:r>
        <w:rPr>
          <w:rStyle w:val="FootnoteAnchor"/>
          <w:rtl w:val="true"/>
        </w:rPr>
        <w:footnoteReference w:id="279"/>
      </w:r>
      <w:r>
        <w:rPr>
          <w:rFonts w:ascii="Amiri" w:hAnsi="Amiri" w:eastAsia="Amiri" w:cs="Amiri"/>
          <w:color w:val="111111"/>
          <w:sz w:val="28"/>
          <w:sz w:val="28"/>
          <w:szCs w:val="28"/>
          <w:rtl w:val="true"/>
          <w:lang w:bidi="ar-SA"/>
        </w:rPr>
        <w:t xml:space="preserve">، وهو أنّه منع عن لزوم تحصيل القطع والظنّ كليهما في طلب المعارض في جميع الأدلّة سواء كان العامّ أو غيره ، واستدلّ على ذلك بوجوه </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495021_1738255347"/>
      <w:bookmarkStart w:id="46" w:name="_Toc16"/>
      <w:bookmarkEnd w:id="45"/>
      <w:r>
        <w:rPr>
          <w:rtl w:val="true"/>
        </w:rPr>
        <w:t xml:space="preserve">الأوّل </w:t>
      </w:r>
      <w:r>
        <w:rPr>
          <w:rtl w:val="true"/>
        </w:rPr>
        <w:t>:</w:t>
      </w:r>
      <w:bookmarkEnd w:id="46"/>
    </w:p>
    <w:p>
      <w:pPr>
        <w:pStyle w:val="BookText"/>
        <w:rPr/>
      </w:pPr>
      <w:r>
        <w:rPr>
          <w:rFonts w:ascii="Amiri" w:hAnsi="Amiri" w:eastAsia="Amiri" w:cs="Amiri"/>
          <w:color w:val="111111"/>
          <w:sz w:val="28"/>
          <w:sz w:val="28"/>
          <w:szCs w:val="28"/>
          <w:rtl w:val="true"/>
          <w:lang w:bidi="ar-SA"/>
        </w:rPr>
        <w:t>انّ أحدا من المنازعين والمباحثين في المسائل من أصحاب الأئمة والتابعين لم يطلب في المسألة التوقّف من صاحبه حتى يبحث وينقّب عن المعارض والمخصّص ، بل سكت أو تلقّى بالقبول ، وإلّا لنقل إلينا فصار إجماعا على عدم البحث عن المخصّص والمعارض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وزاد بعضهم </w:t>
      </w:r>
      <w:r>
        <w:rPr>
          <w:rStyle w:val="FootnoteAnchor"/>
          <w:rtl w:val="true"/>
        </w:rPr>
        <w:footnoteReference w:id="280"/>
      </w:r>
      <w:r>
        <w:rPr>
          <w:rFonts w:ascii="Amiri" w:hAnsi="Amiri" w:eastAsia="Amiri" w:cs="Amiri"/>
          <w:color w:val="111111"/>
          <w:sz w:val="28"/>
          <w:sz w:val="28"/>
          <w:szCs w:val="28"/>
          <w:rtl w:val="true"/>
          <w:lang w:bidi="ar-SA"/>
        </w:rPr>
        <w:t xml:space="preserve">على ذلك أيضا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الأصول الأربع مائة لم تكن موجودة عند أكثر أصحاب الأئمة عليهم‌السلام ، بل كان عند بعضهم واحد وعند الآخر اثنان أو الثلاثة وهكذا ، والأئمّة عليهم‌السلام كانوا يعلمون بأنّ كلّا منهم يعمل في الأغلب بما عنده ولا يتمّ البحث عن المخصّص إلّا بتحصيل جميعها ، فلو كان واجبا لأمرهم الأئمة عليهم‌السلام بتحصيل الكلّ ، ونهوهم عن العمل ببعضها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هذه الدّعوى يظهر ممّا مرّ ، من التفاوت الظّاهر بين زماننا وزمان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يجري في خطاب الأئمة عليهم‌السلام مع أصحابهم أيضا ، حيث لم يسأل الأصحاب عنهم عليهم‌السلام عن المخصّص ، وقرّروهم على معتقدهم من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ونزيد توضيحا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بالعموم غالبا ليس في جميع الأفراد ، وكذلك خطاب الأئمّة عليهم‌السلام بالنسبة الى أصحابهم ، فإنّه قد يكون الحاضر في ذهن الأصحاب هو طائفة من أفراد العامّ المطابق لخطاب الإمام عليه‌السلام وكان ذلك موضع حاجته وبيّن الخصوص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المنازعين والمباحثين كان نزاعهم في طائفة من أفراد العامّ وكانوا غافلين عن العامّ ، فباستدلال صاحبه بذلك ، كان يسكت ، وذلك لا ينافي تخصيص العامّ بالنسبة الى غير تلك الأفراد ، إذ العام المخصّص حجّة في الباقي كما مرّ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فمرادنا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في العمل بالعامّ البحث عن المخصّص ، العمل به في جميع الأفراد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الإشكال الطارئ من جهة شيوع التّخصيص وغلبته بالتفحّص عن المخصّص في الجملة ، فإذا ظهر وجود مخصّص ما ، فلا دليل على وجوب التفحّص أزيد من ذلك لا ظنّا ولا قطعا ، لأصالة الحقيقة إلّا مع احتمال وجود مخصّص آخر راجح على عدمه بالخصوص ، وليس ذلك من باب أصل التخصيص الرّاجح بسبب الغلبة ، بل من جهة مطلق وجود المعارض للدليل ، فافهم ذلك وتأمّل حتّى يتحقّق لك أنّ دعوى مثل ذلك الإجماع </w:t>
      </w:r>
      <w:r>
        <w:rPr>
          <w:rStyle w:val="FootnoteAnchor"/>
          <w:rtl w:val="true"/>
        </w:rPr>
        <w:footnoteReference w:id="281"/>
      </w:r>
      <w:r>
        <w:rPr>
          <w:rFonts w:ascii="Amiri" w:hAnsi="Amiri" w:eastAsia="Amiri" w:cs="Amiri"/>
          <w:color w:val="111111"/>
          <w:sz w:val="28"/>
          <w:sz w:val="28"/>
          <w:szCs w:val="28"/>
          <w:rtl w:val="true"/>
          <w:lang w:bidi="ar-SA"/>
        </w:rPr>
        <w:t xml:space="preserve">لا أصل لها ولا حقيقة ، مع أنّه ورد في الأخبار ما يدلّ على ذلك </w:t>
      </w:r>
      <w:r>
        <w:rPr>
          <w:rStyle w:val="FootnoteAnchor"/>
          <w:rtl w:val="true"/>
        </w:rPr>
        <w:footnoteReference w:id="282"/>
      </w:r>
      <w:r>
        <w:rPr>
          <w:rFonts w:ascii="Amiri" w:hAnsi="Amiri" w:eastAsia="Amiri" w:cs="Amiri"/>
          <w:color w:val="111111"/>
          <w:sz w:val="28"/>
          <w:sz w:val="28"/>
          <w:szCs w:val="28"/>
          <w:rtl w:val="true"/>
          <w:lang w:bidi="ar-SA"/>
        </w:rPr>
        <w:t xml:space="preserve">مثل رواية سليم بن قيس الهلالي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الصلاة والسلام حيث أجاب عن اختلاف أصحاب رسول </w:t>
      </w:r>
    </w:p>
    <w:p>
      <w:pPr>
        <w:pStyle w:val="BookText"/>
        <w:rPr/>
      </w:pPr>
      <w:r>
        <w:rPr>
          <w:rFonts w:ascii="Amiri" w:hAnsi="Amiri" w:eastAsia="Amiri" w:cs="Amiri"/>
          <w:color w:val="111111"/>
          <w:sz w:val="28"/>
          <w:sz w:val="28"/>
          <w:szCs w:val="28"/>
          <w:rtl w:val="true"/>
          <w:lang w:bidi="ar-SA"/>
        </w:rPr>
        <w:t xml:space="preserve">الله صلى‌الله‌عليه‌وآله وفي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أمر النبيّ صلى‌الله‌عليه‌وآله مثل القرآن ، منه ناسخ ومنسوخ وخاصّ وعامّ ومحكم ومتشابه ، وقد كان يكون من رسول الله صلى‌الله‌عليه‌وآله الكلام له وجهان وكلام عامّ وخاصّ مثل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على رسول الله صلى‌الله‌عليه‌وآله آية من القرآن إلّا أقرأنيها وأملاها عليّ فكتبتها بخطّي ، وعلّمني تأويلها وتفسيرها وناسخها ومنسوخها ومحكمها ومتشابهها وخاصّها وعامّها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غيرها ، وظاهرها لزوم معرفة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ملاحظة أنّ في الآيات والأخبار عامّا وخاصّا ولا يندفع الاختلاف والحيرة إلّا بملاحظتها ، وإنّا مأمورون بمعرفة العامّ والخاصّ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نؤمر بالبحث عن الخاصّ ، وأحاديث الأئمة عليهم‌السلام مثل أحاديث الرّسول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الصادق عليه الصلاة والسلام في رواية داود بن فرقد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أنتم أفقه النّاس إذا عرفتم معاني كلامنا ، إنّ الكلمة لتصرف على وجوه ، فلو شاء إنسان يصرف كلامه كيف يشاء ولا يكذّب</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المطلوب أيضا الأخبار المستفيضة الدالّة على عرض الأخبار المتخالفة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موافقة الكتاب وعدمها لا يعلم إلّا بعد معرفة عامّ الكتاب وخاصّه ، ومعرفة ذلك في فهم الكتاب لازم كما يستفاد من الأخبار ، فيستلزم ذلك لزوم معرفة عامّ الخبر عن خاصّه أيضا ، وهو معنى البحث عن المخصّص</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الجواب عمّا زاده بعضهم </w:t>
      </w:r>
      <w:r>
        <w:rPr>
          <w:rStyle w:val="FootnoteAnchor"/>
          <w:rtl w:val="true"/>
        </w:rPr>
        <w:footnoteReference w:id="285"/>
      </w:r>
      <w:r>
        <w:rPr>
          <w:rFonts w:ascii="IRNazanin" w:hAnsi="IRNazanin" w:eastAsia="IRNazanin"/>
          <w:color w:val="111111"/>
          <w:sz w:val="28"/>
          <w:sz w:val="28"/>
          <w:szCs w:val="28"/>
          <w:rtl w:val="true"/>
          <w:lang w:bidi="fa-IR"/>
        </w:rPr>
        <w:t xml:space="preserve">، فنقول مضافا الى ما ظهر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 xml:space="preserve">الأحاديث المجتمعة عندنا من الكتب الأربعة وغيرها ، أكثر ممّا كان عند كلّ واحد من أصحاب الأئمّة عليهم‌السلام من تلك الأصول بلا شكّ ولا ريب ، ومع ذلك فالفروع المتكثّرة في كتب الفقهاء الخالية عن النصوص أكثر ممّا وجد فيه النصّ بمراتب شتّى ، وما لم يذكروه في كتب الفروع وما يتجدّد يوما فيوما أضعاف مضاعف ما ذكروه ، بل لا يتناهى ولا يعدّ ، فلو كان يلزم عليهم تبليغ أحكام الجميع بالخصوص ، فيلزم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قصّروا في ذلك لعدم تبليغ ذلك بالخصوص في الجميع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أنّهم اكتفوا في جميع ذلك بالأصول الملاقاة إلينا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أن نلقي إليكم الأصول وعليكم أن تفرّعوا</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أقوى الأدلّة على جواز العمل بالظنّ في الأحكام الشرعيّة ، إذ غاية ما في الباب جعل الفرع من جزئيّات أصل وقاعدة ، ولا ريب أنّ دلالة العامّ والقاعدة على جزئيّاتهما ظنّيّة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الواجد للأصل والأصلين </w:t>
      </w:r>
      <w:r>
        <w:rPr>
          <w:rStyle w:val="FootnoteAnchor"/>
          <w:rtl w:val="true"/>
        </w:rPr>
        <w:footnoteReference w:id="287"/>
      </w:r>
      <w:r>
        <w:rPr>
          <w:rFonts w:ascii="Amiri" w:hAnsi="Amiri" w:eastAsia="Amiri" w:cs="Amiri"/>
          <w:color w:val="111111"/>
          <w:sz w:val="28"/>
          <w:sz w:val="28"/>
          <w:szCs w:val="28"/>
          <w:rtl w:val="true"/>
          <w:lang w:bidi="ar-SA"/>
        </w:rPr>
        <w:t xml:space="preserve">من أصحاب الأئمة عليهم‌السلام كان عالما بالأصول الأصليّة التي هي أمّهات المسائل مثل أصل البراءة ، وعدم جواز نقض اليقين بالشكّ ، وعدم العسر والحرج ، وعدم التكليف بما لا يطاق ، وأصالة الإباحة فيما لا ضرر فيه ، وقبح الظلم والعدوان ، والإضرار ، ونحو ذلك ، وبيّنوا لهم في جواب مسائلهم كثيرا من الخصوصيّات وكثيرا من العمومات الواردة في الكليّات ، ولم يظهر من حالهم أنّ تلك العمومات الثابتة في الأصل والأصلين كانت أبكارا لم يصلها أيدي التخصيص ، فلعلّ الرّواة كانوا يعلمون أنّ مرادهم عليهم‌السلام </w:t>
      </w:r>
      <w:bookmarkStart w:id="47" w:name="pg14071_148888"/>
    </w:p>
    <w:p>
      <w:pPr>
        <w:pStyle w:val="BookText"/>
        <w:rPr/>
      </w:pPr>
      <w:bookmarkEnd w:id="47"/>
      <w:r>
        <w:rPr>
          <w:rFonts w:ascii="Amiri" w:hAnsi="Amiri" w:eastAsia="Amiri" w:cs="Amiri"/>
          <w:color w:val="111111"/>
          <w:sz w:val="28"/>
          <w:sz w:val="28"/>
          <w:szCs w:val="28"/>
          <w:rtl w:val="true"/>
          <w:lang w:bidi="ar-SA"/>
        </w:rPr>
        <w:t xml:space="preserve">من تلك العمومات الاستدلال على الباقي بعد التخصيص كما أشرنا </w:t>
      </w:r>
      <w:r>
        <w:rPr>
          <w:rStyle w:val="FootnoteAnchor"/>
          <w:rtl w:val="true"/>
        </w:rPr>
        <w:footnoteReference w:id="288"/>
      </w:r>
      <w:r>
        <w:rPr>
          <w:rFonts w:ascii="Amiri" w:hAnsi="Amiri" w:eastAsia="Amiri" w:cs="Amiri"/>
          <w:color w:val="111111"/>
          <w:sz w:val="28"/>
          <w:sz w:val="28"/>
          <w:szCs w:val="28"/>
          <w:rtl w:val="true"/>
          <w:lang w:bidi="ar-SA"/>
        </w:rPr>
        <w:t xml:space="preserve">، وأنّ الخاصّ بيّن له من خارج ، والتنصيص </w:t>
      </w:r>
      <w:r>
        <w:rPr>
          <w:rStyle w:val="FootnoteAnchor"/>
          <w:rtl w:val="true"/>
        </w:rPr>
        <w:footnoteReference w:id="289"/>
      </w:r>
      <w:r>
        <w:rPr>
          <w:rFonts w:ascii="Amiri" w:hAnsi="Amiri" w:eastAsia="Amiri" w:cs="Amiri"/>
          <w:color w:val="111111"/>
          <w:sz w:val="28"/>
          <w:sz w:val="28"/>
          <w:szCs w:val="28"/>
          <w:rtl w:val="true"/>
          <w:lang w:bidi="ar-SA"/>
        </w:rPr>
        <w:t xml:space="preserve">على جميع الجزئيّات ليس بواجب على ما بيّنا ، واحتمال وجود مخصّص آخر غير ما فهموه لا يضرّ كما بيّنا ، لأنّ الظنّ بالعدم </w:t>
      </w:r>
      <w:r>
        <w:rPr>
          <w:rStyle w:val="FootnoteAnchor"/>
          <w:rtl w:val="true"/>
        </w:rPr>
        <w:footnoteReference w:id="290"/>
      </w:r>
      <w:r>
        <w:rPr>
          <w:rFonts w:ascii="Amiri" w:hAnsi="Amiri" w:eastAsia="Amiri" w:cs="Amiri"/>
          <w:color w:val="111111"/>
          <w:sz w:val="28"/>
          <w:sz w:val="28"/>
          <w:szCs w:val="28"/>
          <w:rtl w:val="true"/>
          <w:lang w:bidi="ar-SA"/>
        </w:rPr>
        <w:t>كاف ، بل يكفي أصالة العدم حينئذ ، ولم يظهر من حال صاحب الأصل أو الأصلين أنّه يظنّ بوجود خاصّ أو معارض في سائر الأصول ، وعلى فرض الثبوت إنّه كان متمكّنا من الرّجوع إليه ولم يفعل ، وعلى فرض ذلك ، إنّ الإمام عليه‌السلام اطّلع عليه وقرّره ، وكلّ ذلك دعاوي لا بيّنة عليها ، بخلاف زماننا ، فإنّ وجود المعارض في جملة الأخبار مما لا يدانيه ريب ولا يعتريه شكّ ، فكيف يقاس بزمان أصحاب 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أمثال هذه الكلمات ممّن تتبّع الأخبار وعرف طريقة الفقه والفقهاء ممّا يقضي منه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 ظهر أنّ عدم أمر الإمام عليه‌السلام بتحصيل سائر الكتب لم يكن لأجل أنّ الفحص عن المخصّص أو المعارض لا حاجة إليه مع قيام الاحتمال الرّاجح ، إذ لعلّه يعتمد على ذلك بأنّه إذا أشكل عليه الأمر في العامّ يرجع الى الإمام عليه‌السلام</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495023_1738255347"/>
      <w:bookmarkStart w:id="49" w:name="_Toc17"/>
      <w:bookmarkEnd w:id="48"/>
      <w:r>
        <w:rPr>
          <w:rtl w:val="true"/>
        </w:rPr>
        <w:t>الثاني</w:t>
      </w:r>
      <w:bookmarkEnd w:id="4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الاستدلال ، أنّه </w:t>
      </w:r>
    </w:p>
    <w:p>
      <w:pPr>
        <w:pStyle w:val="BookText"/>
        <w:rPr/>
      </w:pPr>
      <w:r>
        <w:rPr>
          <w:rFonts w:ascii="Amiri" w:hAnsi="Amiri" w:eastAsia="Amiri" w:cs="Amiri"/>
          <w:color w:val="111111"/>
          <w:sz w:val="28"/>
          <w:sz w:val="28"/>
          <w:szCs w:val="28"/>
          <w:rtl w:val="true"/>
          <w:lang w:bidi="ar-SA"/>
        </w:rPr>
        <w:t>نفى بالمفهوم ، التثبّت عند مجيء العدل ، والبحث عن المخصّص تثبّت وأيّ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الآية لزوم التثبّت في خبر الفاسق الّذي يفهم منه مراده بعنوان القطع أو الظنّ في أنّه هل هو صادق أو كاذب ، والتفحّص والبحث عن المراد من خبر العدل إذا كان محتملا لغير ظاهره احتمالا </w:t>
      </w:r>
      <w:r>
        <w:rPr>
          <w:rStyle w:val="FootnoteAnchor"/>
          <w:rtl w:val="true"/>
        </w:rPr>
        <w:footnoteReference w:id="293"/>
      </w:r>
      <w:r>
        <w:rPr>
          <w:rFonts w:ascii="Amiri" w:hAnsi="Amiri" w:eastAsia="Amiri" w:cs="Amiri"/>
          <w:color w:val="111111"/>
          <w:sz w:val="28"/>
          <w:sz w:val="28"/>
          <w:szCs w:val="28"/>
          <w:rtl w:val="true"/>
          <w:lang w:bidi="ar-SA"/>
        </w:rPr>
        <w:t>مساويا له ، ليس تثبّتا في أنّه هل هو صادق فيه أو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خبر العدل لا يتأمّل في قبوله من حيث احتمال الكذب ، بل التأمّل والتثبّت إنّما هو في فهم المراد ، ولم يظهر من الآية نفيه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تقييد في خبر العدل والأصل عدمه ، وإطلاق الآية يقتضي عدم التثبّت في خبر العدل مطلقا ، لا في نفي الكذب فقط</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نمنع الإطلاق بالنسبة الى هذا المعنى </w:t>
      </w:r>
      <w:r>
        <w:rPr>
          <w:rStyle w:val="FootnoteAnchor"/>
          <w:rtl w:val="true"/>
        </w:rPr>
        <w:footnoteReference w:id="294"/>
      </w:r>
      <w:r>
        <w:rPr>
          <w:rFonts w:ascii="Amiri" w:hAnsi="Amiri" w:eastAsia="Amiri" w:cs="Amiri"/>
          <w:color w:val="111111"/>
          <w:sz w:val="28"/>
          <w:sz w:val="28"/>
          <w:szCs w:val="28"/>
          <w:rtl w:val="true"/>
          <w:lang w:bidi="ar-SA"/>
        </w:rPr>
        <w:t xml:space="preserve">حتّى نطالب بدليل التقييد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 الآية المقيّد </w:t>
      </w:r>
      <w:r>
        <w:rPr>
          <w:rStyle w:val="FootnoteAnchor"/>
          <w:rtl w:val="true"/>
        </w:rPr>
        <w:footnoteReference w:id="295"/>
      </w:r>
      <w:r>
        <w:rPr>
          <w:rFonts w:ascii="Amiri" w:hAnsi="Amiri" w:eastAsia="Amiri" w:cs="Amiri"/>
          <w:color w:val="111111"/>
          <w:sz w:val="28"/>
          <w:sz w:val="28"/>
          <w:szCs w:val="28"/>
          <w:rtl w:val="true"/>
          <w:lang w:bidi="ar-SA"/>
        </w:rPr>
        <w:t xml:space="preserve">، وإنكاره مكابرة ، مع أنّه يرد على </w:t>
      </w:r>
    </w:p>
    <w:p>
      <w:pPr>
        <w:pStyle w:val="BookText"/>
        <w:rPr/>
      </w:pPr>
      <w:r>
        <w:rPr>
          <w:rFonts w:ascii="IRNazanin" w:hAnsi="IRNazanin" w:eastAsia="IRNazanin"/>
          <w:color w:val="111111"/>
          <w:sz w:val="28"/>
          <w:sz w:val="28"/>
          <w:szCs w:val="28"/>
          <w:rtl w:val="true"/>
          <w:lang w:bidi="fa-IR"/>
        </w:rPr>
        <w:t>المستدلّ النقض بمجمل خبر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المجمل خرج بالاتّفاق وبحكم العقل ، للزوم التحكّم من حمل الكلام على بعض المحتملات ولا اتّفاق هنا ، فلا يحكم العقل بعدم جواز ترجيح العموم لوجود المرجّح من تبادر العموم لأصالة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القول بكون العامّ مثل المجمل رجوع عن القول بكون ألفاظ العامّ حقيقة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الإجمال من جهة تساوي احتمال إرادة الخصوص لأصالة الحقيقة ، لا ينافي القول بكونها حقيقة في العموم كما في المجاز المشهور عند من يتساوى عنده احتماله مع الحقيقة ، والتبادر الحاصل في المجاز المشهور للمعنى الحقيقي كما أنّه بعد قطع النظر عن الشهرة ، فكذلك المسلّم من التبادر هنا هو بعد قطع النظر عن شيوع غلبة التّخصيص ، مع أنّ هنا فرقا آخر ، وهو أنّ العامّ بعد ثبوت التّخصيص في الجملة يكون ظاهرا في الباقي كما مرّ ، بخلاف المجمل والمشترك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سلّمنا إطلاق الآية حتّى بالنسبة الى الدّلالة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ذكرناها من الأدلّة على المختار </w:t>
      </w:r>
      <w:r>
        <w:rPr>
          <w:rStyle w:val="FootnoteAnchor"/>
          <w:rtl w:val="true"/>
        </w:rPr>
        <w:footnoteReference w:id="296"/>
      </w:r>
      <w:r>
        <w:rPr>
          <w:rFonts w:ascii="Amiri" w:hAnsi="Amiri" w:eastAsia="Amiri" w:cs="Amiri"/>
          <w:color w:val="111111"/>
          <w:sz w:val="28"/>
          <w:sz w:val="28"/>
          <w:szCs w:val="28"/>
          <w:rtl w:val="true"/>
          <w:lang w:bidi="ar-SA"/>
        </w:rPr>
        <w:t xml:space="preserve">يقيّدها ، وإلّا فلا ريب أنّه يصدق على كلّ من خبري </w:t>
      </w:r>
      <w:bookmarkStart w:id="50" w:name="pg14071_148891"/>
    </w:p>
    <w:p>
      <w:pPr>
        <w:pStyle w:val="BookText"/>
        <w:rPr/>
      </w:pPr>
      <w:bookmarkEnd w:id="50"/>
      <w:r>
        <w:rPr>
          <w:rFonts w:ascii="Amiri" w:hAnsi="Amiri" w:eastAsia="Amiri" w:cs="Amiri"/>
          <w:color w:val="111111"/>
          <w:sz w:val="28"/>
          <w:sz w:val="28"/>
          <w:szCs w:val="28"/>
          <w:rtl w:val="true"/>
          <w:lang w:bidi="ar-SA"/>
        </w:rPr>
        <w:t>العدلين المتعارضين ، ولا ريب أنّه لا يمكن العمل حينئذ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 أنّ المراد من الآية ، أنّ خبر العدل من حيث إنّه خبر العدل لا يجب فيه التّفحّص عن الصدق والكذب ، وإن وجب فيه من حيث إنّه يعارضه خبر عدل آخر فضلا عمّا كان التثبّت من جهة فهم المراد</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495025_1738255347"/>
      <w:bookmarkStart w:id="52" w:name="_Toc18"/>
      <w:bookmarkEnd w:id="51"/>
      <w:r>
        <w:rPr>
          <w:rtl w:val="true"/>
        </w:rPr>
        <w:t xml:space="preserve">الثالث </w:t>
      </w:r>
      <w:r>
        <w:rPr>
          <w:rtl w:val="true"/>
        </w:rPr>
        <w:t>:</w:t>
      </w:r>
      <w:bookmarkEnd w:id="52"/>
    </w:p>
    <w:p>
      <w:pPr>
        <w:pStyle w:val="BookText"/>
        <w:rPr/>
      </w:pPr>
      <w:r>
        <w:rPr>
          <w:rFonts w:ascii="Amiri" w:hAnsi="Amiri" w:eastAsia="Amiri" w:cs="Amiri"/>
          <w:color w:val="111111"/>
          <w:sz w:val="28"/>
          <w:sz w:val="28"/>
          <w:szCs w:val="28"/>
          <w:rtl w:val="true"/>
          <w:lang w:bidi="ar-SA"/>
        </w:rPr>
        <w:t xml:space="preserve">آية النّفر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 أنّه تعالى أوجب الحذر عند إنذار الواحد ولم يقيّده بالبحث عن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الجواب عنه أيضا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مناط القول المختار ، أنّه لا يحصل الظنّ بإرادة المعنى الحقيقي للعامّ إلّا بعد الفحص ، لا إنّه يحصل الظنّ بسبب أصالة الحقيقة ، ولكن لا يكتفى بهذا الظنّ ، بل يوجب الظنّ الزّائد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الحقيقة إن أفاد الظنّ فإنّما يفيد بعد قطع النظر عن شيوع التّخصيص ، والمفروض انّه غير منفكّ ، فلا معنى لمقابلة مختارنا بأنّا نكتفي بالظنّ الحاصل من أصالة الحقيقة ، بل لا بدّ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حاصل مع شيوع التخصيص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مطلق الظنّ كاف </w:t>
      </w:r>
      <w:r>
        <w:rPr>
          <w:rStyle w:val="FootnoteAnchor"/>
          <w:rtl w:val="true"/>
        </w:rPr>
        <w:footnoteReference w:id="298"/>
      </w:r>
      <w:r>
        <w:rPr>
          <w:rFonts w:ascii="Amiri" w:hAnsi="Amiri" w:eastAsia="Amiri" w:cs="Amiri"/>
          <w:color w:val="111111"/>
          <w:sz w:val="28"/>
          <w:sz w:val="28"/>
          <w:szCs w:val="28"/>
          <w:rtl w:val="true"/>
          <w:lang w:bidi="ar-SA"/>
        </w:rPr>
        <w:t>، وإلّا فيشكل الأمر لتفاوت مراتب الظنون ، بل تفاوت مراتب الظنّ المتاخم للعلم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فلو قلنا باشتراطه </w:t>
      </w:r>
      <w:r>
        <w:rPr>
          <w:rStyle w:val="FootnoteAnchor"/>
          <w:rtl w:val="true"/>
        </w:rPr>
        <w:footnoteReference w:id="299"/>
      </w:r>
      <w:r>
        <w:rPr>
          <w:rFonts w:ascii="Amiri" w:hAnsi="Amiri" w:eastAsia="Amiri" w:cs="Amiri"/>
          <w:color w:val="111111"/>
          <w:sz w:val="28"/>
          <w:sz w:val="28"/>
          <w:szCs w:val="28"/>
          <w:rtl w:val="true"/>
          <w:lang w:bidi="ar-SA"/>
        </w:rPr>
        <w:t xml:space="preserve">، لزم الحرج الشديد مع أنّها غير ميسّر غالبا ، وما أمكن تحصيله فيه ، فيجري فيه الكلام </w:t>
      </w:r>
      <w:r>
        <w:rPr>
          <w:rStyle w:val="FootnoteAnchor"/>
          <w:rtl w:val="true"/>
        </w:rPr>
        <w:footnoteReference w:id="300"/>
      </w:r>
      <w:r>
        <w:rPr>
          <w:rFonts w:ascii="Amiri" w:hAnsi="Amiri" w:eastAsia="Amiri" w:cs="Amiri"/>
          <w:color w:val="111111"/>
          <w:sz w:val="28"/>
          <w:sz w:val="28"/>
          <w:szCs w:val="28"/>
          <w:rtl w:val="true"/>
          <w:lang w:bidi="ar-SA"/>
        </w:rPr>
        <w:t>الذي ذكرناه في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أنّه يكفي في تحصيل الظنّ تتبّع كلّ باب بوّبوه في كتب الأخبار لكلّ مطلب وكلّ ما يظنّ وجود ما له مدخليّة في المسألة فيه من سائر الأبواب ، وإن كان في كتاب آخر ، مثل أنّ ملاحظة أبواب لباس المصلّي في كتاب الصلاة ؛ له مدخليّة في أحكام الطهارة وغسل الثياب ، وملاحظة كتاب الصوم له مدخليّة في أحكام الاستحاضة والحيض ونحو ذلك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صار الآن تتبّع ذلك سهلا عندنا من جهة تأليف الكتب المبوّبة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ذلك إعانة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الكاشاني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الحرّ العاملي عظّم الله أجورهم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في الفحص عن المخصّص من ملاحظة الكتب الفقهيّة سيّما الاستدلاليّة منها ليطّلع على موارد الإجماع أيضا ، وذلك ممّا يعين على الاطلاع بحال الأخبار وخصوصها وعمومها أيضا ، سيّما ملاحظة كتب المتأخرين من أصحابنا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تتبّع جميع كتب الأخبار من أوّلها الى آخرها في كل مسألة ، وكذلك الكتب الفقهيّة ، مع أنّه مما يوجب العسر الشديد والحرج الوكيد</w:t>
      </w:r>
      <w:r>
        <w:rPr>
          <w:rFonts w:eastAsia="Amiri" w:cs="Amiri" w:ascii="Amiri" w:hAnsi="Amiri"/>
          <w:color w:val="111111"/>
          <w:sz w:val="28"/>
          <w:szCs w:val="28"/>
          <w:rtl w:val="true"/>
          <w:lang w:bidi="ar-SA"/>
        </w:rPr>
        <w:t xml:space="preserve">. </w:t>
      </w:r>
      <w:bookmarkStart w:id="53" w:name="pg14071_148893"/>
    </w:p>
    <w:p>
      <w:pPr>
        <w:pStyle w:val="Heading2"/>
        <w:numPr>
          <w:ilvl w:val="1"/>
          <w:numId w:val="1"/>
        </w:numPr>
        <w:rPr/>
      </w:pPr>
      <w:bookmarkStart w:id="54" w:name="__RefHeading___Toc495027_1738255347"/>
      <w:bookmarkStart w:id="55" w:name="_Toc19"/>
      <w:bookmarkEnd w:id="53"/>
      <w:bookmarkEnd w:id="54"/>
      <w:r>
        <w:rPr>
          <w:rtl w:val="true"/>
        </w:rPr>
        <w:t xml:space="preserve">المقصد الثالث </w:t>
      </w:r>
      <w:r>
        <w:rPr>
          <w:rtl w:val="true"/>
        </w:rPr>
        <w:t xml:space="preserve">: </w:t>
      </w:r>
      <w:r>
        <w:rPr>
          <w:rtl w:val="true"/>
        </w:rPr>
        <w:t>فيما يتعلّق بالمخصّص</w:t>
      </w:r>
      <w:bookmarkEnd w:id="55"/>
    </w:p>
    <w:p>
      <w:pPr>
        <w:pStyle w:val="Heading3"/>
        <w:numPr>
          <w:ilvl w:val="2"/>
          <w:numId w:val="1"/>
        </w:numPr>
        <w:rPr/>
      </w:pPr>
      <w:bookmarkStart w:id="56" w:name="__RefHeading___Toc495029_1738255347"/>
      <w:bookmarkStart w:id="57" w:name="_Toc20"/>
      <w:bookmarkEnd w:id="56"/>
      <w:r>
        <w:rPr>
          <w:rtl w:val="true"/>
        </w:rPr>
        <w:t>قانون</w:t>
      </w:r>
      <w:bookmarkEnd w:id="57"/>
    </w:p>
    <w:p>
      <w:pPr>
        <w:pStyle w:val="BookText"/>
        <w:rPr/>
      </w:pPr>
      <w:r>
        <w:rPr>
          <w:rFonts w:ascii="Amiri" w:hAnsi="Amiri" w:eastAsia="Amiri" w:cs="Amiri"/>
          <w:color w:val="111111"/>
          <w:sz w:val="28"/>
          <w:sz w:val="28"/>
          <w:szCs w:val="28"/>
          <w:rtl w:val="true"/>
          <w:lang w:bidi="ar-SA"/>
        </w:rPr>
        <w:t>إذا تعقّب المخصّص عمومات متعدّدة ، جملا كانت أو غيرها ، متعاطفة بالواو أو غيرها ، وصحّ عوده الى كلّ واحد ، فلا خلاف في أنّ الأخيرة مخصّصة به جزما ، وإنّما الخلاف في غيرها ، وفرضوا الكلام في الاستثناء ثمّ قاسوا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الشيخ والشافعية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الاستثناء المتعقّب للجمل المتعاطفة ظاهر في رجوعه الى الجميع ، وفسّره العضدي </w:t>
      </w:r>
      <w:r>
        <w:rPr>
          <w:rStyle w:val="FootnoteAnchor"/>
          <w:rtl w:val="true"/>
        </w:rPr>
        <w:footnoteReference w:id="303"/>
      </w:r>
      <w:r>
        <w:rPr>
          <w:rFonts w:ascii="Amiri" w:hAnsi="Amiri" w:eastAsia="Amiri" w:cs="Amiri"/>
          <w:color w:val="111111"/>
          <w:sz w:val="28"/>
          <w:sz w:val="28"/>
          <w:szCs w:val="28"/>
          <w:rtl w:val="true"/>
          <w:lang w:bidi="ar-SA"/>
        </w:rPr>
        <w:t>بكلّ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حنيفة وأتباعه الى أنّه ظاهر في العود الى الأخيرة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والسيّد رحمه‌الله الى أنّه مشترك بينهما فيتوقّف الى ظهور القرينة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والغزالي الى الوقف ، فلا يدرى أنّه حقيقة في أيّهما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وهذان القولان </w:t>
      </w:r>
      <w:r>
        <w:rPr>
          <w:rStyle w:val="FootnoteAnchor"/>
          <w:rtl w:val="true"/>
        </w:rPr>
        <w:footnoteReference w:id="307"/>
      </w:r>
      <w:r>
        <w:rPr>
          <w:rFonts w:ascii="Amiri" w:hAnsi="Amiri" w:eastAsia="Amiri" w:cs="Amiri"/>
          <w:color w:val="111111"/>
          <w:sz w:val="28"/>
          <w:sz w:val="28"/>
          <w:szCs w:val="28"/>
          <w:rtl w:val="true"/>
          <w:lang w:bidi="ar-SA"/>
        </w:rPr>
        <w:t xml:space="preserve">متوافقان لقول أبي حنيفة في الحكم </w:t>
      </w:r>
      <w:r>
        <w:rPr>
          <w:rStyle w:val="FootnoteAnchor"/>
          <w:rtl w:val="true"/>
        </w:rPr>
        <w:footnoteReference w:id="308"/>
      </w:r>
      <w:r>
        <w:rPr>
          <w:rFonts w:ascii="Amiri" w:hAnsi="Amiri" w:eastAsia="Amiri" w:cs="Amiri"/>
          <w:color w:val="111111"/>
          <w:sz w:val="28"/>
          <w:sz w:val="28"/>
          <w:szCs w:val="28"/>
          <w:rtl w:val="true"/>
          <w:lang w:bidi="ar-SA"/>
        </w:rPr>
        <w:t>وإن تخالفا في المأخذ ، لأنّ الاستثناء يرجع على القولين الى الأخيرة فيثبت حكمه فيها ولا يثبت في غيرها كقول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هؤلاء </w:t>
      </w:r>
      <w:r>
        <w:rPr>
          <w:rStyle w:val="FootnoteAnchor"/>
          <w:rtl w:val="true"/>
        </w:rPr>
        <w:footnoteReference w:id="309"/>
      </w:r>
      <w:r>
        <w:rPr>
          <w:rFonts w:ascii="IRNazanin" w:hAnsi="IRNazanin" w:eastAsia="IRNazanin"/>
          <w:color w:val="111111"/>
          <w:sz w:val="28"/>
          <w:sz w:val="28"/>
          <w:szCs w:val="28"/>
          <w:rtl w:val="true"/>
          <w:lang w:bidi="fa-IR"/>
        </w:rPr>
        <w:t xml:space="preserve">لعدم ظهور تناولها </w:t>
      </w:r>
      <w:r>
        <w:rPr>
          <w:rStyle w:val="FootnoteAnchor"/>
          <w:rtl w:val="true"/>
        </w:rPr>
        <w:footnoteReference w:id="310"/>
      </w:r>
      <w:r>
        <w:rPr>
          <w:rFonts w:ascii="Amiri" w:hAnsi="Amiri" w:eastAsia="Amiri" w:cs="Amiri"/>
          <w:color w:val="111111"/>
          <w:sz w:val="28"/>
          <w:sz w:val="28"/>
          <w:szCs w:val="28"/>
          <w:rtl w:val="true"/>
          <w:lang w:bidi="ar-SA"/>
        </w:rPr>
        <w:t>، وأبو حنيفة لظهور عدم تناولها ، هكذا قرّره العضدي وجماعة من الأصوليّين ، وليس مرادهم محض الموافقة في تخصيص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 الشافعي أيضا موافق له في ذلك ، ولا أنّ غير الأخيرة باق على العموم على القولين محمول على ظاهرها ليتّحدا في تمام الحكم مع قول الحنفيّة لينافي التوقّف والاشتراك ، بل مرادهم بيان موافقة القولين لقول أبي حنيفة من جهة لزوم تخصيص الأخيرة </w:t>
      </w:r>
      <w:r>
        <w:rPr>
          <w:rStyle w:val="FootnoteAnchor"/>
          <w:rtl w:val="true"/>
        </w:rPr>
        <w:footnoteReference w:id="311"/>
      </w:r>
      <w:r>
        <w:rPr>
          <w:rFonts w:ascii="Amiri" w:hAnsi="Amiri" w:eastAsia="Amiri" w:cs="Amiri"/>
          <w:color w:val="111111"/>
          <w:sz w:val="28"/>
          <w:sz w:val="28"/>
          <w:szCs w:val="28"/>
          <w:rtl w:val="true"/>
          <w:lang w:bidi="ar-SA"/>
        </w:rPr>
        <w:t xml:space="preserve">وعدم تخصيص غيرها ، وعدم التخصيص أعمّ من القول بالعموم ، فعدم تخصيص الغير عند أبي حنيفة بحمله على العموم ، والعمل على ظاهر اللّفظ ، ومأخذه الحمل على أصل الحقيقة ، وعندهما بالتوقّف في التخصيص وعدمه بسبب عدم معرفة الحال ، ومأخذه إمّا تصادم الأدلّة أو الإجمال الناشئ عن الاشتراك ، فيظهر ثمرة </w:t>
      </w:r>
    </w:p>
    <w:p>
      <w:pPr>
        <w:pStyle w:val="BookText"/>
        <w:rPr/>
      </w:pPr>
      <w:r>
        <w:rPr>
          <w:rFonts w:ascii="IRNazanin" w:hAnsi="IRNazanin" w:eastAsia="IRNazanin"/>
          <w:color w:val="111111"/>
          <w:sz w:val="28"/>
          <w:sz w:val="28"/>
          <w:szCs w:val="28"/>
          <w:rtl w:val="true"/>
          <w:lang w:bidi="fa-IR"/>
        </w:rPr>
        <w:t xml:space="preserve">الخلاف </w:t>
      </w:r>
      <w:r>
        <w:rPr>
          <w:rStyle w:val="FootnoteAnchor"/>
          <w:rtl w:val="true"/>
        </w:rPr>
        <w:footnoteReference w:id="312"/>
      </w:r>
      <w:r>
        <w:rPr>
          <w:rFonts w:ascii="Amiri" w:hAnsi="Amiri" w:eastAsia="Amiri" w:cs="Amiri"/>
          <w:color w:val="111111"/>
          <w:sz w:val="28"/>
          <w:sz w:val="28"/>
          <w:szCs w:val="28"/>
          <w:rtl w:val="true"/>
          <w:lang w:bidi="ar-SA"/>
        </w:rPr>
        <w:t xml:space="preserve">بين الحنفيّة وبينهما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الأخيرة في التخصيص غير معلوم الحال عندهما ، ومعلوم العموم عند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استعمل في الإخراج عن غير الأخيرة أيضا كان مجازا عند الحنفيّة حقيقة عند السيّد محتملا لها عند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الفاضل المدقّق الشيرواني حيث نفى الإشكال في موافقة القولين الأخيرين للقول الثاني في تمام الحكم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 يعمل في غير الأخيرة أصحابهما إلّا على العموم ، لأنّ له صيغة خاصّة به دالّة عليه دلالة معتبرة ، ولم يتحقّق في الكلام دلالة أخرى يعارضها ، ومجرّد احتمال المعارض لا يكفي في الصّرف عنها ، وإلّا كان ذلك قائما على تقدير عدم الاستثناء أيضا ، والمفروض أنّ أصحاب المذهبين بحثوا ونقّبوا في المسألة الى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يظهر من كلام الأصوليّين نسبة ذلك </w:t>
      </w:r>
      <w:r>
        <w:rPr>
          <w:rStyle w:val="FootnoteAnchor"/>
          <w:rtl w:val="true"/>
        </w:rPr>
        <w:footnoteReference w:id="313"/>
      </w:r>
      <w:r>
        <w:rPr>
          <w:rFonts w:ascii="Amiri" w:hAnsi="Amiri" w:eastAsia="Amiri" w:cs="Amiri"/>
          <w:color w:val="111111"/>
          <w:sz w:val="28"/>
          <w:sz w:val="28"/>
          <w:szCs w:val="28"/>
          <w:rtl w:val="true"/>
          <w:lang w:bidi="ar-SA"/>
        </w:rPr>
        <w:t>الى صاحب القولين ، ولا يظهر من كلامهم في بيان الموافقة إرادة ما ذكره ، بل كلامهم على ما ذكرنا أدلّ وأوفق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ومرادهم مجرّد نسبة المخصّص الى الجمل من حيث ثبوت التخصيص لا من حيث إرادة العموم من غير الأخيرة وعدمه ، مع أنّ مقتضى تلك الأقوال أنّ </w:t>
      </w:r>
    </w:p>
    <w:p>
      <w:pPr>
        <w:pStyle w:val="BookText"/>
        <w:rPr/>
      </w:pPr>
      <w:r>
        <w:rPr>
          <w:rFonts w:ascii="Amiri" w:hAnsi="Amiri" w:eastAsia="Amiri" w:cs="Amiri"/>
          <w:color w:val="111111"/>
          <w:sz w:val="28"/>
          <w:sz w:val="28"/>
          <w:szCs w:val="28"/>
          <w:rtl w:val="true"/>
          <w:lang w:bidi="ar-SA"/>
        </w:rPr>
        <w:t xml:space="preserve">الخلاف إنّما هو في الهيئة التركيبيّة من الاستثناء المتعقّب للجمل </w:t>
      </w:r>
      <w:r>
        <w:rPr>
          <w:rStyle w:val="FootnoteAnchor"/>
          <w:rtl w:val="true"/>
        </w:rPr>
        <w:footnoteReference w:id="314"/>
      </w:r>
      <w:r>
        <w:rPr>
          <w:rFonts w:ascii="Amiri" w:hAnsi="Amiri" w:eastAsia="Amiri" w:cs="Amiri"/>
          <w:color w:val="111111"/>
          <w:sz w:val="28"/>
          <w:sz w:val="28"/>
          <w:szCs w:val="28"/>
          <w:rtl w:val="true"/>
          <w:lang w:bidi="ar-SA"/>
        </w:rPr>
        <w:t>، كما يظهر من ملاحظة أدلّتهم أيضا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باشتراك تلك الهيئة بين الرّجوع الى الأخيرة فقط ، والرّجوع الى الجميع ، معناه </w:t>
      </w:r>
      <w:r>
        <w:rPr>
          <w:rStyle w:val="FootnoteAnchor"/>
          <w:rtl w:val="true"/>
        </w:rPr>
        <w:footnoteReference w:id="315"/>
      </w:r>
      <w:r>
        <w:rPr>
          <w:rFonts w:ascii="Amiri" w:hAnsi="Amiri" w:eastAsia="Amiri" w:cs="Amiri"/>
          <w:color w:val="111111"/>
          <w:sz w:val="28"/>
          <w:sz w:val="28"/>
          <w:szCs w:val="28"/>
          <w:rtl w:val="true"/>
          <w:lang w:bidi="ar-SA"/>
        </w:rPr>
        <w:t xml:space="preserve">أنّ تلك الهيئة حقيقة في كلّ واحد منهما ، ومقتضى كونه حقيقة في الرّجوع الى الجميع ، أنّ العموم لم يبق على حاله في واحد منها ، ومقتضى كونه </w:t>
      </w:r>
      <w:r>
        <w:rPr>
          <w:rStyle w:val="FootnoteAnchor"/>
          <w:rtl w:val="true"/>
        </w:rPr>
        <w:footnoteReference w:id="316"/>
      </w:r>
      <w:r>
        <w:rPr>
          <w:rFonts w:ascii="Amiri" w:hAnsi="Amiri" w:eastAsia="Amiri" w:cs="Amiri"/>
          <w:color w:val="111111"/>
          <w:sz w:val="28"/>
          <w:sz w:val="28"/>
          <w:szCs w:val="28"/>
          <w:rtl w:val="true"/>
          <w:lang w:bidi="ar-SA"/>
        </w:rPr>
        <w:t>حقيقة في الرّجوع الى الأخيرة بقاء العموم على حاله في غيرها ، والمفروض أنّ الأمر مردّد حينئذ بين أنّ المراد من اللّفظ هل هو العمومات المخصّصة ، باحتمال إرادة المعنى الأوّل من معنيي المشترك ، أو العمومات الغير المخصّصة ، باحتمال إرادة المعنى الثاني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والشّك </w:t>
      </w:r>
      <w:r>
        <w:rPr>
          <w:rStyle w:val="FootnoteAnchor"/>
          <w:rtl w:val="true"/>
        </w:rPr>
        <w:footnoteReference w:id="317"/>
      </w:r>
      <w:r>
        <w:rPr>
          <w:rFonts w:ascii="Amiri" w:hAnsi="Amiri" w:eastAsia="Amiri" w:cs="Amiri"/>
          <w:color w:val="111111"/>
          <w:sz w:val="28"/>
          <w:sz w:val="28"/>
          <w:szCs w:val="28"/>
          <w:rtl w:val="true"/>
          <w:lang w:bidi="ar-SA"/>
        </w:rPr>
        <w:t>في أنّ المراد من ذلك اللّفظ هل هو العامّ المخصّص أم العامّ الغير المخصّص ، غير الشكّ في أنّ العام هل خصّ أم لا ، فيجري فيه أصالة عدم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من قبيل العامّ الذي لم يظهر له مخصّص بعد الفحص والبحث حتّى يقال أنّ له صيغة خاصّة دالة على معنى ولم يوجد له معارض ، فكون العامّ مخصّصا أو غير مخصّص </w:t>
      </w:r>
      <w:r>
        <w:rPr>
          <w:rStyle w:val="FootnoteAnchor"/>
          <w:rtl w:val="true"/>
        </w:rPr>
        <w:footnoteReference w:id="318"/>
      </w:r>
      <w:r>
        <w:rPr>
          <w:rFonts w:ascii="Amiri" w:hAnsi="Amiri" w:eastAsia="Amiri" w:cs="Amiri"/>
          <w:color w:val="111111"/>
          <w:sz w:val="28"/>
          <w:sz w:val="28"/>
          <w:szCs w:val="28"/>
          <w:rtl w:val="true"/>
          <w:lang w:bidi="ar-SA"/>
        </w:rPr>
        <w:t>جزء مدلول اللّفظ فيما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والشكّ في أنّ المراد أيّ المدلولين لا إنّه أمر خارج عنهما يمكن نفيه بأصالة الحقيقة وأصالة عدم التّخصيص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وظنّي أنّ ذلك واضح لا يحتاج الى مزيد الإطناب ، ويا ليته رحمه‌الله </w:t>
      </w:r>
      <w:r>
        <w:rPr>
          <w:rStyle w:val="FootnoteAnchor"/>
          <w:rtl w:val="true"/>
        </w:rPr>
        <w:footnoteReference w:id="319"/>
      </w:r>
      <w:r>
        <w:rPr>
          <w:rFonts w:ascii="Amiri" w:hAnsi="Amiri" w:eastAsia="Amiri" w:cs="Amiri"/>
          <w:color w:val="111111"/>
          <w:sz w:val="28"/>
          <w:sz w:val="28"/>
          <w:szCs w:val="28"/>
          <w:rtl w:val="true"/>
          <w:lang w:bidi="ar-SA"/>
        </w:rPr>
        <w:t xml:space="preserve">اختار موضع مقايسة </w:t>
      </w:r>
      <w:r>
        <w:rPr>
          <w:rStyle w:val="FootnoteAnchor"/>
          <w:rtl w:val="true"/>
        </w:rPr>
        <w:footnoteReference w:id="320"/>
      </w:r>
      <w:r>
        <w:rPr>
          <w:rFonts w:ascii="Amiri" w:hAnsi="Amiri" w:eastAsia="Amiri" w:cs="Amiri"/>
          <w:color w:val="111111"/>
          <w:sz w:val="28"/>
          <w:sz w:val="28"/>
          <w:szCs w:val="28"/>
          <w:rtl w:val="true"/>
          <w:lang w:bidi="ar-SA"/>
        </w:rPr>
        <w:t>ما نحن فيه بمبحث البحث عن المخصّص مقايسته بجواز العمل بالعامّ المخصّص بالمجمل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القائل بالاشتراك يتوقّف عن الحمل على العموم ، لأنّه لا يظهر إنّه أريد من الهيئة المعنى الذي لازمه تخصيص الكلّ أو أريد منها المعنى الذي لازمه تعميم ما سوى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والمتوقّف يتوقّف لما لم يتعيّن عنده المعنى الحقيقي للهيئة التركيبيّة حتّى يبني على أصل الحقيقة أو الاشتراك ، مع أنّه يعلم إنّ للّفظ حقيقة معيّنة لا بدّ من الحمل عليه ، ولم يبق العمومات على سجيّتها الأصليّة حتى يعرض عن حال المعارضات الخارجيّة رأسا بأصالة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وهاهنا قول خامس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Style w:val="FootnoteAnchor"/>
          <w:rtl w:val="true"/>
        </w:rPr>
        <w:footnoteReference w:id="321"/>
      </w:r>
      <w:r>
        <w:rPr>
          <w:rFonts w:ascii="Amiri" w:hAnsi="Amiri" w:eastAsia="Amiri" w:cs="Amiri"/>
          <w:color w:val="111111"/>
          <w:sz w:val="28"/>
          <w:sz w:val="28"/>
          <w:szCs w:val="28"/>
          <w:rtl w:val="true"/>
          <w:lang w:bidi="ar-SA"/>
        </w:rPr>
        <w:t>وهو القول بالاشتراك المعنوي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 ، أنّ الاستثناء موضوع لمطلق الإخراج ، واستعماله في أيّ فرد من أفراد الإخراج ، حقيقة ، غاية الأمر الاحتياج الى القرينة في فهم المراد ، لكون أفراد الكلّيّ غير متناهية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هذا القول ، بل صريحه أنّه لم يعتبر للهيئة التركيبيّة حقيقة جديدة ، وزعم أنّ ذكر الاستثناء وإرادة الإخراج عن كلّ واحد حقيقة ، كما أنّ إرادة الإخراج عن الأخيرة فقط أيضا حقيقة ، فلا يتفاوت الحال بتعقّبه لعامّ واحد أو لعمومات متعدّدة ، وتعيين كلّ فرد من أفراد الإخراج يحتاج الى القرينة لكن لا من قبيل قرينة المشترك اللّفظي ، فإنّه للتعيين لا للتفهيم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رحمه‌الله </w:t>
      </w:r>
      <w:r>
        <w:rPr>
          <w:rStyle w:val="FootnoteAnchor"/>
          <w:rtl w:val="true"/>
        </w:rPr>
        <w:footnoteReference w:id="322"/>
      </w:r>
      <w:r>
        <w:rPr>
          <w:rFonts w:ascii="Amiri" w:hAnsi="Amiri" w:eastAsia="Amiri" w:cs="Amiri"/>
          <w:color w:val="111111"/>
          <w:sz w:val="28"/>
          <w:sz w:val="28"/>
          <w:szCs w:val="28"/>
          <w:rtl w:val="true"/>
          <w:lang w:bidi="ar-SA"/>
        </w:rPr>
        <w:t xml:space="preserve">مهّد لتحقيق ما اختاره مقدّمة لا بأس بإيرادها مع توضيح منّي وتحرير وإصلاح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الواضع لا بدّ له من تصوّر المعنى في الوضع ، فإن تصوّر معنى جزئيّا وعيّن بإزائه لفظا مخصوصا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لولد عمرو أو ألفاظ مخصوصة متصوّرة تفصيلا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وضياء الدّين وأبي الفضل له ، أو إجمالا كوضع </w:t>
      </w:r>
      <w:r>
        <w:rPr>
          <w:rStyle w:val="FootnoteAnchor"/>
          <w:rtl w:val="true"/>
        </w:rPr>
        <w:footnoteReference w:id="323"/>
      </w:r>
      <w:r>
        <w:rPr>
          <w:rFonts w:ascii="Amiri" w:hAnsi="Amiri" w:eastAsia="Amiri" w:cs="Amiri"/>
          <w:color w:val="111111"/>
          <w:sz w:val="28"/>
          <w:sz w:val="28"/>
          <w:szCs w:val="28"/>
          <w:rtl w:val="true"/>
          <w:lang w:bidi="ar-SA"/>
        </w:rPr>
        <w:t xml:space="preserve">ما اشتقّ من الحمد 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وأحمد وحامد ومحمود ، فيكون الوضع خاصّا </w:t>
      </w:r>
      <w:r>
        <w:rPr>
          <w:rStyle w:val="FootnoteAnchor"/>
          <w:rtl w:val="true"/>
        </w:rPr>
        <w:footnoteReference w:id="324"/>
      </w:r>
      <w:r>
        <w:rPr>
          <w:rFonts w:ascii="Amiri" w:hAnsi="Amiri" w:eastAsia="Amiri" w:cs="Amiri"/>
          <w:color w:val="111111"/>
          <w:sz w:val="28"/>
          <w:sz w:val="28"/>
          <w:szCs w:val="28"/>
          <w:rtl w:val="true"/>
          <w:lang w:bidi="ar-SA"/>
        </w:rPr>
        <w:t>لخصوص التصوّر المعتبر فيه ، أعني تصوّر المعنى والموضوع له أيضا خاصّا وهو ظاهر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تصوّر معنى عامّا تحته جزئيّات إضافية أو حقيقية </w:t>
      </w:r>
      <w:r>
        <w:rPr>
          <w:rStyle w:val="FootnoteAnchor"/>
          <w:rtl w:val="true"/>
        </w:rPr>
        <w:footnoteReference w:id="325"/>
      </w:r>
      <w:r>
        <w:rPr>
          <w:rFonts w:ascii="Amiri" w:hAnsi="Amiri" w:eastAsia="Amiri" w:cs="Amiri"/>
          <w:color w:val="111111"/>
          <w:sz w:val="28"/>
          <w:sz w:val="28"/>
          <w:szCs w:val="28"/>
          <w:rtl w:val="true"/>
          <w:lang w:bidi="ar-SA"/>
        </w:rPr>
        <w:t>فله أن يعيّن لفظا معلوما أو ألفاظا معلومة بالتفصيل أو الإجمال بإزاء ذلك المعنى العامّ ، فيكون الوضع عامّا لعموم التصوّر المعتبر فيه والموضوع له أيضا عامّا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 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والبشر ، ومثال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المشتقّات لمعانيها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الذّات قام به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بالوضع الإجمالي هو الوضع النوعي ، وقد يحصل اجتماع الألفاظ التفصيليّة في الأوضاع النوعيّة ، كوضع فعال وفعول للمبالغة ، فيحصل الترادف في الوضع النوعي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يعيّن لفظا معلوما أو ألفاظا معلومة بالتفصيل أو الإجمال بإزاء خصوصيات الجزئيّات المندرجة تحته ، لأنّها معلومة إجمالا إذا توجّه العقل بذلك المفهوم العامّ نحوها ، والعلم الإجمالي كاف في الوضع ، فيكون الوضع عامّا ، والموضوع له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قاطبة ، فإنّ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لوحظ في وضعها معنى عام نسبي هو الابتداء والانتهاء والاستعلاء ، ووضع تلك الحروف لجزئيّات تلك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مفرد 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لكلّ مفرد مؤنّث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الهيئتي للأفعال التامّة ، فإنّها باعتبار النسبة وضعها حرفي نوعي إجمالي ، وإن كان باعتبار المادّة من القسم الأوّل من هذين القسمين وضعها عامّ والموضوع له عامّ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المشتقّات من باب وضع الحروف وأسماء الإشارة ، وهو غلط واضح ، ولا بأس بتفصيل الكلام فيه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المشتقّات كاسم الفاعل والمفعول ، يتصوّر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صيغة فاعل مثلا ، أي كلّ ما كان على زنة فاعل من أيّ مادّة بنيت ، إنّما هو لكلّ من قام به تلك المادة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الصّيغ المبنيّة على زنة فاعل ، موضوع لمن قام به مبدأ ذلك الواحد ، يعني ضارب موضوع لمن قام به الضّرب ، وقاتل لمن قام به القتل ، وعالم لمن قام به العلم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فالوضع عامّ والموضوع له عامّ ، لأنّ الواضع تصوّر حين الوضع معنى عامّا وهو كلّ واحد من الذّوات القائمة بها أحداث ، ووضع بإزاء كلّ واحد منها ما بنيت من ذلك الحدث على هيئة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باب الوضع النوعي ، فإنّه قد لوحظ الألفاظ الموضوعة إجمالا في ضمن الهيئة الخاصّة ،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فاعل موضوع لمن قام به مبدأ ما بنيت منه ، في قوّة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على زنة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فقد تصوّر الواضع الألفاظ إجمالا عند وضع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فاعل وضعت لمن قام به المبدا ، يعني هذا الجنس من اللّفظ هو ما بنيت على فاعل موضوع لهذا المفهوم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كسابقه ، لكنّ المراد بالعامّ في الأوّل هو العامّ الأصولي ، وفي الثاني العامّ المنطقي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يستلزم كون ضارب وقاتل وعالم مثلا ، موضوعا لهذا المفهوم </w:t>
      </w:r>
    </w:p>
    <w:p>
      <w:pPr>
        <w:pStyle w:val="BookText"/>
        <w:rPr/>
      </w:pPr>
      <w:r>
        <w:rPr>
          <w:rFonts w:ascii="Amiri" w:hAnsi="Amiri" w:eastAsia="Amiri" w:cs="Amiri"/>
          <w:color w:val="111111"/>
          <w:sz w:val="28"/>
          <w:sz w:val="28"/>
          <w:szCs w:val="28"/>
          <w:rtl w:val="true"/>
          <w:lang w:bidi="ar-SA"/>
        </w:rPr>
        <w:t xml:space="preserve">الكلّي والمفروض خلافه ، لأنّ معنى هذه المذكورات ليس هو نفس ذلك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قام به المبدا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معناها من قام به الضّرب والقتل والعلم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عليه الهيئة هو نفس الكلّي ، وأمّا خصوصيّة قيام الضرب والقتل ونحوهما فهو من مقتضيات المادّة والكلام في وضع الهيئة أو اللّفظ بواسطة الهيئة ، فالهيئة من حيث هي لا تدلّ إلّا على هذا المعنى الكلّي ، والثاني مدلول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ضارب موضوع لمن قام به الضّرب ، وعالم لمن قام به العلم وهكذا ، وهذا أيضا كسابقه في كون الوضع عامّا والموضوع له عامّا ، لكنّ الوضع فيه شخصي من جهة ملاحظة الخصوصيّة في اللّفظ ، بخلاف السّابق </w:t>
      </w:r>
      <w:r>
        <w:rPr>
          <w:rStyle w:val="FootnoteAnchor"/>
          <w:rtl w:val="true"/>
        </w:rPr>
        <w:footnoteReference w:id="329"/>
      </w:r>
      <w:r>
        <w:rPr>
          <w:rFonts w:ascii="Amiri" w:hAnsi="Amiri" w:eastAsia="Amiri" w:cs="Amiri"/>
          <w:color w:val="111111"/>
          <w:sz w:val="28"/>
          <w:sz w:val="28"/>
          <w:szCs w:val="28"/>
          <w:rtl w:val="true"/>
          <w:lang w:bidi="ar-SA"/>
        </w:rPr>
        <w:t>، فإنّه لم يعتبر فيه الخصوصية ، بل اعتبر فيه العموم ، فوضعه نوعي ، وحقيقة الوضع النوعي يرجع الى بيان القاعدة ، وجعل وضع المشتقّات من قبيل الوضع الشخصي ،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 جمعا من الأصوليين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المشتقّات مثل وضع الحروف والمبهمات من حيث إنّ الواضع للّفظ فيها تصوّر المعنى الكلّي ووضع الألفاظ بإزاء خصوصيّات الأفراد ، إلّا أنّ الموضوع له في الحروف والمبهمات هو الجزئيّات الحقيقية ، وفي المشتقّات هو الجزئيّات الإضافية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 أنّ الواضع حين الوضع تصوّر معنى كليّا وهو من قام به مبدأ ما وضع بإزاء جزئيّاته الإضافية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به الضرب أو القتل مثلا ، ألفاظا متصوّرة بالإجمال ، وهو ضارب وقاتل ونحوهما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 إذ الواضع إن كان غرضه تعلّق بوضع الهيئة </w:t>
      </w:r>
      <w:r>
        <w:rPr>
          <w:rStyle w:val="FootnoteAnchor"/>
          <w:rtl w:val="true"/>
        </w:rPr>
        <w:footnoteReference w:id="330"/>
      </w:r>
      <w:r>
        <w:rPr>
          <w:rFonts w:ascii="Amiri" w:hAnsi="Amiri" w:eastAsia="Amiri" w:cs="Amiri"/>
          <w:color w:val="111111"/>
          <w:sz w:val="28"/>
          <w:sz w:val="28"/>
          <w:szCs w:val="28"/>
          <w:rtl w:val="true"/>
          <w:lang w:bidi="ar-SA"/>
        </w:rPr>
        <w:t xml:space="preserve">أي ما كان على </w:t>
      </w:r>
    </w:p>
    <w:p>
      <w:pPr>
        <w:pStyle w:val="BookText"/>
        <w:rPr/>
      </w:pPr>
      <w:r>
        <w:rPr>
          <w:rFonts w:ascii="Amiri" w:hAnsi="Amiri" w:eastAsia="Amiri" w:cs="Amiri"/>
          <w:color w:val="111111"/>
          <w:sz w:val="28"/>
          <w:sz w:val="28"/>
          <w:szCs w:val="28"/>
          <w:rtl w:val="true"/>
          <w:lang w:bidi="ar-SA"/>
        </w:rPr>
        <w:t>زنة فاعل لمن قام به المبدا ، فحينئذ إنّما وضع لفظا كليّا منطقيّا لمعنى كلّي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يتشخّص كلّي اللّفظي في ضمن مثل ضارب ، فكذلك يتشخّص كلّي المعنى في ضمن من قام به الضرب ، ولا يستلزم ذلك وضعا جزئيّا لمعنى جزئي ، بل لفظة ضارب من حيث إنّه تحقّق فيها الهيئة الكلّية موضوعة لمن قام به الضّرب من حيث إنّه تحقّق فيه المعنى الكلّي ، أعني من قام به المبدا ، ولا يلزم من ذلك تجوّز في لفظ ضارب إذا أريد به من قام به الضّرب ، كما أنّه لا يلزم التجوّز في إطلاق الكلّي على الفرد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وضع اللّفظ الكلّي للمعنى الكلّي مستلزم لوضع اللفظ الجزئي للمعنى الجزئي ، لا أنّ اللفظ الجزئي موضوع للمعنى الجزئي بالاستقلال بملاحظة المعنى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غرضه تعلّق بوضع كلّ واحد ممّا كان على هذه الهيئة من الألفاظ ، فحينئذ إنّما وضع كلّ واحد من أفراد اللّفظ الكلّي بعنوان العموم الأصولي لكلّ واحد ممّن قام به ، موزّعا تلك الألفاظ على تلك المعاني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هنا أيضا قد وضع الألفاظ بعنوان العموم الأصولي بإزاء المعاني بدون أن يلاحظ معنى كليّا ثمّ يضع لجزئيّاته الإضافيّة ، وأيضا فلا حاجة </w:t>
      </w:r>
      <w:r>
        <w:rPr>
          <w:rStyle w:val="FootnoteAnchor"/>
          <w:rtl w:val="true"/>
        </w:rPr>
        <w:footnoteReference w:id="331"/>
      </w:r>
      <w:r>
        <w:rPr>
          <w:rFonts w:ascii="Amiri" w:hAnsi="Amiri" w:eastAsia="Amiri" w:cs="Amiri"/>
          <w:color w:val="111111"/>
          <w:sz w:val="28"/>
          <w:sz w:val="28"/>
          <w:szCs w:val="28"/>
          <w:rtl w:val="true"/>
          <w:lang w:bidi="ar-SA"/>
        </w:rPr>
        <w:t>الى ملاحظة المعنى الكلّي في الوضع للجزئيّات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ذكروه من ملاحظة المعنى الكلّي في وضع الألفاظ المتعدّدة بإزاء الجزئيّات ، إنّما ينفع لو أريد بتصوّر الكلّي جمع شتات الجزئيّات ليمكن أن يوضع لجميعها لفظ واحد كهذا ، أو ألفاظ متعدّدة مترادفة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اللّفظ والمعنى الكلّي كلاهما جامعين لشتات الجزئيّات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وفيما نحن فيه ليس كذلك ، لأنّ لفظة ضارب يفيد معنى ، وقاتل تفيد معنى آخر ، وهكذا ، فلا فائدة في تصوّر المعنى الكلّيّ لذلك </w:t>
      </w:r>
      <w:r>
        <w:rPr>
          <w:rStyle w:val="FootnoteAnchor"/>
          <w:rtl w:val="true"/>
        </w:rPr>
        <w:footnoteReference w:id="332"/>
      </w:r>
      <w:r>
        <w:rPr>
          <w:rFonts w:ascii="Amiri" w:hAnsi="Amiri" w:eastAsia="Amiri" w:cs="Amiri"/>
          <w:color w:val="111111"/>
          <w:sz w:val="28"/>
          <w:sz w:val="28"/>
          <w:szCs w:val="28"/>
          <w:rtl w:val="true"/>
          <w:lang w:bidi="ar-SA"/>
        </w:rPr>
        <w:t>، فالألفاظ هنا موزّعة على الجزئيّات الإضافيّة بخلاف أسماء الإشارة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رحمه‌الله </w:t>
      </w:r>
      <w:r>
        <w:rPr>
          <w:rStyle w:val="FootnoteAnchor"/>
          <w:rtl w:val="true"/>
        </w:rPr>
        <w:footnoteReference w:id="333"/>
      </w:r>
      <w:r>
        <w:rPr>
          <w:rFonts w:ascii="Amiri" w:hAnsi="Amiri" w:eastAsia="Amiri" w:cs="Amiri"/>
          <w:color w:val="111111"/>
          <w:sz w:val="28"/>
          <w:sz w:val="28"/>
          <w:szCs w:val="28"/>
          <w:rtl w:val="true"/>
          <w:lang w:bidi="ar-SA"/>
        </w:rPr>
        <w:t xml:space="preserve">بعد تمهيد المقدّمة المتقدّمة بنى قوله على أنّ وضع أداة الاستثناء من قبيل وضع الحروف عامّ ، والموضوع له هو خصوصيّات الإخراجات </w:t>
      </w:r>
      <w:r>
        <w:rPr>
          <w:rStyle w:val="FootnoteAnchor"/>
          <w:rtl w:val="true"/>
        </w:rPr>
        <w:footnoteReference w:id="334"/>
      </w:r>
      <w:r>
        <w:rPr>
          <w:rFonts w:ascii="Amiri" w:hAnsi="Amiri" w:eastAsia="Amiri" w:cs="Amiri"/>
          <w:color w:val="111111"/>
          <w:sz w:val="28"/>
          <w:sz w:val="28"/>
          <w:szCs w:val="28"/>
          <w:rtl w:val="true"/>
          <w:lang w:bidi="ar-SA"/>
        </w:rPr>
        <w:t>، والمفروض أنّ المستثنى أيضا صالح للعود الى الأخيرة والى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الصلاحية بأن يكون وضع المستثنى أيضا عامّا سواء كان الموضوع له أيضا عامّا كالمشتقّات والنّكرات ، أو كان الموضوع له خاصّا كما لو كان من قبيل المبهمات ، ولا بدّ أن يكون مراده مثل الموصولات </w:t>
      </w:r>
      <w:r>
        <w:rPr>
          <w:rStyle w:val="FootnoteAnchor"/>
          <w:rtl w:val="true"/>
        </w:rPr>
        <w:footnoteReference w:id="335"/>
      </w:r>
      <w:r>
        <w:rPr>
          <w:rFonts w:ascii="Amiri" w:hAnsi="Amiri" w:eastAsia="Amiri" w:cs="Amiri"/>
          <w:color w:val="111111"/>
          <w:sz w:val="28"/>
          <w:sz w:val="28"/>
          <w:szCs w:val="28"/>
          <w:rtl w:val="true"/>
          <w:lang w:bidi="ar-SA"/>
        </w:rPr>
        <w:t xml:space="preserve">أو بأن يكون مشتركا بين معنيين يصلح من جهة أحدهما للرّجوع الى الجميع ، ومن جهة الآخر للأخيرة فقط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بني تميم ، واخلع بني أسد إلّا فارسا ، إذا فرض كون شخص من بني أسد مسمّى </w:t>
      </w:r>
    </w:p>
    <w:p>
      <w:pPr>
        <w:pStyle w:val="BookText"/>
        <w:rPr/>
      </w:pPr>
      <w:r>
        <w:rPr>
          <w:rFonts w:ascii="Amiri" w:hAnsi="Amiri" w:eastAsia="Amiri" w:cs="Amiri"/>
          <w:color w:val="111111"/>
          <w:sz w:val="28"/>
          <w:sz w:val="28"/>
          <w:szCs w:val="28"/>
          <w:rtl w:val="true"/>
          <w:lang w:bidi="ar-SA"/>
        </w:rPr>
        <w:t xml:space="preserve">بفارس ، وفرض وجود الفارس بمعنى الرّاكب في جميعهم ، فلفظ فارس مشترك بينه وبين الراكب ، وأنت خبير بأنّ وجه الصلاحية لا ينحصر فيما ذكره ، بل يختلف باختلاف الأوضاع والأحوال ، فقد يجري الصلاحية للجميع في الأعلام المختصّة أيضا في أسماء الإشارة أيضا إذا فرض اتّحاد المستثنى منه مع اختلاف الجمل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بني تميم واخلعهم إلّا زيدا وإلّا هذا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لا يتمّ ذلك إذا اختلف المستثنى منه وإن اتّحد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فرض كون المستثنى مشتركا على النّهج الذي ذكره ، يخرج الكلام عن محل النزاع ، إذ محلّ النزاع ما لو كان المخصّص صالحا لأن يخصّص به كلّ واحد من العمومات السّابقة ، ولا خلاف بين أرباب الأقوال في تخصيص الأخيرة بالنسبة الى هذا المخصّص الذي يصلح للرجوع الى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في الصّورة المفروضة لا يمكن الحكم بالصلاحيّة أوّلا </w:t>
      </w:r>
      <w:r>
        <w:rPr>
          <w:rStyle w:val="FootnoteAnchor"/>
          <w:rtl w:val="true"/>
        </w:rPr>
        <w:footnoteReference w:id="337"/>
      </w:r>
      <w:r>
        <w:rPr>
          <w:rFonts w:ascii="Amiri" w:hAnsi="Amiri" w:eastAsia="Amiri" w:cs="Amiri"/>
          <w:color w:val="111111"/>
          <w:sz w:val="28"/>
          <w:sz w:val="28"/>
          <w:szCs w:val="28"/>
          <w:rtl w:val="true"/>
          <w:lang w:bidi="ar-SA"/>
        </w:rPr>
        <w:t xml:space="preserve">، لاحتمال إرادة المعنى المختصّ بالأخيرة وهو المعنى العلمي ، وهو لا يصلح للرجوع الى غيرها ، سيّما إذا لم يكن هذا الشخص راكبا ، وبعد تعيين إرادة الراكب بالقرينة والرّجوع الى البحث فيه ، فيغني عن اعتبار الاشتراك في الصلاحيّة كما لا يخفى ، فإنّما يدخل في المبحث </w:t>
      </w:r>
      <w:r>
        <w:rPr>
          <w:rStyle w:val="FootnoteAnchor"/>
          <w:rtl w:val="true"/>
        </w:rPr>
        <w:footnoteReference w:id="338"/>
      </w:r>
      <w:r>
        <w:rPr>
          <w:rFonts w:ascii="Amiri" w:hAnsi="Amiri" w:eastAsia="Amiri" w:cs="Amiri"/>
          <w:color w:val="111111"/>
          <w:sz w:val="28"/>
          <w:sz w:val="28"/>
          <w:szCs w:val="28"/>
          <w:rtl w:val="true"/>
          <w:lang w:bidi="ar-SA"/>
        </w:rPr>
        <w:t>بعد نفي احتمال إرادة المعنى العلمي ، إذ يصير حينئذ من باب الموضوع له بالوضع العامّ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فرض المثال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بني تميم ، وأضف بني خالد ، واخلع بني أسد إلّا </w:t>
      </w:r>
    </w:p>
    <w:p>
      <w:pPr>
        <w:pStyle w:val="BookText"/>
        <w:rPr/>
      </w:pPr>
      <w:r>
        <w:rPr>
          <w:rFonts w:ascii="Amiri" w:hAnsi="Amiri" w:eastAsia="Amiri" w:cs="Amiri"/>
          <w:color w:val="111111"/>
          <w:sz w:val="28"/>
          <w:sz w:val="28"/>
          <w:szCs w:val="28"/>
          <w:rtl w:val="true"/>
          <w:lang w:bidi="ar-SA"/>
        </w:rPr>
        <w:t>الزيدين ، مع فرض وجود شخص مسمّى بزيد واحد في كلّ واحد من القبائل ، ومسمّى بزيدين في بني أسد ، فهو وإن كان أقرب من المثال السّابق لكنّه أيضا خارج عن المبحث ، للزوم إرادة كلّ واحد من العمومات على الاجتماع لا على البدل ، ولأنّ الظاهر أنّهم أرادوا صلاحية المخصّص بالفعل لكلّ واحد ، لا صلاحيّة لفظه لإرادة معنيين يناسب أحدهما للأخير بحيث لا يجوز استعماله للغير ، والآخر للجميع ، بحيث لا يجوز استعماله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فاللّائق في المبحث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المخصّص صالح لأن يراد منه ما يختصّ بالأخيرة ، ولا يمكن إرادته في غيرها ، وصالح لأن يراد منه ما يختصّ بالجميع ، ولا يمكن إرادة الأخيرة فقط منه ، لا ما هو المذكور في ألسنة القوم في تحرير محلّ النّزاع من صلاحية مفهوم المخصّص لكلّ واحد من العمومات كما هو الظاهر من كلماتهم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أنّه رحمه‌الله </w:t>
      </w:r>
      <w:r>
        <w:rPr>
          <w:rStyle w:val="FootnoteAnchor"/>
          <w:rtl w:val="true"/>
        </w:rPr>
        <w:footnoteReference w:id="339"/>
      </w:r>
      <w:r>
        <w:rPr>
          <w:rFonts w:ascii="Amiri" w:hAnsi="Amiri" w:eastAsia="Amiri" w:cs="Amiri"/>
          <w:color w:val="111111"/>
          <w:sz w:val="28"/>
          <w:sz w:val="28"/>
          <w:szCs w:val="28"/>
          <w:rtl w:val="true"/>
          <w:lang w:bidi="ar-SA"/>
        </w:rPr>
        <w:t xml:space="preserve">فرض حصول الاشتراك </w:t>
      </w:r>
      <w:r>
        <w:rPr>
          <w:rStyle w:val="FootnoteAnchor"/>
          <w:rtl w:val="true"/>
        </w:rPr>
        <w:footnoteReference w:id="340"/>
      </w:r>
      <w:r>
        <w:rPr>
          <w:rFonts w:ascii="Amiri" w:hAnsi="Amiri" w:eastAsia="Amiri" w:cs="Amiri"/>
          <w:color w:val="111111"/>
          <w:sz w:val="28"/>
          <w:sz w:val="28"/>
          <w:szCs w:val="28"/>
          <w:rtl w:val="true"/>
          <w:lang w:bidi="ar-SA"/>
        </w:rPr>
        <w:t xml:space="preserve">في هذه الصورة فقط وعرّض على من قال بالاشتراك </w:t>
      </w:r>
      <w:r>
        <w:rPr>
          <w:rStyle w:val="FootnoteAnchor"/>
          <w:rtl w:val="true"/>
        </w:rPr>
        <w:footnoteReference w:id="34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اتّضح بهذا بطلان القول بالاشتراك مطلقا </w:t>
      </w:r>
      <w:r>
        <w:rPr>
          <w:rStyle w:val="FootnoteAnchor"/>
          <w:rtl w:val="true"/>
        </w:rPr>
        <w:footnoteReference w:id="342"/>
      </w:r>
      <w:r>
        <w:rPr>
          <w:rFonts w:ascii="Amiri" w:hAnsi="Amiri" w:eastAsia="Amiri" w:cs="Amiri"/>
          <w:color w:val="111111"/>
          <w:sz w:val="28"/>
          <w:sz w:val="28"/>
          <w:szCs w:val="28"/>
          <w:rtl w:val="true"/>
          <w:lang w:bidi="ar-SA"/>
        </w:rPr>
        <w:t xml:space="preserve">، فإنّه لا تعدّد في وضع المفردات غالبا كما عرفت ، ولا دليل على كون الهيئة التركيبيّة </w:t>
      </w:r>
      <w:r>
        <w:rPr>
          <w:rStyle w:val="FootnoteAnchor"/>
          <w:rtl w:val="true"/>
        </w:rPr>
        <w:footnoteReference w:id="343"/>
      </w:r>
      <w:r>
        <w:rPr>
          <w:rFonts w:ascii="Amiri" w:hAnsi="Amiri" w:eastAsia="Amiri" w:cs="Amiri"/>
          <w:color w:val="111111"/>
          <w:sz w:val="28"/>
          <w:sz w:val="28"/>
          <w:szCs w:val="28"/>
          <w:rtl w:val="true"/>
          <w:lang w:bidi="ar-SA"/>
        </w:rPr>
        <w:t>موضوعة وضعا متعدّدا لكلّ من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بالاشتراك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الاستثناء المتعقّب للجمل مشترك بين الأمرين ، بمعنى أنّه لا يعلم أنّه أريد بذلك الاستثناء الذي يصلح لكلّ من الأمرين الإخراج عن الأخيرة أو الإخراج عن الكلّ ، لا بمعنى أنّا لا نعلم أنّه هل أريد بالمستثنى ما يصلح أن يخرج من الكلّ أو ما لا يصلح إلّا للأخيرة ، وبينهما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هو رحمه‌الله وإن أتعب باله في التنقيب والتدقيق وأسّس أساس التحقيق ، لكنّه قد اختلط عليه الشّأن بعض الاختلاط ، ولم ينته أمره الى الإتقان في الارتباط ، والمتّهم هو فكري القاصر ، والله وليّ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عندي </w:t>
      </w:r>
      <w:r>
        <w:rPr>
          <w:rStyle w:val="FootnoteAnchor"/>
          <w:rtl w:val="true"/>
        </w:rPr>
        <w:footnoteReference w:id="344"/>
      </w:r>
      <w:r>
        <w:rPr>
          <w:rFonts w:ascii="Amiri" w:hAnsi="Amiri" w:eastAsia="Amiri" w:cs="Amiri"/>
          <w:color w:val="111111"/>
          <w:sz w:val="28"/>
          <w:sz w:val="28"/>
          <w:szCs w:val="28"/>
          <w:rtl w:val="true"/>
          <w:lang w:bidi="ar-SA"/>
        </w:rPr>
        <w:t xml:space="preserve">، أنّه لا إشكال ولا خلاف في أنّه لم يوضع أدوات الاستثناء لإخراج شيء خاصّ من متعدّد خاصّ ، بل الظاهر أنّها وضعت بوضع عامّ لكلّ واحد من الأفراد ، فوضع كلّها حرفيّ وإن كان بعضها اسما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الأفعال ، فوضعها أيضا حرفيّ ، لأنّ الإخراج إنّما هو باعتبار النسبة ، وهو معنى حرفي ، والأسماء أيضا وإن كان لها وضع مستقل ، لكنّه لا بدّ أن يراد منها في باب الاستثناء المعنى الحرفي ، والمستعمل فيه ليس إلّا خصوصيّات الإخراج ، وكون خصوصيّة الإخراج جزئيّا حقيقيّا لا ينافي كون المخرج </w:t>
      </w:r>
      <w:r>
        <w:rPr>
          <w:rStyle w:val="FootnoteAnchor"/>
          <w:rtl w:val="true"/>
        </w:rPr>
        <w:footnoteReference w:id="345"/>
      </w:r>
      <w:r>
        <w:rPr>
          <w:rFonts w:ascii="Amiri" w:hAnsi="Amiri" w:eastAsia="Amiri" w:cs="Amiri"/>
          <w:color w:val="111111"/>
          <w:sz w:val="28"/>
          <w:sz w:val="28"/>
          <w:szCs w:val="28"/>
          <w:rtl w:val="true"/>
          <w:lang w:bidi="ar-SA"/>
        </w:rPr>
        <w:t>أمرا كلّيا ، كما لا يخفى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المعيار في الكلام هو عموم الوضع ، فلم يتصوّر الواضع حين </w:t>
      </w:r>
    </w:p>
    <w:p>
      <w:pPr>
        <w:pStyle w:val="BookText"/>
        <w:rPr/>
      </w:pPr>
      <w:r>
        <w:rPr>
          <w:rFonts w:ascii="Amiri" w:hAnsi="Amiri" w:eastAsia="Amiri" w:cs="Amiri"/>
          <w:color w:val="111111"/>
          <w:sz w:val="28"/>
          <w:sz w:val="28"/>
          <w:szCs w:val="28"/>
          <w:rtl w:val="true"/>
          <w:lang w:bidi="ar-SA"/>
        </w:rPr>
        <w:t>وضع تلك الأدوات خصوصيّة إخراج خاصّ ، بل تصوّر عموم معنى الإخراج ووضع تلك الألفاظ لكلّ واحد من جزئيّات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يثبت طريان وضع جديد للهيئة التركيبيّة الحاصلة من اجتماع الجمل مع الاستثناء ، والأصل عدمه ، وعوده الى الأخيرة حقيقة لا بمعنى أنّه حقيقة في الرّجوع الى الأخيرة فقط ، بل بمعنى أنّ رجوعه الى الأخيرة معنى حقيقي له ، ولم يثبت استعماله ولا جوازه معه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يتوقّف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وضع الحقائق والمجازات وحدانيّ كما حقّقناه وبيّناه في مسألة استعمال اللّفظ المشترك في معنييه ، ومن التأمّل فيه يظهر أنّ وضع الأدوات ، وكذلك وضع المستثنى ، لا بدّ أن يكون وحدانيّا ، فلا يجوز إرادة إخراجين من الأدوات </w:t>
      </w:r>
      <w:r>
        <w:rPr>
          <w:rStyle w:val="FootnoteAnchor"/>
          <w:rtl w:val="true"/>
        </w:rPr>
        <w:footnoteReference w:id="346"/>
      </w:r>
      <w:r>
        <w:rPr>
          <w:rFonts w:ascii="Amiri" w:hAnsi="Amiri" w:eastAsia="Amiri" w:cs="Amiri"/>
          <w:color w:val="111111"/>
          <w:sz w:val="28"/>
          <w:sz w:val="28"/>
          <w:szCs w:val="28"/>
          <w:rtl w:val="true"/>
          <w:lang w:bidi="ar-SA"/>
        </w:rPr>
        <w:t>، ولا إرادة فردين من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النّزاع هو جواز كون كلّ من الجمل موردا للإخراج على البدل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قال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يخرج في المثال الواحد من الجميع أي من كلّ منها ولكن لا في إرادة واحدة بل إرادات متعددة كل جملة بإرادة اخراج ، ولا يكون الإرادات إلّا متعاقبة متبادلة على سبيل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الاخراج على البدل فيما نحن فيه هو كون كل من الاخراج والمخرج منه كذلك فإذا تخلّف أحد الثلاثة خرج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لا كون المجموع موردا له كما يفهم من تفسير العضدي لقول الشافعي من إرادة كلّ واحد لإرادة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المثال الذي ذكره السيّد رحمه‌الله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اضرب غلماني والق أصدقائي إلّا واحدا ، فإنّ إخراج الواحد من كليهما محال ، إذ لفظة واحد موضوعة لمفرد ما ، ويتخيّر المخاطب في اختيار أيّ فرد يريد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بواحد من الغلمان ، لا يخرجه عن المفرديّة ، فلا يصحّ جريان الكلام والبحث في هذا المثال إلّا بإرادة واحد من الأصدقاء وواحد من الغلمان ، فيتبادل إرادة الإخراج بالنسبة الى كلّ واحد منهما في الواحد ، فمن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يرجع الى الجميع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اضرب غلماني إلّا واحدا منهم ، والق أصدقائي إلّا واحدا منهم ، وإن فسّر الجميع بالمجموع لا كلّ واحد ، لكفى إخراج واحد من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ولا شربت ولا نمت إلّا باللّيل ، بمعنى لم أفعل هذه الأفعال إلّا باللّيل ، مجاز وخروج عن الأصل ، لا يصار إليه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جعل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العلماء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بني تميم ، وأهن بني أسد ، واشتم بني خالد ، راجعا الى الجميع ، إنّما هو لأجل أنّ الجمع المحلّى باللّام حقيقة في العموم ، وإرادة علماء بني خالد فقط منه توجب التخصيص </w:t>
      </w:r>
      <w:r>
        <w:rPr>
          <w:rStyle w:val="FootnoteAnchor"/>
          <w:rtl w:val="true"/>
        </w:rPr>
        <w:footnoteReference w:id="348"/>
      </w:r>
      <w:r>
        <w:rPr>
          <w:rFonts w:ascii="Amiri" w:hAnsi="Amiri" w:eastAsia="Amiri" w:cs="Amiri"/>
          <w:color w:val="111111"/>
          <w:sz w:val="28"/>
          <w:sz w:val="28"/>
          <w:szCs w:val="28"/>
          <w:rtl w:val="true"/>
          <w:lang w:bidi="ar-SA"/>
        </w:rPr>
        <w:t xml:space="preserve">، وهو خلاف الأصل ، ولكن يعارضه </w:t>
      </w:r>
      <w:r>
        <w:rPr>
          <w:rStyle w:val="FootnoteAnchor"/>
          <w:rtl w:val="true"/>
        </w:rPr>
        <w:footnoteReference w:id="349"/>
      </w:r>
      <w:r>
        <w:rPr>
          <w:rFonts w:ascii="Amiri" w:hAnsi="Amiri" w:eastAsia="Amiri" w:cs="Amiri"/>
          <w:color w:val="111111"/>
          <w:sz w:val="28"/>
          <w:sz w:val="28"/>
          <w:szCs w:val="28"/>
          <w:rtl w:val="true"/>
          <w:lang w:bidi="ar-SA"/>
        </w:rPr>
        <w:t>لزوم تخصيص بني تميم وبني أسد ، أو إرادة هذه الجماعات من مجموع الجمل ، فالأمر يدور فيه بين مجازات ثلاثة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تحقّق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استثناء يستدعي مستثنى منه واحدا ، فلا بدّ أن يكون كلّ من المستثنى منه والاستثناء والمستثنى وحدانيّا ، فكما لا يجوز استعمال اللّفظ المشترك في أكثر من معنى ، كما حقّقناه في محلّه ، ولا اللّفظ في معنييه الحقيقي والمجازي كما بيّنا ، فكذلك لا يمكن إرادة فردين من الماهيّة بالنكرة المفردة ولو </w:t>
      </w:r>
    </w:p>
    <w:p>
      <w:pPr>
        <w:pStyle w:val="BookText"/>
        <w:rPr/>
      </w:pPr>
      <w:r>
        <w:rPr>
          <w:rFonts w:ascii="Amiri" w:hAnsi="Amiri" w:eastAsia="Amiri" w:cs="Amiri"/>
          <w:color w:val="111111"/>
          <w:sz w:val="28"/>
          <w:sz w:val="28"/>
          <w:szCs w:val="28"/>
          <w:rtl w:val="true"/>
          <w:lang w:bidi="ar-SA"/>
        </w:rPr>
        <w:t>على سبيل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إرادة الإرجاع الى أكثر من جملة ، فلا بدّ من إرادة معنى مفرد منتزع من الجمل السّابقة ، مثل هذه الأفعال أو هذه الجماعات ونحو ذلك ، وهو مجاز لا يصار إليه إلّا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القرب مرجّحا للأخيرة ، فنرجعه إليها من جهة أنّه فرد من أفراد الاستثناء ، لا من حيث إنّه خصوصيّة الأخيرة ، ولا نحكم بالخروج في غيرها لكونه خلاف الوضع وخلاف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أنّه إذا ثبت من الخارج كون المتعدّدة السّابقة في حكم الواحد ، فلا إشكال في الرجوع الى الجميع وأنّها حقيقة أيضا ، وإن حصل التجوّز في بعض أجزاء الهيئة التركيبيّة كما أشرنا اليه في المباحث السّابقة </w:t>
      </w:r>
      <w:r>
        <w:rPr>
          <w:rStyle w:val="FootnoteAnchor"/>
          <w:rtl w:val="true"/>
        </w:rPr>
        <w:footnoteReference w:id="350"/>
      </w:r>
      <w:r>
        <w:rPr>
          <w:rFonts w:ascii="Amiri" w:hAnsi="Amiri" w:eastAsia="Amiri" w:cs="Amiri"/>
          <w:color w:val="111111"/>
          <w:sz w:val="28"/>
          <w:sz w:val="28"/>
          <w:szCs w:val="28"/>
          <w:rtl w:val="true"/>
          <w:lang w:bidi="ar-SA"/>
        </w:rPr>
        <w:t>، ولكنّه ليس من محلّ النزاع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النزاع إنّما هو في إرادة كلّ واحد منها على البدل ، وإلّا فلا وجه </w:t>
      </w:r>
      <w:r>
        <w:rPr>
          <w:rStyle w:val="FootnoteAnchor"/>
          <w:rtl w:val="true"/>
        </w:rPr>
        <w:footnoteReference w:id="351"/>
      </w:r>
      <w:r>
        <w:rPr>
          <w:rFonts w:ascii="Amiri" w:hAnsi="Amiri" w:eastAsia="Amiri" w:cs="Amiri"/>
          <w:color w:val="111111"/>
          <w:sz w:val="28"/>
          <w:sz w:val="28"/>
          <w:szCs w:val="28"/>
          <w:rtl w:val="true"/>
          <w:lang w:bidi="ar-SA"/>
        </w:rPr>
        <w:t>لإرجاعه اليها ، لا حقيقة ولا مجازا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الفرق بين ما اخترناه وما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Style w:val="FootnoteAnchor"/>
          <w:rtl w:val="true"/>
        </w:rPr>
        <w:footnoteReference w:id="352"/>
      </w:r>
      <w:r>
        <w:rPr>
          <w:rFonts w:ascii="Amiri" w:hAnsi="Amiri" w:eastAsia="Amiri" w:cs="Amiri"/>
          <w:color w:val="111111"/>
          <w:sz w:val="28"/>
          <w:sz w:val="28"/>
          <w:szCs w:val="28"/>
          <w:rtl w:val="true"/>
          <w:lang w:bidi="ar-SA"/>
        </w:rPr>
        <w:t xml:space="preserve">؛ هو 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الواضع تصوّر معنى الإخراج عن المتعدّد بعنوان العموم ووضع أدوات الاستثناء لكلّ واحد من خصوصيّات أفراده ، فيشمل المعنى العامّ المتصوّر ما صدق عليه الإخراج عن المتعدّد الواحد </w:t>
      </w:r>
      <w:r>
        <w:rPr>
          <w:rStyle w:val="FootnoteAnchor"/>
          <w:rtl w:val="true"/>
        </w:rPr>
        <w:footnoteReference w:id="353"/>
      </w:r>
      <w:r>
        <w:rPr>
          <w:rFonts w:ascii="IRNazanin" w:hAnsi="IRNazanin" w:eastAsia="IRNazanin"/>
          <w:color w:val="111111"/>
          <w:sz w:val="28"/>
          <w:sz w:val="28"/>
          <w:szCs w:val="28"/>
          <w:rtl w:val="true"/>
          <w:lang w:bidi="fa-IR"/>
        </w:rPr>
        <w:t xml:space="preserve">، والإخراج عن المتعدّد ، المتعدّد على البدل </w:t>
      </w:r>
      <w:r>
        <w:rPr>
          <w:rStyle w:val="FootnoteAnchor"/>
          <w:rtl w:val="true"/>
        </w:rPr>
        <w:footnoteReference w:id="35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المتعدّد المأوّل بالواحد </w:t>
      </w:r>
      <w:r>
        <w:rPr>
          <w:rStyle w:val="FootnoteAnchor"/>
          <w:rtl w:val="true"/>
        </w:rPr>
        <w:footnoteReference w:id="355"/>
      </w:r>
      <w:r>
        <w:rPr>
          <w:rFonts w:ascii="IRNazanin" w:hAnsi="IRNazanin" w:eastAsia="IRNazanin"/>
          <w:color w:val="111111"/>
          <w:sz w:val="28"/>
          <w:sz w:val="28"/>
          <w:szCs w:val="28"/>
          <w:rtl w:val="true"/>
          <w:lang w:bidi="fa-IR"/>
        </w:rPr>
        <w:t xml:space="preserve">، وعن متعدّد واحد من المتعدّدات </w:t>
      </w:r>
      <w:r>
        <w:rPr>
          <w:rStyle w:val="FootnoteAnchor"/>
          <w:rtl w:val="true"/>
        </w:rPr>
        <w:footnoteReference w:id="356"/>
      </w:r>
      <w:r>
        <w:rPr>
          <w:rFonts w:ascii="Amiri" w:hAnsi="Amiri" w:eastAsia="Amiri" w:cs="Amiri"/>
          <w:color w:val="111111"/>
          <w:sz w:val="28"/>
          <w:sz w:val="28"/>
          <w:szCs w:val="28"/>
          <w:rtl w:val="true"/>
          <w:lang w:bidi="ar-SA"/>
        </w:rPr>
        <w:t>مثل الأخيرة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الخصوصيّات الموضوعة بإزائها تحتمل خصوصيّات جميع هذه المفاهيم ، فإذا استعمل الاستثناءفي أيّ من المذكورات كان حقيقة وإن احتاج في التعيين الى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الواضع تصوّر معنى الإخراج عن المتعدّد ووضع اللّفظ بإزاء جزئيّاته ، وليس المعنى العامّ المتصوّر إلّا مفهوم الإخراج عن متعدّد واحد ، سواء كان واحدا بالنوع ، أو متعدّدات تأوّلت بالواحد مجازا كهذه الأفعال وهذه الجماعات ، وكذلك الخصوصيّات الموضوعة بإزائها هو خصوصيّات هذا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اخترناه تبادر الوحدة وعدم تبادر الإخراجات المتبادلة ، فيكون في المتبادلة مجازا إن صحّ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أنّه لا يتبادر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إلّا رجل واحد ، وإن كان قابلا للاستعمال في كلّ واحد من أفراد الرّجال ، ولا يجوز إرادة آحاد كثيرة على التبادل من لفظ رجل ، لكون وضعه وحدانيّا على ما حقّقناه ، فكذلك لا يتبادر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غلماني ، والق أصدقائي إلّا واحدا ، إلّا إخراج واحد إمّا من الغلمان أو من الأصدقاء ، وإنّما خصّصنا الأخيرة واخترناه من جهة خارجية مثل القرب </w:t>
      </w:r>
    </w:p>
    <w:p>
      <w:pPr>
        <w:pStyle w:val="BookText"/>
        <w:rPr/>
      </w:pPr>
      <w:r>
        <w:rPr>
          <w:rFonts w:ascii="IRNazanin" w:hAnsi="IRNazanin" w:eastAsia="IRNazanin"/>
          <w:color w:val="111111"/>
          <w:sz w:val="28"/>
          <w:sz w:val="28"/>
          <w:szCs w:val="28"/>
          <w:rtl w:val="true"/>
          <w:lang w:bidi="fa-IR"/>
        </w:rPr>
        <w:t xml:space="preserve">أو الإجماع </w:t>
      </w:r>
      <w:r>
        <w:rPr>
          <w:rStyle w:val="FootnoteAnchor"/>
          <w:rtl w:val="true"/>
        </w:rPr>
        <w:footnoteReference w:id="358"/>
      </w:r>
      <w:r>
        <w:rPr>
          <w:rFonts w:ascii="Amiri" w:hAnsi="Amiri" w:eastAsia="Amiri" w:cs="Amiri"/>
          <w:color w:val="111111"/>
          <w:sz w:val="28"/>
          <w:sz w:val="28"/>
          <w:szCs w:val="28"/>
          <w:rtl w:val="true"/>
          <w:lang w:bidi="ar-SA"/>
        </w:rPr>
        <w:t>، وإلّا لكان رجوعه الى الأوّل فقط أيضا جائزا بعنوان الحقيقة ، لأنّه أيضا فرد من أفراد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فلا يدلّ عليه دليل ، لمنع كون العموم المتصوّر حين الوضع شاملا للصّور المذكورة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تحقّق الوضع لأفراد ذلك العموم ، المقصود الكذائي ، أوّل الكلام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إنّما هو لأفراد الإخراج على المتعدّد ، وهو مطلق ولا تقييد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ذكرته من اعتبار الوحدة خلاف الأصل ولا دليل عليه ، والوضع للماهيّة يستلزم جواز استعماله في كلّ الأفراد حقيقة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نقول بأنّ الواضع اعتبر الوحدة حتّى يقال أنّه خلاف الأصل ، ولا دليل عليه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من الواضع إلّا الوضع في حال الوحدة ، لا بشرط الوحدة ، نظير ما ذكرنا في مبحث المشترك ، فالإطلاق أيضا قيد يحتاج الى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ذكرناه معنى دقيق </w:t>
      </w:r>
      <w:r>
        <w:rPr>
          <w:rStyle w:val="FootnoteAnchor"/>
          <w:rtl w:val="true"/>
        </w:rPr>
        <w:footnoteReference w:id="362"/>
      </w:r>
      <w:r>
        <w:rPr>
          <w:rFonts w:ascii="Amiri" w:hAnsi="Amiri" w:eastAsia="Amiri" w:cs="Amiri"/>
          <w:color w:val="111111"/>
          <w:sz w:val="28"/>
          <w:sz w:val="28"/>
          <w:szCs w:val="28"/>
          <w:rtl w:val="true"/>
          <w:lang w:bidi="ar-SA"/>
        </w:rPr>
        <w:t xml:space="preserve">لا مطلق ولا مقيّد بشرط الوحدة ولا بشرط عدمها ، فالتّكلان على التوظيف والتوقيف </w:t>
      </w:r>
      <w:r>
        <w:rPr>
          <w:rStyle w:val="FootnoteAnchor"/>
          <w:rtl w:val="true"/>
        </w:rPr>
        <w:footnoteReference w:id="36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أفاده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انّا ندّعي التبادر أيضا وهو دليل الحقيقة فيما ذكرنا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ظهر بما ذكرنا بطلان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سائر الأقوال ، فمع ما ظهر ممّا ذكرنا يظهر ممّا سيأتي في نقل 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السيّد رحمه‌الله بوجوه ضعيفة </w:t>
      </w:r>
      <w:r>
        <w:rPr>
          <w:rStyle w:val="FootnoteAnchor"/>
          <w:rtl w:val="true"/>
        </w:rPr>
        <w:footnoteReference w:id="365"/>
      </w:r>
      <w:r>
        <w:rPr>
          <w:rFonts w:ascii="IRNazanin" w:hAnsi="IRNazanin" w:eastAsia="IRNazanin"/>
          <w:color w:val="111111"/>
          <w:sz w:val="28"/>
          <w:sz w:val="28"/>
          <w:szCs w:val="28"/>
          <w:rtl w:val="true"/>
          <w:lang w:bidi="fa-IR"/>
        </w:rPr>
        <w:t xml:space="preserve">، أقواها وجهان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الاستفهام ، بأنّ المتكلّم هل أراد تخصيص الأخيرة أو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يحسن على القول بالوقف وعلى القول بالاشتراك المعنوي أيضا ، فإنّه 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بالأمس عندي ، فيحسن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الاستعمال ، الحقيقة ، ولا ريب في استعمال الصورة المفروضة في الإخراج عن الكلّ مرّة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جَزاؤُهُمْ أَنَّ عَلَيْهِمْ لَعْنَةَ اللهِ وَالْمَلائِكَةِ وَالنَّاسِ أَجْمَعِينَ خالِدِينَ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وَلا هُمْ يُنْظَرُونَ إِلَّا الَّذِينَ تابُوا</w:t>
      </w:r>
      <w:r>
        <w:rPr>
          <w:rFonts w:eastAsia="Amiri" w:cs="Amiri" w:ascii="Amiri" w:hAnsi="Amiri"/>
          <w:color w:val="111111"/>
          <w:sz w:val="28"/>
          <w:szCs w:val="28"/>
          <w:rtl w:val="true"/>
          <w:lang w:bidi="ar-SA"/>
        </w:rPr>
        <w:t xml:space="preserve">. ) </w:t>
      </w:r>
      <w:r>
        <w:rPr>
          <w:rStyle w:val="FootnoteAnchor"/>
          <w:rtl w:val="true"/>
        </w:rPr>
        <w:footnoteReference w:id="366"/>
      </w:r>
      <w:r>
        <w:rPr>
          <w:rFonts w:ascii="Amiri" w:hAnsi="Amiri" w:eastAsia="Amiri" w:cs="Amiri"/>
          <w:color w:val="111111"/>
          <w:sz w:val="28"/>
          <w:sz w:val="28"/>
          <w:szCs w:val="28"/>
          <w:rtl w:val="true"/>
          <w:lang w:bidi="ar-SA"/>
        </w:rPr>
        <w:t xml:space="preserve">والإخراج عن الأخيرة أخرى </w:t>
      </w:r>
      <w:r>
        <w:rPr>
          <w:rStyle w:val="FootnoteAnchor"/>
          <w:rtl w:val="true"/>
        </w:rPr>
        <w:footnoteReference w:id="367"/>
      </w:r>
      <w:r>
        <w:rPr>
          <w:rFonts w:ascii="Amiri" w:hAnsi="Amiri" w:eastAsia="Amiri" w:cs="Amiri"/>
          <w:color w:val="111111"/>
          <w:sz w:val="28"/>
          <w:sz w:val="28"/>
          <w:szCs w:val="28"/>
          <w:rtl w:val="true"/>
          <w:lang w:bidi="ar-SA"/>
        </w:rPr>
        <w:t xml:space="preserve">، كما في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مُبْتَلِيكُمْ بِنَهَرٍ فَمَنْ شَرِبَ مِنْهُ فَلَيْسَ مِنِّي وَمَنْ لَمْ يَطْعَمْهُ فَإِنَّهُ مِنِّي إِلَّا مَنِ اغْتَرَفَ غُرْفَةً بِيَدِهِ فَشَرِبُوا مِنْهُ ،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من غير قرينة على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لا يدلّ على الحقيقة كما مرّ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الشافعيّة بوجوه </w:t>
      </w:r>
      <w:r>
        <w:rPr>
          <w:rStyle w:val="FootnoteAnchor"/>
          <w:rtl w:val="true"/>
        </w:rPr>
        <w:footnoteReference w:id="369"/>
      </w:r>
      <w:r>
        <w:rPr>
          <w:rFonts w:ascii="Amiri" w:hAnsi="Amiri" w:eastAsia="Amiri" w:cs="Amiri"/>
          <w:color w:val="111111"/>
          <w:sz w:val="28"/>
          <w:sz w:val="28"/>
          <w:szCs w:val="28"/>
          <w:rtl w:val="true"/>
          <w:lang w:bidi="ar-SA"/>
        </w:rPr>
        <w:t xml:space="preserve">ضعيفة ، أقواها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حرف العطف يصيّر الجمل المتعدّدة في حكم المفرد ، وقرّروه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أكرم أباه ، وضرب أخاه ، وقتل عبده ، في قوّة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فعل هذه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ما يلي الجملة الواحدة من المخصّصات يرجع إليها ، فكذا ما في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 لأنّ العطف لا يقتضي إلّا مناسبة ما ومغايرة ما ، ووجوب إعطاء كلّ ما هو في قوّة شيء ، حكم ذلك الشيء ممنوع ، والقياس باطل سيّما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الجمل المتعاطفة حكم الألفاظ المفردة ، فإنّ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الذين قتلوا وسرقوا وزنوا إلّا من تاب ، في قوّة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الّذين هم قتلة وسرّاق وزناة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تقدّم من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مبنيّ على كون ذلك متّفقا عليه في المفردات ، والنزاع موجودة فيه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بمشيّة الله إذا تعقّب جملا ، يعود الى الجميع بلا خلاف ، فكذا الاستثناء بجامع ، كون كلّ منها استثناء وغير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استثناء ، ممنوع ، ولو سلّم فالإجماع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 باب الشرط لا الاستثناء ، وذلك يجوز في الشرط وشرطيّته ، والجواز في الشرط كلاهما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كونه ليس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الشرط هو التعليق كما مرّ ، ولا ريب أنّ هذا الكلام لا يراد به تعليق الفعل على المشيّة بلا ريب ، وكثيرا ما يذكر في المنجّزات المقطوع بفعلها ، وإنّما يذكر ذلك من باب التسليم والتوكّل ، وبيان الاعتقاد بأنّه لا مناص عن مشيّة الله وإرادته وقدرته ، أو من جهة امتثال الأمر لئلّا يفوت المقصود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المراد منه غالبا إيقاف الكلام عن النفوذ والمضيّ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كذا غدا ، فهو جازم في نفسه بأنّه يفعله ، لكن يظهر من نفسه أنّ صدور الفعل عنه لا يكون إلّا بمشيّة الله ، فهو جازم في الإيقاع ، شاكّ في الوقوع ، لعدم الاعتماد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أنّه يستعمل في الماضي أيضا ،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وزرت إن شاء الله ، مع أنّ كلمة إن تصيّر الماضي مضارعا ، ومراد القائل الحج والزيارة في 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 المراد ليس أنّهما مقبولتان إن شاء الله تعالى ، إذ هو خارج عن فرض المثال ، بل المراد نفس الحجّ والزيارة ، ومراده من التعليق بالمشيّة أنّ حصولهما إنّما كان بمشيّة الله وتوفيقه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بيان كونه ليس باستثناء </w:t>
      </w:r>
      <w:r>
        <w:rPr>
          <w:rStyle w:val="FootnoteAnchor"/>
          <w:rtl w:val="true"/>
        </w:rPr>
        <w:footnoteReference w:id="371"/>
      </w:r>
      <w:r>
        <w:rPr>
          <w:rFonts w:ascii="Amiri" w:hAnsi="Amiri" w:eastAsia="Amiri" w:cs="Amiri"/>
          <w:color w:val="111111"/>
          <w:sz w:val="28"/>
          <w:sz w:val="28"/>
          <w:szCs w:val="28"/>
          <w:rtl w:val="true"/>
          <w:lang w:bidi="ar-SA"/>
        </w:rPr>
        <w:t xml:space="preserve">، فهو عدم اشتماله على شيء من أدواته ولو تكلّف بتأويل الشّرط بالاستثناء ، بأن يقال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لم يشأ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السّابق في الشرط ، من أنّ المراد إنّما هو الإيقاف عن النفوذ والمضيّ لا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يستعمل هذه الكلمة في الشرط الحقيقي لو أريد به التعليق ، كما في صورة الشّكّ وعدم حصول الأسباب الظاهرة الغالبة اللزوم لحصول المسبّبات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عمّن جامع امرأة مرّة ، هل انعقد ولد منك في الرّحم؟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انعقد وإن لم يشأ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من باب المتداول </w:t>
      </w:r>
      <w:r>
        <w:rPr>
          <w:rStyle w:val="FootnoteAnchor"/>
          <w:rtl w:val="true"/>
        </w:rPr>
        <w:footnoteReference w:id="372"/>
      </w:r>
      <w:r>
        <w:rPr>
          <w:rFonts w:ascii="Amiri" w:hAnsi="Amiri" w:eastAsia="Amiri" w:cs="Amiri"/>
          <w:color w:val="111111"/>
          <w:sz w:val="28"/>
          <w:sz w:val="28"/>
          <w:szCs w:val="28"/>
          <w:rtl w:val="true"/>
          <w:lang w:bidi="ar-SA"/>
        </w:rPr>
        <w:t>في استعمال تلك الكلمة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محصّل للإجماع المدّعى </w:t>
      </w:r>
      <w:r>
        <w:rPr>
          <w:rStyle w:val="FootnoteAnchor"/>
          <w:rtl w:val="true"/>
        </w:rPr>
        <w:footnoteReference w:id="373"/>
      </w:r>
      <w:r>
        <w:rPr>
          <w:rFonts w:ascii="Amiri" w:hAnsi="Amiri" w:eastAsia="Amiri" w:cs="Amiri"/>
          <w:color w:val="111111"/>
          <w:sz w:val="28"/>
          <w:sz w:val="28"/>
          <w:szCs w:val="28"/>
          <w:rtl w:val="true"/>
          <w:lang w:bidi="ar-SA"/>
        </w:rPr>
        <w:t xml:space="preserve">في عود هذه الكلمة الى الجميع ، إذ ذلك مسألة لغويّة ، وانعقاد الإجماع على أنّ مراد كلّ من تكلّم بهذه الكلمة في الصّورة المفروضة هو الرجوع الى الجميع ، شطط من الكلام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الإجماع في كلّ ما ورد في كلام الشّارع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لزوم حمل </w:t>
      </w:r>
      <w:r>
        <w:rPr>
          <w:rStyle w:val="FootnoteAnchor"/>
          <w:rtl w:val="true"/>
        </w:rPr>
        <w:footnoteReference w:id="374"/>
      </w:r>
      <w:r>
        <w:rPr>
          <w:rFonts w:ascii="Amiri" w:hAnsi="Amiri" w:eastAsia="Amiri" w:cs="Amiri"/>
          <w:color w:val="111111"/>
          <w:sz w:val="28"/>
          <w:sz w:val="28"/>
          <w:szCs w:val="28"/>
          <w:rtl w:val="true"/>
          <w:lang w:bidi="ar-SA"/>
        </w:rPr>
        <w:t>كلام المسلم على ذلك ، لأنّه من توابع الإيمان والتوكّل والإذعان بهذا الأمر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صالح للرجوع الى الجميع ، والحكم بأولويّة البعض تحكّم ، فيجب عوده الى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ألفاظ العموم لمّا لم يكن تناولها لبعض أولى من الآخر ، تناولت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الصّلاحيّة للجميع لا يوجب ظهوره فيه ، بل إنّما يوجب التجويز والشكّ ، والتعيين موقوف على الدّليل </w:t>
      </w:r>
      <w:r>
        <w:rPr>
          <w:rStyle w:val="FootnoteAnchor"/>
          <w:rtl w:val="true"/>
        </w:rPr>
        <w:footnoteReference w:id="375"/>
      </w:r>
      <w:r>
        <w:rPr>
          <w:rFonts w:ascii="Amiri" w:hAnsi="Amiri" w:eastAsia="Amiri" w:cs="Amiri"/>
          <w:color w:val="111111"/>
          <w:sz w:val="28"/>
          <w:sz w:val="28"/>
          <w:szCs w:val="28"/>
          <w:rtl w:val="true"/>
          <w:lang w:bidi="ar-SA"/>
        </w:rPr>
        <w:t>، وإخراج كلام الحكيم عن اللّغوية وعن الإجمال يحصل بتخصيص الأخيرة ، وإن لم يكن من باب التعيين ، فلا وجه لإخراج الباقي عن العموم الذي هو مقتضى الصّيغة ، سيّما إذا كان موافقا للأصل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والقياس بألفاظ العموم في غاية الغرابة ، فإنّ دلالتها إنّما هي بالوضع ، لا لرفع التحكّم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يتمّ هذا القياس في مثل النّكرة المثبتة ، والجمع المنكّر ونحوهما ممّا يرجع الى العموم في بعض المقامات </w:t>
      </w:r>
      <w:r>
        <w:rPr>
          <w:rStyle w:val="FootnoteAnchor"/>
          <w:rtl w:val="true"/>
        </w:rPr>
        <w:footnoteReference w:id="376"/>
      </w:r>
      <w:r>
        <w:rPr>
          <w:rFonts w:ascii="Amiri" w:hAnsi="Amiri" w:eastAsia="Amiri" w:cs="Amiri"/>
          <w:color w:val="111111"/>
          <w:sz w:val="28"/>
          <w:sz w:val="28"/>
          <w:szCs w:val="28"/>
          <w:rtl w:val="true"/>
          <w:lang w:bidi="ar-SA"/>
        </w:rPr>
        <w:t xml:space="preserve">كما بيّناه في محلّه ، صونا لكلام الحكيم عن اللّغويّة ، مع أنّه أيضا تابع لحصول الفائدة </w:t>
      </w:r>
      <w:r>
        <w:rPr>
          <w:rStyle w:val="FootnoteAnchor"/>
          <w:rtl w:val="true"/>
        </w:rPr>
        <w:footnoteReference w:id="377"/>
      </w:r>
      <w:r>
        <w:rPr>
          <w:rFonts w:ascii="Amiri" w:hAnsi="Amiri" w:eastAsia="Amiri" w:cs="Amiri"/>
          <w:color w:val="111111"/>
          <w:sz w:val="28"/>
          <w:sz w:val="28"/>
          <w:szCs w:val="28"/>
          <w:rtl w:val="true"/>
          <w:lang w:bidi="ar-SA"/>
        </w:rPr>
        <w:t>، فإذا حصل الفائدة بالأفراد الشّائعة أو أقلّ مراتب الجمع فلا ضرورة الى الحمل على الجميع</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على القول بالاشتراك ، أنّ الظاهر </w:t>
      </w:r>
      <w:r>
        <w:rPr>
          <w:rStyle w:val="FootnoteAnchor"/>
          <w:rtl w:val="true"/>
        </w:rPr>
        <w:footnoteReference w:id="378"/>
      </w:r>
      <w:r>
        <w:rPr>
          <w:rFonts w:ascii="Amiri" w:hAnsi="Amiri" w:eastAsia="Amiri" w:cs="Amiri"/>
          <w:color w:val="111111"/>
          <w:sz w:val="28"/>
          <w:sz w:val="28"/>
          <w:szCs w:val="28"/>
          <w:rtl w:val="true"/>
          <w:lang w:bidi="ar-SA"/>
        </w:rPr>
        <w:t xml:space="preserve">هو العود الى الجميع ، </w:t>
      </w:r>
    </w:p>
    <w:p>
      <w:pPr>
        <w:pStyle w:val="BookText"/>
        <w:rPr/>
      </w:pPr>
      <w:r>
        <w:rPr>
          <w:rFonts w:ascii="Amiri" w:hAnsi="Amiri" w:eastAsia="Amiri" w:cs="Amiri"/>
          <w:color w:val="111111"/>
          <w:sz w:val="28"/>
          <w:sz w:val="28"/>
          <w:szCs w:val="28"/>
          <w:rtl w:val="true"/>
          <w:lang w:bidi="ar-SA"/>
        </w:rPr>
        <w:t>فلا يتوقّف على القرينة نظرا الى غلبة الوقوع ، وهو مع ما فيه من منع الغلبة ، غير واضح 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في تحقيق معنى التبادر أنّ الظهور الحاصل من الغلبة لا يكفي في الترجيح في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حصل التوقّف في ترجيح المجاز الرّاجح </w:t>
      </w:r>
      <w:r>
        <w:rPr>
          <w:rStyle w:val="FootnoteAnchor"/>
          <w:rtl w:val="true"/>
        </w:rPr>
        <w:footnoteReference w:id="379"/>
      </w:r>
      <w:r>
        <w:rPr>
          <w:rFonts w:ascii="Amiri" w:hAnsi="Amiri" w:eastAsia="Amiri" w:cs="Amiri"/>
          <w:color w:val="111111"/>
          <w:sz w:val="28"/>
          <w:sz w:val="28"/>
          <w:szCs w:val="28"/>
          <w:rtl w:val="true"/>
          <w:lang w:bidi="ar-SA"/>
        </w:rPr>
        <w:t>المشهور على الحقيقة النادرة ، ولكن أغلبية استعمال بعض معاني المشترك لا يوجب ترجيح إرادته وإن بادر الذّهن الى انفهامه عند الإطلاق ، ولم نقف على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ملاحظة الغلبة في جانب المجاز وترجيحه على الحقيقة أو التوقّف في ترجيحه ، هو احتمال حصول النّقل وهجر الحقيقة ، وهو منتف فيما نحن فيه ، إذ كثرة استعمال لفظ العين مثلا في النابعة والباصرة لا يوجب ضعفا في دلالتها على الذّهب ، وكونه من معانيها الحقيقية ، والاستعمال في المعنيين الأوّلين ، لم يحصل من جهة مناسبته في المعنى الثالث </w:t>
      </w:r>
      <w:r>
        <w:rPr>
          <w:rStyle w:val="FootnoteAnchor"/>
          <w:rtl w:val="true"/>
        </w:rPr>
        <w:footnoteReference w:id="380"/>
      </w:r>
      <w:r>
        <w:rPr>
          <w:rFonts w:ascii="Amiri" w:hAnsi="Amiri" w:eastAsia="Amiri" w:cs="Amiri"/>
          <w:color w:val="111111"/>
          <w:sz w:val="28"/>
          <w:sz w:val="28"/>
          <w:szCs w:val="28"/>
          <w:rtl w:val="true"/>
          <w:lang w:bidi="ar-SA"/>
        </w:rPr>
        <w:t>لهما وعلاقة كما كان ذلك في المجاز المشهور ، فافهم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الحنفيّة بوجوه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الاستثناء خلاف الأصل لاشتماله على مخالفة الحكم الأوّل ، فالدّليل يقتضي عدمه ، تركنا 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الواحدة لدفع محذور الهذريّة </w:t>
      </w:r>
      <w:r>
        <w:rPr>
          <w:rStyle w:val="FootnoteAnchor"/>
          <w:rtl w:val="true"/>
        </w:rPr>
        <w:footnoteReference w:id="38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فيبقى الدّليل في باقي الجمل سالما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خصّصنا الأخيرة لكونها أقرب ، ولأنّه لا قائل بالعود الى غير الأخيرة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واعترض </w:t>
      </w:r>
      <w:r>
        <w:rPr>
          <w:rStyle w:val="FootnoteAnchor"/>
          <w:rtl w:val="true"/>
        </w:rPr>
        <w:footnoteReference w:id="383"/>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كان المراد بمخالفة الاستثناء للأصل أنّه موجب للتجوّز في لفظ العامّ ، فهو مسلّم ، سيّما على مذهب الجمهور </w:t>
      </w:r>
      <w:r>
        <w:rPr>
          <w:rStyle w:val="FootnoteAnchor"/>
          <w:rtl w:val="true"/>
        </w:rPr>
        <w:footnoteReference w:id="384"/>
      </w:r>
      <w:r>
        <w:rPr>
          <w:rFonts w:ascii="Amiri" w:hAnsi="Amiri" w:eastAsia="Amiri" w:cs="Amiri"/>
          <w:color w:val="111111"/>
          <w:sz w:val="28"/>
          <w:sz w:val="28"/>
          <w:szCs w:val="28"/>
          <w:rtl w:val="true"/>
          <w:lang w:bidi="ar-SA"/>
        </w:rPr>
        <w:t xml:space="preserve">، ولكن تعليله بمخالفة الحكم الأوّل فاسد ، إذ لا مخالفة فيه للحكم الأوّل على قول من الأقوال في وجوه تقرير الجملة الاستثنائية كما مرّ سابقا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Style w:val="FootnoteAnchor"/>
          <w:rtl w:val="true"/>
        </w:rPr>
        <w:footnoteReference w:id="386"/>
      </w:r>
      <w:r>
        <w:rPr>
          <w:rFonts w:ascii="Amiri" w:hAnsi="Amiri" w:eastAsia="Amiri" w:cs="Amiri"/>
          <w:color w:val="111111"/>
          <w:sz w:val="28"/>
          <w:sz w:val="28"/>
          <w:szCs w:val="28"/>
          <w:rtl w:val="true"/>
          <w:lang w:bidi="ar-SA"/>
        </w:rPr>
        <w:t xml:space="preserve">تعليل ترك العمل في الجملة الواحدة </w:t>
      </w:r>
      <w:r>
        <w:rPr>
          <w:rStyle w:val="FootnoteAnchor"/>
          <w:rtl w:val="true"/>
        </w:rPr>
        <w:footnoteReference w:id="387"/>
      </w:r>
      <w:r>
        <w:rPr>
          <w:rFonts w:ascii="Amiri" w:hAnsi="Amiri" w:eastAsia="Amiri" w:cs="Amiri"/>
          <w:color w:val="111111"/>
          <w:sz w:val="28"/>
          <w:sz w:val="28"/>
          <w:szCs w:val="28"/>
          <w:rtl w:val="true"/>
          <w:lang w:bidi="ar-SA"/>
        </w:rPr>
        <w:t>بدفع محذور الهذريّة غلط ، لدلالة نصّ الواضع ورخصته النوعيّة على جواز الخروج عن أصالة الحقيقة عند قيام القرينة ، مع أنّ تخصيص الجملة الأخيرة مقطوع به ، ولا حاجة فيه الى التمسّك برفع الهذريّة ، لأنّه لو صلح بمجرّده سببا للخروج عن الأصل ، لجاز ف المنفصل في النطق عرفا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أنّ ظاهر المتكلّم بالعامّ إرادة العموم </w:t>
      </w:r>
      <w:r>
        <w:rPr>
          <w:rStyle w:val="FootnoteAnchor"/>
          <w:rtl w:val="true"/>
        </w:rPr>
        <w:footnoteReference w:id="388"/>
      </w:r>
      <w:r>
        <w:rPr>
          <w:rFonts w:ascii="Amiri" w:hAnsi="Amiri" w:eastAsia="Amiri" w:cs="Amiri"/>
          <w:color w:val="111111"/>
          <w:sz w:val="28"/>
          <w:sz w:val="28"/>
          <w:szCs w:val="28"/>
          <w:rtl w:val="true"/>
          <w:lang w:bidi="ar-SA"/>
        </w:rPr>
        <w:t xml:space="preserve">وإرادة العموم إقرار ، والاستثناء مستلزم لإنكار بعضه ، ولا يسمع الإنكار بعد الإقرار ، فالاستثناء مخالف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إرادة العموم بعد ما بيّنا من الظهور مستصحبة ، والاستثناء مزيل له ، فهو مخالف للاستصحاب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 أنّ للمتكلّم ما دام متشاغلا بالكلام أن يلحق به ما شاء من اللّواحق ، فلا يجوز للسّامع أن يحكم بإرادة العموم حتّى يتمّ الكلام ، ولو كان مجرّد صدور اللّفظ مقتضيا للحمل على الحقيقة ، لكان التصريح بخلافه قبل فوات وقته منافيا له ، ووجب ردّه ، ويتمشّى ذلك </w:t>
      </w:r>
      <w:r>
        <w:rPr>
          <w:rStyle w:val="FootnoteAnchor"/>
          <w:rtl w:val="true"/>
        </w:rPr>
        <w:footnoteReference w:id="389"/>
      </w:r>
      <w:r>
        <w:rPr>
          <w:rFonts w:ascii="Amiri" w:hAnsi="Amiri" w:eastAsia="Amiri" w:cs="Amiri"/>
          <w:color w:val="111111"/>
          <w:sz w:val="28"/>
          <w:sz w:val="28"/>
          <w:szCs w:val="28"/>
          <w:rtl w:val="true"/>
          <w:lang w:bidi="ar-SA"/>
        </w:rPr>
        <w:t xml:space="preserve">الى الأخيرة ، ولا ينفع في ذلك دفع محذور الهذريّة لما مرّ </w:t>
      </w:r>
      <w:r>
        <w:rPr>
          <w:rStyle w:val="FootnoteAnchor"/>
          <w:rtl w:val="true"/>
        </w:rPr>
        <w:footnoteReference w:id="390"/>
      </w:r>
      <w:r>
        <w:rPr>
          <w:rFonts w:ascii="Amiri" w:hAnsi="Amiri" w:eastAsia="Amiri" w:cs="Amiri"/>
          <w:color w:val="111111"/>
          <w:sz w:val="28"/>
          <w:sz w:val="28"/>
          <w:szCs w:val="28"/>
          <w:rtl w:val="true"/>
          <w:lang w:bidi="ar-SA"/>
        </w:rPr>
        <w:t xml:space="preserve">، فما لم يقع الفراغ لم يتّجه للسّامع الحكم بإرادة الحقيقة لبقاء مجال الاحتمال ، لكن لمّا كان تعلّقه بالأخيرة متحقّقا للزومه على كلا التقديرين </w:t>
      </w:r>
      <w:r>
        <w:rPr>
          <w:rStyle w:val="FootnoteAnchor"/>
          <w:rtl w:val="true"/>
        </w:rPr>
        <w:footnoteReference w:id="391"/>
      </w:r>
      <w:r>
        <w:rPr>
          <w:rFonts w:ascii="Amiri" w:hAnsi="Amiri" w:eastAsia="Amiri" w:cs="Amiri"/>
          <w:color w:val="111111"/>
          <w:sz w:val="28"/>
          <w:sz w:val="28"/>
          <w:szCs w:val="28"/>
          <w:rtl w:val="true"/>
          <w:lang w:bidi="ar-SA"/>
        </w:rPr>
        <w:t>فنجزم به ونتمسّك في انتفاء التعلّق بالباقي بالأصل ، فليس هذا من القول بالاختصاص بالأخيرة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تصحيح الاستدلال على كلا التقريرين </w:t>
      </w:r>
      <w:r>
        <w:rPr>
          <w:rStyle w:val="FootnoteAnchor"/>
          <w:rtl w:val="true"/>
        </w:rPr>
        <w:footnoteReference w:id="392"/>
      </w:r>
      <w:r>
        <w:rPr>
          <w:rFonts w:ascii="Amiri" w:hAnsi="Amiri" w:eastAsia="Amiri" w:cs="Amiri"/>
          <w:color w:val="111111"/>
          <w:sz w:val="28"/>
          <w:sz w:val="28"/>
          <w:szCs w:val="28"/>
          <w:rtl w:val="true"/>
          <w:lang w:bidi="ar-SA"/>
        </w:rPr>
        <w:t xml:space="preserve">في الجملة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فنقول في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الجملة الاستثنائية لمّا كان ظاهرها التناقض ، فأوجب إخراج الكلام عن ظاهره بأحد التقريرات المتقدّمة في محلّه ، فالغرض من التعليل ، أنّ الدّاعي على التجوّز هو مخالفة الاستثناء للحكم الأوّل ظاهرا كما صرّحوا به في محلّه ، لا المخالفة النّفس الأمريّة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 المخالفة النّفس الأمريّة بعد القول بالتجوّز الناشئ عن توهّم المخالفة ، وحصول المخالفة الظاهريّة </w:t>
      </w:r>
    </w:p>
    <w:p>
      <w:pPr>
        <w:pStyle w:val="BookText"/>
        <w:rPr/>
      </w:pPr>
      <w:r>
        <w:rPr>
          <w:rFonts w:ascii="Amiri" w:hAnsi="Amiri" w:eastAsia="Amiri" w:cs="Amiri"/>
          <w:color w:val="111111"/>
          <w:sz w:val="28"/>
          <w:sz w:val="28"/>
          <w:szCs w:val="28"/>
          <w:rtl w:val="true"/>
          <w:lang w:bidi="ar-SA"/>
        </w:rPr>
        <w:t>غريب ، وإبطال العلّة بمثل هذا الاعتراض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 فيمكن </w:t>
      </w:r>
      <w:r>
        <w:rPr>
          <w:rStyle w:val="FootnoteAnchor"/>
          <w:rtl w:val="true"/>
        </w:rPr>
        <w:footnoteReference w:id="394"/>
      </w:r>
      <w:r>
        <w:rPr>
          <w:rFonts w:ascii="Amiri" w:hAnsi="Amiri" w:eastAsia="Amiri" w:cs="Amiri"/>
          <w:color w:val="111111"/>
          <w:sz w:val="28"/>
          <w:sz w:val="28"/>
          <w:szCs w:val="28"/>
          <w:rtl w:val="true"/>
          <w:lang w:bidi="ar-SA"/>
        </w:rPr>
        <w:t xml:space="preserve">تعميم العنوان أيضا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خلاف الأصل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بظاهره مخالف للحكم الأوّل ، فيلزم فيه ارتكاب خلاف ظاهر ، سواء كان ذلك هو التجوّز في لفظ العامّ أو أحد الأمرين الأخيرين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كلّها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المستدل لا ينكر ثبوت الرّخصة من الواضع ، وإنّ الاستثناء وضع للإخراج عن المتعدّد ، وإنّه يصير قرينة للمجاز ، لكن القدر المسلّم الثابت هو ما تعلّق بمتعدّد خاصّ</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ورد استثناء محتمل للمتعدّدات ولم يعلم متعلّقه ، فلم يظهر من الواضع الرّخصة في تعليقه بأيّها ، لكن وقوعه في كلام الحكيم لا بدّ أن لا يكون لغوا ، فيصير من باب المجمل ، والعقل الحاكم بنفي اللّغو عن كلام الحكيم يحكم برجوعه الى واحد من المتعدّدات ، لا أزيد منها ، لأنّ مقتضى الأصل عدم التعلّق بالكلّ ، ودفع الهذرية يحصل بالإرجاع الى الواحد ، ثمّ تعيين ذلك البعض أيضا يحتاج الى دليل ، فيتمسّك فيه بالأقربيّة وبالقطعيّة وبالإجماع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برفع الهذريّة ليس لأجل تصحيح أصل التعليق في الاستثناء ، فإنّه لا ريب أنّه من جهة الواضع ، وكذلك تخصيص الأخيرة أيضا ليس من جهة دفع الهذريّة لرفعه بغيره </w:t>
      </w:r>
    </w:p>
    <w:p>
      <w:pPr>
        <w:pStyle w:val="BookText"/>
        <w:rPr/>
      </w:pPr>
      <w:r>
        <w:rPr>
          <w:rFonts w:ascii="Amiri" w:hAnsi="Amiri" w:eastAsia="Amiri" w:cs="Amiri"/>
          <w:color w:val="111111"/>
          <w:sz w:val="28"/>
          <w:sz w:val="28"/>
          <w:szCs w:val="28"/>
          <w:rtl w:val="true"/>
          <w:lang w:bidi="ar-SA"/>
        </w:rPr>
        <w:t>أيضا ، بل إنّما هو من جهة الأقربيّة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هنا مقامات ثلاثة </w:t>
      </w:r>
      <w:r>
        <w:rPr>
          <w:rStyle w:val="FootnoteAnchor"/>
          <w:rtl w:val="true"/>
        </w:rPr>
        <w:footnoteReference w:id="396"/>
      </w:r>
      <w:r>
        <w:rPr>
          <w:rFonts w:ascii="IRNazanin" w:hAnsi="IRNazanin" w:eastAsia="IRNazanin"/>
          <w:color w:val="111111"/>
          <w:sz w:val="28"/>
          <w:sz w:val="28"/>
          <w:szCs w:val="28"/>
          <w:rtl w:val="true"/>
          <w:lang w:bidi="fa-IR"/>
        </w:rPr>
        <w:t>اعتبرها المستدلّ وغفل عنها المعترض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العلاوة التي ذكرها المعترض أخيرا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سماع الاستثناء المنفصل عن النطق إنّما هو لعدم ثبوت الرّخصة من الواضع في أصل تعليق الاستثناء في مثله ، فأصل ترتيب الكلام فيه غلط مخالف لضوابط الوضع ، بخلاف ما نحن فيه ، فإنّ استعماله بعد العمومات المتعدّدة صحيح وارد في كلام الفصحاء ، لكنّه لحقه الإجمال فصار مثل المجملات ، فلا بدّ حينئذ لرفع القبح عن كلام الحكيم ودفع لزوم تأخير البيان عن وقت الحاجة ، من الإرجاع الى أحد العمومات والتمسّك في نفيه عن أكثر منه بالأصل ، والاكتفاء بالأخيرة إعمالا للدليلين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التقرير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فمقتضاه أنّ توهّم التناقض وظهور المخالفة للحكم الأوّل في الاستثناء صار سببا للعدول عن القاعدة ، وهي أنّه لا يسمع الإنكار بعد الإقرار ، فلمّا كان ظاهر الجملة الاستثنائية سماع الإنكار بعد الإقرار مثلا ، فصار مخالفا للأصل ، فعدلنا عنه في جملة واحدة لدفع الهذريّة ، الى آخر ما ذكرنا في </w:t>
      </w:r>
    </w:p>
    <w:p>
      <w:pPr>
        <w:pStyle w:val="BookText"/>
        <w:rPr/>
      </w:pPr>
      <w:r>
        <w:rPr>
          <w:rFonts w:ascii="Amiri" w:hAnsi="Amiri" w:eastAsia="Amiri" w:cs="Amiri"/>
          <w:color w:val="111111"/>
          <w:sz w:val="28"/>
          <w:sz w:val="28"/>
          <w:szCs w:val="28"/>
          <w:rtl w:val="true"/>
          <w:lang w:bidi="ar-SA"/>
        </w:rPr>
        <w:t xml:space="preserve">التقرير الأوّل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وتحريره والفرق بين التقريرين مع أنّ مقتضاهما واحد ، لأنّ فهم العموم </w:t>
      </w:r>
      <w:r>
        <w:rPr>
          <w:rStyle w:val="FootnoteAnchor"/>
          <w:rtl w:val="true"/>
        </w:rPr>
        <w:footnoteReference w:id="399"/>
      </w:r>
      <w:r>
        <w:rPr>
          <w:rFonts w:ascii="Amiri" w:hAnsi="Amiri" w:eastAsia="Amiri" w:cs="Amiri"/>
          <w:color w:val="111111"/>
          <w:sz w:val="28"/>
          <w:sz w:val="28"/>
          <w:szCs w:val="28"/>
          <w:rtl w:val="true"/>
          <w:lang w:bidi="ar-SA"/>
        </w:rPr>
        <w:t xml:space="preserve">أيضا من أجل كون اللّفظ </w:t>
      </w:r>
      <w:r>
        <w:rPr>
          <w:rStyle w:val="FootnoteAnchor"/>
          <w:rtl w:val="true"/>
        </w:rPr>
        <w:footnoteReference w:id="400"/>
      </w:r>
      <w:r>
        <w:rPr>
          <w:rFonts w:ascii="Amiri" w:hAnsi="Amiri" w:eastAsia="Amiri" w:cs="Amiri"/>
          <w:color w:val="111111"/>
          <w:sz w:val="28"/>
          <w:sz w:val="28"/>
          <w:szCs w:val="28"/>
          <w:rtl w:val="true"/>
          <w:lang w:bidi="ar-SA"/>
        </w:rPr>
        <w:t>حقيقة فيه ، أنّ هذه القاعدة غير مختصّة بالحقيقة ، وإن اتّفق هنا اتّحاد موردهما فقد يحصل الإقرار والاعتراف بلفظ مجازي ، فمخالفة الاعتراف ومناقضته مخالفة للقاعدة ، سواء دلّ على الاعتراف بأصالة الحقيقة أو غيره ، كما أنّ المخالفة بحسب الحقيقة والمجاز أيضا قد تكون بالتخصيص ، وقد يكون بغيره ، فاختلف التقريران مفهوما وإن اتّحد مصداقهما فيما نحن فيه في العامّ الذي له لفظ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بيانه </w:t>
      </w:r>
      <w:r>
        <w:rPr>
          <w:rStyle w:val="FootnoteAnchor"/>
          <w:rtl w:val="true"/>
        </w:rPr>
        <w:footnoteReference w:id="401"/>
      </w:r>
      <w:r>
        <w:rPr>
          <w:rFonts w:ascii="Amiri" w:hAnsi="Amiri" w:eastAsia="Amiri" w:cs="Amiri"/>
          <w:color w:val="111111"/>
          <w:sz w:val="28"/>
          <w:sz w:val="28"/>
          <w:szCs w:val="28"/>
          <w:rtl w:val="true"/>
          <w:lang w:bidi="ar-SA"/>
        </w:rPr>
        <w:t xml:space="preserve">في مخالفته </w:t>
      </w:r>
      <w:r>
        <w:rPr>
          <w:rStyle w:val="FootnoteAnchor"/>
          <w:rtl w:val="true"/>
        </w:rPr>
        <w:footnoteReference w:id="402"/>
      </w:r>
      <w:r>
        <w:rPr>
          <w:rFonts w:ascii="Amiri" w:hAnsi="Amiri" w:eastAsia="Amiri" w:cs="Amiri"/>
          <w:color w:val="111111"/>
          <w:sz w:val="28"/>
          <w:sz w:val="28"/>
          <w:szCs w:val="28"/>
          <w:rtl w:val="true"/>
          <w:lang w:bidi="ar-SA"/>
        </w:rPr>
        <w:t>للاستصحاب ، فهو غلط فاحش ، ولا يمكن تطبيقه إلّا على الاستثناء البدائي وهو خارج عن المتنازع كما لا يخفى ، ولا معنى لاستصحاب ظهور الإرادة أيضا كما لا يخفى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المعترض </w:t>
      </w:r>
      <w:r>
        <w:rPr>
          <w:rStyle w:val="FootnoteAnchor"/>
          <w:rtl w:val="true"/>
        </w:rPr>
        <w:footnoteReference w:id="403"/>
      </w:r>
      <w:r>
        <w:rPr>
          <w:rFonts w:ascii="Amiri" w:hAnsi="Amiri" w:eastAsia="Amiri" w:cs="Amiri"/>
          <w:color w:val="111111"/>
          <w:sz w:val="28"/>
          <w:sz w:val="28"/>
          <w:szCs w:val="28"/>
          <w:rtl w:val="true"/>
          <w:lang w:bidi="ar-SA"/>
        </w:rPr>
        <w:t>في دفع هذا التقرير فما له منع ظهور الإرادة ، وأنت خبير بما فيه ، إذ احتمال ذكر المنافي لا يخرج الحقيقة عن الظّهور في معناها الحقيقي ، ينادي بذلك أصلهم المشهور في الاستثناء ، وعلاج ظهور التناقض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انتفاء احتمال التجوّز لا يحصل بعد انتهاء الكلام أيضا ، لاحتمال </w:t>
      </w:r>
    </w:p>
    <w:p>
      <w:pPr>
        <w:pStyle w:val="BookText"/>
        <w:rPr/>
      </w:pPr>
      <w:r>
        <w:rPr>
          <w:rFonts w:ascii="Amiri" w:hAnsi="Amiri" w:eastAsia="Amiri" w:cs="Amiri"/>
          <w:color w:val="111111"/>
          <w:sz w:val="28"/>
          <w:sz w:val="28"/>
          <w:szCs w:val="28"/>
          <w:rtl w:val="true"/>
          <w:lang w:bidi="ar-SA"/>
        </w:rPr>
        <w:t xml:space="preserve">المخصّص المنفصل ، فوجود الاحتمال ما دام الكلام لم ينته ، غير مضرّ بظهور الدلالة على الحقيقة ، مع أنّه لا يجتمع إنكار ظهور الإرادة في هذا التقرير مع قبول أنّ التجوّز خلاف أصل الحقيقة في التقرير الأوّل ، لأنّ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اللّفظ الحقيقة ، أنّ اللّفظ الذي له موضوع له معيّن واستعمل في شيء لم يظهر للسّامع ، لا بدّ أن يحمل على معناه الحقيقي ما لم يجئ قرينة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ما ذكرنا في مقدّمات المباحث السّابقة من أنّ المقصود في الوضع هو غرض التركيب ، لا ينافي ما نقول هنا ، لأنّ التركيب يتمّ بقول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 ولا ينتظر في فهم معناه التركيبي لمجيء جمل متعدّدة بعده ، ومجيء استثناء عقيب الكلّ ، فقد تمّ الكلام النحويّ وإن لم يتمّ الكلام الاصطلاحي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والمعيار في صحّة الفهم هو الأوّل وإن كان للمتكلّم رخصة في جعل اللّواحق مربوطة بالسّوابق ، وذلك لا يوجب عدم ظهور الحقيقة في معناها ، ولا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صدور اللّفظ يوجب الجزم بإرادة الحقيقة حتّى ينافيه التصريح بخلافه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ظاهره إرادة الحقيقة ونحكم به حكما ظنيّا لا قطعيّا ، وإذا جاء المنافي في تتمّة الكلام فيكشف عن بطلان الظنّ ويتجدّد للنفس تصديق جديد بإرادة المعنى المجازي ، ولا غائلة </w:t>
      </w:r>
      <w:r>
        <w:rPr>
          <w:rStyle w:val="FootnoteAnchor"/>
          <w:rtl w:val="true"/>
        </w:rPr>
        <w:footnoteReference w:id="404"/>
      </w:r>
      <w:r>
        <w:rPr>
          <w:rFonts w:ascii="Amiri" w:hAnsi="Amiri" w:eastAsia="Amiri" w:cs="Amiri"/>
          <w:color w:val="111111"/>
          <w:sz w:val="28"/>
          <w:sz w:val="28"/>
          <w:szCs w:val="28"/>
          <w:rtl w:val="true"/>
          <w:lang w:bidi="ar-SA"/>
        </w:rPr>
        <w:t>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يقع الفراغ لم يتّجه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 </w:t>
      </w:r>
      <w:r>
        <w:rPr>
          <w:rStyle w:val="FootnoteAnchor"/>
          <w:rtl w:val="true"/>
        </w:rPr>
        <w:footnoteReference w:id="406"/>
      </w:r>
      <w:r>
        <w:rPr>
          <w:rFonts w:ascii="Amiri" w:hAnsi="Amiri" w:eastAsia="Amiri" w:cs="Amiri"/>
          <w:color w:val="111111"/>
          <w:sz w:val="28"/>
          <w:sz w:val="28"/>
          <w:szCs w:val="28"/>
          <w:rtl w:val="true"/>
          <w:lang w:bidi="ar-SA"/>
        </w:rPr>
        <w:t xml:space="preserve">، وهو مناف لما تقدّم من المعترض ، فإنّه قال سابقا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لا يحكم بالحقيقة حتّى يتحقّق الفراغ وينتفي احتمال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أنّه بعد الفراغ عن ذكر الجمل والشروع في ذكر الاستثناء لا ينتفي احتمال التّخصيص كما هو المفروض </w:t>
      </w:r>
      <w:r>
        <w:rPr>
          <w:rStyle w:val="FootnoteAnchor"/>
          <w:rtl w:val="true"/>
        </w:rPr>
        <w:footnoteReference w:id="407"/>
      </w:r>
      <w:r>
        <w:rPr>
          <w:rFonts w:ascii="Amiri" w:hAnsi="Amiri" w:eastAsia="Amiri" w:cs="Amiri"/>
          <w:color w:val="111111"/>
          <w:sz w:val="28"/>
          <w:sz w:val="28"/>
          <w:szCs w:val="28"/>
          <w:rtl w:val="true"/>
          <w:lang w:bidi="ar-SA"/>
        </w:rPr>
        <w:t>، فما معنى إبقاء غير الأخيرة على عمومه تمسّكا بالأصل ، وما معنى الأصل هنا ، فقد عرفت بطلان إرادة الاستصحاب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القاعدة على مذاق المعترض ، فلم يبق إلّا الظاهر ، أعني أصل الحقيقة ، إذ ليس كلّ عموم موافقا لأصل البراءة حتّى يقال أنّه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الدليل </w:t>
      </w:r>
      <w:r>
        <w:rPr>
          <w:rStyle w:val="FootnoteAnchor"/>
          <w:rtl w:val="true"/>
        </w:rPr>
        <w:footnoteReference w:id="408"/>
      </w:r>
      <w:r>
        <w:rPr>
          <w:rFonts w:ascii="Amiri" w:hAnsi="Amiri" w:eastAsia="Amiri" w:cs="Amiri"/>
          <w:color w:val="111111"/>
          <w:sz w:val="28"/>
          <w:sz w:val="28"/>
          <w:szCs w:val="28"/>
          <w:rtl w:val="true"/>
          <w:lang w:bidi="ar-SA"/>
        </w:rPr>
        <w:t>لا يدلّ على مدّعاهم ، بل هو موافق لمّا اخترناه من الاشتراك المعنوي ، وإنّ ما ذكره المستدلّ ، قرائن لتعيين أحد أفراده ، وأين هذا من إثبات كونه حقيقة مخصوصة في الإخراج عن الأخيرة ، فهذا دليل على ما اخترناه في المسألة بلا قصور ولا غائلة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رجع الى الجميع لرجع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 وَلا تَقْبَلُوا لَهُمْ شَهادَةً أَبَداً وَأُولئِكَ هُمُ الْفاسِقُونَ إِلَّا الَّذِينَ تابُوا</w:t>
      </w:r>
      <w:r>
        <w:rPr>
          <w:rFonts w:eastAsia="Amiri" w:cs="Amiri" w:ascii="Amiri" w:hAnsi="Amiri"/>
          <w:color w:val="111111"/>
          <w:sz w:val="28"/>
          <w:szCs w:val="28"/>
          <w:rtl w:val="true"/>
          <w:lang w:bidi="ar-SA"/>
        </w:rPr>
        <w:t xml:space="preserve">. ) </w:t>
      </w:r>
      <w:r>
        <w:rPr>
          <w:rStyle w:val="FootnoteAnchor"/>
          <w:rtl w:val="true"/>
        </w:rPr>
        <w:footnoteReference w:id="409"/>
      </w:r>
      <w:r>
        <w:rPr>
          <w:rFonts w:ascii="Amiri" w:hAnsi="Amiri" w:eastAsia="Amiri" w:cs="Amiri"/>
          <w:color w:val="111111"/>
          <w:sz w:val="28"/>
          <w:sz w:val="28"/>
          <w:szCs w:val="28"/>
          <w:rtl w:val="true"/>
          <w:lang w:bidi="ar-SA"/>
        </w:rPr>
        <w:t xml:space="preserve">مع أنّه لا يسقط الجلد بالتوبة اتّفاقا </w:t>
      </w:r>
      <w:r>
        <w:rPr>
          <w:rStyle w:val="FootnoteAnchor"/>
          <w:rtl w:val="true"/>
        </w:rPr>
        <w:footnoteReference w:id="410"/>
      </w:r>
      <w:r>
        <w:rPr>
          <w:rFonts w:ascii="Amiri" w:hAnsi="Amiri" w:eastAsia="Amiri" w:cs="Amiri"/>
          <w:color w:val="111111"/>
          <w:sz w:val="28"/>
          <w:sz w:val="28"/>
          <w:szCs w:val="28"/>
          <w:rtl w:val="true"/>
          <w:lang w:bidi="ar-SA"/>
        </w:rPr>
        <w:t xml:space="preserve">، وخلاف الشعبي </w:t>
      </w:r>
      <w:r>
        <w:rPr>
          <w:rStyle w:val="FootnoteAnchor"/>
          <w:rtl w:val="true"/>
        </w:rPr>
        <w:footnoteReference w:id="411"/>
      </w:r>
      <w:r>
        <w:rPr>
          <w:rFonts w:ascii="Amiri" w:hAnsi="Amiri" w:eastAsia="Amiri" w:cs="Amiri"/>
          <w:color w:val="111111"/>
          <w:sz w:val="28"/>
          <w:sz w:val="28"/>
          <w:szCs w:val="28"/>
          <w:rtl w:val="true"/>
          <w:lang w:bidi="ar-SA"/>
        </w:rPr>
        <w:t>لا يعبأ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 الاستعمال لا يدلّ على الحقيقة ، فلا ينافي ذلك كونه حقيقة في الرجوع الى الجميع والخروج عن مقتضاه في الجلد بالدليل الخارجي وهو الإجماع ، وأنّه حقّ الناس ، فلا يسقط بالتوبة ، مع أنّه لا يدلّ على الاختصاص بالأخيرة لقبول الشهادة بعد التوبة إلّا أن يمنعها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الثانية </w:t>
      </w:r>
      <w:r>
        <w:rPr>
          <w:rStyle w:val="FootnoteAnchor"/>
          <w:rtl w:val="true"/>
        </w:rPr>
        <w:footnoteReference w:id="412"/>
      </w:r>
      <w:r>
        <w:rPr>
          <w:rFonts w:ascii="Amiri" w:hAnsi="Amiri" w:eastAsia="Amiri" w:cs="Amiri"/>
          <w:color w:val="111111"/>
          <w:sz w:val="28"/>
          <w:sz w:val="28"/>
          <w:szCs w:val="28"/>
          <w:rtl w:val="true"/>
          <w:lang w:bidi="ar-SA"/>
        </w:rPr>
        <w:t>بمنزلة السّكوت ، فكما لا يرجع المخصّص بعد السّكوت والانفصال عن النطق الى ما تقدّمه ، فكذلك ما في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 أنّه لم ينتقل من الجملة الأولى إلّا بعد استيفاء الغرض منها ، أوّل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رجع </w:t>
      </w:r>
      <w:r>
        <w:rPr>
          <w:rStyle w:val="FootnoteAnchor"/>
          <w:rtl w:val="true"/>
        </w:rPr>
        <w:footnoteReference w:id="413"/>
      </w:r>
      <w:r>
        <w:rPr>
          <w:rFonts w:ascii="Amiri" w:hAnsi="Amiri" w:eastAsia="Amiri" w:cs="Amiri"/>
          <w:color w:val="111111"/>
          <w:sz w:val="28"/>
          <w:sz w:val="28"/>
          <w:szCs w:val="28"/>
          <w:rtl w:val="true"/>
          <w:lang w:bidi="ar-SA"/>
        </w:rPr>
        <w:t>الى الجميع ، فإن أضمر مع كلّ منها استثناء ، لزم خلاف الأصل ، وإلّا فيكون العامل في المستثنى أكثر من واحد ، ولا يجوز تعدّد العامل على معمول واحد في إعراب واحد لنصّ سيبويه عليه ، ولئلّا يجتمع المؤثّران المستقلّان على أثر واحد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 الشقّ الثاني </w:t>
      </w:r>
      <w:r>
        <w:rPr>
          <w:rStyle w:val="FootnoteAnchor"/>
          <w:rtl w:val="true"/>
        </w:rPr>
        <w:footnoteReference w:id="414"/>
      </w:r>
      <w:r>
        <w:rPr>
          <w:rFonts w:ascii="Amiri" w:hAnsi="Amiri" w:eastAsia="Amiri" w:cs="Amiri"/>
          <w:color w:val="111111"/>
          <w:sz w:val="28"/>
          <w:sz w:val="28"/>
          <w:szCs w:val="28"/>
          <w:rtl w:val="true"/>
          <w:lang w:bidi="ar-SA"/>
        </w:rPr>
        <w:t xml:space="preserve">ومنع كون العامل في المستثنى هو العامل في المستثنى منه ، بل هو أداة الاستثناء كما هو مذهب جماعة من النّحاة لقيام معنى </w:t>
      </w:r>
    </w:p>
    <w:p>
      <w:pPr>
        <w:pStyle w:val="BookText"/>
        <w:rPr/>
      </w:pPr>
      <w:r>
        <w:rPr>
          <w:rFonts w:ascii="Amiri" w:hAnsi="Amiri" w:eastAsia="Amiri" w:cs="Amiri"/>
          <w:color w:val="111111"/>
          <w:sz w:val="28"/>
          <w:sz w:val="28"/>
          <w:szCs w:val="28"/>
          <w:rtl w:val="true"/>
          <w:lang w:bidi="ar-SA"/>
        </w:rPr>
        <w:t>الاستثناء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هو ما يتقوّم به المعنى المقتضي للإعراب ، ولكونها نائبة عن أستثني ، كحرف النداء عن أدعو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 لكن نمنع امتناع اجتماع العاملين على معمول واحد ، ولا حجّة في نصّ سيبويه لاحتمال أن يكون ذلك من اجتهاده </w:t>
      </w:r>
      <w:r>
        <w:rPr>
          <w:rStyle w:val="FootnoteAnchor"/>
          <w:rtl w:val="true"/>
        </w:rPr>
        <w:footnoteReference w:id="415"/>
      </w:r>
      <w:r>
        <w:rPr>
          <w:rFonts w:ascii="Amiri" w:hAnsi="Amiri" w:eastAsia="Amiri" w:cs="Amiri"/>
          <w:color w:val="111111"/>
          <w:sz w:val="28"/>
          <w:sz w:val="28"/>
          <w:szCs w:val="28"/>
          <w:rtl w:val="true"/>
          <w:lang w:bidi="ar-SA"/>
        </w:rPr>
        <w:t xml:space="preserve">لا من نقله ، كما أنّ رواية الثّقة حجّة على غيره لاجتهاده ورأيه ، مع أنّه معارض بما نقل عنه من تجويزه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وذهب عمرو الظريفان ، مع أنّه قائل بأنّ العامل في الصّفة هو العامل في الموصوف ، وبنصّ الكسائي على الجواز </w:t>
      </w:r>
      <w:r>
        <w:rPr>
          <w:rStyle w:val="FootnoteAnchor"/>
          <w:rtl w:val="true"/>
        </w:rPr>
        <w:footnoteReference w:id="416"/>
      </w:r>
      <w:r>
        <w:rPr>
          <w:rFonts w:ascii="Amiri" w:hAnsi="Amiri" w:eastAsia="Amiri" w:cs="Amiri"/>
          <w:color w:val="111111"/>
          <w:sz w:val="28"/>
          <w:sz w:val="28"/>
          <w:szCs w:val="28"/>
          <w:rtl w:val="true"/>
          <w:lang w:bidi="ar-SA"/>
        </w:rPr>
        <w:t xml:space="preserve">، وكذلك بتجويز الفرّاء </w:t>
      </w:r>
      <w:r>
        <w:rPr>
          <w:rStyle w:val="FootnoteAnchor"/>
          <w:rtl w:val="true"/>
        </w:rPr>
        <w:footnoteReference w:id="417"/>
      </w:r>
      <w:r>
        <w:rPr>
          <w:rFonts w:ascii="Amiri" w:hAnsi="Amiri" w:eastAsia="Amiri" w:cs="Amiri"/>
          <w:color w:val="111111"/>
          <w:sz w:val="28"/>
          <w:sz w:val="28"/>
          <w:szCs w:val="28"/>
          <w:rtl w:val="true"/>
          <w:lang w:bidi="ar-SA"/>
        </w:rPr>
        <w:t>بتشريك العاملين في العمل إذا كان مقتضاهما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يؤيّد الجواز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حلو حامض ، لعدم جواز إخلائهما عن الضّمير </w:t>
      </w:r>
      <w:r>
        <w:rPr>
          <w:rStyle w:val="FootnoteAnchor"/>
          <w:rtl w:val="true"/>
        </w:rPr>
        <w:footnoteReference w:id="418"/>
      </w:r>
      <w:r>
        <w:rPr>
          <w:rFonts w:ascii="Amiri" w:hAnsi="Amiri" w:eastAsia="Amiri" w:cs="Amiri"/>
          <w:color w:val="111111"/>
          <w:sz w:val="28"/>
          <w:sz w:val="28"/>
          <w:szCs w:val="28"/>
          <w:rtl w:val="true"/>
          <w:lang w:bidi="ar-SA"/>
        </w:rPr>
        <w:t>ولا يختصّ أحدهما به ، فتعيّن أن يكون فيهما ضمير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إشكال ، لاحتمال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كالكلمة الواحدة وهو مزّ ، مع احتمال أن يكون حامض صفة لحلو لا خبرا بعد خبر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حكاية عدم اجتماع المؤثّرين المستقلّين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ما لا يخفى ، إذ العلل الإعرابية كالعلل الشرعيّة ، معرّفات </w:t>
      </w:r>
      <w:r>
        <w:rPr>
          <w:rStyle w:val="FootnoteAnchor"/>
          <w:rtl w:val="true"/>
        </w:rPr>
        <w:footnoteReference w:id="419"/>
      </w:r>
      <w:r>
        <w:rPr>
          <w:rFonts w:ascii="Amiri" w:hAnsi="Amiri" w:eastAsia="Amiri" w:cs="Amiri"/>
          <w:color w:val="111111"/>
          <w:sz w:val="28"/>
          <w:sz w:val="28"/>
          <w:szCs w:val="28"/>
          <w:rtl w:val="true"/>
          <w:lang w:bidi="ar-SA"/>
        </w:rPr>
        <w:t>وعلامات لا علل حقيقية ، ولا ريب في جواز اجتماع المعرّفات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أيضا مضافا الى ما ذكر ، النقض بصورة التجوّز </w:t>
      </w:r>
      <w:r>
        <w:rPr>
          <w:rStyle w:val="FootnoteAnchor"/>
          <w:rtl w:val="true"/>
        </w:rPr>
        <w:footnoteReference w:id="420"/>
      </w:r>
      <w:r>
        <w:rPr>
          <w:rFonts w:ascii="Amiri" w:hAnsi="Amiri" w:eastAsia="Amiri" w:cs="Amiri"/>
          <w:color w:val="111111"/>
          <w:sz w:val="28"/>
          <w:sz w:val="28"/>
          <w:szCs w:val="28"/>
          <w:rtl w:val="true"/>
          <w:lang w:bidi="ar-SA"/>
        </w:rPr>
        <w:t xml:space="preserve">، فلو استعمل الهيئة المذكورة في الإخراج عن الجميع ، فيكون مجازا على رأي المستدلّ ولم ينقل عنه القول ببطلان الاستعمال ، فيعود المحذور عليهم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يمكنهم دفع ذلك بالتزام الإضمار مع كلّ منهما من جهة أنّه نفس التجوّز الّذي ذهبوا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المراد بالتجوّز المبحوث عنه ، هو استعمال لفظ وضع لإخراج شيء عن عامّ واحد في الإخراج عن عمومات متعدّدة على التبادل ، وهو لا يستلزم الإضمار مع كلّ واحد ، فالإضمار خلاف أصل آخر يجب التحرّز عنه على القول بالمجازيّة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تصحيح التجوّز وبيان العلاقة في هذا المجاز ، دونه خرط القتاد ، ولا يصحّ جعله من باب استعمال اللّفظ الموضوع للجزء في الكلّ ، إذ الإخراج عن الأخيرة ليس جزء للإخراج عن كلّ واحد كما لا يخفى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التجوّز بإرادة الجميع من حيث المجموع ، فهو خارج عن المتنازع ، مع أنّ لهذه العلاقة شرطا وهو مفقود ، ولا العكس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بتقريب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موضوع للإخراج المخصوص ، وهو الإخراج عن الأخيرة فاستعمل في الإخراج المطلق الشامل للإخراج عن الأخيرة ، والإخراج عن غيرها ، فإنّ جزء الموضوع له هو مطلق الإخراج ، أي الماهيّة الجنسيّة ، ولا ريب أنّه لم يستعمل فيه </w:t>
      </w:r>
      <w:r>
        <w:rPr>
          <w:rStyle w:val="FootnoteAnchor"/>
          <w:rtl w:val="true"/>
        </w:rPr>
        <w:footnoteReference w:id="423"/>
      </w:r>
      <w:r>
        <w:rPr>
          <w:rFonts w:ascii="Amiri" w:hAnsi="Amiri" w:eastAsia="Amiri" w:cs="Amiri"/>
          <w:color w:val="111111"/>
          <w:sz w:val="28"/>
          <w:sz w:val="28"/>
          <w:szCs w:val="28"/>
          <w:rtl w:val="true"/>
          <w:lang w:bidi="ar-SA"/>
        </w:rPr>
        <w:t>حينئذ ، بل استعمل في فرد خاصّ آخر منه وهو الإخراج عن كلّ واحد ، وهذا ليس من باب إطلاق المشفر على شفة الإنسان ، إذ الشفة ماهيّة مشتركة بينهما وبين غيرهما أيضا من شفاه الحيوانات ، ومع ملاحظة هذا النوع من العلاقة يصحّ استعماله في كلّ شفة ، بخلاف ما نحن فيه ، لعدم جواز استعماله في كلّ 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الكليّ الذي هو جزء الإخراج عن الأخيرة هو القدر المشترك بينه وبين الإخراج عن الجميع ، لتمّ ما ذكر ،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w:t>
      </w:r>
      <w:r>
        <w:rPr>
          <w:rStyle w:val="FootnoteAnchor"/>
          <w:rtl w:val="true"/>
        </w:rPr>
        <w:footnoteReference w:id="424"/>
      </w:r>
      <w:r>
        <w:rPr>
          <w:rFonts w:ascii="Amiri" w:hAnsi="Amiri" w:eastAsia="Amiri" w:cs="Amiri"/>
          <w:color w:val="111111"/>
          <w:sz w:val="28"/>
          <w:sz w:val="28"/>
          <w:szCs w:val="28"/>
          <w:rtl w:val="true"/>
          <w:lang w:bidi="ar-SA"/>
        </w:rPr>
        <w:t>أيضا ممّا يوهن هذا القول ويضعّفه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مع أنّه لو تمّ هذا الاستدلال لا يضرّ ما اخترناه في المسألة أصلا ، فإنّا لا نقول بجواز رجوعه الى كلّ واحد ، لا حقيقة ولا مجازا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الاستثناء من الاستثناء يرجع الى ما يليه دون ما تقدّمه اتّفاقا ، فإذا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غلماني إلّا ثلاثة إلّا واحدا ، كان الواحد المستثنى راجعا الى الجملة التي تليه دون ما تقدّمها ، فكذا في غيره ، دفعا للاشتراك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الجمل المتعاطفة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 الاتّفاق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 لكنّ المانع في المقيس عليه موجود من جهة لزوم اللّغوية لو عاد الى غير الأخيرة أيضا ، لأنّه لو رجع مع الرّجوع الى الاستثناء الأوّل الى المستثنى منه أيضا لزم أن يخرج من المستثنى منه مثل ما أدخل فيه ، فيبقى الاستثناء الأخير لغوا ، كما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ثلاثة إلّا واحدا ، فالكلام بعد استثناء الثلاثة اعتراف بالسّبعة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أخرج من الثلاثة واحد بالاستثناء الثاني ، يرجع الاعتراف الى الثمانية ، ثمّ إذا رجعناه الى العشرة ثانيا ، فيخرج من العشرة أيضا واحدا ويصير اعترافا بالسّبعة وهو المستفاد من الاستثناء الأوّل ، فيبقى الاستثناء الثاني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القول بالتوقّف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تصادم الأدلّة </w:t>
      </w:r>
      <w:r>
        <w:rPr>
          <w:rStyle w:val="FootnoteAnchor"/>
          <w:rtl w:val="true"/>
        </w:rPr>
        <w:footnoteReference w:id="428"/>
      </w:r>
      <w:r>
        <w:rPr>
          <w:rFonts w:ascii="Amiri" w:hAnsi="Amiri" w:eastAsia="Amiri" w:cs="Amiri"/>
          <w:color w:val="111111"/>
          <w:sz w:val="28"/>
          <w:sz w:val="28"/>
          <w:szCs w:val="28"/>
          <w:rtl w:val="true"/>
          <w:lang w:bidi="ar-SA"/>
        </w:rPr>
        <w:t>وعدم ظهور شيء مرجّح لأحد الأقوال عنده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 إذا أحطت خبرا بما ذكرنا ، تقدر على استخراج الأدلّة على حكم سائر المخصّصات ، وإنّ الكلام فيها واحد ، فلا حاجة الى الإعادة</w:t>
      </w:r>
      <w:r>
        <w:rPr>
          <w:rFonts w:eastAsia="Amiri" w:cs="Amiri" w:ascii="Amiri" w:hAnsi="Amiri"/>
          <w:color w:val="111111"/>
          <w:sz w:val="28"/>
          <w:szCs w:val="28"/>
          <w:rtl w:val="true"/>
          <w:lang w:bidi="ar-SA"/>
        </w:rPr>
        <w:t xml:space="preserve">. </w:t>
      </w:r>
      <w:bookmarkStart w:id="58" w:name="pg14071_148930"/>
    </w:p>
    <w:p>
      <w:pPr>
        <w:pStyle w:val="Heading3"/>
        <w:numPr>
          <w:ilvl w:val="2"/>
          <w:numId w:val="1"/>
        </w:numPr>
        <w:rPr/>
      </w:pPr>
      <w:bookmarkStart w:id="59" w:name="__RefHeading___Toc495031_1738255347"/>
      <w:bookmarkStart w:id="60" w:name="_Toc21"/>
      <w:bookmarkEnd w:id="58"/>
      <w:bookmarkEnd w:id="59"/>
      <w:r>
        <w:rPr>
          <w:rtl w:val="true"/>
        </w:rPr>
        <w:t>قانون</w:t>
      </w:r>
      <w:bookmarkEnd w:id="60"/>
    </w:p>
    <w:p>
      <w:pPr>
        <w:pStyle w:val="Heading4"/>
        <w:numPr>
          <w:ilvl w:val="3"/>
          <w:numId w:val="1"/>
        </w:numPr>
        <w:rPr/>
      </w:pPr>
      <w:bookmarkStart w:id="61" w:name="__RefHeading___Toc495033_1738255347"/>
      <w:bookmarkStart w:id="62" w:name="_Toc22"/>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إذا تعقّب العامّ ضمير يرجع الى بعض ما يتناوله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يخصّص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بالوقف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ثَلاثَةَ قُرُوءٍ ،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وَبُعُولَتُهُنَّ أَحَقُّ بِرَدِّهِنَّ</w:t>
      </w:r>
      <w:r>
        <w:rPr>
          <w:rFonts w:eastAsia="Amiri" w:cs="Amiri" w:ascii="Amiri" w:hAnsi="Amiri"/>
          <w:color w:val="111111"/>
          <w:sz w:val="28"/>
          <w:szCs w:val="28"/>
          <w:rtl w:val="true"/>
          <w:lang w:bidi="ar-SA"/>
        </w:rPr>
        <w:t xml:space="preserve">. ) </w:t>
      </w:r>
      <w:r>
        <w:rPr>
          <w:rStyle w:val="FootnoteAnchor"/>
          <w:rtl w:val="true"/>
        </w:rPr>
        <w:footnoteReference w:id="433"/>
      </w:r>
      <w:r>
        <w:rPr>
          <w:rFonts w:ascii="Amiri" w:hAnsi="Amiri" w:eastAsia="Amiri" w:cs="Amiri"/>
          <w:color w:val="111111"/>
          <w:sz w:val="28"/>
          <w:sz w:val="28"/>
          <w:szCs w:val="28"/>
          <w:rtl w:val="true"/>
          <w:lang w:bidi="ar-SA"/>
        </w:rPr>
        <w:t xml:space="preserve">فإنّ الضمير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بِرَدِّهِنَّ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يختصّ التربّص بهنّ </w:t>
      </w:r>
      <w:r>
        <w:rPr>
          <w:rStyle w:val="FootnoteAnchor"/>
          <w:rtl w:val="true"/>
        </w:rPr>
        <w:footnoteReference w:id="434"/>
      </w:r>
      <w:r>
        <w:rPr>
          <w:rFonts w:ascii="Amiri" w:hAnsi="Amiri" w:eastAsia="Amiri" w:cs="Amiri"/>
          <w:color w:val="111111"/>
          <w:sz w:val="28"/>
          <w:sz w:val="28"/>
          <w:szCs w:val="28"/>
          <w:rtl w:val="true"/>
          <w:lang w:bidi="ar-SA"/>
        </w:rPr>
        <w:t>، وعلى الثاني يعمّ البائنات ، وعلى الثالث يتوقّف</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المثبتون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تخصيص الضمير مع بقاء عموم ما هو له يقتضي مخالفة </w:t>
      </w:r>
    </w:p>
    <w:p>
      <w:pPr>
        <w:pStyle w:val="BookText"/>
        <w:rPr/>
      </w:pPr>
      <w:r>
        <w:rPr>
          <w:rFonts w:ascii="Amiri" w:hAnsi="Amiri" w:eastAsia="Amiri" w:cs="Amiri"/>
          <w:color w:val="111111"/>
          <w:sz w:val="28"/>
          <w:sz w:val="28"/>
          <w:szCs w:val="28"/>
          <w:rtl w:val="true"/>
          <w:lang w:bidi="ar-SA"/>
        </w:rPr>
        <w:t xml:space="preserve">الضمير للمرجوع إليه ، فلا بدّ من تخصيص العامّ لئلّا يلزم الاستخدام </w:t>
      </w:r>
      <w:r>
        <w:rPr>
          <w:rStyle w:val="FootnoteAnchor"/>
          <w:rtl w:val="true"/>
        </w:rPr>
        <w:footnoteReference w:id="436"/>
      </w:r>
      <w:r>
        <w:rPr>
          <w:rFonts w:ascii="Amiri" w:hAnsi="Amiri" w:eastAsia="Amiri" w:cs="Amiri"/>
          <w:color w:val="111111"/>
          <w:sz w:val="28"/>
          <w:sz w:val="28"/>
          <w:szCs w:val="28"/>
          <w:rtl w:val="true"/>
          <w:lang w:bidi="ar-SA"/>
        </w:rPr>
        <w:t>، فإنّه وإن كان واقعا في الكلام ، لكنّه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النافون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اللّفظ عامّ فيجب إجراؤه على عمومه ما لم يدلّ دليل على تخصيصه ، ومجرّد اختصاص الضمير العائد في الظّاهر إليه ، لا يصلح لذلك ، لأنّ كلّا منهما لفظ مستقلّ ، فلا يلزم من خروج أحدهما عن ظاهره ، خروج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المتوقّفون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بتعارض المجازين وتساقطهما وعدم المرجّح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في ترجيح الأوّل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التخصيص مستلزم للإضمار ، لأنّ المراد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بعولة بعضهنّ ، والتخصيص أولى من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الضمير </w:t>
      </w:r>
      <w:r>
        <w:rPr>
          <w:rStyle w:val="FootnoteAnchor"/>
          <w:rtl w:val="true"/>
        </w:rPr>
        <w:footnoteReference w:id="439"/>
      </w:r>
      <w:r>
        <w:rPr>
          <w:rFonts w:ascii="Amiri" w:hAnsi="Amiri" w:eastAsia="Amiri" w:cs="Amiri"/>
          <w:color w:val="111111"/>
          <w:sz w:val="28"/>
          <w:sz w:val="28"/>
          <w:szCs w:val="28"/>
          <w:rtl w:val="true"/>
          <w:lang w:bidi="ar-SA"/>
        </w:rPr>
        <w:t>كناية عن البعض ، فلا إضمار ، فالأمر مردّد بين التخصيص والمجاز لا التخصيص والإضمار ، ولا ترجيح للتخصيص على المجاز</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تردّد بين التخصيصين ولا وجه لترجيح أحدهما على الآخر</w:t>
      </w:r>
      <w:r>
        <w:rPr>
          <w:rFonts w:eastAsia="Amiri" w:cs="Amiri" w:ascii="Amiri" w:hAnsi="Amiri"/>
          <w:color w:val="111111"/>
          <w:sz w:val="28"/>
          <w:szCs w:val="28"/>
          <w:rtl w:val="true"/>
          <w:lang w:bidi="ar-SA"/>
        </w:rPr>
        <w:t xml:space="preserve">. </w:t>
      </w:r>
      <w:bookmarkStart w:id="63" w:name="pg14071_148932"/>
    </w:p>
    <w:p>
      <w:pPr>
        <w:pStyle w:val="BookText"/>
        <w:rPr/>
      </w:pPr>
      <w:bookmarkEnd w:id="63"/>
      <w:r>
        <w:rPr>
          <w:rFonts w:ascii="Amiri" w:hAnsi="Amiri" w:eastAsia="Amiri" w:cs="Amiri"/>
          <w:color w:val="111111"/>
          <w:sz w:val="28"/>
          <w:sz w:val="28"/>
          <w:szCs w:val="28"/>
          <w:rtl w:val="true"/>
          <w:lang w:bidi="ar-SA"/>
        </w:rPr>
        <w:t xml:space="preserve">وفيه ما فيه ، إذ المراد التجوّز </w:t>
      </w:r>
      <w:r>
        <w:rPr>
          <w:rStyle w:val="FootnoteAnchor"/>
          <w:rtl w:val="true"/>
        </w:rPr>
        <w:footnoteReference w:id="441"/>
      </w:r>
      <w:r>
        <w:rPr>
          <w:rFonts w:ascii="Amiri" w:hAnsi="Amiri" w:eastAsia="Amiri" w:cs="Amiri"/>
          <w:color w:val="111111"/>
          <w:sz w:val="28"/>
          <w:sz w:val="28"/>
          <w:szCs w:val="28"/>
          <w:rtl w:val="true"/>
          <w:lang w:bidi="ar-SA"/>
        </w:rPr>
        <w:t xml:space="preserve">الحاصل من صرف الضمير عن ظاهر وضعه وهو المطابقة للمرجع وهو لا يستلزم كونه من باب التخصيص وإن اتّفق تحقّقه في ضمنه في بعض الأحيان ، مع أنّ العموم غير مسلّم في الضمير ، فإنّ وضعه للجميع لا غير ، فالأولى التمسّك بترجيح التّخصيص على مطلق المجاز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يرجّح الثاني ، بأنّه يستلزم مجازا واحدا في الضمير بخلاف الأوّل ، فإنّ مجازيّة العامّ يستلزم مجازيّة الضمير أيضا فيتعدّد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w:t>
      </w:r>
      <w:r>
        <w:rPr>
          <w:rStyle w:val="FootnoteAnchor"/>
          <w:rtl w:val="true"/>
        </w:rPr>
        <w:footnoteReference w:id="443"/>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مبنيّ على كون وضع الضمير لما كان المرجع ظاهرا فيه حقيقة له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الحقّ أنّه حقيقة فيما هو مراد من المرجع ، ولو كان معنى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الضمير وإن كان حقيقة في المراد لكنّ ظاهر اللّفظ كاشف عن المراد فهو المعيار ، فالمعتبر فيه هو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 فالأظهر عندي هو القول الأوسط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وبيانه يتوقّف على ذكر فائدتين </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495035_1738255347"/>
      <w:bookmarkStart w:id="65" w:name="_Toc23"/>
      <w:bookmarkEnd w:id="64"/>
      <w:r>
        <w:rPr>
          <w:rtl w:val="true"/>
        </w:rPr>
        <w:t xml:space="preserve">الأولى </w:t>
      </w:r>
      <w:r>
        <w:rPr>
          <w:rtl w:val="true"/>
        </w:rPr>
        <w:t>:</w:t>
      </w:r>
      <w:bookmarkEnd w:id="6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في معنى كون الأصل في الضمير المطابقة للمرجع ، وكون وضع الضمير في </w:t>
      </w:r>
    </w:p>
    <w:p>
      <w:pPr>
        <w:pStyle w:val="BookText"/>
        <w:rPr/>
      </w:pPr>
      <w:r>
        <w:rPr>
          <w:rFonts w:ascii="Amiri" w:hAnsi="Amiri" w:eastAsia="Amiri" w:cs="Amiri"/>
          <w:color w:val="111111"/>
          <w:sz w:val="28"/>
          <w:sz w:val="28"/>
          <w:szCs w:val="28"/>
          <w:rtl w:val="true"/>
          <w:lang w:bidi="ar-SA"/>
        </w:rPr>
        <w:t xml:space="preserve">الأصل لما هو ظاهر فيه حقيقة له </w:t>
      </w:r>
      <w:r>
        <w:rPr>
          <w:rStyle w:val="FootnoteAnchor"/>
          <w:rtl w:val="true"/>
        </w:rPr>
        <w:footnoteReference w:id="446"/>
      </w:r>
      <w:r>
        <w:rPr>
          <w:rFonts w:ascii="IRNazanin" w:hAnsi="IRNazanin" w:eastAsia="IRNazanin"/>
          <w:color w:val="111111"/>
          <w:sz w:val="28"/>
          <w:sz w:val="28"/>
          <w:szCs w:val="28"/>
          <w:rtl w:val="true"/>
          <w:lang w:bidi="fa-IR"/>
        </w:rPr>
        <w:t xml:space="preserve">أو المراد منه غموضا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وضع الضمائر قد عرفت أنّه من قبيل الوضع العامّ وأنّ الموضوع له فيها كلّ واحد من خصوصيات الأفراد ، لكن بوضع واحد إجماليّ ، وبذلك يمتاز عن المشترك كما أشرنا إليه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فضمير المفرد المذكّر الغائب مثلا إذا استعمل في كلّ واحد من أفراد المفرد المذكّر الغائب ، يكون حقيقة ، وكذلك اسم الإشارة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لكنّها تحتاج في إفادة المعاني الى القرينة ، نظير استعمال النّكرة في الفرد المعيّن عند المتكلّم الغير المعيّن عند المخاطب ، فلا دخل لحقيقة المرجع ومجازه في وضع الضمير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لمّا كان المعتبر في وضع ضمير الغائب مثلا معهوديّة المرجع بين المتكلّم والمخاطب ولو بمقتضى الحال والمقام ، فلا بدّ أن يستعمل ضمير الغائب في المفرد المذكّر الغائب المعهود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والعهد إن كان باللّفظ الذي أريد به المعنى الحقيقي أو كان بغير اللّفظ كمقتضى المقام أو بلفظ مجازيّ مقرون بالقرينة ، فلا إشكال في تحقّق الوضع الأصلي ووروده على مقتضاه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كان المرجع لفظا له حقيقة وأريد به المعنى المجازي </w:t>
      </w:r>
      <w:r>
        <w:rPr>
          <w:rStyle w:val="FootnoteAnchor"/>
          <w:rtl w:val="true"/>
        </w:rPr>
        <w:footnoteReference w:id="448"/>
      </w:r>
      <w:r>
        <w:rPr>
          <w:rFonts w:ascii="Amiri" w:hAnsi="Amiri" w:eastAsia="Amiri" w:cs="Amiri"/>
          <w:color w:val="111111"/>
          <w:sz w:val="28"/>
          <w:sz w:val="28"/>
          <w:szCs w:val="28"/>
          <w:rtl w:val="true"/>
          <w:lang w:bidi="ar-SA"/>
        </w:rPr>
        <w:t>، فلمّا كان مقتضى أصل الحقيقة حمل اللّفظ على معناه الحقيقي ، فيقتضي ذلك الأصل أنّ المراد من ذلك اللّفظ هو ما كان ظاهرا فيه ، ويحصل العهد بينهما بدلالة الظّاهر ، فإذا دلّت القرينة على إرادة خلاف الظّاهر منه بعد ذكر الضمير ، فيكشف عن عدم معهوديّة المرجع ، وذلك يستلزم استعمال الضمير في غير ما وضع له ، وهذا هو معنى مجازيّة الضمير اللّازمة على تقدير تخصيص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تقدر على فهم المجازيّة في سائر أنواع الاستخدام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والحاصل ، أنّ الشاعر أراد هنا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هو قريب من هذا الشجر ومجاور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التي مثل نار القضاء في الشدة والحرارة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إرادة معنى من أحد ضميري اللّفظ ومعنى آخر من ضميره الآخر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فملاحظة تلك الأقسام المتصوّرة في القسمن سما مع ملاحظة أنواع العلائق المعتبرة في المجاز يرتقي أنواع الاستخدام الى أقسام كثيرة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يحصل</w:t>
      </w:r>
      <w:bookmarkStart w:id="66" w:name="pg14071_148935"/>
    </w:p>
    <w:p>
      <w:pPr>
        <w:pStyle w:val="BookText"/>
        <w:rPr/>
      </w:pPr>
      <w:bookmarkEnd w:id="66"/>
      <w:r>
        <w:rPr>
          <w:rFonts w:ascii="Amiri" w:hAnsi="Amiri" w:eastAsia="Amiri" w:cs="Amiri"/>
          <w:color w:val="111111"/>
          <w:sz w:val="28"/>
          <w:sz w:val="28"/>
          <w:szCs w:val="28"/>
          <w:rtl w:val="true"/>
          <w:lang w:bidi="ar-SA"/>
        </w:rPr>
        <w:t>بغير إرادة بعض أفراد الموضوع له من سائر العلائق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مقتضى وضع الضمير الغائب رجوعه الى متقدّم معهود مفهوم بينهما بالدّلالة الحقيقيّة والحاصلة بالقرينة ، وإذا ظهر بعد ذكر الضمير خلاف مقتضى العهد والدلالة ، ظهر كونه مجازا</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495037_1738255347"/>
      <w:bookmarkStart w:id="68" w:name="_Toc24"/>
      <w:bookmarkEnd w:id="67"/>
      <w:r>
        <w:rPr>
          <w:rtl w:val="true"/>
        </w:rPr>
        <w:t xml:space="preserve">الثانية </w:t>
      </w:r>
      <w:r>
        <w:rPr>
          <w:rtl w:val="true"/>
        </w:rPr>
        <w:t>:</w:t>
      </w:r>
      <w:bookmarkEnd w:id="68"/>
    </w:p>
    <w:p>
      <w:pPr>
        <w:pStyle w:val="BookText"/>
        <w:rPr/>
      </w:pPr>
      <w:r>
        <w:rPr>
          <w:rFonts w:ascii="Amiri" w:hAnsi="Amiri" w:eastAsia="Amiri" w:cs="Amiri"/>
          <w:color w:val="111111"/>
          <w:sz w:val="28"/>
          <w:sz w:val="28"/>
          <w:szCs w:val="28"/>
          <w:rtl w:val="true"/>
          <w:lang w:bidi="ar-SA"/>
        </w:rPr>
        <w:t xml:space="preserve">إنّك قد عرفت سابقا </w:t>
      </w:r>
      <w:r>
        <w:rPr>
          <w:rStyle w:val="FootnoteAnchor"/>
          <w:rtl w:val="true"/>
        </w:rPr>
        <w:footnoteReference w:id="450"/>
      </w:r>
      <w:r>
        <w:rPr>
          <w:rFonts w:ascii="Amiri" w:hAnsi="Amiri" w:eastAsia="Amiri" w:cs="Amiri"/>
          <w:color w:val="111111"/>
          <w:sz w:val="28"/>
          <w:sz w:val="28"/>
          <w:szCs w:val="28"/>
          <w:rtl w:val="true"/>
          <w:lang w:bidi="ar-SA"/>
        </w:rPr>
        <w:t>أنّ التشاغل بالكلام مع احتمال عروض ما يخرجه عن الظاهر من اللّواحق ، وبقاء مجال إلحاق اللّواحق ، لا يخرج اللّفظ الظاهر في معنى مثل العموم عن الظاهر حتّى يثبت تعلّق اللّواحق به وإخراجه عن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 المذكور أوّلا ظاهر في معناه الحقيقي حتّى يأتي ما تحقّق كونه مخصّصا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يتوهّم أنّ ذلك ينافي عدم جواز العمل بالعامّ قبل الفحص عن المخصّص ، ومقتضى ذلك التوقّف عن الحكم بإرادة الحقيقة من العامّ حتى يتمّ الكلام ، فلا يحكم بالظهور في معناه الحقيقي إلّا مع انتفاء احتمال إرادة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وجود المخصّص وعدمه ، غير البحث عن كون ذلك الشيء مخصّصا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تلك القاعدة هو الأوّل لا الثاني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فأصالة الحقيقة تقتضي الحكم بظهورها في المعنى الحقيقي ، وغلبة التخصيص تقتضي الحكم بعدمه ، فهو مراعى حتّى يتفحّص ، وبعد التفحّص والتأمّل في أنّ ذلك الذي وقع في الكلام من اللّواحق هل يقتضي التخصيص أم لا ، فإذا لم </w:t>
      </w:r>
    </w:p>
    <w:p>
      <w:pPr>
        <w:pStyle w:val="BookText"/>
        <w:rPr/>
      </w:pPr>
      <w:r>
        <w:rPr>
          <w:rFonts w:ascii="Amiri" w:hAnsi="Amiri" w:eastAsia="Amiri" w:cs="Amiri"/>
          <w:color w:val="111111"/>
          <w:sz w:val="28"/>
          <w:sz w:val="28"/>
          <w:szCs w:val="28"/>
          <w:rtl w:val="true"/>
          <w:lang w:bidi="ar-SA"/>
        </w:rPr>
        <w:t>يحصل الظنّ بالتخصيص فيحكم بأصل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الذي يضرّ بأصل الحقيقة هو ظنّ التخصيص ، ولا يجب في إعمال أصل الحقيقة الظنّ بعدم المخصّص ، بل عدم الظنّ به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انّا لو فرضنا التفحّص من الخارج وثبت تخصيص ما له من وجه آخر ، فلا وجه للتوقّف بعد ذلك كما أشرنا في القانون السّابق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حصل الظنّ بالعدم من الخارج ، وبقي الإشكال في كون اللّاحق في الكلام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فرق بيّن بين توقيف العامّ عن العمل حتى يحصل الظنّ بعدم المخصّص الواقعي ، وبين توقيفه عن العمل حتّى يحصل الظنّ بعدم كون ما يحتمل كونه مخصّصا من اللّواحق في الكلام أو غيرها مخصّصا له ، والكلام إنّما هو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تمهّد هذا ، فنقول في توضيح جميع المقامات المذكورة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إذا ابتداء في الكلام بذكر العامّ ، مثل لفظ المطلّقات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يَتَرَبَّصْنَ بِأَنْفُسِهِنَّ ثَلاثَةَ قُرُوءٍ</w:t>
      </w:r>
      <w:r>
        <w:rPr>
          <w:rFonts w:eastAsia="Amiri" w:cs="Amiri" w:ascii="Amiri" w:hAnsi="Amiri"/>
          <w:color w:val="111111"/>
          <w:sz w:val="28"/>
          <w:szCs w:val="28"/>
          <w:rtl w:val="true"/>
          <w:lang w:bidi="ar-SA"/>
        </w:rPr>
        <w:t xml:space="preserve">. )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منها الغير المدخولات وغير اليائسات على الأقوى </w:t>
      </w:r>
      <w:r>
        <w:rPr>
          <w:rStyle w:val="FootnoteAnchor"/>
          <w:rtl w:val="true"/>
        </w:rPr>
        <w:footnoteReference w:id="453"/>
      </w:r>
      <w:r>
        <w:rPr>
          <w:rFonts w:ascii="Amiri" w:hAnsi="Amiri" w:eastAsia="Amiri" w:cs="Amiri"/>
          <w:color w:val="111111"/>
          <w:sz w:val="28"/>
          <w:sz w:val="28"/>
          <w:szCs w:val="28"/>
          <w:rtl w:val="true"/>
          <w:lang w:bidi="ar-SA"/>
        </w:rPr>
        <w:t>، فبقي العامّ ظاهرا في الباقي ، إذ مرادنا من أصل العموم أعمّ من الحقيقة الأوّلية أو الظهور الحاصل في الباقي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 بمجازيّته في الباقي أيضا ، فحينئذ المطلّقات أيضا ظاهرة في ذوات الأقراء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وَبُعُولَتُهُنَّ أَحَقُّ بِرَدِّهِنَّ</w:t>
      </w:r>
      <w:r>
        <w:rPr>
          <w:rFonts w:eastAsia="Amiri" w:cs="Amiri" w:ascii="Amiri" w:hAnsi="Amiri"/>
          <w:color w:val="111111"/>
          <w:sz w:val="28"/>
          <w:szCs w:val="28"/>
          <w:rtl w:val="true"/>
          <w:lang w:bidi="ar-SA"/>
        </w:rPr>
        <w:t xml:space="preserve">. ) </w:t>
      </w:r>
      <w:r>
        <w:rPr>
          <w:rStyle w:val="FootnoteAnchor"/>
          <w:rtl w:val="true"/>
        </w:rPr>
        <w:footnoteReference w:id="454"/>
      </w:r>
      <w:r>
        <w:rPr>
          <w:rFonts w:ascii="Amiri" w:hAnsi="Amiri" w:eastAsia="Amiri" w:cs="Amiri"/>
          <w:color w:val="111111"/>
          <w:sz w:val="28"/>
          <w:sz w:val="28"/>
          <w:szCs w:val="28"/>
          <w:rtl w:val="true"/>
          <w:lang w:bidi="ar-SA"/>
        </w:rPr>
        <w:t>علمنا أنّ الحكم بالردّ مختصّ بالرجعيّات ، لكن لم يظهر من ذلك أنّ المرجع أوّلا هل كان هو الرجعيّات أو الأعمّ ، فأصل العموم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به تمام الباقي لا نفس المدلول ، فلا دليل على تخصيص العدّة بالرجعيّات ، وعدم ثبوت الإرجاع </w:t>
      </w:r>
      <w:r>
        <w:rPr>
          <w:rStyle w:val="FootnoteAnchor"/>
          <w:rtl w:val="true"/>
        </w:rPr>
        <w:footnoteReference w:id="455"/>
      </w:r>
      <w:r>
        <w:rPr>
          <w:rFonts w:ascii="Amiri" w:hAnsi="Amiri" w:eastAsia="Amiri" w:cs="Amiri"/>
          <w:color w:val="111111"/>
          <w:sz w:val="28"/>
          <w:sz w:val="28"/>
          <w:szCs w:val="28"/>
          <w:rtl w:val="true"/>
          <w:lang w:bidi="ar-SA"/>
        </w:rPr>
        <w:t>كاف ، ولا يجب ثبوت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احتمال كون مخالفة الضمير مخصّصا للمرجع ، لا يضرّ لظهور المرجع في العموم ، مع أنّه يمكن القلب بأنّ قاعدة لزوم مطابقة الضمير للمرجع أيضا عامّ ، ويمكن أن يكون مخصّصا بما سبقه ظاهر ينافي حمله </w:t>
      </w:r>
      <w:r>
        <w:rPr>
          <w:rStyle w:val="FootnoteAnchor"/>
          <w:rtl w:val="true"/>
        </w:rPr>
        <w:footnoteReference w:id="456"/>
      </w:r>
      <w:r>
        <w:rPr>
          <w:rFonts w:ascii="Amiri" w:hAnsi="Amiri" w:eastAsia="Amiri" w:cs="Amiri"/>
          <w:color w:val="111111"/>
          <w:sz w:val="28"/>
          <w:sz w:val="28"/>
          <w:szCs w:val="28"/>
          <w:rtl w:val="true"/>
          <w:lang w:bidi="ar-SA"/>
        </w:rPr>
        <w:t>على مقتضى قاعدة المطابقة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الظاهر أصل ، والضمير تابع ، والدلالة الأصلية أقوى من الدلالة التبعيّة ، والتصرف في الأضعف أسهل</w:t>
      </w:r>
      <w:r>
        <w:rPr>
          <w:rFonts w:eastAsia="Amiri" w:cs="Amiri" w:ascii="Amiri" w:hAnsi="Amiri"/>
          <w:color w:val="111111"/>
          <w:sz w:val="28"/>
          <w:szCs w:val="28"/>
          <w:rtl w:val="true"/>
          <w:lang w:bidi="ar-SA"/>
        </w:rPr>
        <w:t xml:space="preserve">. </w:t>
      </w:r>
      <w:bookmarkStart w:id="69" w:name="pg14071_148938"/>
    </w:p>
    <w:p>
      <w:pPr>
        <w:pStyle w:val="Heading3"/>
        <w:numPr>
          <w:ilvl w:val="2"/>
          <w:numId w:val="1"/>
        </w:numPr>
        <w:rPr/>
      </w:pPr>
      <w:bookmarkStart w:id="70" w:name="__RefHeading___Toc495039_1738255347"/>
      <w:bookmarkStart w:id="71" w:name="_Toc25"/>
      <w:bookmarkEnd w:id="69"/>
      <w:bookmarkEnd w:id="70"/>
      <w:r>
        <w:rPr>
          <w:rtl w:val="true"/>
        </w:rPr>
        <w:t>قانون</w:t>
      </w:r>
      <w:bookmarkEnd w:id="71"/>
    </w:p>
    <w:p>
      <w:pPr>
        <w:pStyle w:val="BookText"/>
        <w:rPr/>
      </w:pPr>
      <w:r>
        <w:rPr>
          <w:rFonts w:ascii="Amiri" w:hAnsi="Amiri" w:eastAsia="Amiri" w:cs="Amiri"/>
          <w:color w:val="111111"/>
          <w:sz w:val="28"/>
          <w:sz w:val="28"/>
          <w:szCs w:val="28"/>
          <w:rtl w:val="true"/>
          <w:lang w:bidi="ar-SA"/>
        </w:rPr>
        <w:t xml:space="preserve">لا خلاف في أنّ اللّفظ الوارد بعد سؤال ، أو عند وقوع حادثة ، يتبع السّؤال ، وتلك الحادثة في العموم والخصوص إذا كان اللّفظ غير مستقلّ بنفسه ، بمعنى أنّه يحتاج الى انضمام السّؤال إليه في الدلالة على معناه ، إمّا لذاته وباعتبار </w:t>
      </w:r>
      <w:r>
        <w:rPr>
          <w:rStyle w:val="FootnoteAnchor"/>
          <w:rtl w:val="true"/>
        </w:rPr>
        <w:footnoteReference w:id="457"/>
      </w:r>
      <w:r>
        <w:rPr>
          <w:rFonts w:ascii="Amiri" w:hAnsi="Amiri" w:eastAsia="Amiri" w:cs="Amiri"/>
          <w:color w:val="111111"/>
          <w:sz w:val="28"/>
          <w:sz w:val="28"/>
          <w:szCs w:val="28"/>
          <w:rtl w:val="true"/>
          <w:lang w:bidi="ar-SA"/>
        </w:rPr>
        <w:t xml:space="preserve">الوضع كقوله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سئل عن بيع الرّطب بالتّمر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أينقص إذا 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إذن</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بحسب العرف ،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آكل ، في جواب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أهل العرف يفهم تقييد الجواب ، يعني لا آكل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مستقلا مساويا للسّؤال في العموم والخصوص ، مثل 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المجامع في نهار شهر رمضان؟</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المجامع في نهار شهر رمضان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أخصّ من السّؤال مع دلالته على حكم الباقي على سبيل التّنبيه مع كون السّامع من أهل الاجتهاد ووسعة الوقت لذلك ، لئلّا يفوت الغرض ، كأن يقال في جواب السّؤال عن الزكاة في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ذكور الخيل زكاة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إناثه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الإناث لمّا كانت هي محلّ النموّ ففي إثباتها في الذّكور يثبت في الإناث بطريق أولى ، ومن نفيها في الإناث ينفى عن الذّكور كذلك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أعمّ منه في غير محلّ السّؤال مثل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سئل عن ماء البحر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الطهور ماؤه ، الحلّ ميتته</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فإنّ السّؤال عن الماء ، والجواب عن الماء وعن الميتة ، فيتبع عموم الجواب في المقامين </w:t>
      </w:r>
      <w:r>
        <w:rPr>
          <w:rStyle w:val="FootnoteAnchor"/>
          <w:rtl w:val="true"/>
        </w:rPr>
        <w:footnoteReference w:id="460"/>
      </w:r>
      <w:r>
        <w:rPr>
          <w:rFonts w:ascii="Amiri" w:hAnsi="Amiri" w:eastAsia="Amiri" w:cs="Amiri"/>
          <w:color w:val="111111"/>
          <w:sz w:val="28"/>
          <w:sz w:val="28"/>
          <w:szCs w:val="28"/>
          <w:rtl w:val="true"/>
          <w:lang w:bidi="ar-SA"/>
        </w:rPr>
        <w:t>أيضا لعدم 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اللّفظ أعمّ منه في محلّ السّؤال ، مثل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سئل عن بئر 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الماء طهورا لا ينجّسه شيء إلّا ما غيّر لونه أو طعمه أو رائحته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مرّ بشاة ميمونة على ما رواه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إهاب </w:t>
      </w:r>
      <w:r>
        <w:rPr>
          <w:rStyle w:val="FootnoteAnchor"/>
          <w:rtl w:val="true"/>
        </w:rPr>
        <w:footnoteReference w:id="462"/>
      </w:r>
      <w:r>
        <w:rPr>
          <w:rFonts w:ascii="IRNazanin" w:hAnsi="IRNazanin" w:eastAsia="IRNazanin"/>
          <w:color w:val="111111"/>
          <w:sz w:val="28"/>
          <w:sz w:val="28"/>
          <w:szCs w:val="28"/>
          <w:rtl w:val="true"/>
          <w:lang w:bidi="fa-IR"/>
        </w:rPr>
        <w:t>دبغ فقد طهر</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فاختلفوا فيه ،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العبرة بعموم اللّفظ لا بخصوص المحلّ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 السّبب لا يخصّص الجواب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مخصّص للجواب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اللّفظ الموضوع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 والمانع مفقود ، وما يتصوّر مانعا سنبطله ، ولعمل العلماء والصحابة والتّابعين على العمومات الواردة على أسباب خاصّة ، بحيث يظهر منهم الإجماع على ذلك ، كما لا يخفى ذلك على من تتبّع الآثار وكلام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عامّا في السّبب </w:t>
      </w:r>
      <w:r>
        <w:rPr>
          <w:rStyle w:val="FootnoteAnchor"/>
          <w:rtl w:val="true"/>
        </w:rPr>
        <w:footnoteReference w:id="466"/>
      </w:r>
      <w:r>
        <w:rPr>
          <w:rFonts w:ascii="Amiri" w:hAnsi="Amiri" w:eastAsia="Amiri" w:cs="Amiri"/>
          <w:color w:val="111111"/>
          <w:sz w:val="28"/>
          <w:sz w:val="28"/>
          <w:szCs w:val="28"/>
          <w:rtl w:val="true"/>
          <w:lang w:bidi="ar-SA"/>
        </w:rPr>
        <w:t>وغيره ، لفاتت المطابقة بين الجواب والسّؤال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المطابقة إنّما يحصل بإفادة مقتضى السّؤال ، والزيادة لا تنفي ذلك مع ما فيه من كثرة الإفادة ، وبأنّه لو كان يعمّ غير السّبب لجاز تخصيص السّبب وإخراجه بالاجتهاد كما يجوز في غيره ، والتالي باطل </w:t>
      </w:r>
      <w:r>
        <w:rPr>
          <w:rStyle w:val="FootnoteAnchor"/>
          <w:rtl w:val="true"/>
        </w:rPr>
        <w:footnoteReference w:id="467"/>
      </w:r>
      <w:r>
        <w:rPr>
          <w:rFonts w:ascii="IRNazanin" w:hAnsi="IRNazanin" w:eastAsia="IRNazanin"/>
          <w:color w:val="111111"/>
          <w:sz w:val="28"/>
          <w:sz w:val="28"/>
          <w:szCs w:val="28"/>
          <w:rtl w:val="true"/>
          <w:lang w:bidi="fa-IR"/>
        </w:rPr>
        <w:t>والمقدّم مثله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جواز إخراج السّبب إنّما هو لأجل أنّه بمنزلة المنصوص عليه المقطوع به ، وبأنّه لو لم يخصّ بالسّبب لما كان لنقل السّبب فائدة ، مع أنّهم بالغوا في ضبطه وتدوينه ، وليس ذلك إلّا لأجل الاختصاص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الفوائد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شأن ورود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كون هذا الفرد بمنزلة المقطوع به لئلّا يخرج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السّير والقصص ، وغير ذلك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 من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تغذّيت ، بعد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 عندي ، لا يحنث بكلّ تغذّ ، بل إنّما يحنث بالتغذّي عنده فقط ، فلو لم يكن السّبب مخصّصا لحصل الحنث بكلّ تغذّ ، وهو باطل بالاتّفاق</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دلّ على هذا التخصيص كما أشرنا إليه سابقا</w:t>
      </w:r>
      <w:r>
        <w:rPr>
          <w:rFonts w:eastAsia="Amiri" w:cs="Amiri" w:ascii="Amiri" w:hAnsi="Amiri"/>
          <w:color w:val="111111"/>
          <w:sz w:val="28"/>
          <w:szCs w:val="28"/>
          <w:rtl w:val="true"/>
          <w:lang w:bidi="ar-SA"/>
        </w:rPr>
        <w:t xml:space="preserve">. </w:t>
      </w:r>
      <w:bookmarkStart w:id="72" w:name="pg14071_148942"/>
    </w:p>
    <w:p>
      <w:pPr>
        <w:pStyle w:val="Heading3"/>
        <w:numPr>
          <w:ilvl w:val="2"/>
          <w:numId w:val="1"/>
        </w:numPr>
        <w:rPr/>
      </w:pPr>
      <w:bookmarkStart w:id="73" w:name="__RefHeading___Toc495041_1738255347"/>
      <w:bookmarkStart w:id="74" w:name="_Toc26"/>
      <w:bookmarkEnd w:id="72"/>
      <w:bookmarkEnd w:id="73"/>
      <w:r>
        <w:rPr>
          <w:rtl w:val="true"/>
        </w:rPr>
        <w:t>قانون</w:t>
      </w:r>
      <w:bookmarkEnd w:id="74"/>
    </w:p>
    <w:p>
      <w:pPr>
        <w:pStyle w:val="BookText"/>
        <w:rPr/>
      </w:pPr>
      <w:r>
        <w:rPr>
          <w:rFonts w:ascii="Amiri" w:hAnsi="Amiri" w:eastAsia="Amiri" w:cs="Amiri"/>
          <w:color w:val="111111"/>
          <w:sz w:val="28"/>
          <w:sz w:val="28"/>
          <w:szCs w:val="28"/>
          <w:rtl w:val="true"/>
          <w:lang w:bidi="ar-SA"/>
        </w:rPr>
        <w:t xml:space="preserve">اختلفوا في جواز تخصيص العامّ بمفهوم المخالفة بعد اتّفاقهم على جوازه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وهذا كتخصيص 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 أَنْ تَبْتَغُوا بِأَمْوالِكُمْ مُحْصِنِينَ غَيْرَ مُسافِحِينَ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تزوّج المرأة في عدتها وهو يعلم لم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بمفهوم الموافقة في الخبر هو عدم حليّة ذات البعل أبدا لمن تزوجها وهو يعلم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مفهوم الموافقة ، والأكثر على الجواز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الأكثرين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دليل شرعيّ عارض بمثله ، وفي العمل به جمع بين الدليلين ،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الخاصّ إنّما يقدّم على العامّ </w:t>
      </w:r>
      <w:r>
        <w:rPr>
          <w:rStyle w:val="FootnoteAnchor"/>
          <w:rtl w:val="true"/>
        </w:rPr>
        <w:footnoteReference w:id="469"/>
      </w:r>
      <w:r>
        <w:rPr>
          <w:rFonts w:ascii="Amiri" w:hAnsi="Amiri" w:eastAsia="Amiri" w:cs="Amiri"/>
          <w:color w:val="111111"/>
          <w:sz w:val="28"/>
          <w:sz w:val="28"/>
          <w:szCs w:val="28"/>
          <w:rtl w:val="true"/>
          <w:lang w:bidi="ar-SA"/>
        </w:rPr>
        <w:t>بكون دلالته على ما تحته أقوى من دلالة العامّ على ذلك ، والمفهوم أضعف دلالة من المنطوق ، فلا يجوز 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w:t>
      </w:r>
      <w:r>
        <w:rPr>
          <w:rStyle w:val="FootnoteAnchor"/>
          <w:rtl w:val="true"/>
        </w:rPr>
        <w:footnoteReference w:id="470"/>
      </w:r>
      <w:r>
        <w:rPr>
          <w:rFonts w:ascii="Amiri" w:hAnsi="Amiri" w:eastAsia="Amiri" w:cs="Amiri"/>
          <w:color w:val="111111"/>
          <w:sz w:val="28"/>
          <w:sz w:val="28"/>
          <w:szCs w:val="28"/>
          <w:rtl w:val="true"/>
          <w:lang w:bidi="ar-SA"/>
        </w:rPr>
        <w:t xml:space="preserve">عنه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بين الدليلين أولى من إبطال أحدهما ، وإن كان أضعف</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وأخرى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العامّ أقوى ، بل لا يقصر المفهوم الخاصّ غالبا عن العامّ </w:t>
      </w:r>
    </w:p>
    <w:p>
      <w:pPr>
        <w:pStyle w:val="BookText"/>
        <w:rPr/>
      </w:pPr>
      <w:r>
        <w:rPr>
          <w:rFonts w:ascii="Amiri" w:hAnsi="Amiri" w:eastAsia="Amiri" w:cs="Amiri"/>
          <w:color w:val="111111"/>
          <w:sz w:val="28"/>
          <w:sz w:val="28"/>
          <w:szCs w:val="28"/>
          <w:rtl w:val="true"/>
          <w:lang w:bidi="ar-SA"/>
        </w:rPr>
        <w:t>المنطوق ، سيّما مع شيوع تخصيص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أوضاع الحجّتين والجوابين مع ملاحظة ما قرّروه في باب التعادل والتّرجيح تشويش واضطراب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لأنّهم ذكروا في باب التعادل ، أنّ تعادل الأمارتين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والكلام فيما نحن فيه من جهة المرجّحات الدلالية وعدمها ، فما نحن فيه في مقام الصغرى ، ومسألة التعادل في مقام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وتساويهما من جميع الوجوه ، يوجب التخيير أو التساقط ، والرّجوع الى الأصل أو التوقّف على اختلاف الآراء ، وأنّ ذلك إنّما هو بعد فقد المرجّحات وعدم إمكان الجمع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 خلاف بين العلماء في وجوب الجمع بين الدّليلين مع الإمكان ، وأنّ التخيير وغيره من الأقوال إنّما هو بعد فرض عدم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صرّح بكون ذلك إجماع العلماء ، الفاضل ابن الجمهور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فقيه متكلم محدّث معاصر للكركي وتلميذ لعلي بن هلال الجزائري ذو فضائل جمّة لكن التصرّف الغالي المفرط قد أبطل حقه كما قال من 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الاسترآبادي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اجازات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 العاملي في موضعين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مؤلّفات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المجلي في مرآة المنجي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العرفان والاخلاق ـ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الباب الحادي عشر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اللّئالئ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 بعد ذكر مقبولة عمر بن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حنظلة </w:t>
      </w:r>
      <w:r>
        <w:rPr>
          <w:rStyle w:val="FootnoteAnchor"/>
          <w:rtl w:val="true"/>
        </w:rPr>
        <w:footnoteReference w:id="473"/>
      </w:r>
      <w:r>
        <w:rPr>
          <w:rFonts w:ascii="Amiri" w:hAnsi="Amiri" w:eastAsia="Amiri" w:cs="Amiri"/>
          <w:color w:val="111111"/>
          <w:sz w:val="28"/>
          <w:sz w:val="28"/>
          <w:szCs w:val="28"/>
          <w:rtl w:val="true"/>
          <w:lang w:bidi="ar-SA"/>
        </w:rPr>
        <w:t xml:space="preserve">الواردة في ذكر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حديثين ظاهرهما التعارض يجب عليك أوّلا البحث عن معناهما وكيفيّات دلالة ألفاظهما ، فإن أمكنك التوفيق بينهما بالحمل على جهات التأويل والدّلالات ، فاحرص عليه واجتهد في تحصيله ، فإنّ العمل بالدليلين مهما أمكن خير من ترك أحدهما وتعطيله بإجماع العلماء ، فإذا لم </w:t>
      </w:r>
    </w:p>
    <w:p>
      <w:pPr>
        <w:pStyle w:val="BookText"/>
        <w:rPr/>
      </w:pPr>
      <w:r>
        <w:rPr>
          <w:rFonts w:ascii="Amiri" w:hAnsi="Amiri" w:eastAsia="Amiri" w:cs="Amiri"/>
          <w:color w:val="111111"/>
          <w:sz w:val="28"/>
          <w:sz w:val="28"/>
          <w:szCs w:val="28"/>
          <w:rtl w:val="true"/>
          <w:lang w:bidi="ar-SA"/>
        </w:rPr>
        <w:t xml:space="preserve">تتمكّن من ذلك أو لم يظهر لك وجهه فارجع الى العمل بهذا الحديث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هذا ، إذا تعارض دليلان من الأدلّة مثل خبرين جامعين لشرائط القبول أو ظاهر آيتين أو نحو ذلك ، فلا بدّ أوّلا من ملاحظة الجمع والعمل بهما إمّا بالتخصيص أو بالتقييد إذا كان بينهما عموم وخصوص أو إطلاق وتقييد ، أو بحمل أحدهما على بعض الأفراد وحمل الأخير على بعض آخر إذا كان بينهما تناقض أو نحو ذلك ، ومع العجز عن ذلك لمانع خارجي ، مثل التناقض في قضيّة شخصيّة أو إجماع على عدمه ، فيرجع الى المرجّحات ، ومع التساوي ، فالأقوال المذكورة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مع عدم ملاحظة المرجّحات تمسّكا بكونه جمعا بين الدليلين ، ينافي تعليل تقديم الخاصّ على العامّ بكونه أقوى ، كما في حجّة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 المجيب الأوّل وغيره بالجمع بين الدليلين وإن كان أحدهما أضعف ، ينافي رجوعهم الى المرجّحات واعتبار القوّة والضعف في المقامات ، مثل تخصيص القرآن بخبر الواحد وغيره من مقامات الجمع ، فإنّهم يعتبرون التّرجيحات أيضا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فالمناص </w:t>
      </w:r>
      <w:r>
        <w:rPr>
          <w:rStyle w:val="FootnoteAnchor"/>
          <w:rtl w:val="true"/>
        </w:rPr>
        <w:footnoteReference w:id="476"/>
      </w:r>
      <w:r>
        <w:rPr>
          <w:rFonts w:ascii="Amiri" w:hAnsi="Amiri" w:eastAsia="Amiri" w:cs="Amiri"/>
          <w:color w:val="111111"/>
          <w:sz w:val="28"/>
          <w:sz w:val="28"/>
          <w:szCs w:val="28"/>
          <w:rtl w:val="true"/>
          <w:lang w:bidi="ar-SA"/>
        </w:rPr>
        <w:t xml:space="preserve">عن هذا الإشكال </w:t>
      </w:r>
      <w:r>
        <w:rPr>
          <w:rStyle w:val="FootnoteAnchor"/>
          <w:rtl w:val="true"/>
        </w:rPr>
        <w:footnoteReference w:id="477"/>
      </w:r>
      <w:r>
        <w:rPr>
          <w:rFonts w:ascii="Amiri" w:hAnsi="Amiri" w:eastAsia="Amiri" w:cs="Amiri"/>
          <w:color w:val="111111"/>
          <w:sz w:val="28"/>
          <w:sz w:val="28"/>
          <w:szCs w:val="28"/>
          <w:rtl w:val="true"/>
          <w:lang w:bidi="ar-SA"/>
        </w:rPr>
        <w:t xml:space="preserve">وتحقيق المقام ومحصّل ما ذكروه في قاعدة التعادل والترجيح مع تحرير منّي وتصحيح على ما اقتضاه الحال والمقام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مرادهم في مقام لزوم الجمع مع الإمكان من عدم الرّجوع الى المرجّحات الخارجيّة ، إنّما هو بالنسبة </w:t>
      </w:r>
      <w:r>
        <w:rPr>
          <w:rStyle w:val="FootnoteAnchor"/>
          <w:rtl w:val="true"/>
        </w:rPr>
        <w:footnoteReference w:id="478"/>
      </w:r>
      <w:r>
        <w:rPr>
          <w:rFonts w:ascii="Amiri" w:hAnsi="Amiri" w:eastAsia="Amiri" w:cs="Amiri"/>
          <w:color w:val="111111"/>
          <w:sz w:val="28"/>
          <w:sz w:val="28"/>
          <w:szCs w:val="28"/>
          <w:rtl w:val="true"/>
          <w:lang w:bidi="ar-SA"/>
        </w:rPr>
        <w:t>الى الهجر والترك والإسقاط ، لا بالنسبة الى إرجاع أحدهما الى الآخر ، فإنّ إرجاع أحد الدّليلين الى الآخر أو إرجاعهما الى ثالث ، يقتضي إخراج اللّفظ عن الحقيقة الى المجاز ، إذ العمل بالمتخالفين مع بقائهما على حقيقتهما ممّا لا يمكن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يمكن إخراج العامّ عن حقيقة العموم ، يمكن إخراج الخاص عن حقيقة الخصوص أيضا ، فلا بدّ في توجيه التأويل الى أحدهما دون الآخر من مرجّح ، فلا ينافي عدم الرّجوع الى المرجّحات فيما أمكن فيه الجمع من جهة القبول مطلقا </w:t>
      </w:r>
      <w:r>
        <w:rPr>
          <w:rStyle w:val="FootnoteAnchor"/>
          <w:rtl w:val="true"/>
        </w:rPr>
        <w:footnoteReference w:id="479"/>
      </w:r>
      <w:r>
        <w:rPr>
          <w:rFonts w:ascii="Amiri" w:hAnsi="Amiri" w:eastAsia="Amiri" w:cs="Amiri"/>
          <w:color w:val="111111"/>
          <w:sz w:val="28"/>
          <w:sz w:val="28"/>
          <w:szCs w:val="28"/>
          <w:rtl w:val="true"/>
          <w:lang w:bidi="ar-SA"/>
        </w:rPr>
        <w:t xml:space="preserve">والإسقاط مطلقا ، وجوب الرّجوع اليها في إرجاع التأويل الى أحدهما دون الآخر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ومرادهم من العمل بالدليلين ، العمل بهما على ما هو مقتضى مدلولهما إمّا بالحقيقة أو بالمجاز الذي يصحّ في محاورات أهل اللّسان ، وهو ما وجد فيه العلاقة المصحّحة المقبولة عند أهل البيان ، والقرينة الصّارفة عن الحقيقة والمعيّنة لذلك المعنى المجازي كذلك ، بأن تكون موجودة في اللّفظ </w:t>
      </w:r>
      <w:r>
        <w:rPr>
          <w:rStyle w:val="FootnoteAnchor"/>
          <w:rtl w:val="true"/>
        </w:rPr>
        <w:footnoteReference w:id="481"/>
      </w:r>
      <w:r>
        <w:rPr>
          <w:rFonts w:ascii="Amiri" w:hAnsi="Amiri" w:eastAsia="Amiri" w:cs="Amiri"/>
          <w:color w:val="111111"/>
          <w:sz w:val="28"/>
          <w:sz w:val="28"/>
          <w:szCs w:val="28"/>
          <w:rtl w:val="true"/>
          <w:lang w:bidi="ar-SA"/>
        </w:rPr>
        <w:t xml:space="preserve">أو مقارنة معها ، أو كاشفة عن كون اللّفظ مقترنة حين التكلّم بقرينة تدلّ على هذا المعنى ، ولا يكفي في </w:t>
      </w:r>
    </w:p>
    <w:p>
      <w:pPr>
        <w:pStyle w:val="BookText"/>
        <w:rPr/>
      </w:pPr>
      <w:r>
        <w:rPr>
          <w:rFonts w:ascii="Amiri" w:hAnsi="Amiri" w:eastAsia="Amiri" w:cs="Amiri"/>
          <w:color w:val="111111"/>
          <w:sz w:val="28"/>
          <w:sz w:val="28"/>
          <w:szCs w:val="28"/>
          <w:rtl w:val="true"/>
          <w:lang w:bidi="ar-SA"/>
        </w:rPr>
        <w:t xml:space="preserve">ذلك مجرّد احتمال اللّفظ لذلك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معنى إرجاع أحدهما الى الآخر ، إبقاء أحدهما على حقيقته ، وإرجاع الآخر إليه كذلك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إرجاعهما الى ثالث ، إثبات القرينة للتجوّز في كليهما ، بحيث يحصل من التجوّز فيهما معنى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والخاصّ المطلقان ، فإنّ العمل بالخاصّ يوجب العمل بالدليلين في الجملة ، أمّا في الخاصّ فبحقيقته ، وأمّا في العامّ فبمجازه المتعارف وهو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وقوع العامّ والخاصّ المتنافي الظاهر في كلام متكلّم واحد أو متكلّمين كانا في حكم واحد ، قرينة على إرادة التخصيص ، سيّما وفيه إشارات من كلام الشّارع أيضا بأنّ في كلامه عامّا وخاصّا ولا بدّ من معرفتهما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الثاني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عامّين متنافيين الى خاصّين ، وذلك يحصل بين المتناقضين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في الأخبار أنّ الأمّ أحقّ بحضانة الولد الى سبع سنين ، وورد أيضا أنّ الاب أحقّ بحضانته الى سبع سنين ، فالجمع بينهما بأنّ المراد بالولد في الأوّل الأنثى ، وفي الثاني الذّكر عمل بالدليلين ، وإخراج لكليهما عن حقيقتهما بالتخصيص ، لكنّ الخاصّ هنا في الأخبار غير ظاهر ، فيشكل الاعتماد بهذا الجمع لإخراج اللّفظ عن الحقيقة ، وعدم تنزيله على مجاز متعارف عند أهل اللّسان ، لعدم القرينة عليه ، إلّا أن يجعل الشّهرة بين الأصحاب قرينة على أنّهما لعلّهما كانتا مقترنتين بقرينة مفهمة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الذي وجد فيه القرينة من الأخبار ، فأمره واضح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أنّ العاري يصلّي قائما ويومي ، والأخبار الواردة في أنّه يصلّي قاعدا ، فالمشهور أنّ الأخبار الأوّلة محمولة على الأمن من المطّلع ، والثاني على العدم ، وبهذا التفصيل رواية صحيحة كالمخصّص لكليهما وهي قرينة لذلك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مطلق الحمل كيفما اتّفق كما يذهب إليه بعض من أفرط في التأويل </w:t>
      </w:r>
      <w:r>
        <w:rPr>
          <w:rStyle w:val="FootnoteAnchor"/>
          <w:rtl w:val="true"/>
        </w:rPr>
        <w:footnoteReference w:id="486"/>
      </w:r>
      <w:r>
        <w:rPr>
          <w:rFonts w:ascii="Amiri" w:hAnsi="Amiri" w:eastAsia="Amiri" w:cs="Amiri"/>
          <w:color w:val="111111"/>
          <w:sz w:val="28"/>
          <w:sz w:val="28"/>
          <w:szCs w:val="28"/>
          <w:rtl w:val="true"/>
          <w:lang w:bidi="ar-SA"/>
        </w:rPr>
        <w:t xml:space="preserve">، فلا دليل عليه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بعضهم إذا رأى خبرا ورد بلفظ الأمر وآخر بلفظ النّهي في ذلك بعينه ، فيجعل الأمر بمعنى الإذن والنهي بمعنى مطلق المرجوحيّة ويثبت بذلك الكراهة ، وهو خارج عن مدلول كليهما ، فإذا لم يكن قرينة على ذلك حاليّة أو مقاليّة ، فلا يجوز ذلك بمجرّد انّه جمع بين الدليلين ، ولا يكون عملا بكلام الشّارع لا بحقيقته ولا مجازه ، أمّا الحقيقة فظاهر ، وأمّا المجاز ، فلأنّ المجاز هو المعنى الذي أفهمه القرينة ، وهو مسبوق بوجود القرينة والعلم بها ، ومجرّد احتمال وجود قرينة توجب فهم المخاطبين المشافهين ، كذلك </w:t>
      </w:r>
      <w:r>
        <w:rPr>
          <w:rStyle w:val="FootnoteAnchor"/>
          <w:rtl w:val="true"/>
        </w:rPr>
        <w:footnoteReference w:id="487"/>
      </w:r>
      <w:r>
        <w:rPr>
          <w:rFonts w:ascii="Amiri" w:hAnsi="Amiri" w:eastAsia="Amiri" w:cs="Amiri"/>
          <w:color w:val="111111"/>
          <w:sz w:val="28"/>
          <w:sz w:val="28"/>
          <w:szCs w:val="28"/>
          <w:rtl w:val="true"/>
          <w:lang w:bidi="ar-SA"/>
        </w:rPr>
        <w:t>لا يجوز الحكم بإرادة ذلك ، ولا يورث الظنّ بإرادة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يمكن فيه الجمع والعمل بالدليلين ولا بدّ من التخيير بعد اليأس عن الترجيح ، مع أنّ هذا ليس عملا بالدّليل ، بل هو ذكر احتمال في معنى الدّليل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في جواب حجّة الخصم منع كون المفهوم أضعف من العامّ المنطوق مطلقا ، سيّما مع غلبة تخصيص العمومات وشيوعه ، ومع التساوي </w:t>
      </w:r>
      <w:r>
        <w:rPr>
          <w:rStyle w:val="FootnoteAnchor"/>
          <w:rtl w:val="true"/>
        </w:rPr>
        <w:footnoteReference w:id="488"/>
      </w:r>
      <w:r>
        <w:rPr>
          <w:rFonts w:ascii="Amiri" w:hAnsi="Amiri" w:eastAsia="Amiri" w:cs="Amiri"/>
          <w:color w:val="111111"/>
          <w:sz w:val="28"/>
          <w:sz w:val="28"/>
          <w:szCs w:val="28"/>
          <w:rtl w:val="true"/>
          <w:lang w:bidi="ar-SA"/>
        </w:rPr>
        <w:t xml:space="preserve">فيحمل العامّ </w:t>
      </w:r>
    </w:p>
    <w:p>
      <w:pPr>
        <w:pStyle w:val="BookText"/>
        <w:rPr/>
      </w:pPr>
      <w:r>
        <w:rPr>
          <w:rFonts w:ascii="Amiri" w:hAnsi="Amiri" w:eastAsia="Amiri" w:cs="Amiri"/>
          <w:color w:val="111111"/>
          <w:sz w:val="28"/>
          <w:sz w:val="28"/>
          <w:szCs w:val="28"/>
          <w:rtl w:val="true"/>
          <w:lang w:bidi="ar-SA"/>
        </w:rPr>
        <w:t>على الخاصّ لا لمحض الجمع بين الدّليلين حتّى يرد أنّه لا دليل عليه كما بيّنا ، بل لأنّ اجتماعهما مع تساويهما ، قرينة لإرادة ذلك في العرف ، سيّما مع غلبة التّخصيص وشيوعه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من الرّجوع الى مراتب الظنّ </w:t>
      </w:r>
      <w:r>
        <w:rPr>
          <w:rStyle w:val="FootnoteAnchor"/>
          <w:rtl w:val="true"/>
        </w:rPr>
        <w:footnoteReference w:id="489"/>
      </w:r>
      <w:r>
        <w:rPr>
          <w:rFonts w:ascii="Amiri" w:hAnsi="Amiri" w:eastAsia="Amiri" w:cs="Amiri"/>
          <w:color w:val="111111"/>
          <w:sz w:val="28"/>
          <w:sz w:val="28"/>
          <w:szCs w:val="28"/>
          <w:rtl w:val="true"/>
          <w:lang w:bidi="ar-SA"/>
        </w:rPr>
        <w:t>باعتبار الموارد ، فحيثما حصل في المفهوم ظنّ أقوى من العامّ فيخصّص به ، وإلّا فلا ، فهو خروج عن طريقة أرباب الفنّ ورجوع الى القرائن ، ومحطّ نظر الأصولي هو ملاحظة المقام خاليا عن القرائن ، وإلّا فمع الالتفات الى المرجّحات الخارجة ، فيعتبر ذلك في إرجاع التأويل الى أحد الدليلين دون الآخر مع ثبوتهما ، أو إليهما معا مع التساوي والإمكان أو التخيير بينهما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الخاصّ أقوى ، فلا إشكال في ترجيح الخاصّ وإرجاع العامّ إليه وإخراجه عن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كون العامّ أقوى ، فلا يجوز إذا كان العامّ أقوى من جهة الاعتضاد ، أو كان المفهوم أضعف من جهة خصوص المقام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التساوي فالمرجّح للتخصيص هو شيوع التّخصيص ، وكونه خيرا من سائر المجازات لأجل ما ذكروه في تعارض الأحوال ، من أنّ الغفلة عنه </w:t>
      </w:r>
      <w:r>
        <w:rPr>
          <w:rStyle w:val="FootnoteAnchor"/>
          <w:rtl w:val="true"/>
        </w:rPr>
        <w:footnoteReference w:id="490"/>
      </w:r>
      <w:r>
        <w:rPr>
          <w:rFonts w:ascii="Amiri" w:hAnsi="Amiri" w:eastAsia="Amiri" w:cs="Amiri"/>
          <w:color w:val="111111"/>
          <w:sz w:val="28"/>
          <w:sz w:val="28"/>
          <w:szCs w:val="28"/>
          <w:rtl w:val="true"/>
          <w:lang w:bidi="ar-SA"/>
        </w:rPr>
        <w:t xml:space="preserve">لا يوجب ترك المراد رأسا ، بخلاف سائر المجازات ، فليس الاعتماد في التخصيص بمحض أنّه جمع بين الدّليلين كما ظنّه بعض المحقّقين </w:t>
      </w:r>
      <w:r>
        <w:rPr>
          <w:rStyle w:val="FootnoteAnchor"/>
          <w:rtl w:val="true"/>
        </w:rPr>
        <w:footnoteReference w:id="491"/>
      </w:r>
      <w:r>
        <w:rPr>
          <w:rFonts w:ascii="Amiri" w:hAnsi="Amiri" w:eastAsia="Amiri" w:cs="Amiri"/>
          <w:color w:val="111111"/>
          <w:sz w:val="28"/>
          <w:sz w:val="28"/>
          <w:szCs w:val="28"/>
          <w:rtl w:val="true"/>
          <w:lang w:bidi="ar-SA"/>
        </w:rPr>
        <w:t xml:space="preserve">، لإمكان ذلك </w:t>
      </w:r>
    </w:p>
    <w:p>
      <w:pPr>
        <w:pStyle w:val="BookText"/>
        <w:rPr/>
      </w:pPr>
      <w:r>
        <w:rPr>
          <w:rFonts w:ascii="Amiri" w:hAnsi="Amiri" w:eastAsia="Amiri" w:cs="Amiri"/>
          <w:color w:val="111111"/>
          <w:sz w:val="28"/>
          <w:sz w:val="28"/>
          <w:szCs w:val="28"/>
          <w:rtl w:val="true"/>
          <w:lang w:bidi="ar-SA"/>
        </w:rPr>
        <w:t>بإبقاء العامّ على حقيقته وتأويل الخاصّ بمجاز آخر ، فالاعتماد هنا أيضا على المرجّح ، فمع وجود المرجّح في أحد الطرفين وموافقته لمحاورات أهل اللّسان من مراعاة شرائط المجاز ، لا يجوز التجوّز في الطرف الآخر ، فرجع مآل الكلام جملة الى ما يترجّح في النظر ويحصل به الظنّ من الأمارتين بعد ملاحظة قواعد اللّفظ وفهم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يرجع الى ملاحظة التراجيح وبعد العجز عنه يرجع الى التخيير أو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فالتخصيص والتقييد وأمثالهما أيضا في الحقيقة يرجع الى الإثبات والإسقاط ، إلّا أنّ في ذلك إثبات البعض ، وإسقاط البعض ، وفيما لا يمكن الجمع إسقاط الكلّ وإثبات الكلّ ، مع أنّ القول بأنّ التخصيص فيما نحن فيه عمل بالدليلين مشكل ، بل هو إلقاء أحدهما وإعمال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التخالف إنّما هو في بعض مدلول العامّ ونفس الخاصّ ، ولا ريب أنّ مع العمل بالخاصّ يلغى ذلك البعض </w:t>
      </w:r>
      <w:r>
        <w:rPr>
          <w:rStyle w:val="FootnoteAnchor"/>
          <w:rtl w:val="true"/>
        </w:rPr>
        <w:footnoteReference w:id="492"/>
      </w:r>
      <w:r>
        <w:rPr>
          <w:rFonts w:ascii="Amiri" w:hAnsi="Amiri" w:eastAsia="Amiri" w:cs="Amiri"/>
          <w:color w:val="111111"/>
          <w:sz w:val="28"/>
          <w:sz w:val="28"/>
          <w:szCs w:val="28"/>
          <w:rtl w:val="true"/>
          <w:lang w:bidi="ar-SA"/>
        </w:rPr>
        <w:t xml:space="preserve">، وإن لوحظ مجموع مدلول اللّفظ في الجانبين ، فلا يخفى أنّ المفهوم أيضا ليس تمام مدلول اللّفظ ، بل بعضه </w:t>
      </w:r>
      <w:r>
        <w:rPr>
          <w:rStyle w:val="FootnoteAnchor"/>
          <w:rtl w:val="true"/>
        </w:rPr>
        <w:footnoteReference w:id="493"/>
      </w:r>
      <w:r>
        <w:rPr>
          <w:rFonts w:ascii="Amiri" w:hAnsi="Amiri" w:eastAsia="Amiri" w:cs="Amiri"/>
          <w:color w:val="111111"/>
          <w:sz w:val="28"/>
          <w:sz w:val="28"/>
          <w:szCs w:val="28"/>
          <w:rtl w:val="true"/>
          <w:lang w:bidi="ar-SA"/>
        </w:rPr>
        <w:t xml:space="preserve">كما أشار إليه بعض الأعلام ، فلا مناص عن ملاحظة المرجّحات في الكلّ ، أعني في العمل بالدليلين معا </w:t>
      </w:r>
      <w:r>
        <w:rPr>
          <w:rStyle w:val="FootnoteAnchor"/>
          <w:rtl w:val="true"/>
        </w:rPr>
        <w:footnoteReference w:id="494"/>
      </w:r>
      <w:r>
        <w:rPr>
          <w:rFonts w:ascii="Amiri" w:hAnsi="Amiri" w:eastAsia="Amiri" w:cs="Amiri"/>
          <w:color w:val="111111"/>
          <w:sz w:val="28"/>
          <w:sz w:val="28"/>
          <w:szCs w:val="28"/>
          <w:rtl w:val="true"/>
          <w:lang w:bidi="ar-SA"/>
        </w:rPr>
        <w:t xml:space="preserve">في الجملة ، وفي طرح أحدهما </w:t>
      </w:r>
      <w:r>
        <w:rPr>
          <w:rStyle w:val="FootnoteAnchor"/>
          <w:rtl w:val="true"/>
        </w:rPr>
        <w:footnoteReference w:id="495"/>
      </w:r>
      <w:r>
        <w:rPr>
          <w:rFonts w:ascii="Amiri" w:hAnsi="Amiri" w:eastAsia="Amiri" w:cs="Amiri"/>
          <w:color w:val="111111"/>
          <w:sz w:val="28"/>
          <w:sz w:val="28"/>
          <w:szCs w:val="28"/>
          <w:rtl w:val="true"/>
          <w:lang w:bidi="ar-SA"/>
        </w:rPr>
        <w:t xml:space="preserve">، ويشهد به إطلاق الأخبار </w:t>
      </w:r>
      <w:r>
        <w:rPr>
          <w:rStyle w:val="FootnoteAnchor"/>
          <w:rtl w:val="true"/>
        </w:rPr>
        <w:footnoteReference w:id="496"/>
      </w:r>
      <w:r>
        <w:rPr>
          <w:rFonts w:ascii="Amiri" w:hAnsi="Amiri" w:eastAsia="Amiri" w:cs="Amiri"/>
          <w:color w:val="111111"/>
          <w:sz w:val="28"/>
          <w:sz w:val="28"/>
          <w:szCs w:val="28"/>
          <w:rtl w:val="true"/>
          <w:lang w:bidi="ar-SA"/>
        </w:rPr>
        <w:t>الواردة في علاج الأخبار المختلفة ، وسيجيء تمام الكلام في آخر الكتاب إن شاء الله تعالى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وفذلكة المقام في ضابطة الجمع والترجيح أنّ التخالف الحاصل بين الدليلين </w:t>
      </w:r>
    </w:p>
    <w:p>
      <w:pPr>
        <w:pStyle w:val="BookText"/>
        <w:rPr/>
      </w:pPr>
      <w:r>
        <w:rPr>
          <w:rFonts w:ascii="Amiri" w:hAnsi="Amiri" w:eastAsia="Amiri" w:cs="Amiri"/>
          <w:color w:val="111111"/>
          <w:sz w:val="28"/>
          <w:sz w:val="28"/>
          <w:szCs w:val="28"/>
          <w:rtl w:val="true"/>
          <w:lang w:bidi="ar-SA"/>
        </w:rPr>
        <w:t xml:space="preserve">سبب لأن يكون العمل بأحدهما تركا لظاهر الآخر وحقيقته ، أو تركا لظاهرهما معا ، ومع ترك الظاهر إمّا يحصل قرينة على إرادة خلاف الظاهر من نفس المتعارضين ، أو الخارج ، فبذلك يندرج في الدّلالة المجازيّة المتعارفة ويكون هذا أيضا مع القرينة من جملة الظواهر ، أو لا تحصل </w:t>
      </w:r>
      <w:r>
        <w:rPr>
          <w:rStyle w:val="FootnoteAnchor"/>
          <w:rtl w:val="true"/>
        </w:rPr>
        <w:footnoteReference w:id="497"/>
      </w:r>
      <w:r>
        <w:rPr>
          <w:rFonts w:ascii="Amiri" w:hAnsi="Amiri" w:eastAsia="Amiri" w:cs="Amiri"/>
          <w:color w:val="111111"/>
          <w:sz w:val="28"/>
          <w:sz w:val="28"/>
          <w:szCs w:val="28"/>
          <w:rtl w:val="true"/>
          <w:lang w:bidi="ar-SA"/>
        </w:rPr>
        <w:t xml:space="preserve">ومع ذلك </w:t>
      </w:r>
      <w:r>
        <w:rPr>
          <w:rStyle w:val="FootnoteAnchor"/>
          <w:rtl w:val="true"/>
        </w:rPr>
        <w:footnoteReference w:id="498"/>
      </w:r>
      <w:r>
        <w:rPr>
          <w:rFonts w:ascii="Amiri" w:hAnsi="Amiri" w:eastAsia="Amiri" w:cs="Amiri"/>
          <w:color w:val="111111"/>
          <w:sz w:val="28"/>
          <w:sz w:val="28"/>
          <w:szCs w:val="28"/>
          <w:rtl w:val="true"/>
          <w:lang w:bidi="ar-SA"/>
        </w:rPr>
        <w:t>فإمّا يمكن تأويل هناك بمعنى احتمال ينزل عليه المخالف ولو لم يكن ظاهرا ، أو لا يمكن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القوم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مهما أمكن أولى من الطرح ، أنّه لا يجوز ردّ كلام الشارع ولو بحمله على محتمل صحيح يناسب سائر كلماته وإن كان بعيدا ، ولم نجعله شرعيّا دفعا للزوم التناقض كما فعله الشيخ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دعاه الى ذلك ، كما ذكره في أوّل كتابه </w:t>
      </w:r>
      <w:r>
        <w:rPr>
          <w:rStyle w:val="FootnoteAnchor"/>
          <w:rtl w:val="true"/>
        </w:rPr>
        <w:footnoteReference w:id="499"/>
      </w:r>
      <w:r>
        <w:rPr>
          <w:rFonts w:ascii="Amiri" w:hAnsi="Amiri" w:eastAsia="Amiri" w:cs="Amiri"/>
          <w:color w:val="111111"/>
          <w:sz w:val="28"/>
          <w:sz w:val="28"/>
          <w:szCs w:val="28"/>
          <w:rtl w:val="true"/>
          <w:lang w:bidi="ar-SA"/>
        </w:rPr>
        <w:t xml:space="preserve">فلا غائلة فيه ، إلا أنّه لا يدلّ دليل </w:t>
      </w:r>
    </w:p>
    <w:p>
      <w:pPr>
        <w:pStyle w:val="BookText"/>
        <w:rPr/>
      </w:pPr>
      <w:r>
        <w:rPr>
          <w:rFonts w:ascii="Amiri" w:hAnsi="Amiri" w:eastAsia="Amiri" w:cs="Amiri"/>
          <w:color w:val="111111"/>
          <w:sz w:val="28"/>
          <w:sz w:val="28"/>
          <w:szCs w:val="28"/>
          <w:rtl w:val="true"/>
          <w:lang w:bidi="ar-SA"/>
        </w:rPr>
        <w:t xml:space="preserve">على وجوبه ، مع أنّ الظاهر أنّ لفظ الأولى في كلامهم بمعنى الواجب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 </w:t>
      </w:r>
      <w:r>
        <w:rPr>
          <w:rStyle w:val="FootnoteAnchor"/>
          <w:rtl w:val="true"/>
        </w:rPr>
        <w:footnoteReference w:id="500"/>
      </w:r>
      <w:r>
        <w:rPr>
          <w:rFonts w:ascii="Amiri" w:hAnsi="Amiri" w:eastAsia="Amiri" w:cs="Amiri"/>
          <w:color w:val="111111"/>
          <w:sz w:val="28"/>
          <w:sz w:val="28"/>
          <w:szCs w:val="28"/>
          <w:rtl w:val="true"/>
          <w:lang w:bidi="ar-SA"/>
        </w:rPr>
        <w:t>وإن أرادوا أنّه يجب تنزيل المتخالفين على احتمالين بحيث لا يوجب طرحهما ، ويكون ذلك مستندا شرعيّا ودليلا في جميع الموارد ، حتى في معنى مجازي لم يظهر له قرينة في نفس المتعارضين ولا في الخارج ، بل لمحض احتمال عقليّ لرفع التناقض ، فلا دليل على جواز ذلك فضلا عن وجوبه وجعله مستندا شرعيّا ، فإنّه يؤول الى الخروج عن كلام الشّارع رأسا ، وفي العمل بأحدهما ، عمل بكلامه في الجملة ، فلا بدّ أن يكون مراد القوم من الأولويّة إمّا مطلق الرّجحان ، أو الوجوب فيما يمكن جمع يوافق طريقة متفاهم أهل اللّسان كالتخصيص وغيره ، ويكون غيره داخلا في غير الممكن ، فالمراد من الإمكان ما يعمّ الإمكان بملاحظة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مجرّد ظهور القرينة من نفس المتعارضين أو غيرهما على مجازيّة أحدهما أو كليهما ، لا يوجب الذّهاب الى الاعتماد عليها وإعمالها ، إلّا إذا لم يوجب ترجيح المرجوح ، فإنّ حمل اللّفظ على المجاز في الحقيقة خروج عن مقتضى الدليل لدليل آخر ، وهو لا يصحّ إلّا إذا تساويا أو ترجّح القرينة على مقتضى حقيقة اللّفظ ، فلا بدّ من ملاحظة التّرجيحات في مقام الإرجاع أيضا كما تراهم يعتبرون ذلك في القانون الآتي وغيره أيضا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بذلك ضعف ما ذكره العضدي وغيره من لزوم الجمع بين الدليلين ، وإن كان بإرجاع الأقوى الى الأضعف</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ظاهر كلام ابن الجمهور ، فنمنع ما ادّعاه من الإجماع بظاهره </w:t>
      </w:r>
      <w:r>
        <w:rPr>
          <w:rStyle w:val="FootnoteAnchor"/>
          <w:rtl w:val="true"/>
        </w:rPr>
        <w:footnoteReference w:id="501"/>
      </w:r>
      <w:r>
        <w:rPr>
          <w:rFonts w:ascii="Amiri" w:hAnsi="Amiri" w:eastAsia="Amiri" w:cs="Amiri"/>
          <w:color w:val="111111"/>
          <w:sz w:val="28"/>
          <w:sz w:val="28"/>
          <w:szCs w:val="28"/>
          <w:rtl w:val="true"/>
          <w:lang w:bidi="ar-SA"/>
        </w:rPr>
        <w:t>، إذ عندنا ما هو أقوى في العمل من ذلك الإجماع المنقول ، من دلالة العقل على قبح ترجيح المرجوح ، مع أنّ الرّواية صريحة في إرادة المتناقضين اللّذين لا يمكن الجمع بينهما ، وسؤال الرّاوي فيهما إنّما هو عنهما ، والسبب ليس مخصّصا للجواب ، ولا يمنع الرّجوع في غير المتناقضين أيضا الى التّرجيحات</w:t>
      </w:r>
      <w:r>
        <w:rPr>
          <w:rFonts w:eastAsia="Amiri" w:cs="Amiri" w:ascii="Amiri" w:hAnsi="Amiri"/>
          <w:color w:val="111111"/>
          <w:sz w:val="28"/>
          <w:szCs w:val="28"/>
          <w:rtl w:val="true"/>
          <w:lang w:bidi="ar-SA"/>
        </w:rPr>
        <w:t xml:space="preserve">. </w:t>
      </w:r>
      <w:bookmarkStart w:id="75" w:name="pg14071_148954"/>
    </w:p>
    <w:p>
      <w:pPr>
        <w:pStyle w:val="Heading3"/>
        <w:numPr>
          <w:ilvl w:val="2"/>
          <w:numId w:val="1"/>
        </w:numPr>
        <w:rPr/>
      </w:pPr>
      <w:bookmarkStart w:id="76" w:name="__RefHeading___Toc495043_1738255347"/>
      <w:bookmarkStart w:id="77" w:name="_Toc27"/>
      <w:bookmarkEnd w:id="75"/>
      <w:bookmarkEnd w:id="76"/>
      <w:r>
        <w:rPr>
          <w:rtl w:val="true"/>
        </w:rPr>
        <w:t>قانون</w:t>
      </w:r>
      <w:bookmarkEnd w:id="7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جواز تخصيص الكتاب بالكتاب </w:t>
      </w:r>
      <w:r>
        <w:rPr>
          <w:rStyle w:val="FootnoteAnchor"/>
          <w:rtl w:val="true"/>
        </w:rPr>
        <w:footnoteReference w:id="502"/>
      </w:r>
      <w:r>
        <w:rPr>
          <w:rFonts w:ascii="IRNazanin" w:hAnsi="IRNazanin" w:eastAsia="IRNazanin"/>
          <w:color w:val="111111"/>
          <w:sz w:val="28"/>
          <w:sz w:val="28"/>
          <w:szCs w:val="28"/>
          <w:rtl w:val="true"/>
          <w:lang w:bidi="fa-IR"/>
        </w:rPr>
        <w:t xml:space="preserve">، ولا بالإجماع </w:t>
      </w:r>
      <w:r>
        <w:rPr>
          <w:rStyle w:val="FootnoteAnchor"/>
          <w:rtl w:val="true"/>
        </w:rPr>
        <w:footnoteReference w:id="503"/>
      </w:r>
      <w:r>
        <w:rPr>
          <w:rFonts w:ascii="IRNazanin" w:hAnsi="IRNazanin" w:eastAsia="IRNazanin"/>
          <w:color w:val="111111"/>
          <w:sz w:val="28"/>
          <w:sz w:val="28"/>
          <w:szCs w:val="28"/>
          <w:rtl w:val="true"/>
          <w:lang w:bidi="fa-IR"/>
        </w:rPr>
        <w:t xml:space="preserve">، ولا بالخبر المتواتر </w:t>
      </w:r>
      <w:r>
        <w:rPr>
          <w:rStyle w:val="FootnoteAnchor"/>
          <w:rtl w:val="true"/>
        </w:rPr>
        <w:footnoteReference w:id="504"/>
      </w:r>
      <w:r>
        <w:rPr>
          <w:rFonts w:ascii="IRNazanin" w:hAnsi="IRNazanin" w:eastAsia="IRNazanin"/>
          <w:color w:val="111111"/>
          <w:sz w:val="28"/>
          <w:sz w:val="28"/>
          <w:szCs w:val="28"/>
          <w:rtl w:val="true"/>
          <w:lang w:bidi="fa-IR"/>
        </w:rPr>
        <w:t xml:space="preserve">، ووجهها ظاهر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واختلفوا في جوازه بخبر الواحد على أقوال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 فيجوز إن خصّ قبله بدليل قطعي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أيضا بتخصيصه بما خصّ قبل بمنفصل قطعيّا كان أو ظنيّا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 وقد ينسب الى المحقّق نظرا الى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العمل بخبر الواحد هو الإجماع على استعماله فيما لا يوجد عليه دلالة ، ومع وجود الدّلالة القرآنية يسقط وجوب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معنى التوقّف ، بل هو نفي للتخصيص كما لا يخفى ، والأظهر الجواز كما هو مذهب أكثر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دليلان تعارضا ، فإعمالهما ولو من وجه ، أولى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ذلك لا يحصل إلّا مع العمل بالخاصّ ، إذ لو عمل بالعامّ بطل الخاصّ ولغي بالمرّة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ما حقّقنا لك سابقا </w:t>
      </w:r>
      <w:r>
        <w:rPr>
          <w:rStyle w:val="FootnoteAnchor"/>
          <w:rtl w:val="true"/>
        </w:rPr>
        <w:footnoteReference w:id="508"/>
      </w:r>
      <w:r>
        <w:rPr>
          <w:rFonts w:ascii="Amiri" w:hAnsi="Amiri" w:eastAsia="Amiri" w:cs="Amiri"/>
          <w:color w:val="111111"/>
          <w:sz w:val="28"/>
          <w:sz w:val="28"/>
          <w:szCs w:val="28"/>
          <w:rtl w:val="true"/>
          <w:lang w:bidi="ar-SA"/>
        </w:rPr>
        <w:t xml:space="preserve">، يظهر ما فيه ، لأنّ العامّ كما أنّه يخرج عن حقيقته بالتخصيص بسبب كونه مجازا حينئذ ، ومع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عمل به ، فكذلك الخاصّ إن أريد به معنى مجازي أيضا ، بحيث لا يوجب ترك ظاهر العامّ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فمحض كونه جمعا بين الدليلين لا يوجب القول بالتخصيص ، مع ما عرفت من أنّه ليس جمعا بين الدليلين ، بل هو إلغاء لأحدهما ، إذ المعارضة إنّما هو بين ما دلّ عليه العامّ من أفراد الخاصّ وهو ملغى بأجمعه حينئذ ، فلا بدّ من بيان وجه التخصيص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دليلان تعارضا وتساويا ، وأحدهما عامّ والآخر خاصّ ، وفهم العرف وشيوع التخصيص ، وكونه أقلّ استلزاما لمخالفة المراد في نفس الأمر ، كلّها مرجّحة لاختيار تخصيص العامّ بالخاصّ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التساوي </w:t>
      </w:r>
      <w:r>
        <w:rPr>
          <w:rStyle w:val="FootnoteAnchor"/>
          <w:rtl w:val="true"/>
        </w:rPr>
        <w:footnoteReference w:id="509"/>
      </w:r>
      <w:r>
        <w:rPr>
          <w:rFonts w:ascii="IRNazanin" w:hAnsi="IRNazanin" w:eastAsia="IRNazanin"/>
          <w:color w:val="111111"/>
          <w:sz w:val="28"/>
          <w:sz w:val="28"/>
          <w:szCs w:val="28"/>
          <w:rtl w:val="true"/>
          <w:lang w:bidi="fa-IR"/>
        </w:rPr>
        <w:t>، فستعرف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المانع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الكتاب قطعيّ وخبر الواحد ظنّي ، والظنّ لا يعارض القطع لعدم مقاومته له فيلغى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التخصيص به لو جاز ، لجاز الفسخ ،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الملازمة ، فلأنّه تخصيص في الأزمان ، فهو من أفراد التخصيص ، أو أنّ العلّة في التخصيص هو أولويّة تخصيص العامّ من إلغاء الخاصّ ، وهو موجود في النسخ</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بطلان التالي فبالاتّفاق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والجواب عن الأوّل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وأن كان قطعيّ الصّدور ولكنّه ظنّي الدّلالة ، وخاصّ الخبر وإن كان ظنّي الصّدور ولكنّه قطعيّ الدّلالة ، فصار لكلّ قوّة من وجه فتساويا ، فتعارضا ، فوجب الجمع بينهما ، هكذا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الخاصّ أيضا ليس بقطعيّ الدّلالة ، سيّما إذا كان عامّا بالنسبة الى ما تحته ، لاحتمال مجاز آخر غير التخصيص من أنواع المجاز ، مضافا الى احتمال التخصيص فيما كان عامّا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هو نصّ بالإضافة الى العامّ ، وقطعيّ بهذا المعنى ، وهو لا يستلزم قطعيّته مطلقا ، وقد مرّ توضيح ذلك في مبحث المفهوم والمنطوق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الجواب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ظنّان تعارضا وتساويا ، ولأجل أنّ التخصيص أرجح أنواع المجاز والفهم العرفي </w:t>
      </w:r>
      <w:r>
        <w:rPr>
          <w:rStyle w:val="FootnoteAnchor"/>
          <w:rtl w:val="true"/>
        </w:rPr>
        <w:footnoteReference w:id="512"/>
      </w:r>
      <w:r>
        <w:rPr>
          <w:rFonts w:ascii="Amiri" w:hAnsi="Amiri" w:eastAsia="Amiri" w:cs="Amiri"/>
          <w:color w:val="111111"/>
          <w:sz w:val="28"/>
          <w:sz w:val="28"/>
          <w:szCs w:val="28"/>
          <w:rtl w:val="true"/>
          <w:lang w:bidi="ar-SA"/>
        </w:rPr>
        <w:t>، رجّحنا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التساوي ، فلأنّ المعيار في الاستدلال هو اللفظ من حيث الدلالة ، لا من حيث هو ، والذي نقطع بصدوره هو لفظ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المراد منه هل هو معناه الحقيقي أم لا ، فهو غير مقطوع به ، فالذي هو قطعيّ الصّدور هو لفظ العامّ لا الحكم عليه بعنوان العموم ، فكون الحكم على العموم مراد الشّارع مظنون ، وكذلك الحكم في الخاصّ على الخصوص مظنون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الخطاب بما له ظاهر وإرادة غيره قبيح ، فثبت وجوب العمل بظاهر القرآن مع قطعيّة المخاطبة به ، إنّما يتمّ بالنسبة الى من يوجّهه الخطاب ، </w:t>
      </w:r>
    </w:p>
    <w:p>
      <w:pPr>
        <w:pStyle w:val="BookText"/>
        <w:rPr/>
      </w:pPr>
      <w:r>
        <w:rPr>
          <w:rFonts w:ascii="Amiri" w:hAnsi="Amiri" w:eastAsia="Amiri" w:cs="Amiri"/>
          <w:color w:val="111111"/>
          <w:sz w:val="28"/>
          <w:sz w:val="28"/>
          <w:szCs w:val="28"/>
          <w:rtl w:val="true"/>
          <w:lang w:bidi="ar-SA"/>
        </w:rPr>
        <w:t xml:space="preserve">والخطابات الشفاهيّة </w:t>
      </w:r>
      <w:r>
        <w:rPr>
          <w:rStyle w:val="FootnoteAnchor"/>
          <w:rtl w:val="true"/>
        </w:rPr>
        <w:footnoteReference w:id="513"/>
      </w:r>
      <w:r>
        <w:rPr>
          <w:rFonts w:ascii="Amiri" w:hAnsi="Amiri" w:eastAsia="Amiri" w:cs="Amiri"/>
          <w:color w:val="111111"/>
          <w:sz w:val="28"/>
          <w:sz w:val="28"/>
          <w:szCs w:val="28"/>
          <w:rtl w:val="true"/>
          <w:lang w:bidi="ar-SA"/>
        </w:rPr>
        <w:t xml:space="preserve">وما في منزلتها ، مخصوصة بالحاضرين ، كما تقدّم ، وربّما كانت مقترنة </w:t>
      </w:r>
      <w:r>
        <w:rPr>
          <w:rStyle w:val="FootnoteAnchor"/>
          <w:rtl w:val="true"/>
        </w:rPr>
        <w:footnoteReference w:id="514"/>
      </w:r>
      <w:r>
        <w:rPr>
          <w:rFonts w:ascii="Amiri" w:hAnsi="Amiri" w:eastAsia="Amiri" w:cs="Amiri"/>
          <w:color w:val="111111"/>
          <w:sz w:val="28"/>
          <w:sz w:val="28"/>
          <w:szCs w:val="28"/>
          <w:rtl w:val="true"/>
          <w:lang w:bidi="ar-SA"/>
        </w:rPr>
        <w:t xml:space="preserve">بقرائن تخرجها عن الظاهر قد اختفى علينا كما ظهر في مواضع كثيرة ، ووجوده في غير ما ظهر أيضا محتمل ، فلم يبق القطع بالمراد فيما لم يظهر ، وخبر الواحد المخالف لظاهره يمكن أن يكون من جملة تلك القرائن ، وعدم اقتران القرينة باللّفظ لا يوجب تأخير البيان عن وقت الحاجة ، إذ ربّما كانت مقترنة بها من جهة الحال لا من جهة المقال ، أو كانت مقترنة بالقول منفصلة </w:t>
      </w:r>
      <w:r>
        <w:rPr>
          <w:rStyle w:val="FootnoteAnchor"/>
          <w:rtl w:val="true"/>
        </w:rPr>
        <w:footnoteReference w:id="515"/>
      </w:r>
      <w:r>
        <w:rPr>
          <w:rFonts w:ascii="Amiri" w:hAnsi="Amiri" w:eastAsia="Amiri" w:cs="Amiri"/>
          <w:color w:val="111111"/>
          <w:sz w:val="28"/>
          <w:sz w:val="28"/>
          <w:szCs w:val="28"/>
          <w:rtl w:val="true"/>
          <w:lang w:bidi="ar-SA"/>
        </w:rPr>
        <w:t>عن ظاهر القرآن أو لم تكن مقترنة بها ولم يكن حينئذ وقت الحاجة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وشراكتنا للحاضرين في التكليف إنّما هو فيما علم المراد منها أو ظنّ ، فإذا لم يمكن العلم بالمراد وأنّ تكليف الحاضرين أيّ شيء كان ، فلا ريب في الاكتفاء بما ظنّ أنّه مراد ، فأين العلم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w:t>
      </w:r>
      <w:r>
        <w:rPr>
          <w:rStyle w:val="FootnoteAnchor"/>
          <w:rtl w:val="true"/>
        </w:rPr>
        <w:footnoteReference w:id="516"/>
      </w:r>
      <w:r>
        <w:rPr>
          <w:rFonts w:ascii="Amiri" w:hAnsi="Amiri" w:eastAsia="Amiri" w:cs="Amiri"/>
          <w:color w:val="111111"/>
          <w:sz w:val="28"/>
          <w:sz w:val="28"/>
          <w:szCs w:val="28"/>
          <w:rtl w:val="true"/>
          <w:lang w:bidi="ar-SA"/>
        </w:rPr>
        <w:t>، يظهر النقض بحصول العلم بمدلول خبر الواحد أيضا لكونه خطابا بما له ظاهر لمخاطبه ، فيحصل من ذلك قوّة أخرى في الخبر أيضا ، مع أنّ جواز العمل بظاهر الكتاب من المسائل الاجتهادية قد خالف فيه الأخباريّون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والتمسّك في حجيّته وإثبات جواز العمل به بالأخبار يحتاج الى دفع الأخبار المعارضة ، وبالإجماع </w:t>
      </w:r>
      <w:r>
        <w:rPr>
          <w:rStyle w:val="FootnoteAnchor"/>
          <w:rtl w:val="true"/>
        </w:rPr>
        <w:footnoteReference w:id="517"/>
      </w:r>
      <w:r>
        <w:rPr>
          <w:rFonts w:ascii="Amiri" w:hAnsi="Amiri" w:eastAsia="Amiri" w:cs="Amiri"/>
          <w:color w:val="111111"/>
          <w:sz w:val="28"/>
          <w:sz w:val="28"/>
          <w:szCs w:val="28"/>
          <w:rtl w:val="true"/>
          <w:lang w:bidi="ar-SA"/>
        </w:rPr>
        <w:t>، مدفوع بمنعه في موضع النّزاع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فظهر بطلان كلام المحقّق أيضا </w:t>
      </w:r>
      <w:r>
        <w:rPr>
          <w:rStyle w:val="FootnoteAnchor"/>
          <w:rtl w:val="true"/>
        </w:rPr>
        <w:footnoteReference w:id="518"/>
      </w:r>
      <w:r>
        <w:rPr>
          <w:rFonts w:ascii="Amiri" w:hAnsi="Amiri" w:eastAsia="Amiri" w:cs="Amiri"/>
          <w:color w:val="111111"/>
          <w:sz w:val="28"/>
          <w:sz w:val="28"/>
          <w:szCs w:val="28"/>
          <w:rtl w:val="true"/>
          <w:lang w:bidi="ar-SA"/>
        </w:rPr>
        <w:t xml:space="preserve">بالمعارضة بالقلب ، فكما أنّ الإجماع </w:t>
      </w:r>
      <w:r>
        <w:rPr>
          <w:rStyle w:val="FootnoteAnchor"/>
          <w:rtl w:val="true"/>
        </w:rPr>
        <w:footnoteReference w:id="519"/>
      </w:r>
      <w:r>
        <w:rPr>
          <w:rFonts w:ascii="Amiri" w:hAnsi="Amiri" w:eastAsia="Amiri" w:cs="Amiri"/>
          <w:color w:val="111111"/>
          <w:sz w:val="28"/>
          <w:sz w:val="28"/>
          <w:szCs w:val="28"/>
          <w:rtl w:val="true"/>
          <w:lang w:bidi="ar-SA"/>
        </w:rPr>
        <w:t xml:space="preserve">لم يعلم انعقاده على جواز العمل بخبر الواحد فيما كان هناك عامّ من الكتاب ، فلم يعلم انعقاد الإجماع على حجّية ظاهر الكتاب وعامّه فيما يثبت من الأخبار الخاصّة ما يعارضه ، سيّما والقائلون بجواز التخصيص جماعة كثيرون ، وعدم الاعتناء بمخالفتهم مشكل ، مع أنّ في كون العامّ حقيقة في العموم كلاما </w:t>
      </w:r>
      <w:r>
        <w:rPr>
          <w:rStyle w:val="FootnoteAnchor"/>
          <w:rtl w:val="true"/>
        </w:rPr>
        <w:footnoteReference w:id="520"/>
      </w:r>
      <w:r>
        <w:rPr>
          <w:rFonts w:ascii="Amiri" w:hAnsi="Amiri" w:eastAsia="Amiri" w:cs="Amiri"/>
          <w:color w:val="111111"/>
          <w:sz w:val="28"/>
          <w:sz w:val="28"/>
          <w:szCs w:val="28"/>
          <w:rtl w:val="true"/>
          <w:lang w:bidi="ar-SA"/>
        </w:rPr>
        <w:t>وهو أيضا من المسائل الاجتهادية ، وقد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العامّ المخصّص ، بل سدّ باب تخصيص الكتاب بخبر الواحد يوجب المنع من العمل بخبر الواحد ، إذ قلّما وجد خبر لم يكن مخالفا لظاهر من عمومات الكتاب ، فلا أقلّ من مخالفته لأصل البراءة الثابتة بنصّ الكتاب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ونحو ذلك </w:t>
      </w:r>
      <w:r>
        <w:rPr>
          <w:rStyle w:val="FootnoteAnchor"/>
          <w:rtl w:val="true"/>
        </w:rPr>
        <w:footnoteReference w:id="522"/>
      </w:r>
      <w:r>
        <w:rPr>
          <w:rFonts w:ascii="Amiri" w:hAnsi="Amiri" w:eastAsia="Amiri" w:cs="Amiri"/>
          <w:color w:val="111111"/>
          <w:sz w:val="28"/>
          <w:sz w:val="28"/>
          <w:szCs w:val="28"/>
          <w:rtl w:val="true"/>
          <w:lang w:bidi="ar-SA"/>
        </w:rPr>
        <w:t>، مضافا الى ما يظهر ذلك من تتبّع أحوال السّلف من العلماء والصّحابة والتابعين كما أشار إليه بعض الأفاضل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مع ملاحظة ما ذكروا أضعاف ما ذكر ، ممّا لم يذكر من المضعفات لظاهر الكتاب لا يبقى إلّا مجرّد دعوى حصول ظنّ من ظاهر الكتاب بمراد الله ، ولا ريب أنّ خبر الواحد الجامع لشرائط العمل أيضا ، يورث ذلك الظنّ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 قلت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الكثيرة وردت بأنّ الخبر المخالف لكتاب الله يجب طرحه وضربه على الجدار ونحو ذلك </w:t>
      </w:r>
      <w:r>
        <w:rPr>
          <w:rStyle w:val="FootnoteAnchor"/>
          <w:rtl w:val="true"/>
        </w:rPr>
        <w:footnoteReference w:id="524"/>
      </w:r>
      <w:r>
        <w:rPr>
          <w:rFonts w:ascii="Amiri" w:hAnsi="Amiri" w:eastAsia="Amiri" w:cs="Amiri"/>
          <w:color w:val="111111"/>
          <w:sz w:val="28"/>
          <w:sz w:val="28"/>
          <w:szCs w:val="28"/>
          <w:rtl w:val="true"/>
          <w:lang w:bidi="ar-SA"/>
        </w:rPr>
        <w:t>، فكيف يصحّ الخروج عن ظاهر الكتاب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الأخبار مختلفة متعارضة ، معارضة بمثلها أو بأقوى منها ، من تقديم العرض على مذهب العامّة والأخذ بما خالفهم ونحو ذلك ، فهي على إطلاقها غير معمول بها ، مع أنّ الظاهر من المخالفة هو رفع حكم الكتاب كليّا وإن كان يتحقّق بسلب البعض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 لكنّها مخصّصة بذلك ، لمعارضتها بما هو أقوى منها من الأدلّة الدالّة على حجيّة خبر الواحد مطلقا ، وما دلّ على جواز تخصيص الكتاب به من الأدلّة أيضا ، إذ قد عرفت أنّ الخاص إنّما يقدّم على العامّ مع المقاومة ، مع أنّ من جملة أدلّة حجّية خبر الواحد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 </w:t>
      </w:r>
      <w:r>
        <w:rPr>
          <w:rStyle w:val="FootnoteAnchor"/>
          <w:rtl w:val="true"/>
        </w:rPr>
        <w:footnoteReference w:id="525"/>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النفر </w:t>
      </w:r>
      <w:r>
        <w:rPr>
          <w:rStyle w:val="FootnoteAnchor"/>
          <w:rtl w:val="true"/>
        </w:rPr>
        <w:footnoteReference w:id="5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w:t>
      </w:r>
      <w:r>
        <w:rPr>
          <w:rFonts w:eastAsia="Amiri" w:cs="Amiri" w:ascii="Amiri" w:hAnsi="Amiri"/>
          <w:color w:val="111111"/>
          <w:sz w:val="28"/>
          <w:szCs w:val="28"/>
          <w:rtl w:val="true"/>
          <w:lang w:bidi="ar-SA"/>
        </w:rPr>
        <w:t xml:space="preserve">. ) </w:t>
      </w:r>
      <w:r>
        <w:rPr>
          <w:rStyle w:val="FootnoteAnchor"/>
          <w:rtl w:val="true"/>
        </w:rPr>
        <w:footnoteReference w:id="527"/>
      </w:r>
      <w:r>
        <w:rPr>
          <w:rFonts w:ascii="Amiri" w:hAnsi="Amiri" w:eastAsia="Amiri" w:cs="Amiri"/>
          <w:color w:val="111111"/>
          <w:sz w:val="28"/>
          <w:sz w:val="28"/>
          <w:szCs w:val="28"/>
          <w:rtl w:val="true"/>
          <w:lang w:bidi="ar-SA"/>
        </w:rPr>
        <w:t>والعمل بهذه الأخبار يوجب تخصيصها ، وهو كرّ على ما فررت منه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w:t>
      </w:r>
      <w:r>
        <w:rPr>
          <w:rStyle w:val="FootnoteAnchor"/>
          <w:rtl w:val="true"/>
        </w:rPr>
        <w:footnoteReference w:id="528"/>
      </w:r>
      <w:r>
        <w:rPr>
          <w:rFonts w:ascii="Amiri" w:hAnsi="Amiri" w:eastAsia="Amiri" w:cs="Amiri"/>
          <w:color w:val="111111"/>
          <w:sz w:val="28"/>
          <w:sz w:val="28"/>
          <w:szCs w:val="28"/>
          <w:rtl w:val="true"/>
          <w:lang w:bidi="ar-SA"/>
        </w:rPr>
        <w:t xml:space="preserve">، يظهر بطلان ما قيل في هذا المقام أيضا من أنّ تخصيص </w:t>
      </w:r>
    </w:p>
    <w:p>
      <w:pPr>
        <w:pStyle w:val="BookText"/>
        <w:rPr/>
      </w:pPr>
      <w:r>
        <w:rPr>
          <w:rFonts w:ascii="Amiri" w:hAnsi="Amiri" w:eastAsia="Amiri" w:cs="Amiri"/>
          <w:color w:val="111111"/>
          <w:sz w:val="28"/>
          <w:sz w:val="28"/>
          <w:szCs w:val="28"/>
          <w:rtl w:val="true"/>
          <w:lang w:bidi="ar-SA"/>
        </w:rPr>
        <w:t>الكتاب بخبر الواحد يستلزم تخصيص أدلّة خبر الواحد بهذه الأخبار ، فيلزم عدم جواز تخصيص الكتاب بخبر الواحد لأنّ ما يستلزم ثبوته انتفاؤه ، فهو باطل ، وذلك لما عرفت من ضعف الاستدلال بهذه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بتخصيص الكتاب بخبر الواحد مخصوص بغير هذه الأخبار في المخالفة الخاصّة </w:t>
      </w:r>
      <w:r>
        <w:rPr>
          <w:rStyle w:val="FootnoteAnchor"/>
          <w:rtl w:val="true"/>
        </w:rPr>
        <w:footnoteReference w:id="529"/>
      </w:r>
      <w:r>
        <w:rPr>
          <w:rFonts w:ascii="Amiri" w:hAnsi="Amiri" w:eastAsia="Amiri" w:cs="Amiri"/>
          <w:color w:val="111111"/>
          <w:sz w:val="28"/>
          <w:sz w:val="28"/>
          <w:szCs w:val="28"/>
          <w:rtl w:val="true"/>
          <w:lang w:bidi="ar-SA"/>
        </w:rPr>
        <w:t>، فإنّها إمّا مهجورة أو مخصوصة بصورة المناقضة والمنافاة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الشقّ الأوّل من الترديد ، بأنّ المسلّم من التخصيص والذي ندّعيه هو الفرد الخاصّ ، يعني التخصيص في الأفراد لا جميع أفراده أو ما يشملهما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الشقّ الثاني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فبإبداء الفارق بالإجماع المدّعى في النسخ أوّلا ، وبأنّ التخصيص أغلب وأشيع وأرجح من النّسخ لكمال وضوح ندرته وغلبة التخصيص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يتمسّك في إبداء الفرق ، بأنّ التخصيص أهون من النّسخ لأنّه دفع لبعض المدلول قبل العمل به ، والنّسخ رفع للمدلول المعمول عليه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حدوث الحادث محتاج الى العلّة ويكفي في بقائه علّة </w:t>
      </w:r>
    </w:p>
    <w:p>
      <w:pPr>
        <w:pStyle w:val="BookText"/>
        <w:rPr/>
      </w:pPr>
      <w:r>
        <w:rPr>
          <w:rFonts w:ascii="Amiri" w:hAnsi="Amiri" w:eastAsia="Amiri" w:cs="Amiri"/>
          <w:color w:val="111111"/>
          <w:sz w:val="28"/>
          <w:sz w:val="28"/>
          <w:szCs w:val="28"/>
          <w:rtl w:val="true"/>
          <w:lang w:bidi="ar-SA"/>
        </w:rPr>
        <w:t>الوجود ، فدفع حصوله بسبب عدم ثبوت علّته أسهل من دفع ما ثبت ، لعدم احتياجه في الثبوت الى علّة أخرى ، وهو مع أنّه لا معنى له في أحكام الله تعالى وأفعاله ، ولا يصعب عليه شيء أبدا ، وأنّه موقوف على إثبات عدم احتياج البقاء الى المؤثّر الجديد ،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حصول ما لم يكن في الواقع والخارج ليس بأقلّ من بقاء ما ثبت ، فهو مردود بأنّه لا يرجع الى محصّل ، إذ الإشكال في أنّ خاصّ الخبر إذا ورد مع عامّ الكتاب ، فهل يقتضي معاملة أهل اللسان في فهم الألفاظ حمله على النّسخ ، أو التخصيص ، وأيّهما أرجح؟</w:t>
      </w:r>
    </w:p>
    <w:p>
      <w:pPr>
        <w:pStyle w:val="BookText"/>
        <w:rPr/>
      </w:pPr>
      <w:r>
        <w:rPr>
          <w:rFonts w:ascii="Amiri" w:hAnsi="Amiri" w:eastAsia="Amiri" w:cs="Amiri"/>
          <w:color w:val="111111"/>
          <w:sz w:val="28"/>
          <w:sz w:val="28"/>
          <w:szCs w:val="28"/>
          <w:rtl w:val="true"/>
          <w:lang w:bidi="ar-SA"/>
        </w:rPr>
        <w:t xml:space="preserve">وكون أحدهما أصعب في نفس الأمر عن الآخر مع عدم أقلّيته بالنسبة الى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فهمه من اللّفظ وحمله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خصوص شيوع التخصيص وأرجحيّته يوجب ترجيحه ، فبطل القول بعدم الفرق بذلك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يقال </w:t>
      </w:r>
      <w:r>
        <w:rPr>
          <w:rStyle w:val="FootnoteAnchor"/>
          <w:rtl w:val="true"/>
        </w:rPr>
        <w:footnoteReference w:id="533"/>
      </w:r>
      <w:r>
        <w:rPr>
          <w:rFonts w:ascii="Amiri" w:hAnsi="Amiri" w:eastAsia="Amiri" w:cs="Amiri"/>
          <w:color w:val="111111"/>
          <w:sz w:val="28"/>
          <w:sz w:val="28"/>
          <w:szCs w:val="28"/>
          <w:rtl w:val="true"/>
          <w:lang w:bidi="ar-SA"/>
        </w:rPr>
        <w:t xml:space="preserve">في بيان الفرق بين النسخ والتخصيص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النسخ يراد دلالة اللّفظ على جميع الأزمنة وإن لم يكن وقوع المدلول مرادا ، بخلاف التخصيص ، فإنّه لا يراد منه إلّا البعض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أنّه لا رفع في التخصيص أصلا ، بخلاف النسخ ، فإنّ فيه رفعا في الجملة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تحكّم من قائله ، فإنّ إمكان إرادة الدّلالة في العامّ ووجود </w:t>
      </w:r>
    </w:p>
    <w:p>
      <w:pPr>
        <w:pStyle w:val="BookText"/>
        <w:rPr/>
      </w:pPr>
      <w:r>
        <w:rPr>
          <w:rFonts w:ascii="Amiri" w:hAnsi="Amiri" w:eastAsia="Amiri" w:cs="Amiri"/>
          <w:color w:val="111111"/>
          <w:sz w:val="28"/>
          <w:sz w:val="28"/>
          <w:szCs w:val="28"/>
          <w:rtl w:val="true"/>
          <w:lang w:bidi="ar-SA"/>
        </w:rPr>
        <w:t xml:space="preserve">المصلحة في ذلك أيضا قائم إن أريد مجرّد الإمكان ، وإن أريد الفعليّة في النّسخ دون التخصيص فهو أيضا ممنوع ، لإمكان </w:t>
      </w:r>
      <w:r>
        <w:rPr>
          <w:rStyle w:val="FootnoteAnchor"/>
          <w:rtl w:val="true"/>
        </w:rPr>
        <w:footnoteReference w:id="534"/>
      </w:r>
      <w:r>
        <w:rPr>
          <w:rFonts w:ascii="Amiri" w:hAnsi="Amiri" w:eastAsia="Amiri" w:cs="Amiri"/>
          <w:color w:val="111111"/>
          <w:sz w:val="28"/>
          <w:sz w:val="28"/>
          <w:szCs w:val="28"/>
          <w:rtl w:val="true"/>
          <w:lang w:bidi="ar-SA"/>
        </w:rPr>
        <w:t>أن يكون المراد في النسخ أيضا الحكم في بعض الأزمان مجازا ولكن تأخّر بيانه ، فالفرق بذلك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المفصّلون بما يرجع حاصله بعد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الخاصّ ظنّي والعامّ قطعيّ ، فلا يقاومه إلّا مع ظهور ضعف فيه ، وذلك عند الفرقة الأولى بأن يخصّص مرّة بدليل قطعيّ ، وعند الفرقة الثانية بأن يخصص بمخصّص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العامّ عند الفرقة الأولى يصير بذلك مجازا في الباقي ، وعند الفرقة الثانية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المجازيّة أضعف من الدلالة الحقيقية كما سيجيء في باب التراجيح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وجوابه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مرّ ، فإنّ القطعيّة إنّما كانت في المتن لا في الدلالة ، والتخصيص إنّما يقع في الدلالة ، فلا ينافي قطعيّة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المتوقّف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تصادم أدلّة الطرفين ، وعدم المرجّح</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إثبات المرجّح</w:t>
      </w:r>
      <w:r>
        <w:rPr>
          <w:rFonts w:eastAsia="Amiri" w:cs="Amiri" w:ascii="Amiri" w:hAnsi="Amiri"/>
          <w:color w:val="111111"/>
          <w:sz w:val="28"/>
          <w:szCs w:val="28"/>
          <w:rtl w:val="true"/>
          <w:lang w:bidi="ar-SA"/>
        </w:rPr>
        <w:t xml:space="preserve">. </w:t>
      </w:r>
      <w:bookmarkStart w:id="78" w:name="pg14071_148964"/>
    </w:p>
    <w:p>
      <w:pPr>
        <w:pStyle w:val="Heading3"/>
        <w:numPr>
          <w:ilvl w:val="2"/>
          <w:numId w:val="1"/>
        </w:numPr>
        <w:rPr/>
      </w:pPr>
      <w:bookmarkStart w:id="79" w:name="__RefHeading___Toc495045_1738255347"/>
      <w:bookmarkStart w:id="80" w:name="_Toc28"/>
      <w:bookmarkEnd w:id="78"/>
      <w:bookmarkEnd w:id="79"/>
      <w:r>
        <w:rPr>
          <w:rtl w:val="true"/>
        </w:rPr>
        <w:t>قانون</w:t>
      </w:r>
      <w:bookmarkEnd w:id="80"/>
    </w:p>
    <w:p>
      <w:pPr>
        <w:pStyle w:val="BookText"/>
        <w:rPr/>
      </w:pPr>
      <w:r>
        <w:rPr>
          <w:rFonts w:ascii="Amiri" w:hAnsi="Amiri" w:eastAsia="Amiri" w:cs="Amiri"/>
          <w:color w:val="111111"/>
          <w:sz w:val="28"/>
          <w:sz w:val="28"/>
          <w:szCs w:val="28"/>
          <w:rtl w:val="true"/>
          <w:lang w:bidi="ar-SA"/>
        </w:rPr>
        <w:t xml:space="preserve">إذا ورد عامّ وخاصّ متنافيا الظاهر </w:t>
      </w:r>
      <w:r>
        <w:rPr>
          <w:rStyle w:val="FootnoteAnchor"/>
          <w:rtl w:val="true"/>
        </w:rPr>
        <w:footnoteReference w:id="536"/>
      </w:r>
      <w:r>
        <w:rPr>
          <w:rFonts w:ascii="Amiri" w:hAnsi="Amiri" w:eastAsia="Amiri" w:cs="Amiri"/>
          <w:color w:val="111111"/>
          <w:sz w:val="28"/>
          <w:sz w:val="28"/>
          <w:szCs w:val="28"/>
          <w:rtl w:val="true"/>
          <w:lang w:bidi="ar-SA"/>
        </w:rPr>
        <w:t>فإمّا أن يعلم تاريخهما بالاقتران أو تقدّم الخاصّ أو تقدّم العامّ أو يجهل تاريخهما ، وإن كان بجهالة تاريخ أحدهما ، فهذه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مراد الأصوليين بالعام والخاصّ في هذا المبحث هو العامّ والخاصّ المطلقان ، فإنّ العامّين من وجه لا يمكن أن يكون موضوعا لهذا المبحث ، لأنّه لا يقال لهما العامّ والخاصّ على الإطلاق ، بل هما عامّان من وجه ، وخاصّان من وجه ، ولأنّ الأدلّة المذكورة في هذا المبحث لا تنطبق إلّا على الأوّل كما لا يخفى على من تأمّلها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تراهم يجعلون في طيّ هذه الأدلّة ؛ الخاصّ بيانا للعامّ ويفرّعون الكلام فيه على جواز تأخير البيان ، وهو لا يتمّ في الثاني </w:t>
      </w:r>
      <w:r>
        <w:rPr>
          <w:rStyle w:val="FootnoteAnchor"/>
          <w:rtl w:val="true"/>
        </w:rPr>
        <w:footnoteReference w:id="537"/>
      </w:r>
      <w:r>
        <w:rPr>
          <w:rFonts w:ascii="Amiri" w:hAnsi="Amiri" w:eastAsia="Amiri" w:cs="Amiri"/>
          <w:color w:val="111111"/>
          <w:sz w:val="28"/>
          <w:sz w:val="28"/>
          <w:szCs w:val="28"/>
          <w:rtl w:val="true"/>
          <w:lang w:bidi="ar-SA"/>
        </w:rPr>
        <w:t>، إذ كلّ منهما متّصف بما اتّصف به الآخر من استعداد البيانيّة والمبينيّة وصيرورة أحدهما بيانا للآخر في بعض الأوقات ، وتخصيصه للآخر ليس بذاته ، بل إنّما هو بضميمة المرجّحات الخارجية التي قدّمته على الآخر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قولهم في الصّورة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العامّ على الخاصّ اتّفاقا أو على الأقوى أو نحو ذلك </w:t>
      </w:r>
      <w:r>
        <w:rPr>
          <w:rStyle w:val="FootnoteAnchor"/>
          <w:rtl w:val="true"/>
        </w:rPr>
        <w:footnoteReference w:id="538"/>
      </w:r>
      <w:r>
        <w:rPr>
          <w:rFonts w:ascii="Amiri" w:hAnsi="Amiri" w:eastAsia="Amiri" w:cs="Amiri"/>
          <w:color w:val="111111"/>
          <w:sz w:val="28"/>
          <w:sz w:val="28"/>
          <w:szCs w:val="28"/>
          <w:rtl w:val="true"/>
          <w:lang w:bidi="ar-SA"/>
        </w:rPr>
        <w:t xml:space="preserve">، لا يجري في الثاني </w:t>
      </w:r>
      <w:r>
        <w:rPr>
          <w:rStyle w:val="FootnoteAnchor"/>
          <w:rtl w:val="true"/>
        </w:rPr>
        <w:footnoteReference w:id="539"/>
      </w:r>
      <w:r>
        <w:rPr>
          <w:rFonts w:ascii="Amiri" w:hAnsi="Amiri" w:eastAsia="Amiri" w:cs="Amiri"/>
          <w:color w:val="111111"/>
          <w:sz w:val="28"/>
          <w:sz w:val="28"/>
          <w:szCs w:val="28"/>
          <w:rtl w:val="true"/>
          <w:lang w:bidi="ar-SA"/>
        </w:rPr>
        <w:t xml:space="preserve">، إذ لو أريد من بناء العامّ على الخاصّ في </w:t>
      </w:r>
    </w:p>
    <w:p>
      <w:pPr>
        <w:pStyle w:val="BookText"/>
        <w:rPr/>
      </w:pPr>
      <w:r>
        <w:rPr>
          <w:rFonts w:ascii="Amiri" w:hAnsi="Amiri" w:eastAsia="Amiri" w:cs="Amiri"/>
          <w:color w:val="111111"/>
          <w:sz w:val="28"/>
          <w:sz w:val="28"/>
          <w:szCs w:val="28"/>
          <w:rtl w:val="true"/>
          <w:lang w:bidi="ar-SA"/>
        </w:rPr>
        <w:t>الثاني بناء كلّ منهما على الآخر فيلزم تساقطهما جميعا وبطلانهما رأسا كما لا يخفى ، وإن أريد بناء أحدهما على الآخر ، فيلزم الترجيح بلا مرجّح ، ولا مرجّح في أنفسهما كما هو المفروض ، أي من حيث محض العموم والخصوص ، والاعتماد على المرجّحات الخارجيّة ليس من جهة بناء العامّ على الخاصّ ، بل من جهة ترجيح أحدهما على الآخر في مادّة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المعارضة بين العامّين بالمعنى الثاني مثل المعارضة بين المتناقضين ، لا بدّ فيه من ملاحظة المرجّحات الخارجيّة في التخصيص ، يعني بعد ملاحظة المقاومة ونفي رجحان أحدهما على الآخر أوّلا لاشتراك هذا المعنى بين المعنيين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غفل بعض الأعاظم </w:t>
      </w:r>
      <w:r>
        <w:rPr>
          <w:rStyle w:val="FootnoteAnchor"/>
          <w:rtl w:val="true"/>
        </w:rPr>
        <w:footnoteReference w:id="541"/>
      </w:r>
      <w:r>
        <w:rPr>
          <w:rFonts w:ascii="Amiri" w:hAnsi="Amiri" w:eastAsia="Amiri" w:cs="Amiri"/>
          <w:color w:val="111111"/>
          <w:sz w:val="28"/>
          <w:sz w:val="28"/>
          <w:szCs w:val="28"/>
          <w:rtl w:val="true"/>
          <w:lang w:bidi="ar-SA"/>
        </w:rPr>
        <w:t>هنا وعمّم البحث ، واستشهد ببعض الشواهد الذي لا يشهد له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اختلاط الأمر عليه اختلاط مباحث التخصيص ومبحث كيفيّة بناء العامّ على الخاصّ في بعض الكتب الأصوليّة ، وأنت خبير بأنّهما مقامان متفاوتان فصّل بينهما في كثير من كتب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الشواهد الذي ذكره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محقّقي الأصوليّين استدلّوا في هذه المسألة على جواز تخصيص الكتاب بالكتاب بآيتي عدّة الحامل والمتوفّى عنها زوجها </w:t>
      </w:r>
      <w:r>
        <w:rPr>
          <w:rStyle w:val="FootnoteAnchor"/>
          <w:rtl w:val="true"/>
        </w:rPr>
        <w:footnoteReference w:id="543"/>
      </w:r>
      <w:r>
        <w:rPr>
          <w:rFonts w:ascii="Amiri" w:hAnsi="Amiri" w:eastAsia="Amiri" w:cs="Amiri"/>
          <w:color w:val="111111"/>
          <w:sz w:val="28"/>
          <w:sz w:val="28"/>
          <w:szCs w:val="28"/>
          <w:rtl w:val="true"/>
          <w:lang w:bidi="ar-SA"/>
        </w:rPr>
        <w:t>، مع أنّ بينهما عموما من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ما لا يخفى ، إذ ذكر ذلك ابن الحاجب ومن تبعه في مقام بيان جواز تخصيص الكتاب بالكتاب ، وكلامهم هذا في مقام الردّ على الظاهريّة حيث منعوا ذلك محتجّين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لِتُبَيِّنَ لِلنَّاسِ ما نُزِّلَ إِلَيْهِمْ ،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والتخصيص بيان ، فيجب أن يكون بالسنّة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وأجابوا </w:t>
      </w:r>
      <w:r>
        <w:rPr>
          <w:rStyle w:val="FootnoteAnchor"/>
          <w:rtl w:val="true"/>
        </w:rPr>
        <w:footnoteReference w:id="545"/>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بالمعارضة بقوله تعالى في صفة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تِبْياناً لِكُلِّ شَيْءٍ ،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وبأنّ معنى البيان منه صلى‌الله‌عليه‌وآله تلاوته للآية المخصّصة ، وبأنّ بيانه مختصّ بالمشتبه ، ومع وجود المخصّص من الكتاب ، لا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كلام الظاهريّة بمحض إثبات مطلق التّخصيص وإن كان بمعاونة المرجّح الخارجيّ ، وإطلاق التّخصيص على قصر أحد العامّين </w:t>
      </w:r>
      <w:r>
        <w:rPr>
          <w:rStyle w:val="FootnoteAnchor"/>
          <w:rtl w:val="true"/>
        </w:rPr>
        <w:footnoteReference w:id="547"/>
      </w:r>
      <w:r>
        <w:rPr>
          <w:rFonts w:ascii="IRNazanin" w:hAnsi="IRNazanin" w:eastAsia="IRNazanin"/>
          <w:color w:val="111111"/>
          <w:sz w:val="28"/>
          <w:sz w:val="28"/>
          <w:szCs w:val="28"/>
          <w:rtl w:val="true"/>
          <w:lang w:bidi="fa-IR"/>
        </w:rPr>
        <w:t xml:space="preserve">من وجه على بعض أفراده بسبب العامّ </w:t>
      </w:r>
      <w:r>
        <w:rPr>
          <w:rStyle w:val="FootnoteAnchor"/>
          <w:rtl w:val="true"/>
        </w:rPr>
        <w:footnoteReference w:id="548"/>
      </w:r>
      <w:r>
        <w:rPr>
          <w:rFonts w:ascii="Amiri" w:hAnsi="Amiri" w:eastAsia="Amiri" w:cs="Amiri"/>
          <w:color w:val="111111"/>
          <w:sz w:val="28"/>
          <w:sz w:val="28"/>
          <w:szCs w:val="28"/>
          <w:rtl w:val="true"/>
          <w:lang w:bidi="ar-SA"/>
        </w:rPr>
        <w:t>الآخر ، لا يوجب كون مطلق البحث في بناء العامّ على الخاصّ بقول مطلق أعمّ من المقامين كما لا يخفى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549"/>
      </w:r>
      <w:r>
        <w:rPr>
          <w:rFonts w:ascii="Amiri" w:hAnsi="Amiri" w:eastAsia="Amiri" w:cs="Amiri"/>
          <w:color w:val="111111"/>
          <w:sz w:val="28"/>
          <w:sz w:val="28"/>
          <w:szCs w:val="28"/>
          <w:rtl w:val="true"/>
          <w:lang w:bidi="ar-SA"/>
        </w:rPr>
        <w:t xml:space="preserve">على مذهب العامّة ، وأمّا الإماميّة فلمّا كان مذهبهم اعتبار أبعد الأجلين ، فيجمعون بين الآيتين على غير صورة التخصيص المصطلح بأنّ المراد أنّ المتوفّى عنها زوجها تتربّص أربعة أشهر وعشرا ، إلّا إذا كانت حاملا ولم تضع حملها بعد ؛ فتصبر حتّى تضع ، والحامل تصبر حتّى تضع الحمل إلّا إذا كان متوفّى </w:t>
      </w:r>
    </w:p>
    <w:p>
      <w:pPr>
        <w:pStyle w:val="BookText"/>
        <w:rPr/>
      </w:pPr>
      <w:r>
        <w:rPr>
          <w:rFonts w:ascii="Amiri" w:hAnsi="Amiri" w:eastAsia="Amiri" w:cs="Amiri"/>
          <w:color w:val="111111"/>
          <w:sz w:val="28"/>
          <w:sz w:val="28"/>
          <w:szCs w:val="28"/>
          <w:rtl w:val="true"/>
          <w:lang w:bidi="ar-SA"/>
        </w:rPr>
        <w:t>عنها زوجها ولم يبلغ مدة وضعه له أربعة أشهر وعشرا ، فتصبر بعد الوضع حتى يتمّ الشّهور ، وهذا ليس معنى التخصيص المصطلح كما لا يخفى على المتدبّر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دعاهم الى ذلك إجماعهم وأخبارهم المستفيضة ، مع أنّ الظاهر من آية أولات الأحمال ؛ المطلّقات فلا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العامّة ، فبنوا أمرهم في ذلك أوّلا على ترجيح عموم آية أولات الأحمال بسبب دلالة اللّفظ واقترانها بالحكمة </w:t>
      </w:r>
      <w:r>
        <w:rPr>
          <w:rStyle w:val="FootnoteAnchor"/>
          <w:rtl w:val="true"/>
        </w:rPr>
        <w:footnoteReference w:id="550"/>
      </w:r>
      <w:r>
        <w:rPr>
          <w:rFonts w:ascii="Amiri" w:hAnsi="Amiri" w:eastAsia="Amiri" w:cs="Amiri"/>
          <w:color w:val="111111"/>
          <w:sz w:val="28"/>
          <w:sz w:val="28"/>
          <w:szCs w:val="28"/>
          <w:rtl w:val="true"/>
          <w:lang w:bidi="ar-SA"/>
        </w:rPr>
        <w:t>وغير ذلك ، ثمّ خصّصوا بها الآية الأخرى ، وتمام الكلام فيها في الفروع ، مع أنّ تمثيل ابن الحاجب ونظرائه لا يصير حجّة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المحقّقون منّا مثل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وغيره فقد مثّلوا لجواز تخصيص الكتاب بالكتاب بآية القروء </w:t>
      </w:r>
      <w:r>
        <w:rPr>
          <w:rStyle w:val="FootnoteAnchor"/>
          <w:rtl w:val="true"/>
        </w:rPr>
        <w:footnoteReference w:id="552"/>
      </w:r>
      <w:r>
        <w:rPr>
          <w:rFonts w:ascii="Amiri" w:hAnsi="Amiri" w:eastAsia="Amiri" w:cs="Amiri"/>
          <w:color w:val="111111"/>
          <w:sz w:val="28"/>
          <w:sz w:val="28"/>
          <w:szCs w:val="28"/>
          <w:rtl w:val="true"/>
          <w:lang w:bidi="ar-SA"/>
        </w:rPr>
        <w:t>وآية أولات الأحمال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وكلامهم هذا ظاهر في العامّ والخاصّ المطلقين ، فإنّ الظاهر من آية أولات الأحمال ، المطلّقات وهي أخصّ من آية ذوات القروء مطلقا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استشهد </w:t>
      </w:r>
      <w:r>
        <w:rPr>
          <w:rStyle w:val="FootnoteAnchor"/>
          <w:rtl w:val="true"/>
        </w:rPr>
        <w:footnoteReference w:id="553"/>
      </w:r>
      <w:r>
        <w:rPr>
          <w:rFonts w:ascii="Amiri" w:hAnsi="Amiri" w:eastAsia="Amiri" w:cs="Amiri"/>
          <w:color w:val="111111"/>
          <w:sz w:val="28"/>
          <w:sz w:val="28"/>
          <w:szCs w:val="28"/>
          <w:rtl w:val="true"/>
          <w:lang w:bidi="ar-SA"/>
        </w:rPr>
        <w:t xml:space="preserve">بكلام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حواشيه على كتابه ، </w:t>
      </w:r>
    </w:p>
    <w:p>
      <w:pPr>
        <w:pStyle w:val="BookText"/>
        <w:rPr/>
      </w:pPr>
      <w:r>
        <w:rPr>
          <w:rFonts w:ascii="Amiri" w:hAnsi="Amiri" w:eastAsia="Amiri" w:cs="Amiri"/>
          <w:color w:val="111111"/>
          <w:sz w:val="28"/>
          <w:sz w:val="28"/>
          <w:szCs w:val="28"/>
          <w:rtl w:val="true"/>
          <w:lang w:bidi="ar-SA"/>
        </w:rPr>
        <w:t xml:space="preserve">وسيجيء الإشارة إليه </w:t>
      </w:r>
      <w:r>
        <w:rPr>
          <w:rStyle w:val="FootnoteAnchor"/>
          <w:rtl w:val="true"/>
        </w:rPr>
        <w:footnoteReference w:id="554"/>
      </w:r>
      <w:r>
        <w:rPr>
          <w:rFonts w:ascii="Amiri" w:hAnsi="Amiri" w:eastAsia="Amiri" w:cs="Amiri"/>
          <w:color w:val="111111"/>
          <w:sz w:val="28"/>
          <w:sz w:val="28"/>
          <w:szCs w:val="28"/>
          <w:rtl w:val="true"/>
          <w:lang w:bidi="ar-SA"/>
        </w:rPr>
        <w:t>، والى أنّه لا دلالة فيها على المطلوب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لا مسرح لجعل موضوع هذا القانون القدر المشترك بينهما بوجه ، فلنرجع الى تفصيل الكلام في الأقسام الأربعة ونقول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علم اقترانهما ، وهو قد يتصوّر في القول والفعل والفعلين مع احتمال إرادة القولين المتّصلين من دون تراخ أيضا ، إن جعلنا المقارنة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فيه بناء العامّ على الخاصّ ، من دون نقل خلاف إلّا عن بعض الحنفيّة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المقارنة والجهل بالتاريخ واحد </w:t>
      </w:r>
      <w:r>
        <w:rPr>
          <w:rStyle w:val="FootnoteAnchor"/>
          <w:rtl w:val="true"/>
        </w:rPr>
        <w:footnoteReference w:id="555"/>
      </w:r>
      <w:r>
        <w:rPr>
          <w:rFonts w:ascii="Amiri" w:hAnsi="Amiri" w:eastAsia="Amiri" w:cs="Amiri"/>
          <w:color w:val="111111"/>
          <w:sz w:val="28"/>
          <w:sz w:val="28"/>
          <w:szCs w:val="28"/>
          <w:rtl w:val="true"/>
          <w:lang w:bidi="ar-SA"/>
        </w:rPr>
        <w:t>، وهو ثبوت حكم التعارض في قدر ما يتناولانه فيرجع الى المرجّحات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قولهم في المقارنة الحقيقيّة دون القولين المتّصلين عرفا ، فالخاصّ المتأخّر مخصّص عندهم فيها والعامّ المتأخّر ناسخ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مرارا من الفهم العرفي والرّجحان النفس الأمري والشيوع والغلبة ، واحتمال التجوّز في الخاصّ مرجوح </w:t>
      </w:r>
      <w:r>
        <w:rPr>
          <w:rStyle w:val="FootnoteAnchor"/>
          <w:rtl w:val="true"/>
        </w:rPr>
        <w:footnoteReference w:id="557"/>
      </w:r>
      <w:r>
        <w:rPr>
          <w:rFonts w:ascii="Amiri" w:hAnsi="Amiri" w:eastAsia="Amiri" w:cs="Amiri"/>
          <w:color w:val="111111"/>
          <w:sz w:val="28"/>
          <w:sz w:val="28"/>
          <w:szCs w:val="28"/>
          <w:rtl w:val="true"/>
          <w:lang w:bidi="ar-SA"/>
        </w:rPr>
        <w:t>بالنسبة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الأخبار </w:t>
      </w:r>
      <w:r>
        <w:rPr>
          <w:rStyle w:val="FootnoteAnchor"/>
          <w:rtl w:val="true"/>
        </w:rPr>
        <w:footnoteReference w:id="558"/>
      </w:r>
      <w:r>
        <w:rPr>
          <w:rFonts w:ascii="Amiri" w:hAnsi="Amiri" w:eastAsia="Amiri" w:cs="Amiri"/>
          <w:color w:val="111111"/>
          <w:sz w:val="28"/>
          <w:sz w:val="28"/>
          <w:szCs w:val="28"/>
          <w:rtl w:val="true"/>
          <w:lang w:bidi="ar-SA"/>
        </w:rPr>
        <w:t>وردت في تقديم ما هو مخالف العامّة أو ما هو موافق الكتاب ونحو ذلك ، وهو يقتضي تقديم العامّ لو كان هو الموافق للكتاب أو المخالف للعامّ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المبحث منعقد لملاحظة العامّ والخاصّ من حيث العموم والخصوص لا بالنظر الى المرجّحات الخارجية ، إذ قد يصير التجوّز في الخاصّ أولى من التخصيص في العامّ من جهة مرجّح خارجي وهو خارج عن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ظهر لك من اتّفاق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شذّ منهم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العامّ على الخاصّ في صورة الاقتران من جهة محض العموم والخصوص ، يتّضح لك بطلان تعميم المبحث بحيث يشمل العامّ والخاصّ من وجه لما ذكرنا سابقا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علم تقدّم العامّ وتراخي زمان صدور الكلام المشتمل على الخاصّ ، فإمّا أن يكون ورود الخاصّ بعد حضور وقت العمل بالعامّ فيكون ناسخا لا تخصيصا للزوم تأخير البيان عن وقت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يستشكل </w:t>
      </w:r>
      <w:r>
        <w:rPr>
          <w:rStyle w:val="FootnoteAnchor"/>
          <w:rtl w:val="true"/>
        </w:rPr>
        <w:footnoteReference w:id="561"/>
      </w:r>
      <w:r>
        <w:rPr>
          <w:rFonts w:ascii="Amiri" w:hAnsi="Amiri" w:eastAsia="Amiri" w:cs="Amiri"/>
          <w:color w:val="111111"/>
          <w:sz w:val="28"/>
          <w:sz w:val="28"/>
          <w:szCs w:val="28"/>
          <w:rtl w:val="true"/>
          <w:lang w:bidi="ar-SA"/>
        </w:rPr>
        <w:t>ذلك في أخبارنا المرويّة عن أئمتنا عليهم‌السلام فإنّه إذا كان الخاصّ في كلامهم فيلزم وقوع النّسخ بعد النبيّ صلى‌الله‌عليه‌وآله وهو باطل لانقطاع الوحي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إشكال آخر أورده بعضهم </w:t>
      </w:r>
      <w:r>
        <w:rPr>
          <w:rStyle w:val="FootnoteAnchor"/>
          <w:rtl w:val="true"/>
        </w:rPr>
        <w:footnoteReference w:id="562"/>
      </w:r>
      <w:r>
        <w:rPr>
          <w:rFonts w:ascii="Amiri" w:hAnsi="Amiri" w:eastAsia="Amiri" w:cs="Amiri"/>
          <w:color w:val="111111"/>
          <w:sz w:val="28"/>
          <w:sz w:val="28"/>
          <w:szCs w:val="28"/>
          <w:rtl w:val="true"/>
          <w:lang w:bidi="ar-SA"/>
        </w:rPr>
        <w:t>أيضا ، وهو أنّه يلزم عدم جواز العمل بأخبار الآحاد المخصّصة للكتاب أو الأخبار النبويّة رأسا ، للزوم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لزوم النسخ إنّما هو إذا علم أنّ هذا البيان والتخصيص كان من الرّسول صلى‌الله‌عليه‌وآله بعد حضور وقت العمل ، لا مجرّد تراخي رواية الإمام عليه‌السلام من حيث هو عن زمان العامّ ، فإنّ الأئمة عليهم‌السلام حاكون عن النبيّ صلى‌الله‌عليه‌وآله لا مؤسّسون للشريعة ، فلا بدّ في لزوم الحكم بالنسخ من إثبات أنّ الخبر الخاصّ من حيث إنّه ناسخ ، متأخّر عن زمان العمل بالعامّ وهو غير معلوم ، بل خلافه معلوم لاتّفاقهم ظاهرا على أنّ الأحكام الكلّيّة بعد الرّسول صلى‌الله‌عليه‌وآله باقية الى يوم القيامة ، وإن لم يمتنع عقلا أنّ النبيّ صلى‌الله‌عليه‌وآله أخبر خلفاءه بأنّ الحكم الفلاني باق بعدي الى الزّمان الفلاني ثمّ ينسخ ، فعليكم بإجرائه الى ذلك الحين وإخفاء غايته ، ثمّ بيان الغاية عند انتهاء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الجواب عن إشكال لزوم تأخير البيان أيضا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 أنّ الأئمة عليهم‌السلام ، يظهرون ما وصل إليهم عن النبيّ صلى‌الله‌عليه‌وآله وينشرون ما وقع في زمانه ويبيّنون ما أراده الله في كتابه وما رام النبيّ صلى‌الله‌عليه‌وآله من سنّته ، فحالهم مع الأمّة كحال الفقيه مع مقلّده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الى بعض ما ذكرنا الفاضل المدقّق </w:t>
      </w:r>
    </w:p>
    <w:p>
      <w:pPr>
        <w:pStyle w:val="BookText"/>
        <w:rPr/>
      </w:pPr>
      <w:r>
        <w:rPr>
          <w:rFonts w:ascii="Amiri" w:hAnsi="Amiri" w:eastAsia="Amiri" w:cs="Amiri"/>
          <w:color w:val="111111"/>
          <w:sz w:val="28"/>
          <w:sz w:val="28"/>
          <w:szCs w:val="28"/>
          <w:rtl w:val="true"/>
          <w:lang w:bidi="ar-SA"/>
        </w:rPr>
        <w:t xml:space="preserve">الشيرواني في حاشيته الفارسيّة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 فلو فرض أنّ أحد الرّواة سمع العامّ من إمامه وتأخّر سماع الخاصّ عنه عن زمان حضور وقت العمل به من دون مانع ومن دون عذر ظاهر ، فلا بدّ أن يكون ظهور كونه مكلّفا بالعامّ الى ذلك الحين من جهة اخرى غير النّسخ مثل تقيّة أو ضرورة أو نحو ذلك ، علمها الإمام ولم يعلمها الرّاوي ، ولا يلزم بمجرّد ذلك القول بالنسخ حتى يلزم المحذور ، فتأخير بيان الزّمان ونهايته أيضا قد يكون من غير جهة النّسخ ، فليفهم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ورود الخاصّ قبل حضور وقت العمل بالعامّ فالأقوى كونه مخصّصا ، لجواز تأخير البيان عن وقت الخطاب كما سنحقّقه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لا يقول بجوازه </w:t>
      </w:r>
      <w:r>
        <w:rPr>
          <w:rStyle w:val="FootnoteAnchor"/>
          <w:rtl w:val="true"/>
        </w:rPr>
        <w:footnoteReference w:id="563"/>
      </w:r>
      <w:r>
        <w:rPr>
          <w:rFonts w:ascii="Amiri" w:hAnsi="Amiri" w:eastAsia="Amiri" w:cs="Amiri"/>
          <w:color w:val="111111"/>
          <w:sz w:val="28"/>
          <w:sz w:val="28"/>
          <w:szCs w:val="28"/>
          <w:rtl w:val="true"/>
          <w:lang w:bidi="ar-SA"/>
        </w:rPr>
        <w:t xml:space="preserve">، فإمّا يجعله ناسخا إن قال بجواز النّسخ قبل حضور وقت العمل ، أو يجعله كالمتعارضين ، ويرجع الى المرجّحات الخارجية </w:t>
      </w:r>
      <w:r>
        <w:rPr>
          <w:rStyle w:val="FootnoteAnchor"/>
          <w:rtl w:val="true"/>
        </w:rPr>
        <w:footnoteReference w:id="564"/>
      </w:r>
      <w:r>
        <w:rPr>
          <w:rFonts w:ascii="Amiri" w:hAnsi="Amiri" w:eastAsia="Amiri" w:cs="Amiri"/>
          <w:color w:val="111111"/>
          <w:sz w:val="28"/>
          <w:sz w:val="28"/>
          <w:szCs w:val="28"/>
          <w:rtl w:val="true"/>
          <w:lang w:bidi="ar-SA"/>
        </w:rPr>
        <w:t>إن لم يقل بجوازه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علم تقدّم الخاصّ ، فالأقوى وفاقا لأكثر المحقّقين أنّ العامّ يبنى على الخاصّ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منهم السيّد </w:t>
      </w:r>
    </w:p>
    <w:p>
      <w:pPr>
        <w:pStyle w:val="BookText"/>
        <w:rPr/>
      </w:pPr>
      <w:r>
        <w:rPr>
          <w:rFonts w:ascii="Amiri" w:hAnsi="Amiri" w:eastAsia="Amiri" w:cs="Amiri"/>
          <w:color w:val="111111"/>
          <w:sz w:val="28"/>
          <w:sz w:val="28"/>
          <w:szCs w:val="28"/>
          <w:rtl w:val="true"/>
          <w:lang w:bidi="ar-SA"/>
        </w:rPr>
        <w:t xml:space="preserve">والشيخ </w:t>
      </w:r>
      <w:r>
        <w:rPr>
          <w:rStyle w:val="FootnoteAnchor"/>
          <w:rtl w:val="true"/>
        </w:rPr>
        <w:footnoteReference w:id="566"/>
      </w:r>
      <w:r>
        <w:rPr>
          <w:rFonts w:ascii="Amiri" w:hAnsi="Amiri" w:eastAsia="Amiri" w:cs="Amiri"/>
          <w:color w:val="111111"/>
          <w:sz w:val="28"/>
          <w:sz w:val="28"/>
          <w:szCs w:val="28"/>
          <w:rtl w:val="true"/>
          <w:lang w:bidi="ar-SA"/>
        </w:rPr>
        <w:t>الى كونه ناسخا للخاصّ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التّخصيص بما مرّ ، وترجيح الرّاجح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الجمع بين الدليلين في الجملة ، فلو عمل بالعامّ لزم إلغاء الخاصّ إن كان ورود العامّ قبل حضور وقت العمل به ، ونسخه إن كان بعده ، والتخصيص أولى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الجمع لا يصير دليلا على اختيار التخصيص ، لإمكانه بغيره ، بأن يرتكب تجوّز في جانب الخاص ، فلا بدّ من ذكر مرجّح التخصيص ووجه اختياره على غيره ، وقد عرفت أنّ التخصيص الذي ثبت رجحانه هو التّخصيص في أفراد العامّ لا في أزمانه ، فلا ينافي ما ذكرنا كون النسخ نوعا من التخصيص أيضا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لو لم نخصّص العامّ </w:t>
      </w:r>
      <w:r>
        <w:rPr>
          <w:rStyle w:val="FootnoteAnchor"/>
          <w:rtl w:val="true"/>
        </w:rPr>
        <w:footnoteReference w:id="567"/>
      </w:r>
      <w:r>
        <w:rPr>
          <w:rFonts w:ascii="Amiri" w:hAnsi="Amiri" w:eastAsia="Amiri" w:cs="Amiri"/>
          <w:color w:val="111111"/>
          <w:sz w:val="28"/>
          <w:sz w:val="28"/>
          <w:szCs w:val="28"/>
          <w:rtl w:val="true"/>
          <w:lang w:bidi="ar-SA"/>
        </w:rPr>
        <w:t xml:space="preserve">وألغينا الخاصّ لزم إبطال القطعي بالظني وهو باطل بالضّرورة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الخاصّ على مدلوله قطعيّ ، ودلالة العامّ محتمل لجواز أن يراد به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هذا الاستدلال الترجيح من جهة قوّة الدّلالة بسبب النصوصيّة وإن لم يكن قطعيّا في معناه كما أشرنا إليه مرارا </w:t>
      </w:r>
      <w:r>
        <w:rPr>
          <w:rStyle w:val="FootnoteAnchor"/>
          <w:rtl w:val="true"/>
        </w:rPr>
        <w:footnoteReference w:id="569"/>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 ،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عدلنا عنه في الأصل لأنّه لا يتمّ إلّا في بعض صور المعارضة ، وهو ما يكون فيه الخاصّ خاليا من جهة عموم ليكون قطعيّ الدّلالة ، إذ لو كان له عموم من جهة أخرى ، لم يكن قطعيّا ، فليتأمّل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أراد ممّا يكون فيه الخاصّ خاليا من جهة عموم ما كان جزئيّا حقيقيا مثل المثال الذي سنذكره </w:t>
      </w:r>
      <w:r>
        <w:rPr>
          <w:rStyle w:val="FootnoteAnchor"/>
          <w:rtl w:val="true"/>
        </w:rPr>
        <w:footnoteReference w:id="570"/>
      </w:r>
      <w:r>
        <w:rPr>
          <w:rFonts w:ascii="Amiri" w:hAnsi="Amiri" w:eastAsia="Amiri" w:cs="Amiri"/>
          <w:color w:val="111111"/>
          <w:sz w:val="28"/>
          <w:sz w:val="28"/>
          <w:szCs w:val="28"/>
          <w:rtl w:val="true"/>
          <w:lang w:bidi="ar-SA"/>
        </w:rPr>
        <w:t>، فإنّ الخاصّ الكليّ أيضا عام وظاهر في معناه لا قطعيّ ، وحسب الفاضل المدقّق انّه أراد بذلك ما كان الخاصّ أعمّ من وجه من العامّ ، وجعل ذلك شاهدا على دعواه من عموم محلّ النزاع ، بل جعله صريحا في ذلك ، وأنت خبير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وجه لجعل المعارضة بين العامّ والخاصّ المطلقين من بعض صور المعارضة </w:t>
      </w:r>
      <w:r>
        <w:rPr>
          <w:rStyle w:val="FootnoteAnchor"/>
          <w:rtl w:val="true"/>
        </w:rPr>
        <w:footnoteReference w:id="571"/>
      </w:r>
      <w:r>
        <w:rPr>
          <w:rFonts w:ascii="IRNazanin" w:hAnsi="IRNazanin" w:eastAsia="IRNazanin"/>
          <w:color w:val="111111"/>
          <w:sz w:val="28"/>
          <w:sz w:val="28"/>
          <w:szCs w:val="28"/>
          <w:rtl w:val="true"/>
          <w:lang w:bidi="fa-IR"/>
        </w:rPr>
        <w:t>مشعرا بقلّته ، بل هو الأغلب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مقتضى ذلك أن يكون الدّليل الذي ذكره في الأصل من أنّ العمل بالعام يقتضي إلغاء الخاصّ دون العكس جاريا في المعنيين ، وهو ممّا لا </w:t>
      </w:r>
    </w:p>
    <w:p>
      <w:pPr>
        <w:pStyle w:val="BookText"/>
        <w:rPr/>
      </w:pPr>
      <w:r>
        <w:rPr>
          <w:rFonts w:ascii="IRNazanin" w:hAnsi="IRNazanin" w:eastAsia="IRNazanin"/>
          <w:color w:val="111111"/>
          <w:sz w:val="28"/>
          <w:sz w:val="28"/>
          <w:szCs w:val="28"/>
          <w:rtl w:val="true"/>
          <w:lang w:bidi="fa-IR"/>
        </w:rPr>
        <w:t xml:space="preserve">مساغ له </w:t>
      </w:r>
      <w:r>
        <w:rPr>
          <w:rStyle w:val="FootnoteAnchor"/>
          <w:rtl w:val="true"/>
        </w:rPr>
        <w:footnoteReference w:id="572"/>
      </w:r>
      <w:r>
        <w:rPr>
          <w:rFonts w:ascii="Amiri" w:hAnsi="Amiri" w:eastAsia="Amiri" w:cs="Amiri"/>
          <w:color w:val="111111"/>
          <w:sz w:val="28"/>
          <w:sz w:val="28"/>
          <w:szCs w:val="28"/>
          <w:rtl w:val="true"/>
          <w:lang w:bidi="ar-SA"/>
        </w:rPr>
        <w:t>في العامّ والخاصّ من وجه ، لعدم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فلنرجع الى الجواب عمّا أورده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الدّليل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عموميّة الخاصّ لا تنفي نصوصيّته وقطعيّته بالنسبة الى فرد ما من الخاصّ ، بخلاف العامّ ، فإنّه لا قطع فيه إلّا على دلالته على فرد ما من العامّ ، مع أنّ احتمال التجوّز في الجزئي الحقيقي أيضا قائم ، وكذا في الخاصّ والعامّ بالنسبة الى غير التخصيص من سائر المجازات ، فالمراد بالقطعيّة هنا قطعيّة إرادة فرد ما منه بعد فرض أنّ المراد هو المدلول الحقيقي في الجملة ، فلا وجه لترك هذا الدّليل في مقام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 بالنسخ بوجهين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زيدا ، ثمّ لا تقتل المشركين ، بمثابة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زيدا ولا عمروا ولا بكرا الى آخر الأفراد ، ولا شكّ أنّ هذا ناسخ ، فكذا ما هو بمثابته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التساوي ، فإنّ التنصيص يمنع التّخصيص بخلاف ما إذا كان بلفظ العامّ ، واحتمال غير التخصيص من النسخ وغيره حينئذ مرجوح لما مرّ مرارا فتعيّن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المخصّص للعامّ بيان ، فكيف يتقدّم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 ذات البيان ، وأمّا وصف البيانيّة فهو متأخّر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وصف البيانيّة حينئذ مقارن للعامّ ، فهو وهم ، لأنّ وصف البيانيّة </w:t>
      </w:r>
    </w:p>
    <w:p>
      <w:pPr>
        <w:pStyle w:val="BookText"/>
        <w:rPr/>
      </w:pPr>
      <w:r>
        <w:rPr>
          <w:rFonts w:ascii="Amiri" w:hAnsi="Amiri" w:eastAsia="Amiri" w:cs="Amiri"/>
          <w:color w:val="111111"/>
          <w:sz w:val="28"/>
          <w:sz w:val="28"/>
          <w:szCs w:val="28"/>
          <w:rtl w:val="true"/>
          <w:lang w:bidi="ar-SA"/>
        </w:rPr>
        <w:t>من حيث هي يتوقّف على تقدّم ما يحتاج الى البيان ، وكيف كان فالبيان بوصف البيانيّة متأخّر عمّا يحتاج الى البيان طبعا ، وإن تقدّم عليه وصفا من حيث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جهل التاريخ ، والمعروف من مذهب الأصحاب العمل بالخاصّ وهو الأقوى لأنّه لا يخرج عن أحد الأقسام السّابقة ، وقد عرفت في الكلّ رجحان تقديم الخاصّ ، إمّا من جهة كونه ناسخا </w:t>
      </w:r>
      <w:r>
        <w:rPr>
          <w:rStyle w:val="FootnoteAnchor"/>
          <w:rtl w:val="true"/>
        </w:rPr>
        <w:footnoteReference w:id="575"/>
      </w:r>
      <w:r>
        <w:rPr>
          <w:rFonts w:ascii="Amiri" w:hAnsi="Amiri" w:eastAsia="Amiri" w:cs="Amiri"/>
          <w:color w:val="111111"/>
          <w:sz w:val="28"/>
          <w:sz w:val="28"/>
          <w:szCs w:val="28"/>
          <w:rtl w:val="true"/>
          <w:lang w:bidi="ar-SA"/>
        </w:rPr>
        <w:t>لوروده بعد حضور وقت العمل بالعامّ ، أو لكونه مخصّصا كما مرّ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الكلام في هذه المقامات </w:t>
      </w:r>
      <w:r>
        <w:rPr>
          <w:rStyle w:val="FootnoteAnchor"/>
          <w:rtl w:val="true"/>
        </w:rPr>
        <w:footnoteReference w:id="576"/>
      </w:r>
      <w:r>
        <w:rPr>
          <w:rFonts w:ascii="Amiri" w:hAnsi="Amiri" w:eastAsia="Amiri" w:cs="Amiri"/>
          <w:color w:val="111111"/>
          <w:sz w:val="28"/>
          <w:sz w:val="28"/>
          <w:szCs w:val="28"/>
          <w:rtl w:val="true"/>
          <w:lang w:bidi="ar-SA"/>
        </w:rPr>
        <w:t>إذا كان الخاصّ ممّا يجوز نسخ العامّ به واضح ، وكذلك فيما لا يجوز مع العلم بالتاريخ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الحال في الترجيح ممّا مرّ في المباحث السّابقة </w:t>
      </w:r>
      <w:r>
        <w:rPr>
          <w:rStyle w:val="FootnoteAnchor"/>
          <w:rtl w:val="true"/>
        </w:rPr>
        <w:footnoteReference w:id="577"/>
      </w:r>
      <w:r>
        <w:rPr>
          <w:rFonts w:ascii="Amiri" w:hAnsi="Amiri" w:eastAsia="Amiri" w:cs="Amiri"/>
          <w:color w:val="111111"/>
          <w:sz w:val="28"/>
          <w:sz w:val="28"/>
          <w:szCs w:val="28"/>
          <w:rtl w:val="true"/>
          <w:lang w:bidi="ar-SA"/>
        </w:rPr>
        <w:t>وما سيجيء في مبحث النسخ ، فإطلاق الكلام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المقامات إنّما هو بالنظر الى ملاحظة تقديم كلّ من العامّ والخاصّ على الآخر من حيث العموم والخصوص ، وإلّا فيشكل الأمر فيما يتفاوت الحال فيه من جهة النّسخ ، والتخصيص في صورة جهل التاريخ ، فقد يجوز التخصيص دون النّسخ كما لو كان العام من الكتاب أو السّنة المتواترة ، والخاصّ من أخبار الآحاد وجهل التّاريخ ، فالقول بتقديم العمل بالخاصّ مطلقا يستلزم تجويزه في صورة ورود الخاصّ بعد حضور وقت العمل بالعامّ في نفس الأمر أيضا ، فيشكل الحكم بتقديم الخاصّ في صورة جهل التاريخ بقول 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يجاب </w:t>
      </w:r>
      <w:r>
        <w:rPr>
          <w:rStyle w:val="FootnoteAnchor"/>
          <w:rtl w:val="true"/>
        </w:rPr>
        <w:footnoteReference w:id="578"/>
      </w:r>
      <w:r>
        <w:rPr>
          <w:rFonts w:ascii="Amiri" w:hAnsi="Amiri" w:eastAsia="Amiri" w:cs="Amiri"/>
          <w:color w:val="111111"/>
          <w:sz w:val="28"/>
          <w:sz w:val="28"/>
          <w:szCs w:val="28"/>
          <w:rtl w:val="true"/>
          <w:lang w:bidi="ar-SA"/>
        </w:rPr>
        <w:t xml:space="preserve">عن هذا الإشكال في الصورة المفروضة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عدم تحقق شرط النسخ وهو حضور وقت العمل ، فينتفي المشروط فيبقى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معارض بأنّ الأصل عدم تحقّق شرط التّخصيص أيضا ، فإنّ تحقّقه في نفس الأمر أيضا مشروط بورود الخاصّ قبل حضور وقت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تأخّر الحادث وهو يقتضي ورود الخاصّ بعد حضور وقت العمل بالعامّ ، فهو معارض بأنّ حضور وقت العمل أيضا حادث والأصل 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الجواب ، إن أريد تعميم القول بتقديم العمل بالخاصّ في صورة جهل التاريخ ، مع كون الخاصّ ممّا لا يجوز نسخ العامّ القطعيّ به ،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شيوع التخصيص وغلبته ومرجّحاته المتقدّمة يقتضي ترجيح التّخصيص ، بمعنى أنّ الرّاجح في النظر حصول ما يستلزم التخصيص في نفس الأمر لا النّسخ ، بمعنى أنّ الظاهر أنّ الخاصّ ورد قبل حضور وقت العمل ليثبت التّخصيص ، إلحاقا للشيء بالأعمّ الأغلب واتّباعا لمرجّحات التخصيص</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يقول بترجيح النّسخ على التخصيص فيما لو فرض تقدّم الخاصّ على العامّ كما نقلنا عن الشيخ والسيّد ، فهو أيضا يتوقّف في مجهول التّاريخ لدوران </w:t>
      </w:r>
    </w:p>
    <w:p>
      <w:pPr>
        <w:pStyle w:val="BookText"/>
        <w:rPr/>
      </w:pPr>
      <w:r>
        <w:rPr>
          <w:rFonts w:ascii="Amiri" w:hAnsi="Amiri" w:eastAsia="Amiri" w:cs="Amiri"/>
          <w:color w:val="111111"/>
          <w:sz w:val="28"/>
          <w:sz w:val="28"/>
          <w:szCs w:val="28"/>
          <w:rtl w:val="true"/>
          <w:lang w:bidi="ar-SA"/>
        </w:rPr>
        <w:t xml:space="preserve">الخاصّ بين كونه مخصّصا أو منسوخا ، ويظهر جوابه مما مرّ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ثمرة هذا الإشكال وأثر ذلك في أخبار أئمتنا عليهم‌السلام غير ظاهرة لعدم ورود المنسوخ في كلامهم كما أشرنا سابقا ، ولا الناسخ من حيث إنّه ناسخ ، بل ما يؤثر عنهم عليهم‌السلام إنّما هو حكاية ما علم من سنّة النبيّ صلى‌الله‌عليه‌وآله ومعاملاته وبياناته في الكتاب وسنّته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هم عليهم‌السلام ربّما يقولون أنّ هذه الآية نسخت بهذه الآية ، وأمثال ذلك ، فلو ثبت بأخبارهم شيء فإنّما يثبت بها حال ما وقع في زمان الرّسول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النبويّة ، فعندنا قليلة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الكتاب فقد ادّعى السيّد رحمه‌الله </w:t>
      </w:r>
      <w:r>
        <w:rPr>
          <w:rStyle w:val="FootnoteAnchor"/>
          <w:rtl w:val="true"/>
        </w:rPr>
        <w:footnoteReference w:id="582"/>
      </w:r>
      <w:r>
        <w:rPr>
          <w:rFonts w:ascii="Amiri" w:hAnsi="Amiri" w:eastAsia="Amiri" w:cs="Amiri"/>
          <w:color w:val="111111"/>
          <w:sz w:val="28"/>
          <w:sz w:val="28"/>
          <w:szCs w:val="28"/>
          <w:rtl w:val="true"/>
          <w:lang w:bidi="ar-SA"/>
        </w:rPr>
        <w:t>أنّ تاريخ نزول آياته مضبوط لا خلاف فيه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في الجميع محلّ نظر</w:t>
      </w:r>
      <w:r>
        <w:rPr>
          <w:rFonts w:eastAsia="Amiri" w:cs="Amiri" w:ascii="Amiri" w:hAnsi="Amiri"/>
          <w:color w:val="111111"/>
          <w:sz w:val="28"/>
          <w:szCs w:val="28"/>
          <w:rtl w:val="true"/>
          <w:lang w:bidi="ar-SA"/>
        </w:rPr>
        <w:t xml:space="preserve">. </w:t>
      </w:r>
      <w:bookmarkStart w:id="81" w:name="pg14071_148978"/>
    </w:p>
    <w:p>
      <w:pPr>
        <w:pStyle w:val="Heading2"/>
        <w:numPr>
          <w:ilvl w:val="1"/>
          <w:numId w:val="1"/>
        </w:numPr>
        <w:rPr/>
      </w:pPr>
      <w:bookmarkStart w:id="82" w:name="__RefHeading___Toc495047_1738255347"/>
      <w:bookmarkStart w:id="83" w:name="_Toc29"/>
      <w:bookmarkEnd w:id="81"/>
      <w:bookmarkEnd w:id="82"/>
      <w:r>
        <w:rPr>
          <w:rtl w:val="true"/>
        </w:rPr>
        <w:t xml:space="preserve">الباب الرابع </w:t>
      </w:r>
      <w:r>
        <w:rPr>
          <w:rtl w:val="true"/>
        </w:rPr>
        <w:t xml:space="preserve">: </w:t>
      </w:r>
      <w:r>
        <w:rPr>
          <w:rtl w:val="true"/>
        </w:rPr>
        <w:t>في المطلق والمقيّد</w:t>
      </w:r>
      <w:bookmarkEnd w:id="83"/>
    </w:p>
    <w:p>
      <w:pPr>
        <w:pStyle w:val="Heading3"/>
        <w:numPr>
          <w:ilvl w:val="2"/>
          <w:numId w:val="1"/>
        </w:numPr>
        <w:rPr/>
      </w:pPr>
      <w:bookmarkStart w:id="84" w:name="__RefHeading___Toc495049_1738255347"/>
      <w:bookmarkStart w:id="85" w:name="_Toc30"/>
      <w:bookmarkEnd w:id="84"/>
      <w:r>
        <w:rPr>
          <w:rtl w:val="true"/>
        </w:rPr>
        <w:t>قانون</w:t>
      </w:r>
      <w:bookmarkEnd w:id="85"/>
    </w:p>
    <w:p>
      <w:pPr>
        <w:pStyle w:val="BookText"/>
        <w:rPr/>
      </w:pPr>
      <w:r>
        <w:rPr>
          <w:rFonts w:ascii="Amiri" w:hAnsi="Amiri" w:eastAsia="Amiri" w:cs="Amiri"/>
          <w:color w:val="111111"/>
          <w:sz w:val="28"/>
          <w:sz w:val="28"/>
          <w:szCs w:val="28"/>
          <w:rtl w:val="true"/>
          <w:lang w:bidi="ar-SA"/>
        </w:rPr>
        <w:t xml:space="preserve">المطلق على ما عرّفه أكثر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دلّ على شائع في جنسه </w:t>
      </w:r>
      <w:r>
        <w:rPr>
          <w:rStyle w:val="FootnoteAnchor"/>
          <w:rtl w:val="true"/>
        </w:rPr>
        <w:footnoteReference w:id="583"/>
      </w:r>
      <w:r>
        <w:rPr>
          <w:rFonts w:ascii="Amiri" w:hAnsi="Amiri" w:eastAsia="Amiri" w:cs="Amiri"/>
          <w:color w:val="111111"/>
          <w:sz w:val="28"/>
          <w:sz w:val="28"/>
          <w:szCs w:val="28"/>
          <w:rtl w:val="true"/>
          <w:lang w:bidi="ar-SA"/>
        </w:rPr>
        <w:t xml:space="preserve">، أي على حصّة محتملة الصّدق على حصص كثيرة ، مندرجة تحت جنس ذلك الحصّة ، وهو المفهوم الكلّي الذي يصدق على هذه الحصّة وعلى غيرها من الحصص ، فيدخل فيه المعهود الذّهني ، ويخرج منه العامّ والجزئي </w:t>
      </w:r>
      <w:r>
        <w:rPr>
          <w:rStyle w:val="FootnoteAnchor"/>
          <w:rtl w:val="true"/>
        </w:rPr>
        <w:footnoteReference w:id="584"/>
      </w:r>
      <w:r>
        <w:rPr>
          <w:rFonts w:ascii="Amiri" w:hAnsi="Amiri" w:eastAsia="Amiri" w:cs="Amiri"/>
          <w:color w:val="111111"/>
          <w:sz w:val="28"/>
          <w:sz w:val="28"/>
          <w:szCs w:val="28"/>
          <w:rtl w:val="true"/>
          <w:lang w:bidi="ar-SA"/>
        </w:rPr>
        <w:t xml:space="preserve">الحقيقي والمعهود الخارجي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التعريف يصدق على النّكرة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جماعة منهم أنّه ما يراد به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الثاني 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تمهيد القواعد</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حيث قال في مقام الفرق بين المطلق 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هو الماهيّة لا بشرط شيء ، والعامّ هو الماهيّة بشرط الكثرة المستغرقة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وصرّح بعضهم </w:t>
      </w:r>
      <w:r>
        <w:rPr>
          <w:rStyle w:val="FootnoteAnchor"/>
          <w:rtl w:val="true"/>
        </w:rPr>
        <w:footnoteReference w:id="587"/>
      </w:r>
      <w:r>
        <w:rPr>
          <w:rFonts w:ascii="Amiri" w:hAnsi="Amiri" w:eastAsia="Amiri" w:cs="Amiri"/>
          <w:color w:val="111111"/>
          <w:sz w:val="28"/>
          <w:sz w:val="28"/>
          <w:szCs w:val="28"/>
          <w:rtl w:val="true"/>
          <w:lang w:bidi="ar-SA"/>
        </w:rPr>
        <w:t>بالفرق بين المطلق والنّكرة ، وقد بيّنا ما عندنا في ذلك في مبحث العامّ والخاصّ ، وأنّ التحقيق إمكان الاعتبارين وصحّة الجمع بين التعريفين بملاحظة الحيثيّات ، فراجع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بعضهم </w:t>
      </w:r>
      <w:r>
        <w:rPr>
          <w:rStyle w:val="FootnoteAnchor"/>
          <w:rtl w:val="true"/>
        </w:rPr>
        <w:footnoteReference w:id="588"/>
      </w:r>
      <w:r>
        <w:rPr>
          <w:rFonts w:ascii="Amiri" w:hAnsi="Amiri" w:eastAsia="Amiri" w:cs="Amiri"/>
          <w:color w:val="111111"/>
          <w:sz w:val="28"/>
          <w:sz w:val="28"/>
          <w:szCs w:val="28"/>
          <w:rtl w:val="true"/>
          <w:lang w:bidi="ar-SA"/>
        </w:rPr>
        <w:t>في وجه جعل المطلق حصّة من الجنس لا نفس الحقيقة ، من أنّ الأحكام إنّما تتعلّق بالأفراد لا بالمفهومات ، فيظهر لك ما فيه ممّا حقّقناه في مبحث جواز تعلّق التكليف والأحكام بالطبائع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مثلا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مطلق ، وبيع الغرر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الماء 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القليل ، المفهوم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ولا تصم في السّفر ، ونحو ذلك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وعرّفوا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لا على شائع في جنسه </w:t>
      </w:r>
      <w:r>
        <w:rPr>
          <w:rStyle w:val="FootnoteAnchor"/>
          <w:rtl w:val="true"/>
        </w:rPr>
        <w:footnoteReference w:id="592"/>
      </w:r>
      <w:r>
        <w:rPr>
          <w:rFonts w:ascii="Amiri" w:hAnsi="Amiri" w:eastAsia="Amiri" w:cs="Amiri"/>
          <w:color w:val="111111"/>
          <w:sz w:val="28"/>
          <w:sz w:val="28"/>
          <w:szCs w:val="28"/>
          <w:rtl w:val="true"/>
          <w:lang w:bidi="ar-SA"/>
        </w:rPr>
        <w:t>، فيدخل فيه المعارف والعمومات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ولهم تعريف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 من شياع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مؤمنة </w:t>
      </w:r>
      <w:r>
        <w:rPr>
          <w:rStyle w:val="FootnoteAnchor"/>
          <w:rtl w:val="true"/>
        </w:rPr>
        <w:footnoteReference w:id="593"/>
      </w:r>
      <w:r>
        <w:rPr>
          <w:rFonts w:ascii="Amiri" w:hAnsi="Amiri" w:eastAsia="Amiri" w:cs="Amiri"/>
          <w:color w:val="111111"/>
          <w:sz w:val="28"/>
          <w:sz w:val="28"/>
          <w:szCs w:val="28"/>
          <w:rtl w:val="true"/>
          <w:lang w:bidi="ar-SA"/>
        </w:rPr>
        <w:t>، والاصطلاح الشّائع بينهم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فالمطلق هو ما لم يخرج عن هذا الشّياع والنسبة بينهما </w:t>
      </w:r>
      <w:r>
        <w:rPr>
          <w:rStyle w:val="FootnoteAnchor"/>
          <w:rtl w:val="true"/>
        </w:rPr>
        <w:footnoteReference w:id="594"/>
      </w:r>
      <w:r>
        <w:rPr>
          <w:rFonts w:ascii="Amiri" w:hAnsi="Amiri" w:eastAsia="Amiri" w:cs="Amiri"/>
          <w:color w:val="111111"/>
          <w:sz w:val="28"/>
          <w:sz w:val="28"/>
          <w:szCs w:val="28"/>
          <w:rtl w:val="true"/>
          <w:lang w:bidi="ar-SA"/>
        </w:rPr>
        <w:t>عموم من وجه لصدقهما على هذا الرّجل ، وصدق الأوّل على زيد دون الثاني ، والثاني على رقبة مؤمنة دون الأوّل ، وكذا بين المطلق والمعنى الثاني لصدقهما على رقبة مؤمنة ، والأوّل على رقبة دون الثاني ، والثاني على هذا الرّجل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 الإطلاق والتقييد يؤول من وجه الى التعميم والتّخصيص كما سنشير إليه </w:t>
      </w:r>
      <w:r>
        <w:rPr>
          <w:rStyle w:val="FootnoteAnchor"/>
          <w:rtl w:val="true"/>
        </w:rPr>
        <w:footnoteReference w:id="595"/>
      </w:r>
      <w:r>
        <w:rPr>
          <w:rFonts w:ascii="Amiri" w:hAnsi="Amiri" w:eastAsia="Amiri" w:cs="Amiri"/>
          <w:color w:val="111111"/>
          <w:sz w:val="28"/>
          <w:sz w:val="28"/>
          <w:szCs w:val="28"/>
          <w:rtl w:val="true"/>
          <w:lang w:bidi="ar-SA"/>
        </w:rPr>
        <w:t>، فجميع ما مرّ في أحكام معارضة العامّ والخاصّ وتخصيص العام بالخاصّ والفرق بين الظنيّ والقطعيّ وعدمه وأقسام معلوميّة التاريخ وجهالته وغير ذلك يجري هاهنا أيضا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 هذا المبحث بما سنورده وهو أنّه إذا أورد مطلق ومقيّد فإمّا أن يختلف حكمهما بمعنى كون المحكوم به فيهما مختلفين ، وإن لم يختلف نفس الحكم الشرعي </w:t>
      </w:r>
      <w:r>
        <w:rPr>
          <w:rStyle w:val="FootnoteAnchor"/>
          <w:rtl w:val="true"/>
        </w:rPr>
        <w:footnoteReference w:id="596"/>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يتيما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يتيما هاشميّا ، أو يتّحد حكمهما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يتيما ، أطعم يتيما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الأوّل فلا يحمل المطلق على المقيّد إجماعا إلّا </w:t>
      </w:r>
    </w:p>
    <w:p>
      <w:pPr>
        <w:pStyle w:val="BookText"/>
        <w:rPr/>
      </w:pPr>
      <w:r>
        <w:rPr>
          <w:rFonts w:ascii="Amiri" w:hAnsi="Amiri" w:eastAsia="Amiri" w:cs="Amiri"/>
          <w:color w:val="111111"/>
          <w:sz w:val="28"/>
          <w:sz w:val="28"/>
          <w:szCs w:val="28"/>
          <w:rtl w:val="true"/>
          <w:lang w:bidi="ar-SA"/>
        </w:rPr>
        <w:t xml:space="preserve">عن أكثر الشافعيّة </w:t>
      </w:r>
      <w:r>
        <w:rPr>
          <w:rStyle w:val="FootnoteAnchor"/>
          <w:rtl w:val="true"/>
        </w:rPr>
        <w:footnoteReference w:id="597"/>
      </w:r>
      <w:r>
        <w:rPr>
          <w:rFonts w:ascii="Amiri" w:hAnsi="Amiri" w:eastAsia="Amiri" w:cs="Amiri"/>
          <w:color w:val="111111"/>
          <w:sz w:val="28"/>
          <w:sz w:val="28"/>
          <w:szCs w:val="28"/>
          <w:rtl w:val="true"/>
          <w:lang w:bidi="ar-SA"/>
        </w:rPr>
        <w:t>على ما نقل عنهم ، فحملوا اليد في آية التيمم على اليد في آية الوضوء فقيّدوها بالانتهاء الى المرفق لاتّحاد الموجب وهو الحدث ، وهو باطل لأنّه يرجع الى إثبات العلّة والعمل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القياس أوّلا ، ومنع العلّة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وهو مختار الأكثرين سواء كانا أمرين أو نهيين أو مختلفين ، وسواء كان موجبهما ، أي علّة الحكم متّحدا أو مختلفا لعدم المقتضى للجمع وإمكان العمل بكلّ منهما رأسا ، إلّا فيما كان أحدهما مستلزما لعدم الآخر ،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ظاهرت فاعتق رقبة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تملك رقبة كافرة ، فإنّ العتق والملك وإن كانا مختلفين لكنّ العتق موقوف على الملك ، فالعتق يستلزم الملك </w:t>
      </w:r>
      <w:r>
        <w:rPr>
          <w:rStyle w:val="FootnoteAnchor"/>
          <w:rtl w:val="true"/>
        </w:rPr>
        <w:footnoteReference w:id="598"/>
      </w:r>
      <w:r>
        <w:rPr>
          <w:rFonts w:ascii="Amiri" w:hAnsi="Amiri" w:eastAsia="Amiri" w:cs="Amiri"/>
          <w:color w:val="111111"/>
          <w:sz w:val="28"/>
          <w:sz w:val="28"/>
          <w:szCs w:val="28"/>
          <w:rtl w:val="true"/>
          <w:lang w:bidi="ar-SA"/>
        </w:rPr>
        <w:t xml:space="preserve">بل عدم الملك أيضا يستلزم عدم العتق فحينئذ يقيّد المطلق بعدم الكفر فلا يجوز عتق الكافرة ، بل ولا يصحّ أيضا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يتّحد موجبهما أو يختلف ، أمّا الأوّل فإمّا أن يكون الحكمان مثبتين أو منفيّين أو مختلفين ، فهذه أقسام ثلاثة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ظاهرت فأعتق رقبة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ظاهرت فأعتق رقبة </w:t>
      </w:r>
    </w:p>
    <w:p>
      <w:pPr>
        <w:pStyle w:val="BookText"/>
        <w:rPr/>
      </w:pPr>
      <w:r>
        <w:rPr>
          <w:rFonts w:ascii="Amiri" w:hAnsi="Amiri" w:eastAsia="Amiri" w:cs="Amiri"/>
          <w:color w:val="111111"/>
          <w:sz w:val="28"/>
          <w:sz w:val="28"/>
          <w:szCs w:val="28"/>
          <w:rtl w:val="true"/>
          <w:lang w:bidi="ar-SA"/>
        </w:rPr>
        <w:t xml:space="preserve">مؤمنة ، ولا خلاف بينهم في وجوب العمل بالمقيّد إمّا من باب البيان أو من باب النّسخ ، والمختار أنّه من باب البيان سواء تقدّم على المطلق أو تأخّر عنه ، ولكن بشرط عدم حضور وقت العمل إذا علم تقدّم المطلق فيكون ناسخا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فها هنا مسألتان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بيانا لا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مرّ في حمل العامّ على الخاصّ لشيوع التقييد وشهرته ورجحانه وانفهامه في العرف ، فإنّه في الحقيقة أيضا نوع من التّخصيص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الأكثرون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جمع بين الدليلين ، لأنّ العمل بالمقيّد يستلزم العمل بالمطلق دون العكس ، وهذا بنفسه لا يتمّ لإمكان الاعتراض بأنّ الجمع لا ينحصر في ذلك ، فلا بدّ من بيان المرجّح ولا يتمّ إلّا بما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سند هذا المنع </w:t>
      </w:r>
      <w:r>
        <w:rPr>
          <w:rStyle w:val="FootnoteAnchor"/>
          <w:rtl w:val="true"/>
        </w:rPr>
        <w:footnoteReference w:id="602"/>
      </w:r>
      <w:r>
        <w:rPr>
          <w:rFonts w:ascii="Amiri" w:hAnsi="Amiri" w:eastAsia="Amiri" w:cs="Amiri"/>
          <w:color w:val="111111"/>
          <w:sz w:val="28"/>
          <w:sz w:val="28"/>
          <w:szCs w:val="28"/>
          <w:rtl w:val="true"/>
          <w:lang w:bidi="ar-SA"/>
        </w:rPr>
        <w:t xml:space="preserve">، فقد يقرّر بوجوه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الجمع بينهما بحمل المقيّد على الاستحباب بمعنى حمل الأمر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مثلا على الاستحباب ، فيكون المؤمنة أفضل أفراد الواجب التخييري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الأمر فيه على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التخييري المصطلح لا التخييري المستفاد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المأمور به كليّا قابلا لكثيرين ، فإنّه كان مستفادا من الأمر بالمطلق بانضمام حكم العقل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مرجوحان بالنسبة الى ما ذكرنا ، لما ذكرنا ، سيّما الأخير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يذبّ عنهما أيضا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 الأمر على الاستحباب مجاز جزما ، وكذا حمله على التخيير ، بخلاف استعمال المطلق في المقيّد فإنّه ليس مجازا مطلقا ، بل له جهة حقيقة كما صرّحوا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بذلك مجرّد هذه الملاءمة لا كونه مستعملا فيه بعنوان الحقيقة فيما نحن فيه ، فله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انّه مستعمل في المقيّد فيما نحن فيه بعنوان الحقيقة في بعض الأحيان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الاستعمال ليس إلّا الاستعمال المجازي لإرادة الخصوصيّة منه حينئذ وإن لم يتعيّن عند المخاطب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606"/>
      </w:r>
      <w:r>
        <w:rPr>
          <w:rFonts w:ascii="Amiri" w:hAnsi="Amiri" w:eastAsia="Amiri" w:cs="Amiri"/>
          <w:color w:val="111111"/>
          <w:sz w:val="28"/>
          <w:sz w:val="28"/>
          <w:szCs w:val="28"/>
          <w:rtl w:val="true"/>
          <w:lang w:bidi="ar-SA"/>
        </w:rPr>
        <w:t xml:space="preserve">قد يمكن دعوى الحقيقة مع عدم التعيين عند المخاطب إذا أشعر المقام بتعيينه عند المتكلّم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مِنْ أَقْصَى الْمَدِينَةِ ،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وما نحن فيه </w:t>
      </w:r>
    </w:p>
    <w:p>
      <w:pPr>
        <w:pStyle w:val="BookText"/>
        <w:rPr/>
      </w:pPr>
      <w:r>
        <w:rPr>
          <w:rFonts w:ascii="Amiri" w:hAnsi="Amiri" w:eastAsia="Amiri" w:cs="Amiri"/>
          <w:color w:val="111111"/>
          <w:sz w:val="28"/>
          <w:sz w:val="28"/>
          <w:szCs w:val="28"/>
          <w:rtl w:val="true"/>
          <w:lang w:bidi="ar-SA"/>
        </w:rPr>
        <w:t>ليس من هذا القبيل ، لاستحالة تعليق الحكم على المبهم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مثل ذلك ، وحصل العلم بعد ذلك </w:t>
      </w:r>
      <w:r>
        <w:rPr>
          <w:rStyle w:val="FootnoteAnchor"/>
          <w:rtl w:val="true"/>
        </w:rPr>
        <w:footnoteReference w:id="608"/>
      </w:r>
      <w:r>
        <w:rPr>
          <w:rFonts w:ascii="Amiri" w:hAnsi="Amiri" w:eastAsia="Amiri" w:cs="Amiri"/>
          <w:color w:val="111111"/>
          <w:sz w:val="28"/>
          <w:sz w:val="28"/>
          <w:szCs w:val="28"/>
          <w:rtl w:val="true"/>
          <w:lang w:bidi="ar-SA"/>
        </w:rPr>
        <w:t>بسبب القرينة بإرادة ذلك ، فيكون حينئذ بيانا للمجمل ، يعني يظهر بعد القرينة أنّه كان مجملا فيكون هذا من باب المجمل لا المطلق فيكون مجازا في معناه ، فكيف كان فلا يخرج عن المجازيّة ، والى هذا ينظر قولهم بكون المقيّد والخاصّ بيانا للمطلق والعامّ ، وتقسيمهم المجمل بما له ظاهر وما ليس له ظاهر ، فعلم أنّ ذلك خروج عن الظاهر ، والظاهر هو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الكلام في ترجيح ما اخترناه من المجاز </w:t>
      </w:r>
      <w:r>
        <w:rPr>
          <w:rStyle w:val="FootnoteAnchor"/>
          <w:rtl w:val="true"/>
        </w:rPr>
        <w:footnoteReference w:id="609"/>
      </w:r>
      <w:r>
        <w:rPr>
          <w:rFonts w:ascii="Amiri" w:hAnsi="Amiri" w:eastAsia="Amiri" w:cs="Amiri"/>
          <w:color w:val="111111"/>
          <w:sz w:val="28"/>
          <w:sz w:val="28"/>
          <w:szCs w:val="28"/>
          <w:rtl w:val="true"/>
          <w:lang w:bidi="ar-SA"/>
        </w:rPr>
        <w:t xml:space="preserve">على ما ذكره المانع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ولئن سلّمنا تساوي الاحتمالين </w:t>
      </w:r>
      <w:r>
        <w:rPr>
          <w:rStyle w:val="FootnoteAnchor"/>
          <w:rtl w:val="true"/>
        </w:rPr>
        <w:footnoteReference w:id="611"/>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البراءة اليقينيّة لا تحصل إلّا بالعمل بالمقيّد كما ذكره العلّامة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يحصل العلم بشغل الذمّة مع احتمال إرادة المجاز من المقيّد حتى يجب تحصيل اليقين بالبراءة عنه ، فلا وجه لوجوب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به حينئذ هو القدر المشترك بين كونه نفس المقيّد أو المطلق ، ونعلم أنّا مكلّفون بأحدهما ، فاشتغال الذمّة إنّما هو بالمجمل ولا يحصل البراءة منه إلّا بالإتيان بالمقيّد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يتمّ كلام المعترض لو سلّمنا أنّا مكلّفون بعتق رقبة ما ، ولكن لا نعلم هل </w:t>
      </w:r>
    </w:p>
    <w:p>
      <w:pPr>
        <w:pStyle w:val="BookText"/>
        <w:rPr/>
      </w:pPr>
      <w:r>
        <w:rPr>
          <w:rFonts w:ascii="Amiri" w:hAnsi="Amiri" w:eastAsia="Amiri" w:cs="Amiri"/>
          <w:color w:val="111111"/>
          <w:sz w:val="28"/>
          <w:sz w:val="28"/>
          <w:szCs w:val="28"/>
          <w:rtl w:val="true"/>
          <w:lang w:bidi="ar-SA"/>
        </w:rPr>
        <w:t xml:space="preserve">يشترط الايمان أم لا ، فحينئذ يمكن نفيه بأصل البراءة </w:t>
      </w:r>
      <w:r>
        <w:rPr>
          <w:rStyle w:val="FootnoteAnchor"/>
          <w:rtl w:val="true"/>
        </w:rPr>
        <w:footnoteReference w:id="613"/>
      </w:r>
      <w:r>
        <w:rPr>
          <w:rFonts w:ascii="Amiri" w:hAnsi="Amiri" w:eastAsia="Amiri" w:cs="Amiri"/>
          <w:color w:val="111111"/>
          <w:sz w:val="28"/>
          <w:sz w:val="28"/>
          <w:szCs w:val="28"/>
          <w:rtl w:val="true"/>
          <w:lang w:bidi="ar-SA"/>
        </w:rPr>
        <w:t xml:space="preserve">، وليس كذلك </w:t>
      </w:r>
      <w:r>
        <w:rPr>
          <w:rStyle w:val="FootnoteAnchor"/>
          <w:rtl w:val="true"/>
        </w:rPr>
        <w:footnoteReference w:id="614"/>
      </w:r>
      <w:r>
        <w:rPr>
          <w:rFonts w:ascii="Amiri" w:hAnsi="Amiri" w:eastAsia="Amiri" w:cs="Amiri"/>
          <w:color w:val="111111"/>
          <w:sz w:val="28"/>
          <w:sz w:val="28"/>
          <w:szCs w:val="28"/>
          <w:rtl w:val="true"/>
          <w:lang w:bidi="ar-SA"/>
        </w:rPr>
        <w:t xml:space="preserve">،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تعارض المجازين وتصادم الاحتمالين ، يبقى الشكّ في أنّ المكلّف به هل هو المطلق أو المقيّد؟ وليس هاهنا قدر مشترك يقيني يحكم بنفي الزّائد عنه بالأصل ، لأنّ الجنس الموجود في ضمن المقيّد لا ينفكّ عن الفصل ولا تفارق بينهما ، فليتأمّل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سلطان العلماء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العمل بهما من دون إخراج أحدهما عن حقيقته ، بأن يعمل بالمقيّد ويبقى المطلق على إطلاقه ، فلا يجب ارتكاب تجوّز حتى يجعل ذلك وظيفة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مدلول المطلق ليس صحّة العمل بأيّ فرد كان حتّى ينافي مدلول المقيّد ، بل هو أعمّ منه وممّا يصلح للتقييد ، بل المقيّد في الواقع ، ألا ترى أنّه معروض للقيد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مؤمنة ، إذ لا شكّ أنّ مدلول رقبة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مؤمنة ، هو المطلق وإلّا لزم حصول المقيّد بدون المطلق مع أنّه لا يصلح لأيّ رقبة كان ، فظهر أنّ مقتضى المطلق ليس كذلك وإلّا لم يتخلّف عنه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مدلول المطلق وإن لم يكن ما ذكره ، ولكن مقتضاه هو ذلك بالوجهين اللّذين سنذكرهما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ينافي مقتضى المقيّد ولا يمكن الجمع بين مقتضاه ومقتضى المقيّد بدون تصرّف وإخراج عن الظاهر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أراد أنّ مدلول المطلق هو الأمر الدّائر بين الأمرين ، أعني أيّ فرد كان على البدل والمقيّد ، فهو باطل جزما ، لأنّ مدلوله الحصّة الشّائعة أو الماهيّة لا بشرط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أنّه معنى عام قابل لصدقه على المعنيين فهو صحيح ، ولكن مقتضاه صحّة العمل بأيّ فرد كان منه ، فإن كان بضميمة حكم العقل لأنّ الطبيعة توجد في ضمن أيّ فرد يكون ، والامتثال بها يحصل بالإتيان بأيّ فرد كان منه ، وأيضا الأصل براءة الذمّة عن التعيين فهو يقتضي التخيير في الأفراد ، ولا ريب انّ هذا ينافي مقتضى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 القائل هو الشقّ الأوّل من التّرديد ، لأنّه ذكر في موضع آخر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المطلق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ليس أيّ فرد كان من أفراد الماهيّة على البدل ، بل ربّما كان مدلوله معيّنا في الواقع وإن لم يكن اللّفظ مستعملا في التعيين ، بل هذا أظهر وأكثر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الأوامر يحتمل الاحتمالين </w:t>
      </w:r>
      <w:r>
        <w:rPr>
          <w:rStyle w:val="FootnoteAnchor"/>
          <w:rtl w:val="true"/>
        </w:rPr>
        <w:footnoteReference w:id="619"/>
      </w:r>
      <w:r>
        <w:rPr>
          <w:rFonts w:ascii="Amiri" w:hAnsi="Amiri" w:eastAsia="Amiri" w:cs="Amiri"/>
          <w:color w:val="111111"/>
          <w:sz w:val="28"/>
          <w:sz w:val="28"/>
          <w:szCs w:val="28"/>
          <w:rtl w:val="true"/>
          <w:lang w:bidi="ar-SA"/>
        </w:rPr>
        <w:t>، فلا يكون التقييد تخصيصا وقرينة على المجاز انتهى ، ملخّصا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كلّ ما تعلّق به الحكم الشّرعي على سبيل التعيين في الواقع فلا بدّ أن يكون معرفة المخاطب للتعيين مقصودا فيه من الشّارع ، سواء قارنه ذكر التعيين أو فارقه ، وسواء كان في صورة الإخبار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w:t>
      </w:r>
    </w:p>
    <w:p>
      <w:pPr>
        <w:pStyle w:val="BookText"/>
        <w:rPr/>
      </w:pP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أو في صورة الإنشاء ، أمرا كان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 أو نهيا ، لتمكّن الامتثال ، فذكر لفظة المطلق وإرادة المعيّن الواقعي مجازا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يصحّ ذلك في القصص والحكايات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مِنْ أَقْصَى الْمَدِينَةِ ،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ومحلّ النزاع وموضع المبحث ليس من هذا القبيل ، فكلّما فرض استعمال مطلق وإرادة فرد معيّن واقعيّ منه ولم يقترن بقرينة ، فهو حقيقة في بادئ النّظر ، ويحصل العلم بكونه مجازا بعد ظهور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استعمال المطلق في المقيّد حقيقة على وجهين ومجاز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ومآل الوجهين يرجع الى كون المقصود بالذّات الحكم على الكلّي ويكون إرادة الفرد مقصودا بالعرض ، وذلك يحصل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مِنْ أَقْصَى الْمَدِينَةِ ، </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برجل </w:t>
      </w:r>
      <w:r>
        <w:rPr>
          <w:rStyle w:val="FootnoteAnchor"/>
          <w:rtl w:val="true"/>
        </w:rPr>
        <w:footnoteReference w:id="623"/>
      </w:r>
      <w:r>
        <w:rPr>
          <w:rFonts w:ascii="Amiri" w:hAnsi="Amiri" w:eastAsia="Amiri" w:cs="Amiri"/>
          <w:color w:val="111111"/>
          <w:sz w:val="28"/>
          <w:sz w:val="28"/>
          <w:szCs w:val="28"/>
          <w:rtl w:val="true"/>
          <w:lang w:bidi="ar-SA"/>
        </w:rPr>
        <w:t>، إذا أراد فردا منه ، أيّ فرد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ومآل الوجه الآخر الى ذكر المطلق وإرادة فرد خاصّ منه ، إمّا باقترانه بما يدلّ على ذلك ، أو بانكشاف ذلك بعد ظهور القرينة ، وكلامنا إنّما هو في الأخير ، وهو المتداول في مسائل المطلق والمقيّد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مِنْ أَقْصَى الْمَدِينَةِ يَسْعى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حبيب النجّار يسعى أو جاء حزقيل </w:t>
      </w:r>
      <w:r>
        <w:rPr>
          <w:rStyle w:val="FootnoteAnchor"/>
          <w:rtl w:val="true"/>
        </w:rPr>
        <w:footnoteReference w:id="624"/>
      </w:r>
      <w:r>
        <w:rPr>
          <w:rFonts w:ascii="Amiri" w:hAnsi="Amiri" w:eastAsia="Amiri" w:cs="Amiri"/>
          <w:color w:val="111111"/>
          <w:sz w:val="28"/>
          <w:sz w:val="28"/>
          <w:szCs w:val="28"/>
          <w:rtl w:val="true"/>
          <w:lang w:bidi="ar-SA"/>
        </w:rPr>
        <w:t xml:space="preserve">مؤمن آل فرعون يسعى ، يكون بيانا </w:t>
      </w:r>
    </w:p>
    <w:p>
      <w:pPr>
        <w:pStyle w:val="BookText"/>
        <w:rPr/>
      </w:pPr>
      <w:r>
        <w:rPr>
          <w:rFonts w:ascii="Amiri" w:hAnsi="Amiri" w:eastAsia="Amiri" w:cs="Amiri"/>
          <w:color w:val="111111"/>
          <w:sz w:val="28"/>
          <w:sz w:val="28"/>
          <w:szCs w:val="28"/>
          <w:rtl w:val="true"/>
          <w:lang w:bidi="ar-SA"/>
        </w:rPr>
        <w:t>للمجمل لا تقييدا للمطلق ، فقد خبط القائل خبطا عظيما واختلط عليه الأمر ،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معروض للقيد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إذ لا شكّ انّ مدلول رقبة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مؤمنة هو المقيّد لا المطلق ، والمؤمنة قيد للمقيّد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حصول المقيّد بدون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يستلزم ذلك محالا وقبيحا ، بل هو عين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يمكن تخلّف المقيّد عنه إنّما هو المفهوم الكلّيّ ، القدر المشترك بينه وبين غيره من الأفراد ، وهو ليس معنى الرّقبة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لفظ رقبة وإن كان دالّا على المعنى القدر المشترك بين الأفراد في الجملة ، لكنّه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إذا استعمل وحده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إذا استعمل مع القيد ، فلا يلزم من وجود المقيّد في الخارج وجود المطلق ، بل إنّما يلزم منه وجود ما وجد في المطلق من المعنى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هاهنا كلاما من المحقّق البهائي رحمه‌الله في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المفاهيم ، وهو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أنّ القائلين بعدم حجّيّة مفهوم الصّفة قد قيّدوا المطلق بمفهومها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في الظّهار رقبة ، اعتق في الظهار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مفهوم الصّفة حجّة عندهم ، كيف يقيّدون به المطلق ، فما هذا إلّا التناقض</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الصّفة إمّا أن يكون في مقابله مطلق كما في المثال المذكور </w:t>
      </w:r>
    </w:p>
    <w:p>
      <w:pPr>
        <w:pStyle w:val="BookText"/>
        <w:rPr/>
      </w:pPr>
      <w:r>
        <w:rPr>
          <w:rFonts w:ascii="Amiri" w:hAnsi="Amiri" w:eastAsia="Amiri" w:cs="Amiri"/>
          <w:color w:val="111111"/>
          <w:sz w:val="28"/>
          <w:sz w:val="28"/>
          <w:szCs w:val="28"/>
          <w:rtl w:val="true"/>
          <w:lang w:bidi="ar-SA"/>
        </w:rPr>
        <w:t xml:space="preserve">أو 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الثاني ليس مفهوم الصّفة حجّة عندهم ، فلا يلزم من الحكم بمجيء العالم نفي مجيء الجاهل ، إلّا إذا قامت قرينة على إرادة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أجمع أصحابنا على أنّ مفهوم الصّفة فيه حجّة كما نقله العلّامة طاب ثراه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فالقائلون بعدم حجيّة مفهوم الصّفة يخصّون كلامهم بما إذا لم يكن في مقابلها مطلق لموافقتهم في حجّيّة ما إذا كان في المقابل مطلق ، ترجيحا للتأسيس على التأكيد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هذا الاعتراض على القائلين بأنّ الأمر حقيقة في الوجوب ، كيف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الوارد عقيب الحظر حقيقة في الإباحة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خفاء في بطلان الاعتراض ، ولا وقع لهذا الجواب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الاعتراض فلأنّ مفهوم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في الظهار رقبة مؤمنة ، عدم وجوب عتق غير المؤمنة ، لا حرمة عتق غير المؤمنة ، فلا ينافي جواز عتق الكافرة ، وحمل المطلق على المقيّد إنّما هو من جهة ملاحظة المنطوق لا المفهوم ، فإنّ المطلوب إن كان عتق فرد واحد ، فلا ريب انّ مع وجوب عتق المؤمنة لا يمكن الامتثال بغيرها ، وإن كان مطلق الطبيعة فبعد وجود عتق المؤمنة وحصول الامتثال بإيجاد الطبيعة في ضمنه فلا يبقى طلب حتى يحصل الامتثال بغيرها ، فيكون الإتيان ثانيا حراما </w:t>
      </w:r>
      <w:r>
        <w:rPr>
          <w:rStyle w:val="FootnoteAnchor"/>
          <w:rtl w:val="true"/>
        </w:rPr>
        <w:footnoteReference w:id="628"/>
      </w:r>
      <w:r>
        <w:rPr>
          <w:rFonts w:ascii="Amiri" w:hAnsi="Amiri" w:eastAsia="Amiri" w:cs="Amiri"/>
          <w:color w:val="111111"/>
          <w:sz w:val="28"/>
          <w:sz w:val="28"/>
          <w:szCs w:val="28"/>
          <w:rtl w:val="true"/>
          <w:lang w:bidi="ar-SA"/>
        </w:rPr>
        <w:t>، فلا منافاة بين القول بعدم حجيّة المفهوم ووجوب حمل المطلق على المقيّد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أوّل قوله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مؤمنة ، بأنّ المراد منه أنّ كفارة الظّهار عتق رقبة مؤمنة لا مجرّد إيجاب عتق رقبة مؤمنة ، فهو وإن كان يصحّح الاعتراض في الجملة ، ولكنّه لا يتمّ أيضا ، إذ يكفي في نفي جواز الغير وحدة المطلوب مع ملاحظة المنطوق ولا حاجة الى استفادته من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جريان هذا التوهم في العامّ والخاصّ المتوافقين في الحكم والنفي والإثبات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بني تميم ، أكرم بني تميم الطّوال ، فإنّ نفي وجوب الإكرام في البعض ينافي وجوبه في الكلّ ، ولا يجري في المطلق والمقيّد لعدم العموم الأفرادي في المطلق ، ولذلك تراهم متّفقين في عدم وجوب حمل العامّ على الخاص ثمّة ، وإنّما خصّوا الحمل بالعامّ والخاصّ المتنافي الظاهر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يفهم منه قبول التناقض في الجملة وقد ظهر لك بطلانه ، وأنّه لا حاجة الى التمسّك بالإجماع ، والإجماع لا يثبت حجّية المفهوم في الموضع الخاصّ </w:t>
      </w:r>
      <w:r>
        <w:rPr>
          <w:rStyle w:val="FootnoteAnchor"/>
          <w:rtl w:val="true"/>
        </w:rPr>
        <w:footnoteReference w:id="630"/>
      </w:r>
      <w:r>
        <w:rPr>
          <w:rFonts w:ascii="Amiri" w:hAnsi="Amiri" w:eastAsia="Amiri" w:cs="Amiri"/>
          <w:color w:val="111111"/>
          <w:sz w:val="28"/>
          <w:sz w:val="28"/>
          <w:szCs w:val="28"/>
          <w:rtl w:val="true"/>
          <w:lang w:bidi="ar-SA"/>
        </w:rPr>
        <w:t xml:space="preserve">، بل إنّما يثبت وجوب العمل بالمقيّد ، والظاهر أنّ العلّامة رحمه‌الله أيضا لم يدّع الإجماع إلّا على ذلك ، ولم يحضرني الآن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التمسّك بترجيح التأسيس على التأكيد أيضا ممّا لا يناسب المقام ، إذ هو ممّا يصلح مرجّحا لجميع موارد المفهوم ، ولا اختصاص له بما نحن فيه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فيما انحصر فائدة القيد في اعتبار المفهوم ، فنمنع </w:t>
      </w:r>
      <w:r>
        <w:rPr>
          <w:rStyle w:val="FootnoteAnchor"/>
          <w:rtl w:val="true"/>
        </w:rPr>
        <w:footnoteReference w:id="632"/>
      </w:r>
      <w:r>
        <w:rPr>
          <w:rFonts w:ascii="Amiri" w:hAnsi="Amiri" w:eastAsia="Amiri" w:cs="Amiri"/>
          <w:color w:val="111111"/>
          <w:sz w:val="28"/>
          <w:sz w:val="28"/>
          <w:szCs w:val="28"/>
          <w:rtl w:val="true"/>
          <w:lang w:bidi="ar-SA"/>
        </w:rPr>
        <w:t>الانحصار فيما نحن فيه ، إذ التأسيس يحصل بحمله على إرادة الأفضليّة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ما نحن فيه ليس من قبيل الأمر الواقع عقيب الحظر ، وقد مرّ التحقيق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على المقام الثاني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نوع من التخصيص ، فإنّ المستفاد من المطلق ومقتضاه ولو بانضمام العقل إليه ، حصول الامتثال بأيّ فرد كان من أفراده ، فهو عامّ لكنّه على البدل ، وقد عرفت في العامّ والخاصّ ، أنّ الخاصّ مبيّن لا ناسخ إلّا في صورة تقدّم العامّ وحضور وقت العمل به ، فكذلك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من قال بكون المقيّد ناسخا إذا تأخّر عن المطلق ، والظاهر أنّه لا يشترط حضور وقت العمل للنّسخ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الدّلالة لا بدّ أن تكون مقارنة باللّفظ ، فلو كان المقيّد بيانا للمطلق ، لكان المطلق مجازا فيه ، وهو فرع الدّلالة وهي منفيّة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لزوم المقارنة ، ولا يلزم منه شيء إلّا تأخير البيان عن وقت الخطاب ، ولا دليل على امتناعه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بالنّقض </w:t>
      </w:r>
      <w:r>
        <w:rPr>
          <w:rStyle w:val="FootnoteAnchor"/>
          <w:rtl w:val="true"/>
        </w:rPr>
        <w:footnoteReference w:id="635"/>
      </w:r>
      <w:r>
        <w:rPr>
          <w:rFonts w:ascii="Amiri" w:hAnsi="Amiri" w:eastAsia="Amiri" w:cs="Amiri"/>
          <w:color w:val="111111"/>
          <w:sz w:val="28"/>
          <w:sz w:val="28"/>
          <w:szCs w:val="28"/>
          <w:rtl w:val="true"/>
          <w:lang w:bidi="ar-SA"/>
        </w:rPr>
        <w:t>بصورة تقدّم المقيّد ، فالمطلق الوارد بعده لا بدّ أن يراد منه المقيّد من دون دلالة ، وبتقييد الرّقبة بالسّلامة عندهم أيضا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تقدّم المقيّد يصلح قرينة لانتقال الذّهن من المطلق الى المقيّد ، بخلاف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تناول الرّقبة للناقصة </w:t>
      </w:r>
      <w:r>
        <w:rPr>
          <w:rStyle w:val="FootnoteAnchor"/>
          <w:rtl w:val="true"/>
        </w:rPr>
        <w:footnoteReference w:id="636"/>
      </w:r>
      <w:r>
        <w:rPr>
          <w:rFonts w:ascii="Amiri" w:hAnsi="Amiri" w:eastAsia="Amiri" w:cs="Amiri"/>
          <w:color w:val="111111"/>
          <w:sz w:val="28"/>
          <w:sz w:val="28"/>
          <w:szCs w:val="28"/>
          <w:rtl w:val="true"/>
          <w:lang w:bidi="ar-SA"/>
        </w:rPr>
        <w:t>حتى يكون مجازا في السّليمة ، ولو سلّم فالمطلق ينصرف الى الفرد الكامل والشّائع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كانا منفيّين مع اتّحاد الموجب ، حكمه وجوب العمل بهما اتفاقا ، ومثّل له الأكثرون بقوله </w:t>
      </w:r>
      <w:r>
        <w:rPr>
          <w:rStyle w:val="FootnoteAnchor"/>
          <w:rtl w:val="true"/>
        </w:rPr>
        <w:footnoteReference w:id="637"/>
      </w:r>
      <w:r>
        <w:rPr>
          <w:rFonts w:ascii="Amiri" w:hAnsi="Amiri" w:eastAsia="Amiri" w:cs="Amiri"/>
          <w:color w:val="111111"/>
          <w:sz w:val="28"/>
          <w:sz w:val="28"/>
          <w:szCs w:val="28"/>
          <w:rtl w:val="true"/>
          <w:lang w:bidi="ar-SA"/>
        </w:rPr>
        <w:t xml:space="preserve">في كفّارة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 مكاتبا ، لا تعتق مكاتبا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تخصيص العامّ لا تقييد المطلق ، فإنّ النّكرة المنفيّة تفيد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وبدّله بعضهم </w:t>
      </w:r>
      <w:r>
        <w:rPr>
          <w:rStyle w:val="FootnoteAnchor"/>
          <w:rtl w:val="true"/>
        </w:rPr>
        <w:footnoteReference w:id="639"/>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 المكاتب ، لا تعتق المكاتب الكافر ، مع تقييده ذلك بعدم قصد الاستغراق ، بل جعله من العهد الذهني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معناه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مكاتبا ما من المكاتب ، على سبيل البدل والاحتمال من غير قصد الى الاستغراق ، ويكتفى لامتثاله بعدم عتق فرد واحد من المكاتب فقط ، ويحتمل حينئذ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مكاتبا كافرا ، بيان لهذا الفرد المنفي ، فمن أين يحصل الحكم بعدم إجزاء إعتاق المكاتب أصلا كما قالوا في حكم هذه المسألة سيّما مع اعتبار مفهوم الصّفة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 الإيراد عن مثال الأكثرين بإرادة الجنس ، فيكون التنوين تنوين التّمكن ، ويصحّ المثال الثاني أيضا بإرادة الماهيّة أيضا كما بيّنا سابقا </w:t>
      </w:r>
      <w:r>
        <w:rPr>
          <w:rStyle w:val="FootnoteAnchor"/>
          <w:rtl w:val="true"/>
        </w:rPr>
        <w:footnoteReference w:id="642"/>
      </w:r>
      <w:r>
        <w:rPr>
          <w:rFonts w:ascii="Amiri" w:hAnsi="Amiri" w:eastAsia="Amiri" w:cs="Amiri"/>
          <w:color w:val="111111"/>
          <w:sz w:val="28"/>
          <w:sz w:val="28"/>
          <w:szCs w:val="28"/>
          <w:rtl w:val="true"/>
          <w:lang w:bidi="ar-SA"/>
        </w:rPr>
        <w:t>، فلا حاجة الى جعله من باب العهد الذّهني ، مع أنّه أيضا في معنى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يدفع الإشكال ، مع أنّ التقييد بعدم قصد الاستغراق لا فائدة فيه ، إلّا أن يراد دفع توهّم أن يجعل 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يُحِبُّ كُلَّ مُخْتالٍ فَخُورٍ ،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وإلّا فاللّام داخل على المنفي ، والنفي إنّما يفيد نفي العموم لا عموم النفي ، فهو أوفق بالمطلق من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المورد </w:t>
      </w:r>
      <w:r>
        <w:rPr>
          <w:rStyle w:val="FootnoteAnchor"/>
          <w:rtl w:val="true"/>
        </w:rPr>
        <w:footnoteReference w:id="644"/>
      </w:r>
      <w:r>
        <w:rPr>
          <w:rFonts w:ascii="Amiri" w:hAnsi="Amiri" w:eastAsia="Amiri" w:cs="Amiri"/>
          <w:color w:val="111111"/>
          <w:sz w:val="28"/>
          <w:sz w:val="28"/>
          <w:szCs w:val="28"/>
          <w:rtl w:val="true"/>
          <w:lang w:bidi="ar-SA"/>
        </w:rPr>
        <w:t xml:space="preserve">من أنّ معناه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أنّ مكاتبا ما من المكاتب على سبيل البدل ، والاحتمال مورد للنهي ، ومتعلّق له مع وصف كونه محتملا ، فهو عين النّكرة المنفيّة المفيدة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بعد اختيار المكلّف تعيينه في ضمن فرد معيّن ، فهو ليس معنى هذا اللّفظ ، بل يحتاج الى تقدير وإضمار ، ومع ذلك فكيف يكون المقيّد بيانا له كما ذكره ، إذ البيان إنّما حصل باختيار المكلّف ذلك الفرد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جعله من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مِنْ أَقْصَى الْمَدِينَةِ ،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فهو مع ما فيه ممّا مرّ </w:t>
      </w:r>
      <w:r>
        <w:rPr>
          <w:rStyle w:val="FootnoteAnchor"/>
          <w:rtl w:val="true"/>
        </w:rPr>
        <w:footnoteReference w:id="646"/>
      </w:r>
      <w:r>
        <w:rPr>
          <w:rFonts w:ascii="Amiri" w:hAnsi="Amiri" w:eastAsia="Amiri" w:cs="Amiri"/>
          <w:color w:val="111111"/>
          <w:sz w:val="28"/>
          <w:sz w:val="28"/>
          <w:szCs w:val="28"/>
          <w:rtl w:val="true"/>
          <w:lang w:bidi="ar-SA"/>
        </w:rPr>
        <w:t xml:space="preserve">انّه ليس من موضوع المسألة في شيء فيه ، إنّ هذا ألصق بالمثال </w:t>
      </w:r>
    </w:p>
    <w:p>
      <w:pPr>
        <w:pStyle w:val="BookText"/>
        <w:rPr/>
      </w:pPr>
      <w:r>
        <w:rPr>
          <w:rFonts w:ascii="IRNazanin" w:hAnsi="IRNazanin" w:eastAsia="IRNazanin"/>
          <w:color w:val="111111"/>
          <w:sz w:val="28"/>
          <w:sz w:val="28"/>
          <w:szCs w:val="28"/>
          <w:rtl w:val="true"/>
          <w:lang w:bidi="fa-IR"/>
        </w:rPr>
        <w:t xml:space="preserve">المشهور </w:t>
      </w:r>
      <w:r>
        <w:rPr>
          <w:rStyle w:val="FootnoteAnchor"/>
          <w:rtl w:val="true"/>
        </w:rPr>
        <w:footnoteReference w:id="647"/>
      </w:r>
      <w:r>
        <w:rPr>
          <w:rFonts w:ascii="IRNazanin" w:hAnsi="IRNazanin" w:eastAsia="IRNazanin"/>
          <w:color w:val="111111"/>
          <w:sz w:val="28"/>
          <w:sz w:val="28"/>
          <w:szCs w:val="28"/>
          <w:rtl w:val="true"/>
          <w:lang w:bidi="fa-IR"/>
        </w:rPr>
        <w:t xml:space="preserve">من هذا المثال </w:t>
      </w:r>
      <w:r>
        <w:rPr>
          <w:rStyle w:val="FootnoteAnchor"/>
          <w:rtl w:val="true"/>
        </w:rPr>
        <w:footnoteReference w:id="648"/>
      </w:r>
      <w:r>
        <w:rPr>
          <w:rFonts w:ascii="Amiri" w:hAnsi="Amiri" w:eastAsia="Amiri" w:cs="Amiri"/>
          <w:color w:val="111111"/>
          <w:sz w:val="28"/>
          <w:sz w:val="28"/>
          <w:szCs w:val="28"/>
          <w:rtl w:val="true"/>
          <w:lang w:bidi="ar-SA"/>
        </w:rPr>
        <w:t>، فلا وجه للعدول عنه ، فبالضّرورة لا بدّ أن يكون مراد من بدّل المثال بذلك ،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ما ذكره </w:t>
      </w:r>
      <w:r>
        <w:rPr>
          <w:rStyle w:val="FootnoteAnchor"/>
          <w:rtl w:val="true"/>
        </w:rPr>
        <w:footnoteReference w:id="649"/>
      </w:r>
      <w:r>
        <w:rPr>
          <w:rFonts w:ascii="Amiri" w:hAnsi="Amiri" w:eastAsia="Amiri" w:cs="Amiri"/>
          <w:color w:val="111111"/>
          <w:sz w:val="28"/>
          <w:sz w:val="28"/>
          <w:szCs w:val="28"/>
          <w:rtl w:val="true"/>
          <w:lang w:bidi="ar-SA"/>
        </w:rPr>
        <w:t xml:space="preserve">لو أخرج النهي عن معناه الى معنى إثباتي مثل أن 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على الرّق مكاتبا ما ، وحينئذ يتمّ معنى المطلق ويكتفي في الامتثال بعدم عتق فرد واحد الى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خبير بأنّه خارج عن مقاصد الفروع وأغلب موارد الاستعمالات في الشّرع والعرف ، إذ المقصود </w:t>
      </w:r>
      <w:r>
        <w:rPr>
          <w:rStyle w:val="FootnoteAnchor"/>
          <w:rtl w:val="true"/>
        </w:rPr>
        <w:footnoteReference w:id="650"/>
      </w:r>
      <w:r>
        <w:rPr>
          <w:rFonts w:ascii="Amiri" w:hAnsi="Amiri" w:eastAsia="Amiri" w:cs="Amiri"/>
          <w:color w:val="111111"/>
          <w:sz w:val="28"/>
          <w:sz w:val="28"/>
          <w:szCs w:val="28"/>
          <w:rtl w:val="true"/>
          <w:lang w:bidi="ar-SA"/>
        </w:rPr>
        <w:t xml:space="preserve">من أمثال ذلك بيان مورد العتق لا بيان مورد إبقاء الرّق ، فالمقصود بالذّات عتق غير المكاتب لا إبقاء الرّق للمكاتب ، مع أنّ إرادة فرد ما بعد النهي بدون العموم ممّا يبعد فرضه غالبا ، إذ يصير المعنى حينئذ كون غير ذلك المنفي من الأفراد محكوما عليها بذلك الحكم ، فيكون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مكاتبا ، إمّا اعتق من عداهم من العبيد ، وهو وإن كان يتمّ في مثل هذا المثال لو كان مالكا لمكاتب ولغير مكاتب ، ولكن كيف يتمّ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الصّيد ، مثلا ، إذ حينئذ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صيدا ما ، إلّا أن يخرج أيضا الى المعنى الإثباتي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أصبتم صيودا فأبقوا منها واحدا ويجوز لكم قتل الباقي ، وهذا كلّه خارج عن العرف والعادة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الحكم بوجوب العمل بالمطلق والمقيّد هنا لا يتمّ إلّا بفرضهما عامّا وخاصّا ، والظاهر أنّ اتّفاقهم على ذلك مبنيّ على مثالهم المشهور ، وإلّا فعلى الفرض الذي ذكرنا من إرادة الماهيّة لا بشرط ، فيمكن الجمع بينهما بحمل المطلق </w:t>
      </w:r>
    </w:p>
    <w:p>
      <w:pPr>
        <w:pStyle w:val="BookText"/>
        <w:rPr/>
      </w:pPr>
      <w:r>
        <w:rPr>
          <w:rFonts w:ascii="Amiri" w:hAnsi="Amiri" w:eastAsia="Amiri" w:cs="Amiri"/>
          <w:color w:val="111111"/>
          <w:sz w:val="28"/>
          <w:sz w:val="28"/>
          <w:szCs w:val="28"/>
          <w:rtl w:val="true"/>
          <w:lang w:bidi="ar-SA"/>
        </w:rPr>
        <w:t>على المقيّد ، اللهمّ إلا أن يعتمد على الإجماع في ذلك ، بمعنى أن يكون ذلك كاشفا عن اصطلاح عند أهل العرف متّفقا عليه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الإجماع الفقهيّ فلا يخفى بعده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كانا مختلفين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ظاهرت فاعتق رقبة ، وإن ظاهرت فلا تعتق رقبة كافرة ، فحكمه حمل المطلق على المقيّد ، ووجهه ظاهر ممّا مرّ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كإطلاق الرّقبة في كفّارة الظّهار وتقييدها في كفّارة القتل ، فمذهب الأصحاب فيه عدم الحمل ، ولا فرق بين الأقسام المتصوّرة فيه من كونهما مثبتين أو منفيّين أو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مخالفونا ، فعن الحنفيّة المنع عنه مطلقا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أكثر الشافعيّة </w:t>
      </w:r>
      <w:r>
        <w:rPr>
          <w:rStyle w:val="FootnoteAnchor"/>
          <w:rtl w:val="true"/>
        </w:rPr>
        <w:footnoteReference w:id="655"/>
      </w:r>
      <w:r>
        <w:rPr>
          <w:rFonts w:ascii="Amiri" w:hAnsi="Amiri" w:eastAsia="Amiri" w:cs="Amiri"/>
          <w:color w:val="111111"/>
          <w:sz w:val="28"/>
          <w:sz w:val="28"/>
          <w:szCs w:val="28"/>
          <w:rtl w:val="true"/>
          <w:lang w:bidi="ar-SA"/>
        </w:rPr>
        <w:t xml:space="preserve">أنّه يحمل عليه إن اقتضاه القياس ووجد شرائطه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بعضهم الحمل مطلقا ، وحججهم واهية </w:t>
      </w:r>
      <w:r>
        <w:rPr>
          <w:rStyle w:val="FootnoteAnchor"/>
          <w:rtl w:val="true"/>
        </w:rPr>
        <w:footnoteReference w:id="657"/>
      </w:r>
      <w:r>
        <w:rPr>
          <w:rFonts w:ascii="Amiri" w:hAnsi="Amiri" w:eastAsia="Amiri" w:cs="Amiri"/>
          <w:color w:val="111111"/>
          <w:sz w:val="28"/>
          <w:sz w:val="28"/>
          <w:szCs w:val="28"/>
          <w:rtl w:val="true"/>
          <w:lang w:bidi="ar-SA"/>
        </w:rPr>
        <w:t>لا تليق بالذّكر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ما اختاره الأصحاب ، لعدم المقتضي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86" w:name="pg14071_148996"/>
    </w:p>
    <w:p>
      <w:pPr>
        <w:pStyle w:val="Heading2"/>
        <w:numPr>
          <w:ilvl w:val="1"/>
          <w:numId w:val="1"/>
        </w:numPr>
        <w:rPr/>
      </w:pPr>
      <w:bookmarkStart w:id="87" w:name="__RefHeading___Toc495051_1738255347"/>
      <w:bookmarkStart w:id="88" w:name="_Toc31"/>
      <w:bookmarkEnd w:id="86"/>
      <w:bookmarkEnd w:id="87"/>
      <w:r>
        <w:rPr>
          <w:rtl w:val="true"/>
        </w:rPr>
        <w:t xml:space="preserve">الباب الخامس </w:t>
      </w:r>
      <w:r>
        <w:rPr>
          <w:rtl w:val="true"/>
        </w:rPr>
        <w:t xml:space="preserve">: </w:t>
      </w:r>
      <w:r>
        <w:rPr>
          <w:rtl w:val="true"/>
        </w:rPr>
        <w:t>في المجمل والمبيّن والظاهر والمأوّل</w:t>
      </w:r>
      <w:bookmarkEnd w:id="88"/>
    </w:p>
    <w:p>
      <w:pPr>
        <w:pStyle w:val="Heading3"/>
        <w:numPr>
          <w:ilvl w:val="2"/>
          <w:numId w:val="1"/>
        </w:numPr>
        <w:rPr/>
      </w:pPr>
      <w:bookmarkStart w:id="89" w:name="__RefHeading___Toc495053_1738255347"/>
      <w:bookmarkStart w:id="90" w:name="_Toc32"/>
      <w:bookmarkEnd w:id="89"/>
      <w:r>
        <w:rPr>
          <w:rtl w:val="true"/>
        </w:rPr>
        <w:t>قانون</w:t>
      </w:r>
      <w:bookmarkEnd w:id="90"/>
    </w:p>
    <w:p>
      <w:pPr>
        <w:pStyle w:val="Heading4"/>
        <w:numPr>
          <w:ilvl w:val="3"/>
          <w:numId w:val="1"/>
        </w:numPr>
        <w:rPr/>
      </w:pPr>
      <w:bookmarkStart w:id="91" w:name="__RefHeading___Toc495055_1738255347"/>
      <w:bookmarkStart w:id="92" w:name="_Toc33"/>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دلالته غير واضحة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وأمّا اصطلاحا فعرّفه بعض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اللّفظ الذي لا يفهم منه عند الاطلاق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يعرف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الاجمال قد يكون أيضا بسبب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بأن يتردّد بين معنيين فصاعدا من معانيه ، وهو قد يكون فعلا وقد يكون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الفعل ، فحيث لم يقترن بما يدلّ على جهة وقوعه من الوجوب والنّدب وغيرهما ، كما إذا صلّى النبيّ صلى‌الله‌عليه‌وآله صلاة ولم يظهر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فهو إمّا مفرد أو مركّب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المفرد ، فإمّا إجماله بسبب تردّده بين المعاني بسبب الاشتراك اللّفظي في </w:t>
      </w:r>
    </w:p>
    <w:p>
      <w:pPr>
        <w:pStyle w:val="BookText"/>
        <w:rPr/>
      </w:pPr>
      <w:r>
        <w:rPr>
          <w:rFonts w:ascii="Amiri" w:hAnsi="Amiri" w:eastAsia="Amiri" w:cs="Amiri"/>
          <w:color w:val="111111"/>
          <w:sz w:val="28"/>
          <w:sz w:val="28"/>
          <w:szCs w:val="28"/>
          <w:rtl w:val="true"/>
          <w:lang w:bidi="ar-SA"/>
        </w:rPr>
        <w:t xml:space="preserve">أوّل الأمر كالقرء ، أو بسبب الإعلال كالمختار </w:t>
      </w:r>
      <w:r>
        <w:rPr>
          <w:rStyle w:val="FootnoteAnchor"/>
          <w:rtl w:val="true"/>
        </w:rPr>
        <w:footnoteReference w:id="660"/>
      </w:r>
      <w:r>
        <w:rPr>
          <w:rFonts w:ascii="Amiri" w:hAnsi="Amiri" w:eastAsia="Amiri" w:cs="Amiri"/>
          <w:color w:val="111111"/>
          <w:sz w:val="28"/>
          <w:sz w:val="28"/>
          <w:szCs w:val="28"/>
          <w:rtl w:val="true"/>
          <w:lang w:bidi="ar-SA"/>
        </w:rPr>
        <w:t xml:space="preserve">أو بسبب الاشتراك المعنوي وهو فيما لو أراد منه فردا معيّنا عنده ، غير معيّن عند المخاطب ، وذلك امّا في الإخبار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رَجُلٌ مِنْ أَقْصَى الْمَدِينَةِ ،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وامّا في الأوامر والأحكام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تَذْبَحُوا بَقَرَةً </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 إذا أريد بها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هذا ينظر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 والمقيّد بيان لا 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فيما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تأخير البيان عن وقت الخطاب فيما له ظاهر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ومرادهم ممّا له ظاهر ، هو الظاهر على الظاهر ، وفي النّظر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ومرادهم بكونه مبيّنا بالخاصّ المستلزم لإطلاق المجمل عليه ، هو المجمل في النّظر الثاني </w:t>
      </w:r>
      <w:r>
        <w:rPr>
          <w:rStyle w:val="FootnoteAnchor"/>
          <w:rtl w:val="true"/>
        </w:rPr>
        <w:footnoteReference w:id="664"/>
      </w:r>
      <w:r>
        <w:rPr>
          <w:rFonts w:ascii="Amiri" w:hAnsi="Amiri" w:eastAsia="Amiri" w:cs="Amiri"/>
          <w:color w:val="111111"/>
          <w:sz w:val="28"/>
          <w:sz w:val="28"/>
          <w:szCs w:val="28"/>
          <w:rtl w:val="true"/>
          <w:lang w:bidi="ar-SA"/>
        </w:rPr>
        <w:t>، فلا يتوهّم التناقض بين وصف العامّ بالمجمل والظاهر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مرادهم بكون العامّ والمطلق حينئذ مجملا ، وكون الخاصّ والمقيّد بيانا ، هو أنّ الخاصّ والمقيّد يكشفان عن أنّ مراد المتكلّم بالعامّ والمطلق كان فردا معيّنا عنده مبهما عند المخاطب ، وهذا هو الأكثري </w:t>
      </w:r>
      <w:r>
        <w:rPr>
          <w:rStyle w:val="FootnoteAnchor"/>
          <w:rtl w:val="true"/>
        </w:rPr>
        <w:footnoteReference w:id="665"/>
      </w:r>
      <w:r>
        <w:rPr>
          <w:rFonts w:ascii="Amiri" w:hAnsi="Amiri" w:eastAsia="Amiri" w:cs="Amiri"/>
          <w:color w:val="111111"/>
          <w:sz w:val="28"/>
          <w:sz w:val="28"/>
          <w:szCs w:val="28"/>
          <w:rtl w:val="true"/>
          <w:lang w:bidi="ar-SA"/>
        </w:rPr>
        <w:t xml:space="preserve">في الأحكام ، وإلّا فقد يقترن العامّ والمطلق بقرينة تدلّ على إرادة مرتبة خاصّة من العامّ وفرد خاصّ من المطلق ، ولكنّه لم يقترن ببيان تلك المرتبة ، فذلك مجمل في أوّل النّظر أيضا ، </w:t>
      </w:r>
    </w:p>
    <w:p>
      <w:pPr>
        <w:pStyle w:val="BookText"/>
        <w:rPr/>
      </w:pPr>
      <w:r>
        <w:rPr>
          <w:rFonts w:ascii="Amiri" w:hAnsi="Amiri" w:eastAsia="Amiri" w:cs="Amiri"/>
          <w:color w:val="111111"/>
          <w:sz w:val="28"/>
          <w:sz w:val="28"/>
          <w:szCs w:val="28"/>
          <w:rtl w:val="true"/>
          <w:lang w:bidi="ar-SA"/>
        </w:rPr>
        <w:t>ولكنّه مجاز حينئذ ، ولا يقال له أنّه ممّا له ظاهر ، فإنّ القرينة أخرجته من الظّهور في أوّل النّظر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يجعل من الإجمال باعتبار الاشتراك المعنوي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حَقَّهُ يَوْمَ حَصادِهِ ،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باعتبار إمكان صدق الحقّ على كلّ واحد من الأبعاض ، مع أنّ المراد هو العشر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 أنّه يرجع الى الإشارة الى القدر المخرج من المال الذي قدّره الشّارع مثل الزّكاة مثلا ، فالإجمال بسبب الاشتراك المعنوي إنّما هو فيما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قدرا من مالك ، وأراد قدرا معيّنا ولم يبيّن ، وأمّا إذا سمّى ذلك القدر بالحق ، فهاهنا الحق معيّن ، لأنّ المراد منه هو القدر المذكور ، فالإجمال في الحقّ إنّما هو باعتبار الإجمال في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الإجمال تردّد اللّفظ بين مجازاته إذا قام قرينة على نفي الحقيقة وتساوت مجازاته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المركّب </w:t>
      </w:r>
      <w:r>
        <w:rPr>
          <w:rStyle w:val="FootnoteAnchor"/>
          <w:rtl w:val="true"/>
        </w:rPr>
        <w:footnoteReference w:id="667"/>
      </w:r>
      <w:r>
        <w:rPr>
          <w:rFonts w:ascii="Amiri" w:hAnsi="Amiri" w:eastAsia="Amiri" w:cs="Amiri"/>
          <w:color w:val="111111"/>
          <w:sz w:val="28"/>
          <w:sz w:val="28"/>
          <w:szCs w:val="28"/>
          <w:rtl w:val="true"/>
          <w:lang w:bidi="ar-SA"/>
        </w:rPr>
        <w:t xml:space="preserve">، فإمّا أن يكون الإجمال فيه بجملته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يَعْفُوَا الَّذِي بِيَدِهِ عُقْدَةُ النِّكاحِ ،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المتردّد بين الزّوج ووليّ المرأة ، أو باعتبار تخصيصه بمخصّص مجهول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المشركين إلّا بعضهم ، مع إرادة البعض المعيّن ،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أُحِلَّتْ لَكُمْ بَهِيمَةُ الْأَنْعامِ إِلَّا ما يُتْلى عَلَيْكُمْ ،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ما </w:t>
      </w:r>
      <w:bookmarkStart w:id="93" w:name="pg14071_148999"/>
    </w:p>
    <w:p>
      <w:pPr>
        <w:pStyle w:val="BookText"/>
        <w:rPr/>
      </w:pPr>
      <w:bookmarkEnd w:id="93"/>
      <w:r>
        <w:rPr>
          <w:rFonts w:ascii="Amiri" w:hAnsi="Amiri" w:eastAsia="Amiri" w:cs="Amiri"/>
          <w:color w:val="111111"/>
          <w:sz w:val="28"/>
          <w:sz w:val="28"/>
          <w:szCs w:val="28"/>
          <w:rtl w:val="true"/>
          <w:lang w:bidi="ar-SA"/>
        </w:rPr>
        <w:t xml:space="preserve">وَراءَ ذلِكُمْ أَنْ تَبْتَغُوا بِأَمْوالِكُمْ مُحْصِنِينَ ،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لجهالة معنى الإحصان ، فإنّه قد يجيء بمعنى الحفظ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أَحْصَنَتْ فَرْجَها ،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وقد يجيء بمعنى التزوّج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الإجمال بسبب تردّد مرجع الضمير بأن يتقدّمه شيئان يحتمل رجوعه الى كلّ منهما </w:t>
      </w:r>
      <w:r>
        <w:rPr>
          <w:rStyle w:val="FootnoteAnchor"/>
          <w:rtl w:val="true"/>
        </w:rPr>
        <w:footnoteReference w:id="672"/>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عمروا أكرمته ، ومرجع الصّفة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طبيب ماهر ، لاحتمال كون المهارة في الطبّ أو لزيد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 فاعلم أنّ التكليف بالمجمل جائز عقلا ، واقع شرعا ، وتوهّم لزوم القبح لعدم الإفهام فاسد ، لأنّ ذلك إنّما يتمّ إذا كان وقت الحاجة والفائدة فيه قبل الحاجة ، الاستعداد والتهيّؤ للامتثال وتوطين النّفس ، ووقوعه في الآيات والأخبار أكثر من أن يحتاج الى الذّكر ، وقد سمعت بعضها وستسمع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هاهنا فروعا مهمّة </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495057_1738255347"/>
      <w:bookmarkStart w:id="95" w:name="_Toc34"/>
      <w:bookmarkEnd w:id="94"/>
      <w:r>
        <w:rPr>
          <w:rtl w:val="true"/>
        </w:rPr>
        <w:t xml:space="preserve">الأوّل </w:t>
      </w:r>
      <w:r>
        <w:rPr>
          <w:rtl w:val="true"/>
        </w:rPr>
        <w:t>:</w:t>
      </w:r>
      <w:bookmarkEnd w:id="9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أكثر الأصوليّين </w:t>
      </w:r>
      <w:r>
        <w:rPr>
          <w:rStyle w:val="FootnoteAnchor"/>
          <w:rtl w:val="true"/>
        </w:rPr>
        <w:footnoteReference w:id="673"/>
      </w:r>
      <w:r>
        <w:rPr>
          <w:rFonts w:ascii="Amiri" w:hAnsi="Amiri" w:eastAsia="Amiri" w:cs="Amiri"/>
          <w:color w:val="111111"/>
          <w:sz w:val="28"/>
          <w:sz w:val="28"/>
          <w:szCs w:val="28"/>
          <w:rtl w:val="true"/>
          <w:lang w:bidi="ar-SA"/>
        </w:rPr>
        <w:t xml:space="preserve">الى أنّه لا إجمال في آية السّرقة ، لا من جهة اليد ولا من جهة القطع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وذهب السيّد المرتضى رحمه‌الله </w:t>
      </w:r>
      <w:r>
        <w:rPr>
          <w:rStyle w:val="FootnoteAnchor"/>
          <w:rtl w:val="true"/>
        </w:rPr>
        <w:footnoteReference w:id="675"/>
      </w:r>
      <w:r>
        <w:rPr>
          <w:rFonts w:ascii="Amiri" w:hAnsi="Amiri" w:eastAsia="Amiri" w:cs="Amiri"/>
          <w:color w:val="111111"/>
          <w:sz w:val="28"/>
          <w:sz w:val="28"/>
          <w:szCs w:val="28"/>
          <w:rtl w:val="true"/>
          <w:lang w:bidi="ar-SA"/>
        </w:rPr>
        <w:t xml:space="preserve">وجماعة من العامّة الى إجمالها بسبب اشتراك اليد بين جملتها وبين كلّ واحد من أبعاضها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بإجمالها باعتبار القطع أيضا لاشتراكه بين الإبانة والجرح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السيّد مع تحرير منّي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اليد تطلق على الجملة وعلى كلّ بعض منه </w:t>
      </w:r>
      <w:r>
        <w:rPr>
          <w:rStyle w:val="FootnoteAnchor"/>
          <w:rtl w:val="true"/>
        </w:rPr>
        <w:footnoteReference w:id="677"/>
      </w:r>
      <w:r>
        <w:rPr>
          <w:rFonts w:ascii="Amiri" w:hAnsi="Amiri" w:eastAsia="Amiri" w:cs="Amiri"/>
          <w:color w:val="111111"/>
          <w:sz w:val="28"/>
          <w:sz w:val="28"/>
          <w:szCs w:val="28"/>
          <w:rtl w:val="true"/>
          <w:lang w:bidi="ar-SA"/>
        </w:rPr>
        <w:t xml:space="preserve">،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غوّصت يدي في الماء ، إذا غوّصه الى الأشاجع </w:t>
      </w:r>
      <w:r>
        <w:rPr>
          <w:rStyle w:val="FootnoteAnchor"/>
          <w:rtl w:val="true"/>
        </w:rPr>
        <w:footnoteReference w:id="678"/>
      </w:r>
      <w:r>
        <w:rPr>
          <w:rFonts w:ascii="Amiri" w:hAnsi="Amiri" w:eastAsia="Amiri" w:cs="Amiri"/>
          <w:color w:val="111111"/>
          <w:sz w:val="28"/>
          <w:sz w:val="28"/>
          <w:szCs w:val="28"/>
          <w:rtl w:val="true"/>
          <w:lang w:bidi="ar-SA"/>
        </w:rPr>
        <w:t>أو الى الزّند أو الى المرفق ، وأعطيته بيدي وكتبت بيدي ، مع أنّهما إنّما حصلا بالأنامل ، والاستعمال دليل الحقيقة ، فثبت الاشتراك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يجري مجرى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 كما ظنّه قوم ، لأنّ الإنسان يقع على جملة يختصّ كلّ بعض منها باسم ، من غير أن يقع إنسان على أبعاضها ، بخلاف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ذلك استدلال من يعتبر القطع أيضا في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أعمّ من الحقيقة كما مرّ مرارا ، والتبادر علامة الحقيقة ، والمتبادر من اليد إنّما هو المجموع الى المنكب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على ما ذكرنا أنّه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بيده وجع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من يده به وجع؟ لا أيّ يد منه به وجع؟ </w:t>
      </w:r>
    </w:p>
    <w:p>
      <w:pPr>
        <w:pStyle w:val="BookText"/>
        <w:rPr/>
      </w:pPr>
      <w:r>
        <w:rPr>
          <w:rFonts w:ascii="Amiri" w:hAnsi="Amiri" w:eastAsia="Amiri" w:cs="Amiri"/>
          <w:color w:val="111111"/>
          <w:sz w:val="28"/>
          <w:sz w:val="28"/>
          <w:szCs w:val="28"/>
          <w:rtl w:val="true"/>
          <w:lang w:bidi="ar-SA"/>
        </w:rPr>
        <w:t>نعم ، يصحّ الاستفهام بالنسبة الى اليمنى واليسرى ، فعلم أنّه موضوع للمفهوم الكلّي الذي مصداقه هو مجموع ذلك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لو كان اليد موضوعا لكلّ واحد من الأجزاء لصحّ الاستفهام بأنّه أيّ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القطع الإبانة </w:t>
      </w:r>
      <w:r>
        <w:rPr>
          <w:rStyle w:val="FootnoteAnchor"/>
          <w:rtl w:val="true"/>
        </w:rPr>
        <w:footnoteReference w:id="680"/>
      </w:r>
      <w:r>
        <w:rPr>
          <w:rFonts w:ascii="Amiri" w:hAnsi="Amiri" w:eastAsia="Amiri" w:cs="Amiri"/>
          <w:color w:val="111111"/>
          <w:sz w:val="28"/>
          <w:sz w:val="28"/>
          <w:szCs w:val="28"/>
          <w:rtl w:val="true"/>
          <w:lang w:bidi="ar-SA"/>
        </w:rPr>
        <w:t>، والمقايسة بالإنسان وتمثيله في مقابل اليد دون زيد ، لأنّ الإنسان لم يوضع إلّا للمفهوم الكلّي ، وإطلاقه على الشّخص من باب إطلاق الكلّيّ على الفرد ، فهو المناسب للمقايسة والتمثيل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أنّ كليهما مثل اليد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زيدا أو إنسانا ، وإنّما قبّل وجهه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أو إنسانا ، وإنّما ضرب رجله ، وهكذا ، بل الظاهر أنّ مرادهم في النّزاع في ذلك إنّما هو بعنوان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يجري في الرّجل والوجه والرأس والجسد واليوم واللّيل وغير ذلك ممّا يكون ذا أجزاء ، وكلّ جزء منه مسمّى باسم على حدة ، ويطلق اسم المجموع على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الكلّ ، أنّ الأسامي في الكلّ موضوعة للمجموع ، وإطلاقها على الأبعاض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هاهنا معنى دقيق خالجني في حلّ الإشكال في بعض موارد هذه المسألة ، وهو أنّهم اختلفوا في حقيقة اللّيل والنهار ، وطال التّشاجر بينهم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بين طلوع الفجر الثاني الى غروب الشمس</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طلوع الشمس الى الغروب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بالاشتراك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ما </w:t>
      </w:r>
    </w:p>
    <w:p>
      <w:pPr>
        <w:pStyle w:val="BookText"/>
        <w:rPr/>
      </w:pPr>
      <w:r>
        <w:rPr>
          <w:rFonts w:ascii="Amiri" w:hAnsi="Amiri" w:eastAsia="Amiri" w:cs="Amiri"/>
          <w:color w:val="111111"/>
          <w:sz w:val="28"/>
          <w:sz w:val="28"/>
          <w:szCs w:val="28"/>
          <w:rtl w:val="true"/>
          <w:lang w:bidi="ar-SA"/>
        </w:rPr>
        <w:t xml:space="preserve">بين الطلوعين واسطة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عندي القول الأوّل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اشتغل من أوّل طلوع الشمس الى الغروب بعمل فيصدق عليه أنّه عمل يوما حقيقة ، فلو صار أجير يوم برء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وقع مورد نذر ، وكذا لو دخل في بلد في أوّل طلوع الشمس يحسب ذلك اليوم من أيام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 أنّ هذا من خواصّ الإضافة لا أنّ المضاف إليه حقيقة في هذا القدر ، فهذا عمل يوم حقيقة وإقامة يوم حقيقة ، لا أنّه عمل في اليوم الحقيقي وإقامة في اليوم الحقيقي ، فهذا حقيقة عرفيّة للتركيب الإضافي ، ولذلك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ليلة في هذه الدّار ، ويراد منه القدر المتعارف بعد التعشّي والجلوس بعده ، وهو معنى حقيقي ، وعليه يتفرّع مقدار المضاجعة في قسم الزّوجة ، وهكذا في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ضرب زيدا ، فلا ريب أنّه حقيقة ، وإن كان الضرب وقع على بعض أعضائه ، وكذلك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زيدا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يده ورجله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يده عن جسده ، لا يتأمّل في أنّ المراد هو مجموع العضو الى المنكب </w:t>
      </w:r>
      <w:r>
        <w:rPr>
          <w:rStyle w:val="FootnoteAnchor"/>
          <w:rtl w:val="true"/>
        </w:rPr>
        <w:footnoteReference w:id="682"/>
      </w:r>
      <w:r>
        <w:rPr>
          <w:rFonts w:ascii="Amiri" w:hAnsi="Amiri" w:eastAsia="Amiri" w:cs="Amiri"/>
          <w:color w:val="111111"/>
          <w:sz w:val="28"/>
          <w:sz w:val="28"/>
          <w:szCs w:val="28"/>
          <w:rtl w:val="true"/>
          <w:lang w:bidi="ar-SA"/>
        </w:rPr>
        <w:t xml:space="preserve">، ولا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أبين كفّه أو ساعده أو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جسدك ، يفهم منه تمام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يد زيد أو جسد زيد أو ضرب على جسد زيد ، لا يفهم تمامه ، بل يكفي حصوله في الجملة ، ولذلك يحسن الاستفهام بأنّه في أيّ موضع منه ، لا أيّ يد ولا أيّ جسد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وجوهكم ، فيجب غسل تمام الوجه ، وكذلك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اغسلوا أيديكم ، لو لم يكن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الْمَرافِقِ ،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وكذلك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امسحوا 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اختلفوا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بِرُؤُسِكُمْ ،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مع ذكر الباء في كونه مجملا </w:t>
      </w:r>
      <w:r>
        <w:rPr>
          <w:rStyle w:val="FootnoteAnchor"/>
          <w:rtl w:val="true"/>
        </w:rPr>
        <w:footnoteReference w:id="685"/>
      </w:r>
      <w:r>
        <w:rPr>
          <w:rFonts w:ascii="IRNazanin" w:hAnsi="IRNazanin" w:eastAsia="IRNazanin"/>
          <w:color w:val="111111"/>
          <w:sz w:val="28"/>
          <w:sz w:val="28"/>
          <w:szCs w:val="28"/>
          <w:rtl w:val="true"/>
          <w:lang w:bidi="fa-IR"/>
        </w:rPr>
        <w:t>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قد تخلّصنا عن الإجمال ببيان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الباء للتبعيض بالنصّ الصّحيح</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الناس فيه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الحنفيّة </w:t>
      </w:r>
      <w:r>
        <w:rPr>
          <w:rStyle w:val="FootnoteAnchor"/>
          <w:rtl w:val="true"/>
        </w:rPr>
        <w:footnoteReference w:id="687"/>
      </w:r>
      <w:r>
        <w:rPr>
          <w:rFonts w:ascii="Amiri" w:hAnsi="Amiri" w:eastAsia="Amiri" w:cs="Amiri"/>
          <w:color w:val="111111"/>
          <w:sz w:val="28"/>
          <w:sz w:val="28"/>
          <w:szCs w:val="28"/>
          <w:rtl w:val="true"/>
          <w:lang w:bidi="ar-SA"/>
        </w:rPr>
        <w:t>الى أنّها مجملة وبيّنها النبيّ صلى‌الله‌عليه‌وآله بمسح ناصيته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 أنّ الباء إذا دخلت في محلّ المسح تعدّى الفعل </w:t>
      </w:r>
    </w:p>
    <w:p>
      <w:pPr>
        <w:pStyle w:val="BookText"/>
        <w:rPr/>
      </w:pPr>
      <w:r>
        <w:rPr>
          <w:rFonts w:ascii="Amiri" w:hAnsi="Amiri" w:eastAsia="Amiri" w:cs="Amiri"/>
          <w:color w:val="111111"/>
          <w:sz w:val="28"/>
          <w:sz w:val="28"/>
          <w:szCs w:val="28"/>
          <w:rtl w:val="true"/>
          <w:lang w:bidi="ar-SA"/>
        </w:rPr>
        <w:t xml:space="preserve">الى الآلة فيستوعبها دون المحلّ كما في الآية ، وإذا دخلت في آلة المسح تعدّى الفعل الى محلّه فيستوعبه دون الآلة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رأس اليتيم بيدي ، وموجب ذلك في الآية مسح بعض الرأس ، والبعض يحتمل السّدس والرّبع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مطلق البعض ومسمّاه وهو يحصل في ضمن أيّ الأبعاض اختاره ، فلا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منهم الى وجوب مسح الكلّ </w:t>
      </w:r>
      <w:r>
        <w:rPr>
          <w:rStyle w:val="FootnoteAnchor"/>
          <w:rtl w:val="true"/>
        </w:rPr>
        <w:footnoteReference w:id="688"/>
      </w:r>
      <w:r>
        <w:rPr>
          <w:rFonts w:ascii="Amiri" w:hAnsi="Amiri" w:eastAsia="Amiri" w:cs="Amiri"/>
          <w:color w:val="111111"/>
          <w:sz w:val="28"/>
          <w:sz w:val="28"/>
          <w:szCs w:val="28"/>
          <w:rtl w:val="true"/>
          <w:lang w:bidi="ar-SA"/>
        </w:rPr>
        <w:t>لمنعهم مجيء الباء للتبعيض ، ويقولون انّه للإلصاق ، والعضو حقيقة في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بعضهم الى القدر المشترك لمجيئها لكلا المعنيين ، والمجاز والاشتراك خلاف الأصل فتعيّن القدر المشترك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ووافقنا جماعة منهم </w:t>
      </w:r>
      <w:r>
        <w:rPr>
          <w:rStyle w:val="FootnoteAnchor"/>
          <w:rtl w:val="true"/>
        </w:rPr>
        <w:footnoteReference w:id="690"/>
      </w:r>
      <w:r>
        <w:rPr>
          <w:rFonts w:ascii="Amiri" w:hAnsi="Amiri" w:eastAsia="Amiri" w:cs="Amiri"/>
          <w:color w:val="111111"/>
          <w:sz w:val="28"/>
          <w:sz w:val="28"/>
          <w:szCs w:val="28"/>
          <w:rtl w:val="true"/>
          <w:lang w:bidi="ar-SA"/>
        </w:rPr>
        <w:t xml:space="preserve">بأنّها للتبعيض ، مدّعين أنّها إذا دخلت على اللّازم كانت للتعدية ، وإذا دخلت على المتعدّي كانت للتبعيض ، ولأنّ العرف إنّما يفهم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يدي بالمنديل ،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 وبأنّ الباء في المنديل للاستعانة والآليّة وهو يقتضي ذلك ، بخلاف ما نحن فيه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مجيئه للتبعيض كما هو مذهب الكوفيين ، ونصّ الأصمعي على مجيئها له في نظمهم ونثرهم ، وهو المنقول عن أبي علي الفارسي وابن كيسان ، وعدّه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من معانيه ، وكذلك ابن هشام في </w:t>
      </w:r>
      <w:bookmarkStart w:id="96" w:name="pg14071_149005"/>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 فلا عبرة بإنكار سيبويه وابن جنّي </w:t>
      </w:r>
      <w:r>
        <w:rPr>
          <w:rStyle w:val="FootnoteAnchor"/>
          <w:rtl w:val="true"/>
        </w:rPr>
        <w:footnoteReference w:id="693"/>
      </w:r>
      <w:r>
        <w:rPr>
          <w:rFonts w:ascii="Amiri" w:hAnsi="Amiri" w:eastAsia="Amiri" w:cs="Amiri"/>
          <w:color w:val="111111"/>
          <w:sz w:val="28"/>
          <w:sz w:val="28"/>
          <w:szCs w:val="28"/>
          <w:rtl w:val="true"/>
          <w:lang w:bidi="ar-SA"/>
        </w:rPr>
        <w:t xml:space="preserve">ذلك مع أنّ الشهادة على الإثبات مقدّم ، ومع جميع ذلك فصحيحة زرارة عن أبي جعفر عليه‌السلام </w:t>
      </w:r>
      <w:r>
        <w:rPr>
          <w:rStyle w:val="FootnoteAnchor"/>
          <w:rtl w:val="true"/>
        </w:rPr>
        <w:footnoteReference w:id="694"/>
      </w:r>
      <w:r>
        <w:rPr>
          <w:rFonts w:ascii="Amiri" w:hAnsi="Amiri" w:eastAsia="Amiri" w:cs="Amiri"/>
          <w:color w:val="111111"/>
          <w:sz w:val="28"/>
          <w:sz w:val="28"/>
          <w:szCs w:val="28"/>
          <w:rtl w:val="true"/>
          <w:lang w:bidi="ar-SA"/>
        </w:rPr>
        <w:t>ناطقة بذلك</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495059_1738255347"/>
      <w:bookmarkStart w:id="98" w:name="_Toc35"/>
      <w:bookmarkEnd w:id="97"/>
      <w:r>
        <w:rPr>
          <w:rtl w:val="true"/>
        </w:rPr>
        <w:t xml:space="preserve">الثاني </w:t>
      </w:r>
      <w:r>
        <w:rPr>
          <w:rtl w:val="true"/>
        </w:rPr>
        <w:t>:</w:t>
      </w:r>
      <w:bookmarkEnd w:id="98"/>
    </w:p>
    <w:p>
      <w:pPr>
        <w:pStyle w:val="BookText"/>
        <w:rPr/>
      </w:pPr>
      <w:r>
        <w:rPr>
          <w:rFonts w:ascii="Amiri" w:hAnsi="Amiri" w:eastAsia="Amiri" w:cs="Amiri"/>
          <w:color w:val="111111"/>
          <w:sz w:val="28"/>
          <w:sz w:val="28"/>
          <w:szCs w:val="28"/>
          <w:rtl w:val="true"/>
          <w:lang w:bidi="ar-SA"/>
        </w:rPr>
        <w:t xml:space="preserve">اختلفوا في نحو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صيام لمن لم يبت </w:t>
      </w:r>
      <w:r>
        <w:rPr>
          <w:rStyle w:val="FootnoteAnchor"/>
          <w:rtl w:val="true"/>
        </w:rPr>
        <w:footnoteReference w:id="697"/>
      </w:r>
      <w:r>
        <w:rPr>
          <w:rFonts w:ascii="Amiri" w:hAnsi="Amiri" w:eastAsia="Amiri" w:cs="Amiri"/>
          <w:color w:val="111111"/>
          <w:sz w:val="28"/>
          <w:sz w:val="28"/>
          <w:szCs w:val="28"/>
          <w:rtl w:val="true"/>
          <w:lang w:bidi="ar-SA"/>
        </w:rPr>
        <w:t>الصيام من اللّيل</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ممّا نفي فيه الفعل ظاهرا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نفي صفة من صفاته هل هو مجمل أم لا؟ على أقوال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الفعل المنفيّ شرعيّا كالصّلاة والصّيام ، أو لغويّا ذا حكم واحد فلا إجمال ، وإن كان لغويّا له أكثر من معنى فهو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عدم الإجمال كما اختاره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عليه بما تحريره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المنفيّ في هذه التراكيب إن كان من قبيل العبادات ، وقلنا بأنّها حقيقة شرعيّة في الصحيحة منها ، فحينئذ يصحّ نفي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 التركيب على الحقيقة اللّغوية لعدم منافاة وجود عامّة أركان الصلاة التي يطلق عليها الصلاة حقيقة على القول بكونها أسامي للأعمّ ، لنفي اسم الصلاة حقيقة عنها على هذا القول </w:t>
      </w:r>
      <w:r>
        <w:rPr>
          <w:rStyle w:val="FootnoteAnchor"/>
          <w:rtl w:val="true"/>
        </w:rPr>
        <w:footnoteReference w:id="701"/>
      </w:r>
      <w:r>
        <w:rPr>
          <w:rFonts w:ascii="Amiri" w:hAnsi="Amiri" w:eastAsia="Amiri" w:cs="Amiri"/>
          <w:color w:val="111111"/>
          <w:sz w:val="28"/>
          <w:sz w:val="28"/>
          <w:szCs w:val="28"/>
          <w:rtl w:val="true"/>
          <w:lang w:bidi="ar-SA"/>
        </w:rPr>
        <w:t>، وحينئذ فإذا صحّ الحمل على المعنى الحقيقي فنحملها عليه ، إذ المانع عنه لم يكن إلّا عدم الإمكان باعتبار وجود الأركان في الجملة ، وقد انتفى اعتبار ذلك على هذا القول ، فإذا صحّ الحمل على نفي الذّات ، فيعلم أنّ ذلك بسببه ، كون ما فقد مع تلك الأركان من مثل الطهور والفاتحة شرطا أو جزء ، وإلّا لما صحّ نفي الذّات ، فعلم بذلك النفي كونهما شرطا أو جزء أيضا ، فينتفي الإجمال فلا إجمال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من قبيل العبادات </w:t>
      </w:r>
      <w:r>
        <w:rPr>
          <w:rStyle w:val="FootnoteAnchor"/>
          <w:rtl w:val="true"/>
        </w:rPr>
        <w:footnoteReference w:id="702"/>
      </w:r>
      <w:r>
        <w:rPr>
          <w:rFonts w:ascii="Amiri" w:hAnsi="Amiri" w:eastAsia="Amiri" w:cs="Amiri"/>
          <w:color w:val="111111"/>
          <w:sz w:val="28"/>
          <w:sz w:val="28"/>
          <w:szCs w:val="28"/>
          <w:rtl w:val="true"/>
          <w:lang w:bidi="ar-SA"/>
        </w:rPr>
        <w:t xml:space="preserve">أو كان ولم نقل بكونها حقائق في الصحيحة ، </w:t>
      </w:r>
    </w:p>
    <w:p>
      <w:pPr>
        <w:pStyle w:val="BookText"/>
        <w:rPr/>
      </w:pPr>
      <w:r>
        <w:rPr>
          <w:rFonts w:ascii="Amiri" w:hAnsi="Amiri" w:eastAsia="Amiri" w:cs="Amiri"/>
          <w:color w:val="111111"/>
          <w:sz w:val="28"/>
          <w:sz w:val="28"/>
          <w:szCs w:val="28"/>
          <w:rtl w:val="true"/>
          <w:lang w:bidi="ar-SA"/>
        </w:rPr>
        <w:t xml:space="preserve">بل تكون حقيقة في الأعمّ ، فإن قلنا بثبوت معنى عرفي لهذه التراكيب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أمثالها نفي الفائدة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إلّا ما نفع ، ولا كلام إلّا ما أفاد ، فيحمل عليه ويعبّر عن الفائدة بالصّحة إذا كان في مثل العبادات ، إذ الصّحة هو ترتّب الأثر وهو مساوق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نقل بثبوت ذلك ، فالأمر متردّد فيها بين أن يكون المراد نفي الفائدة أو نفي الكمال ، وإذا تردّد الأمر بين هذين المجازين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الفائدة ، والصّحة أقرب الى الحقيقة من نفي الكمال ، فيحمل عليه فلا إجمال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حقّقنا في أوائل الكتاب </w:t>
      </w:r>
      <w:r>
        <w:rPr>
          <w:rStyle w:val="FootnoteAnchor"/>
          <w:rtl w:val="true"/>
        </w:rPr>
        <w:footnoteReference w:id="703"/>
      </w:r>
      <w:r>
        <w:rPr>
          <w:rFonts w:ascii="Amiri" w:hAnsi="Amiri" w:eastAsia="Amiri" w:cs="Amiri"/>
          <w:color w:val="111111"/>
          <w:sz w:val="28"/>
          <w:sz w:val="28"/>
          <w:szCs w:val="28"/>
          <w:rtl w:val="true"/>
          <w:lang w:bidi="ar-SA"/>
        </w:rPr>
        <w:t>تعرف أنّه لا حاجة إلى إقحام كونها حقيقة شرعيّة في الصحيحة ، بل يكفي إرادة الشارع من الأركان المخترعة الصحيحة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التمسّك بأقربيّة المجاز ليس من باب إثبات اللّغة بالترجيح ، بل من باب تعيين أحد المجازات بكثرة التعارف ، ولذلك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العدم إذا كان بلا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بكثرة التعارف كثرة إرادة هذا المجاز وظهوره في العرف ، لا صيرورتها حقيقة فيه ليناقض ما تقدّم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القائل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العرف في نفي الصّحة والكمال وتردّده ، فيلزم الإجمال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أنّ أهل العرف مختلفون في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يدّعي ظهور هذا وبعضهم ظهور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إجمال عند أحد منهم ، وكلّ يحمل على ما يفهمه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أنّ أهلّ العرف متردّدون ، بمعنى عدم استقرار رأي أحدهم على شيء لتساوي الاحتمالين في كل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التردّد ، وإن سلّم فهو في البادئ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التأمّل ، فنفي الصحّة أرجح لكونه أقرب الى الحقيقة ، فيقدّم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أنّ الألفاظ مختلفة في الفهم ، فيفهم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 نفي الكمال ، ومن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الصّحة </w:t>
      </w:r>
      <w:r>
        <w:rPr>
          <w:rStyle w:val="FootnoteAnchor"/>
          <w:rtl w:val="true"/>
        </w:rPr>
        <w:footnoteReference w:id="708"/>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بل الظاهر في الكلّ نفي الصّحة ، والإجماع وسائر الأدلّة هو المخرج عن مقتضى الظاهر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حجّة المفصّل وجوابها ممّا تقدّم </w:t>
      </w:r>
      <w:r>
        <w:rPr>
          <w:rStyle w:val="FootnoteAnchor"/>
          <w:rtl w:val="true"/>
        </w:rPr>
        <w:footnoteReference w:id="709"/>
      </w:r>
      <w:r>
        <w:rPr>
          <w:rFonts w:ascii="Amiri" w:hAnsi="Amiri" w:eastAsia="Amiri" w:cs="Amiri"/>
          <w:color w:val="111111"/>
          <w:sz w:val="28"/>
          <w:sz w:val="28"/>
          <w:szCs w:val="28"/>
          <w:rtl w:val="true"/>
          <w:lang w:bidi="ar-SA"/>
        </w:rPr>
        <w:t>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المفصّل ممّن يدّعي كون الألفاظ الشرعيّة كلّها حقيقة في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اختلفوا في التحليل والتحريم المضافين الى الأعيان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أُمَّهاتُكُمْ وَبَناتُكُمْ وَأَخَواتُكُمْ ، </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الْمَيْتَةُ وَالدَّمُ وَلَحْمُ الْخِنْزِيرِ ، </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أُحِلَّتْ لَكُمْ بَهِيمَةُ الْأَنْعامِ ، </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ما وَراءَ </w:t>
      </w:r>
    </w:p>
    <w:p>
      <w:pPr>
        <w:pStyle w:val="BookText"/>
        <w:rPr/>
      </w:pPr>
      <w:r>
        <w:rPr>
          <w:rFonts w:ascii="Amiri" w:hAnsi="Amiri" w:eastAsia="Amiri" w:cs="Amiri"/>
          <w:color w:val="111111"/>
          <w:sz w:val="28"/>
          <w:sz w:val="28"/>
          <w:szCs w:val="28"/>
          <w:rtl w:val="true"/>
          <w:lang w:bidi="ar-SA"/>
        </w:rPr>
        <w:t xml:space="preserve">ذلِكُمْ ، </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وَالطَّيِّباتِ مِنَ الرِّزْقِ ، </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وغير ذلك ، وكذلك غير لفظ الحلّ والحرمة من الأحكام ، والأكثر على عدم الإجمال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واحتجّوا عليه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استقراء كلام العرب يفيد أنّ في مثل ذلك ، المراد هو الفعل المقصود من ذلك ، كالأكل من المأكول ، والشرب من المشروب ، واللّبس من الملبوس والوطء من الموطوء ، وأنت خبير بأنّ المقامات في أمثال ذلك مختلفة ، إذ الشيء قد يتّصف بكونه مأكولا وبكونه مبيعا وبكونه مشترى ، وهكذا المشروب فقد يقصد بالخمر الشّرب وقد يقصد البيع وقد يقصد الشّرى وغير ذلك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قد يكون الشيء الواحد مشتملا على أشياء كالميتة المشتملة على اللّحم والشّحم والإهاب </w:t>
      </w:r>
      <w:r>
        <w:rPr>
          <w:rStyle w:val="FootnoteAnchor"/>
          <w:rtl w:val="true"/>
        </w:rPr>
        <w:footnoteReference w:id="717"/>
      </w:r>
      <w:r>
        <w:rPr>
          <w:rFonts w:ascii="Amiri" w:hAnsi="Amiri" w:eastAsia="Amiri" w:cs="Amiri"/>
          <w:color w:val="111111"/>
          <w:sz w:val="28"/>
          <w:sz w:val="28"/>
          <w:szCs w:val="28"/>
          <w:rtl w:val="true"/>
          <w:lang w:bidi="ar-SA"/>
        </w:rPr>
        <w:t>والعظم والصّوف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الإهاب قد يكون هو </w:t>
      </w:r>
    </w:p>
    <w:p>
      <w:pPr>
        <w:pStyle w:val="BookText"/>
        <w:rPr/>
      </w:pPr>
      <w:r>
        <w:rPr>
          <w:rFonts w:ascii="Amiri" w:hAnsi="Amiri" w:eastAsia="Amiri" w:cs="Amiri"/>
          <w:color w:val="111111"/>
          <w:sz w:val="28"/>
          <w:sz w:val="28"/>
          <w:szCs w:val="28"/>
          <w:rtl w:val="true"/>
          <w:lang w:bidi="ar-SA"/>
        </w:rPr>
        <w:t>اللّبس وقد يكون هو الاستسقاء به وغير ذلك ، فلا بدّ من ملاحظة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فإرادة المنكوح والموطوء من الأمهات والبنات ونحوها ، والقول بأنّ المقصود منها ذلك لا معنى له إلّا بإرادة بعض النسوان </w:t>
      </w:r>
      <w:r>
        <w:rPr>
          <w:rStyle w:val="FootnoteAnchor"/>
          <w:rtl w:val="true"/>
        </w:rPr>
        <w:footnoteReference w:id="718"/>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مقابلة المرأة بالرّجل وخلقة النسوان </w:t>
      </w:r>
      <w:r>
        <w:rPr>
          <w:rStyle w:val="FootnoteAnchor"/>
          <w:rtl w:val="true"/>
        </w:rPr>
        <w:footnoteReference w:id="719"/>
      </w:r>
      <w:r>
        <w:rPr>
          <w:rFonts w:ascii="Amiri" w:hAnsi="Amiri" w:eastAsia="Amiri" w:cs="Amiri"/>
          <w:color w:val="111111"/>
          <w:sz w:val="28"/>
          <w:sz w:val="28"/>
          <w:szCs w:val="28"/>
          <w:rtl w:val="true"/>
          <w:lang w:bidi="ar-SA"/>
        </w:rPr>
        <w:t xml:space="preserve">يصحّح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المتعارف منها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عنوان الأم والبنت بدون قرينة على أنّ ذكرها في مقام بيان المحرّمات والمحلّلات من حيث النكاح ، فيشكل دعوى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الميتة في مقام لم يظهر قرينة على أنّ المراد بيان المأكولات ، فالاستصباح والأكل واتّخاذ الصّابون بالنسبة الى الشّحم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عليكم شحوم الميتة ، فلا يخفى أنّ الإجمال ثابت ، ولا كلام فيما ظهر من القرائن إرادة فرد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 المنكر هو عدم دلالة اللّفظ بالذّات على شيء مع تعدّد الأفعال ، لا في مثل آية التحريم المنادية بأنّ المراد بيان من يجوز نكاحها من النساء ومن لا يجوز ، ولا ريب أنّ الإجمال فيما لا قرينة فيه ثابت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دفع الإجمال في أمثال ذلك بحملها على الجميع ، لئلّا يلزم القبيح في كلام الحكيم وعراه عن الفائدة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واحتجّ القائل بالإجمال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تحريم العين غير معقول فلا بدّ من إضمار فعل يصلح متعلّقا له ، لأنّ الأحكام إنّما تتعلّق بأفعال المكلّفين ولا يمكن إضمار كلّ الأفعال المتعلّقة بها ، لأنّ الإضمار خلاف الأصل ، فلا يرتكب إلّا بقدر الضّرورة ، وهي ترتفع بإضمار البعض ، ولا دليل على خصوصيّة شيء منها ، فيقع الإجمال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وأجابوا عنه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الدّليل على الخصوصيّة ، لأنّ ظهور ما هو المقصود منه في العرف يرجّح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w:t>
      </w:r>
      <w:r>
        <w:rPr>
          <w:rStyle w:val="FootnoteAnchor"/>
          <w:rtl w:val="true"/>
        </w:rPr>
        <w:footnoteReference w:id="722"/>
      </w:r>
      <w:r>
        <w:rPr>
          <w:rFonts w:ascii="Amiri" w:hAnsi="Amiri" w:eastAsia="Amiri" w:cs="Amiri"/>
          <w:color w:val="111111"/>
          <w:sz w:val="28"/>
          <w:sz w:val="28"/>
          <w:szCs w:val="28"/>
          <w:rtl w:val="true"/>
          <w:lang w:bidi="ar-SA"/>
        </w:rPr>
        <w:t>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لم يثبت من الخارج مرجّح لأحد المعاني فنحملها على الجميع ، إذ قد لا يرتفع الضّرورة إلّا بذلك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يرتفع بإضمار البعض ، مطلقا ممنوع</w:t>
      </w:r>
      <w:r>
        <w:rPr>
          <w:rFonts w:eastAsia="Amiri" w:cs="Amiri" w:ascii="Amiri" w:hAnsi="Amiri"/>
          <w:color w:val="111111"/>
          <w:sz w:val="28"/>
          <w:szCs w:val="28"/>
          <w:rtl w:val="true"/>
          <w:lang w:bidi="ar-SA"/>
        </w:rPr>
        <w:t xml:space="preserve">. </w:t>
      </w:r>
      <w:bookmarkStart w:id="99" w:name="pg14071_149012"/>
    </w:p>
    <w:p>
      <w:pPr>
        <w:pStyle w:val="Heading3"/>
        <w:numPr>
          <w:ilvl w:val="2"/>
          <w:numId w:val="1"/>
        </w:numPr>
        <w:rPr/>
      </w:pPr>
      <w:bookmarkStart w:id="100" w:name="__RefHeading___Toc495061_1738255347"/>
      <w:bookmarkStart w:id="101" w:name="_Toc36"/>
      <w:bookmarkEnd w:id="99"/>
      <w:bookmarkEnd w:id="100"/>
      <w:r>
        <w:rPr>
          <w:rtl w:val="true"/>
        </w:rPr>
        <w:t>قانون</w:t>
      </w:r>
      <w:bookmarkEnd w:id="101"/>
    </w:p>
    <w:p>
      <w:pPr>
        <w:pStyle w:val="BookText"/>
        <w:rPr/>
      </w:pPr>
      <w:r>
        <w:rPr>
          <w:rFonts w:ascii="Amiri" w:hAnsi="Amiri" w:eastAsia="Amiri" w:cs="Amiri"/>
          <w:color w:val="111111"/>
          <w:sz w:val="28"/>
          <w:sz w:val="28"/>
          <w:szCs w:val="28"/>
          <w:rtl w:val="true"/>
          <w:lang w:bidi="ar-SA"/>
        </w:rPr>
        <w:t xml:space="preserve">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المجمل ، فهو ما دلالته على المراد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قد يكون بيّنا بنفسه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بِكُلِّ شَيْءٍ عَلِيمٌ</w:t>
      </w:r>
      <w:r>
        <w:rPr>
          <w:rFonts w:eastAsia="Amiri" w:cs="Amiri" w:ascii="Amiri" w:hAnsi="Amiri"/>
          <w:color w:val="111111"/>
          <w:sz w:val="28"/>
          <w:szCs w:val="28"/>
          <w:rtl w:val="true"/>
          <w:lang w:bidi="ar-SA"/>
        </w:rPr>
        <w:t xml:space="preserve">. ) </w:t>
      </w:r>
      <w:r>
        <w:rPr>
          <w:rStyle w:val="FootnoteAnchor"/>
          <w:rtl w:val="true"/>
        </w:rPr>
        <w:footnoteReference w:id="724"/>
      </w:r>
      <w:r>
        <w:rPr>
          <w:rFonts w:ascii="Amiri" w:hAnsi="Amiri" w:eastAsia="Amiri" w:cs="Amiri"/>
          <w:color w:val="111111"/>
          <w:sz w:val="28"/>
          <w:sz w:val="28"/>
          <w:szCs w:val="28"/>
          <w:rtl w:val="true"/>
          <w:lang w:bidi="ar-SA"/>
        </w:rPr>
        <w:t>فإنّ إفادته لشمول علمه تعالى لجميع الأشياء بنفس اللّغة لا بشيء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المثال تأمّل ، إذ العامّ ظاهر في الشّمول وليس بنصّ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انضمام الخارج إليه يصير نصّا ، لكنّه ليس مقتضى اللّغة ، وقد مرّ في الفرق بين النصّ والظّاهر في محلّه </w:t>
      </w:r>
      <w:r>
        <w:rPr>
          <w:rStyle w:val="FootnoteAnchor"/>
          <w:rtl w:val="true"/>
        </w:rPr>
        <w:footnoteReference w:id="725"/>
      </w:r>
      <w:r>
        <w:rPr>
          <w:rFonts w:ascii="Amiri" w:hAnsi="Amiri" w:eastAsia="Amiri" w:cs="Amiri"/>
          <w:color w:val="111111"/>
          <w:sz w:val="28"/>
          <w:sz w:val="28"/>
          <w:szCs w:val="28"/>
          <w:rtl w:val="true"/>
          <w:lang w:bidi="ar-SA"/>
        </w:rPr>
        <w:t>ما ينفعك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مع تقدّم إجمال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بعد حصول البيان بفعله </w:t>
      </w:r>
      <w:r>
        <w:rPr>
          <w:rStyle w:val="FootnoteAnchor"/>
          <w:rtl w:val="true"/>
        </w:rPr>
        <w:footnoteReference w:id="727"/>
      </w:r>
      <w:r>
        <w:rPr>
          <w:rFonts w:ascii="Amiri" w:hAnsi="Amiri" w:eastAsia="Amiri" w:cs="Amiri"/>
          <w:color w:val="111111"/>
          <w:sz w:val="28"/>
          <w:sz w:val="28"/>
          <w:szCs w:val="28"/>
          <w:rtl w:val="true"/>
          <w:lang w:bidi="ar-SA"/>
        </w:rPr>
        <w:t xml:space="preserve">عليه الصلاة والسلام ، والعامّ المخصّص وغيرهما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وتسمية القسم الأوّل بالمبيّن إمّا مسامحة ، وإمّا لأنّه من باب ضيّق فم الركيّة </w:t>
      </w:r>
      <w:r>
        <w:rPr>
          <w:rStyle w:val="FootnoteAnchor"/>
          <w:rtl w:val="true"/>
        </w:rPr>
        <w:footnoteReference w:id="729"/>
      </w:r>
      <w:r>
        <w:rPr>
          <w:rFonts w:ascii="Amiri" w:hAnsi="Amiri" w:eastAsia="Amiri" w:cs="Amiri"/>
          <w:color w:val="111111"/>
          <w:sz w:val="28"/>
          <w:sz w:val="28"/>
          <w:szCs w:val="28"/>
          <w:rtl w:val="true"/>
          <w:lang w:bidi="ar-SA"/>
        </w:rPr>
        <w:t>، فإنّ أهل اللّغة وضعوه مبيّنا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والبيان مأخوذ من بان بمعنى ظهر ، أو من البين وهو الفرقة بين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المراد به فعل المبيّن ، وهو التبيين كالكلام بمعنى التكليم والسّلام بمعنى التسليم ، وإمّا الدّليل على ذلك أي ما به التبيين ، وإمّا متعلّق التبيين وهو المدلول ، ومعناه حينئذ العلم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يسمّى ما به البيان مبيّنا على لفظ الفاعل وهو يحصل بالقول إجماعا ، وبالفعل على الأقوى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فمن الله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صَفْراءُ فاقِعٌ لَوْنُها </w:t>
      </w:r>
      <w:r>
        <w:rPr>
          <w:rFonts w:eastAsia="Amiri" w:cs="Amiri" w:ascii="Amiri" w:hAnsi="Amiri"/>
          <w:color w:val="111111"/>
          <w:sz w:val="28"/>
          <w:szCs w:val="28"/>
          <w:rtl w:val="true"/>
          <w:lang w:bidi="ar-SA"/>
        </w:rPr>
        <w:t xml:space="preserve">... ) </w:t>
      </w:r>
      <w:r>
        <w:rPr>
          <w:rStyle w:val="FootnoteAnchor"/>
          <w:rtl w:val="true"/>
        </w:rPr>
        <w:footnoteReference w:id="731"/>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بيان للبقرة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تَذْبَحُوا بَقَرَةً </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الرّسول كقوله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سقت السّماء العشر</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 فإنّه بيان لمقدار الزّكاة المأمور بإيتائها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الفعل فهو قد يكون دلالته على البيان بمواضعه كالكتابة وعقد الأصابع والإشارة بالأصابع في تعيين عدد أيّام الشهر </w:t>
      </w:r>
      <w:r>
        <w:rPr>
          <w:rStyle w:val="FootnoteAnchor"/>
          <w:rtl w:val="true"/>
        </w:rPr>
        <w:footnoteReference w:id="735"/>
      </w:r>
      <w:r>
        <w:rPr>
          <w:rFonts w:ascii="Amiri" w:hAnsi="Amiri" w:eastAsia="Amiri" w:cs="Amiri"/>
          <w:color w:val="111111"/>
          <w:sz w:val="28"/>
          <w:sz w:val="28"/>
          <w:szCs w:val="28"/>
          <w:rtl w:val="true"/>
          <w:lang w:bidi="ar-SA"/>
        </w:rPr>
        <w:t>، وغيره أو بغيرها كما بيّن صلى‌الله‌عليه‌وآله الصّلاة والحجّ بفعله وإتيانه بالأركان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تركا ، كما لو ركع عليه‌السلام في الثانية بغير قنوت ، فإنّه يدلّ على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العلم بكون الفعل بيانا ، إمّا يعلم بالضّرورة من قصده أو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فعله بيان للمجمل أو أمره بأن يفعل مشابها لما فعله مثل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فيه بيان قوليّ لأفعال الصّلاة ، بل إحالة على ما فعله في الخارج </w:t>
      </w:r>
      <w:r>
        <w:rPr>
          <w:rStyle w:val="FootnoteAnchor"/>
          <w:rtl w:val="true"/>
        </w:rPr>
        <w:footnoteReference w:id="737"/>
      </w:r>
      <w:r>
        <w:rPr>
          <w:rFonts w:ascii="Amiri" w:hAnsi="Amiri" w:eastAsia="Amiri" w:cs="Amiri"/>
          <w:color w:val="111111"/>
          <w:sz w:val="28"/>
          <w:sz w:val="28"/>
          <w:szCs w:val="28"/>
          <w:rtl w:val="true"/>
          <w:lang w:bidi="ar-SA"/>
        </w:rPr>
        <w:t>، فبطل ما توهّم أنّ هذا بيان قوليّ لا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بالدّليل العقلي كما لو أمر بفعل مضيّق مجمل وفعل فعلا يصلح لكونه بيانا ، فالعقل يحكم بأنّه بيان له ، ولا يلزم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بعض العامّة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وأعلم بأنّ هناك بيان بالإشارة وبالكتابة وبالترك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جواز كون الفعل بيانا ، محتجّا بأنّ البيان بالفعل</w:t>
      </w:r>
    </w:p>
    <w:p>
      <w:pPr>
        <w:pStyle w:val="BookText"/>
        <w:rPr/>
      </w:pPr>
      <w:r>
        <w:rPr>
          <w:rFonts w:ascii="Amiri" w:hAnsi="Amiri" w:eastAsia="Amiri" w:cs="Amiri"/>
          <w:color w:val="111111"/>
          <w:sz w:val="28"/>
          <w:sz w:val="28"/>
          <w:szCs w:val="28"/>
          <w:rtl w:val="true"/>
          <w:lang w:bidi="ar-SA"/>
        </w:rPr>
        <w:t>يوجب الطّول فيتأخّر البيان مع إمكان تعجيله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يكون القول أطول من الفعل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تأخير البيان لو لم يشرع بالفعل بعد إمكان الشروع وبعد ما شرع ، فإذا احتاج إتمامه الى زمان طويل لا يسمّى ذلك تأخير البيان عرفا ، كما لا يسمّى بذلك في القول في الزّمان المحتاج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قبح في هذا التأخير سيّما إذا كان أصلح</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تأخير البيان مع إمكان التعجيل ، إنّما يسلّم قبحه إذا كان عن وقت الحاجة وهو خارج عن الفرض</w:t>
      </w:r>
      <w:r>
        <w:rPr>
          <w:rFonts w:eastAsia="Amiri" w:cs="Amiri" w:ascii="Amiri" w:hAnsi="Amiri"/>
          <w:color w:val="111111"/>
          <w:sz w:val="28"/>
          <w:szCs w:val="28"/>
          <w:rtl w:val="true"/>
          <w:lang w:bidi="ar-SA"/>
        </w:rPr>
        <w:t xml:space="preserve">. </w:t>
      </w:r>
      <w:bookmarkStart w:id="102" w:name="pg14071_149016"/>
    </w:p>
    <w:p>
      <w:pPr>
        <w:pStyle w:val="Heading3"/>
        <w:numPr>
          <w:ilvl w:val="2"/>
          <w:numId w:val="1"/>
        </w:numPr>
        <w:rPr/>
      </w:pPr>
      <w:bookmarkStart w:id="103" w:name="__RefHeading___Toc495063_1738255347"/>
      <w:bookmarkStart w:id="104" w:name="_Toc37"/>
      <w:bookmarkEnd w:id="102"/>
      <w:bookmarkEnd w:id="103"/>
      <w:r>
        <w:rPr>
          <w:rtl w:val="true"/>
        </w:rPr>
        <w:t>قانون</w:t>
      </w:r>
      <w:bookmarkEnd w:id="104"/>
    </w:p>
    <w:p>
      <w:pPr>
        <w:pStyle w:val="BookText"/>
        <w:rPr/>
      </w:pPr>
      <w:r>
        <w:rPr>
          <w:rFonts w:ascii="IRNazanin" w:hAnsi="IRNazanin" w:eastAsia="IRNazanin"/>
          <w:color w:val="111111"/>
          <w:sz w:val="28"/>
          <w:sz w:val="28"/>
          <w:szCs w:val="28"/>
          <w:rtl w:val="true"/>
          <w:lang w:bidi="fa-IR"/>
        </w:rPr>
        <w:t xml:space="preserve">ذهب أصحابنا </w:t>
      </w:r>
      <w:r>
        <w:rPr>
          <w:rStyle w:val="FootnoteAnchor"/>
          <w:rtl w:val="true"/>
        </w:rPr>
        <w:footnoteReference w:id="740"/>
      </w:r>
      <w:r>
        <w:rPr>
          <w:rFonts w:ascii="Amiri" w:hAnsi="Amiri" w:eastAsia="Amiri" w:cs="Amiri"/>
          <w:color w:val="111111"/>
          <w:sz w:val="28"/>
          <w:sz w:val="28"/>
          <w:szCs w:val="28"/>
          <w:rtl w:val="true"/>
          <w:lang w:bidi="ar-SA"/>
        </w:rPr>
        <w:t xml:space="preserve">وجميع أهل العدل </w:t>
      </w:r>
      <w:r>
        <w:rPr>
          <w:rStyle w:val="FootnoteAnchor"/>
          <w:rtl w:val="true"/>
        </w:rPr>
        <w:footnoteReference w:id="741"/>
      </w:r>
      <w:r>
        <w:rPr>
          <w:rFonts w:ascii="Amiri" w:hAnsi="Amiri" w:eastAsia="Amiri" w:cs="Amiri"/>
          <w:color w:val="111111"/>
          <w:sz w:val="28"/>
          <w:sz w:val="28"/>
          <w:szCs w:val="28"/>
          <w:rtl w:val="true"/>
          <w:lang w:bidi="ar-SA"/>
        </w:rPr>
        <w:t>الى امتناع تأخير بيان المجمل</w:t>
      </w:r>
    </w:p>
    <w:p>
      <w:pPr>
        <w:pStyle w:val="BookText"/>
        <w:rPr/>
      </w:pPr>
      <w:r>
        <w:rPr>
          <w:rFonts w:ascii="Amiri" w:hAnsi="Amiri" w:eastAsia="Amiri" w:cs="Amiri"/>
          <w:color w:val="111111"/>
          <w:sz w:val="28"/>
          <w:sz w:val="28"/>
          <w:szCs w:val="28"/>
          <w:rtl w:val="true"/>
          <w:lang w:bidi="ar-SA"/>
        </w:rPr>
        <w:t>عن وقت الحاجة ، لاستلزامه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تأخيره عن وقت الخطاب ، ففيه أقوال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المشهور الجواز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وفصّل بعضهم </w:t>
      </w:r>
      <w:r>
        <w:rPr>
          <w:rStyle w:val="FootnoteAnchor"/>
          <w:rtl w:val="true"/>
        </w:rPr>
        <w:footnoteReference w:id="743"/>
      </w:r>
      <w:r>
        <w:rPr>
          <w:rFonts w:ascii="Amiri" w:hAnsi="Amiri" w:eastAsia="Amiri" w:cs="Amiri"/>
          <w:color w:val="111111"/>
          <w:sz w:val="28"/>
          <w:sz w:val="28"/>
          <w:szCs w:val="28"/>
          <w:rtl w:val="true"/>
          <w:lang w:bidi="ar-SA"/>
        </w:rPr>
        <w:t>فجوّز في غير ما له ظاهر ، وأمّا ما له ظاهر كالعامّ والمطلق والأمر الظاهر في الوجوب ، فلا يجوز فيه تأخير البيان رأسا ، وأمّا مع البيان الإجمالي فلا بأس</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زاد بعض العامّة عدم جواز تأخير البيان في المنسوخ أيضا ، فذهب الى </w:t>
      </w:r>
    </w:p>
    <w:p>
      <w:pPr>
        <w:pStyle w:val="BookText"/>
        <w:rPr/>
      </w:pPr>
      <w:r>
        <w:rPr>
          <w:rFonts w:ascii="Amiri" w:hAnsi="Amiri" w:eastAsia="Amiri" w:cs="Amiri"/>
          <w:color w:val="111111"/>
          <w:sz w:val="28"/>
          <w:sz w:val="28"/>
          <w:szCs w:val="28"/>
          <w:rtl w:val="true"/>
          <w:lang w:bidi="ar-SA"/>
        </w:rPr>
        <w:t xml:space="preserve">لزوم اقترانه بالبيان الإجمالي ، بأن يقال وقت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سينسخ ، وهو في غاية الضّعف ، للإجماع من العامّة والخاصّة على عدمه ، بل جعلوا تأخير بيان الناسخ من شرائط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الجواز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عقلا ووقوعه في العرف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Style w:val="FootnoteAnchor"/>
          <w:rtl w:val="true"/>
        </w:rPr>
        <w:footnoteReference w:id="744"/>
      </w:r>
      <w:r>
        <w:rPr>
          <w:rFonts w:ascii="Amiri" w:hAnsi="Amiri" w:eastAsia="Amiri" w:cs="Amiri"/>
          <w:color w:val="111111"/>
          <w:sz w:val="28"/>
          <w:sz w:val="28"/>
          <w:szCs w:val="28"/>
          <w:rtl w:val="true"/>
          <w:lang w:bidi="ar-SA"/>
        </w:rPr>
        <w:t>، فلما سنبيّن من ضعف ما تمسّك به المانع ، وإمكان المصلحة في التأخير ، مثل توطين المكلّف نفسه على الفعل والعزم عليه الى وقت الحاجة ، وتهيّؤه للفعل حتّى يكون عليه أسهل ، بل قد يكون التأخير أصلح ، لأنّ مع اقتران البيان ربّما يعلم سهولة التكليف والتوطين عليه الى وقت الحاجة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الاقتران ، فرّبما يحتمل كون المكلّف به أشقّ ممّا هو مراد في نفس الأمر ويوطّن نفسه على الأشقّ والأسهل ، مع أنّ المطلوب منه هو الأسهل ، وفي صورة اقتران البيان بإرادة الأسهل لا يوطّن إلّا على الأسهل ، ولا فرق في ذلك بين الأوامر والتكاليف والحكايات والقصص</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توهّم بعض القائلين </w:t>
      </w:r>
      <w:r>
        <w:rPr>
          <w:rStyle w:val="FootnoteAnchor"/>
          <w:rtl w:val="true"/>
        </w:rPr>
        <w:footnoteReference w:id="745"/>
      </w:r>
      <w:r>
        <w:rPr>
          <w:rFonts w:ascii="Amiri" w:hAnsi="Amiri" w:eastAsia="Amiri" w:cs="Amiri"/>
          <w:color w:val="111111"/>
          <w:sz w:val="28"/>
          <w:sz w:val="28"/>
          <w:szCs w:val="28"/>
          <w:rtl w:val="true"/>
          <w:lang w:bidi="ar-SA"/>
        </w:rPr>
        <w:t xml:space="preserve">بجواز تأخير البيان عن وقت الخطاب مطلقا ، من عدم جوازه في الأخبار والحكايات نظرا الى أنّها ليس لها وقت الحاجة ، بل المراد منها التّفهيم ، ولا بدّ أن يكون مقترنا بالخطاب ، لا وجه له ، إذ من الجائز أن يكون المراد من الخبر لازم فائدته مثل أن يعتقد على ما هو ظاهر ، ليحصل به ما يحصل من حقيقة المراد ، فيمكن تأخّر زمان الاحتياج الى بيان نفس المراد والعلم بأصل </w:t>
      </w:r>
    </w:p>
    <w:p>
      <w:pPr>
        <w:pStyle w:val="BookText"/>
        <w:rPr/>
      </w:pPr>
      <w:r>
        <w:rPr>
          <w:rFonts w:ascii="Amiri" w:hAnsi="Amiri" w:eastAsia="Amiri" w:cs="Amiri"/>
          <w:color w:val="111111"/>
          <w:sz w:val="28"/>
          <w:sz w:val="28"/>
          <w:szCs w:val="28"/>
          <w:rtl w:val="true"/>
          <w:lang w:bidi="ar-SA"/>
        </w:rPr>
        <w:t xml:space="preserve">الخبر وحصول فائدته بذاته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فلان ، مع أنّه ضرب ضربا شديدا لأجل تعذيب أوليائه وتشويشهم أو لأجل تفريح أعدائه وتجربتهم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وتحريشهم</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ثم يبيّن أنّ المراد الضّرب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747"/>
      </w:r>
      <w:r>
        <w:rPr>
          <w:rFonts w:ascii="Amiri" w:hAnsi="Amiri" w:eastAsia="Amiri" w:cs="Amiri"/>
          <w:color w:val="111111"/>
          <w:sz w:val="28"/>
          <w:sz w:val="28"/>
          <w:szCs w:val="28"/>
          <w:rtl w:val="true"/>
          <w:lang w:bidi="ar-SA"/>
        </w:rPr>
        <w:t>، فكثير لا حاجة الى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العرف ، فلأنّه يصحّ عرفا أن يقول الملك لأحد من 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ولّيتك البلد الفلاني فاذهب إليه الى وقت كذا ، وسأكتب لك كتابا فيه بيان ما تعمله هناك وأرسله إليك بعد استقرارك في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الشرع ، فمنها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تَذْبَحُوا بَقَرَةً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وهي كانت معيّنة في الواقع ، وإلّا لما سألوا عن التعيين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لَنا رَبَّكَ يُبَيِّنْ لَنا ما هِيَ </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ادْعُ لَنا رَبَّكَ يُبَيِّنْ لَنا ما لَوْنُها</w:t>
      </w:r>
      <w:r>
        <w:rPr>
          <w:rFonts w:eastAsia="Amiri" w:cs="Amiri" w:ascii="Amiri" w:hAnsi="Amiri"/>
          <w:color w:val="111111"/>
          <w:sz w:val="28"/>
          <w:szCs w:val="28"/>
          <w:rtl w:val="true"/>
          <w:lang w:bidi="ar-SA"/>
        </w:rPr>
        <w:t xml:space="preserve">. ) </w:t>
      </w:r>
      <w:r>
        <w:rPr>
          <w:rStyle w:val="FootnoteAnchor"/>
          <w:rtl w:val="true"/>
        </w:rPr>
        <w:footnoteReference w:id="750"/>
      </w:r>
      <w:r>
        <w:rPr>
          <w:rFonts w:ascii="Amiri" w:hAnsi="Amiri" w:eastAsia="Amiri" w:cs="Amiri"/>
          <w:color w:val="111111"/>
          <w:sz w:val="28"/>
          <w:sz w:val="28"/>
          <w:szCs w:val="28"/>
          <w:rtl w:val="true"/>
          <w:lang w:bidi="ar-SA"/>
        </w:rPr>
        <w:t xml:space="preserve">ولم يبيّنه تعالى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بَقَرَةٌ لا فارِضٌ وَلا بِكْرٌ ، </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فاقِعٌ لَوْنُها تَسُرُّ النَّاظِرِينَ</w:t>
      </w:r>
      <w:r>
        <w:rPr>
          <w:rFonts w:eastAsia="Amiri" w:cs="Amiri" w:ascii="Amiri" w:hAnsi="Amiri"/>
          <w:color w:val="111111"/>
          <w:sz w:val="28"/>
          <w:szCs w:val="28"/>
          <w:rtl w:val="true"/>
          <w:lang w:bidi="ar-SA"/>
        </w:rPr>
        <w:t xml:space="preserve">. )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من هذا الباب لظاهر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تَذْبَحُوا بَقَرَةً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يفيد التخيير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كادُوا يَفْعَلُونَ ، </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فإنّه ظاهر في قدرتهم على الفعل ، وإنّما </w:t>
      </w:r>
    </w:p>
    <w:p>
      <w:pPr>
        <w:pStyle w:val="BookText"/>
        <w:rPr/>
      </w:pPr>
      <w:r>
        <w:rPr>
          <w:rFonts w:ascii="Amiri" w:hAnsi="Amiri" w:eastAsia="Amiri" w:cs="Amiri"/>
          <w:color w:val="111111"/>
          <w:sz w:val="28"/>
          <w:sz w:val="28"/>
          <w:szCs w:val="28"/>
          <w:rtl w:val="true"/>
          <w:lang w:bidi="ar-SA"/>
        </w:rPr>
        <w:t>وقع السّؤال تعنّتا ، فشدّد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ذبحوا أيّ بقرة لأجزأتهم ولكنّهم شدّدوا على أنفسهم فشدّد الله عليهم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عمدوا الى أيّ بقرة أجزأتهم ولكنّهم شدّدوا على أنفسهم فشدّد الله عليهم</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بالقرائن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كادُوا يَفْعَلُونَ</w:t>
      </w:r>
      <w:r>
        <w:rPr>
          <w:rFonts w:eastAsia="Amiri" w:cs="Amiri" w:ascii="Amiri" w:hAnsi="Amiri"/>
          <w:color w:val="111111"/>
          <w:sz w:val="28"/>
          <w:szCs w:val="28"/>
          <w:rtl w:val="true"/>
          <w:lang w:bidi="ar-SA"/>
        </w:rPr>
        <w:t xml:space="preserve">. ) </w:t>
      </w:r>
      <w:r>
        <w:rPr>
          <w:rStyle w:val="FootnoteAnchor"/>
          <w:rtl w:val="true"/>
        </w:rPr>
        <w:footnoteReference w:id="756"/>
      </w:r>
      <w:r>
        <w:rPr>
          <w:rFonts w:ascii="Amiri" w:hAnsi="Amiri" w:eastAsia="Amiri" w:cs="Amiri"/>
          <w:color w:val="111111"/>
          <w:sz w:val="28"/>
          <w:sz w:val="28"/>
          <w:szCs w:val="28"/>
          <w:rtl w:val="true"/>
          <w:lang w:bidi="ar-SA"/>
        </w:rPr>
        <w:t xml:space="preserve">يعني من جهة التّواني في الامتثال ومن جهة عظم ثمن البقرة ، فقد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 الى ملء مسكها ذهبا فأرادوا أن لا يفعلوا ، ولكن اللّجاج حملهم على ذلك واتّهامهم موسى حداهم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ابن عباس ، فعلى فرض تسليمه لا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العيون فمعارض بما في تفسير الإمام عليه‌السلام ، وبما في تفسير عليّ بن ابراهيم عن الصادق عليه‌السلام </w:t>
      </w:r>
      <w:r>
        <w:rPr>
          <w:rStyle w:val="FootnoteAnchor"/>
          <w:rtl w:val="true"/>
        </w:rPr>
        <w:footnoteReference w:id="757"/>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وَآتُوا الزَّكاةَ ،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وَالسَّارِقُ </w:t>
      </w:r>
    </w:p>
    <w:p>
      <w:pPr>
        <w:pStyle w:val="BookText"/>
        <w:rPr/>
      </w:pPr>
      <w:r>
        <w:rPr>
          <w:rFonts w:ascii="Amiri" w:hAnsi="Amiri" w:eastAsia="Amiri" w:cs="Amiri"/>
          <w:color w:val="111111"/>
          <w:sz w:val="28"/>
          <w:sz w:val="28"/>
          <w:szCs w:val="28"/>
          <w:rtl w:val="true"/>
          <w:lang w:bidi="ar-SA"/>
        </w:rPr>
        <w:t xml:space="preserve">وَالسَّارِقَةُ فَاقْطَعُوا أَيْدِيَهُما ، </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وَالزَّانِي فَاجْلِدُوا كُلَّ واحِدٍ مِنْهُما ،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مع تأخّر بيان تفاصيلها من الأركان والمقدار واشتراط الحرز </w:t>
      </w:r>
      <w:r>
        <w:rPr>
          <w:rStyle w:val="FootnoteAnchor"/>
          <w:rtl w:val="true"/>
        </w:rPr>
        <w:footnoteReference w:id="761"/>
      </w:r>
      <w:r>
        <w:rPr>
          <w:rFonts w:ascii="Amiri" w:hAnsi="Amiri" w:eastAsia="Amiri" w:cs="Amiri"/>
          <w:color w:val="111111"/>
          <w:sz w:val="28"/>
          <w:sz w:val="28"/>
          <w:szCs w:val="28"/>
          <w:rtl w:val="true"/>
          <w:lang w:bidi="ar-SA"/>
        </w:rPr>
        <w:t>والنّصاب وتخصيص الزّاني بالمحصن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الفائدة في تأخير بيان ما له ظاهر فسيجيء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وقوعه في العرف والشرع أيضا فأكثر من أن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المتقدّمة في حكم السّارق والزّاني وغيرهما ، وكفاك ملاحظة عموم التكاليف للظانين لبقائهم إلى آخر الامتثال جامعا للشرائط ، مع أنّ الصّائم قد يمرض ، والصّائمة قد تحيض ، والمصلّي قد يموت بين الصلاة ،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المانع مطلقا ، أمّا على عدم التأخير في المجمل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لو جاز لجاز خطاب العربي بالزنجيّة من غير بيان في الحال ، وهو قبيح لعدم فهم المراد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للفرق بينهما ، فإنّ خطاب العربي بالزنجيّة لا يحصل منه العلم بشيء من أصناف الكلام وضروب </w:t>
      </w:r>
      <w:r>
        <w:rPr>
          <w:rStyle w:val="FootnoteAnchor"/>
          <w:rtl w:val="true"/>
        </w:rPr>
        <w:footnoteReference w:id="763"/>
      </w:r>
      <w:r>
        <w:rPr>
          <w:rFonts w:ascii="Amiri" w:hAnsi="Amiri" w:eastAsia="Amiri" w:cs="Amiri"/>
          <w:color w:val="111111"/>
          <w:sz w:val="28"/>
          <w:sz w:val="28"/>
          <w:szCs w:val="28"/>
          <w:rtl w:val="true"/>
          <w:lang w:bidi="ar-SA"/>
        </w:rPr>
        <w:t>القول ، حتّى أنّه لا يميّز بين كونه خبرا أو إنشاء ، مدحا أو ذمّا ، ثناء أو شتما ، بخلاف المجمل ، فإنّ المخاطب يفهم أنّه يريد به أحد معانيه المحتملة ويوطّن نفسه على الامتثال بأيّهما تبيّن له أنّه مراد ، ولو فرض في خطاب العربي بالزنجيّة حصول فهم في الجملة للسّامع بقرائن المقام ، وكان له رجاء تفسير له ، فلا نسلّم بطلان اللّازم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عدم الجواز فيما له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احتجّ به المفصّل ، وسنذكره ونجيب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المفصّل ، أما في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بيّناه </w:t>
      </w:r>
      <w:r>
        <w:rPr>
          <w:rStyle w:val="FootnoteAnchor"/>
          <w:rtl w:val="true"/>
        </w:rPr>
        <w:footnoteReference w:id="764"/>
      </w:r>
      <w:r>
        <w:rPr>
          <w:rFonts w:ascii="Amiri" w:hAnsi="Amiri" w:eastAsia="Amiri" w:cs="Amiri"/>
          <w:color w:val="111111"/>
          <w:sz w:val="28"/>
          <w:sz w:val="28"/>
          <w:szCs w:val="28"/>
          <w:rtl w:val="true"/>
          <w:lang w:bidi="ar-SA"/>
        </w:rPr>
        <w:t>فيما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عدم جواز تأخير بيان ما له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فيقبح خطاب الحكيم بلفظ له حقيقة وهو لا يريدها من دون نصب قرينة على المراد ، بل ذلك دلالة له على غير المراد ، لأنّ الأصل في اللّفظ حمله على 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المجمل ، فلمّا لم يكن فيه مرجّح لإرادة أحد معانيه ، فيقتصر على ما اقتضاه الوضع الحقيقي ، ويتوقّف بسبب الإجمال الحاصل في الوضع ، فليس فيه دلالة على غير المراد ، بل فيه دلالة على المراد في الجملة </w:t>
      </w:r>
      <w:r>
        <w:rPr>
          <w:rStyle w:val="FootnoteAnchor"/>
          <w:rtl w:val="true"/>
        </w:rPr>
        <w:footnoteReference w:id="765"/>
      </w:r>
      <w:r>
        <w:rPr>
          <w:rFonts w:ascii="Amiri" w:hAnsi="Amiri" w:eastAsia="Amiri" w:cs="Amiri"/>
          <w:color w:val="111111"/>
          <w:sz w:val="28"/>
          <w:sz w:val="28"/>
          <w:szCs w:val="28"/>
          <w:rtl w:val="true"/>
          <w:lang w:bidi="ar-SA"/>
        </w:rPr>
        <w:t>أيضا ، بخلاف الحقيقة التي أريد منها المعنى المجازي بدون نصب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الخطاب وضع للإفادة ، ومن سمع العامّ مثلا مع تجويزه أن يكون مخصّصا ويبيّن في المستقبل ، فلا يستفيد في هذه الحالة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عن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مناطه لزوم القبح من جهة أنّه إغراء بالجهل ، وهو قبيح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كليّة الكبرى لغاية وفور التكليفات الابتلائية كتكليف إبراهيم عليه‌السلام بذبح ولده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إنّما كان بالمقدّمات </w:t>
      </w:r>
      <w:r>
        <w:rPr>
          <w:rStyle w:val="FootnoteAnchor"/>
          <w:rtl w:val="true"/>
        </w:rPr>
        <w:footnoteReference w:id="767"/>
      </w:r>
      <w:r>
        <w:rPr>
          <w:rFonts w:ascii="Amiri" w:hAnsi="Amiri" w:eastAsia="Amiri" w:cs="Amiri"/>
          <w:color w:val="111111"/>
          <w:sz w:val="28"/>
          <w:sz w:val="28"/>
          <w:szCs w:val="28"/>
          <w:rtl w:val="true"/>
          <w:lang w:bidi="ar-SA"/>
        </w:rPr>
        <w:t xml:space="preserve">، وجزعه إنّما كان من جهة خوفه </w:t>
      </w:r>
    </w:p>
    <w:p>
      <w:pPr>
        <w:pStyle w:val="BookText"/>
        <w:rPr/>
      </w:pPr>
      <w:r>
        <w:rPr>
          <w:rFonts w:ascii="Amiri" w:hAnsi="Amiri" w:eastAsia="Amiri" w:cs="Amiri"/>
          <w:color w:val="111111"/>
          <w:sz w:val="28"/>
          <w:sz w:val="28"/>
          <w:szCs w:val="28"/>
          <w:rtl w:val="true"/>
          <w:lang w:bidi="ar-SA"/>
        </w:rPr>
        <w:t xml:space="preserve">من أن يؤمر بنفس الذّبح بعده ، لا يليق مدح إبراهيم عليه‌السلام ذلك المدح ، وقد مرّ الإشارة الى ذلك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والتكليفات الامتحانيّة في العرف والعادة أكثر من أن تحصى ، وقد حقّقناه في مبحث تكليف الأمر مع العلم بانتفاء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مصلحة في توطين المكلّف نفسه على ظاهر العموم </w:t>
      </w:r>
      <w:r>
        <w:rPr>
          <w:rStyle w:val="FootnoteAnchor"/>
          <w:rtl w:val="true"/>
        </w:rPr>
        <w:footnoteReference w:id="769"/>
      </w:r>
      <w:r>
        <w:rPr>
          <w:rFonts w:ascii="Amiri" w:hAnsi="Amiri" w:eastAsia="Amiri" w:cs="Amiri"/>
          <w:color w:val="111111"/>
          <w:sz w:val="28"/>
          <w:sz w:val="28"/>
          <w:szCs w:val="28"/>
          <w:rtl w:val="true"/>
          <w:lang w:bidi="ar-SA"/>
        </w:rPr>
        <w:t>الى وقت الحاجة أو على الوجوب في الأمر الى وقت الحاجة ، ويحصل له هذا الثّواب ثمّ يبيّن له أنّ المراد هو الخصوص والندب ، فأيّ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لزوم الإغراء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يلزم حيث ينتفي احتمال التجوّز ، وانتفاؤه فيما قبل وقت الحاجة موقوف على ثبوت منع التأخير مطلقا ، وقد فرضنا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الكلام الحقيقة ، معناه أنّه مع فوات وقت القرينة وهو الحاجة في هذا المقام وتجرّده عنها يحمل على الحقيقة ،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لا يحمل اللّفظ على حقيقته حتّى يتمّ الكلام ، وأنّه يجوز تأخير القرينة عن وقت التلفّظ كما في الجمل المتعاطفة المتعقّبة بمخصّص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حكموا بجواز إسماع العامّ المخصوص بأدلّة العقل وإن لم يعلم السّامع أنّ العقل يدلّ على تخصيصه ، فيثبت جواز تأخير القرينة عن اللّفظ ، وعدم لزوم الإغراء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قد جوّزوا إسماع العامّ المخصوص بالدليل السّمعي من دون إسماع </w:t>
      </w:r>
    </w:p>
    <w:p>
      <w:pPr>
        <w:pStyle w:val="BookText"/>
        <w:rPr/>
      </w:pP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احتمال وجود المخصّص يوجب عدم الحمل على الحقيقة حتى يحصل الفحص ، فكذلك احتمال ذكر القرينة في زمان الحاجة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الحقيقة هو مقتضى الظاهر والظنّ والمدار على الظّنون في مباحث الألفاظ ، ولا ريب أنّ احتمال التجوّز ضعيف في جنب إرادة الحقيقة ، ولا ريب في حصول الظنّ بعد الفراغ من الكلام بعدم القرينة ، وأنّ المراد هو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صرّحوا بأنّ معنى الأصل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هو الحقيقة ، هو الظاهر ، وما ذكره المجيب </w:t>
      </w:r>
      <w:r>
        <w:rPr>
          <w:rStyle w:val="FootnoteAnchor"/>
          <w:rtl w:val="true"/>
        </w:rPr>
        <w:footnoteReference w:id="772"/>
      </w:r>
      <w:r>
        <w:rPr>
          <w:rFonts w:ascii="Amiri" w:hAnsi="Amiri" w:eastAsia="Amiri" w:cs="Amiri"/>
          <w:color w:val="111111"/>
          <w:sz w:val="28"/>
          <w:sz w:val="28"/>
          <w:szCs w:val="28"/>
          <w:rtl w:val="true"/>
          <w:lang w:bidi="ar-SA"/>
        </w:rPr>
        <w:t xml:space="preserve">في معنى أصالة الحقيقة فهو مختصّ به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استشهد به </w:t>
      </w:r>
      <w:r>
        <w:rPr>
          <w:rStyle w:val="FootnoteAnchor"/>
          <w:rtl w:val="true"/>
        </w:rPr>
        <w:footnoteReference w:id="774"/>
      </w:r>
      <w:r>
        <w:rPr>
          <w:rFonts w:ascii="Amiri" w:hAnsi="Amiri" w:eastAsia="Amiri" w:cs="Amiri"/>
          <w:color w:val="111111"/>
          <w:sz w:val="28"/>
          <w:sz w:val="28"/>
          <w:szCs w:val="28"/>
          <w:rtl w:val="true"/>
          <w:lang w:bidi="ar-SA"/>
        </w:rPr>
        <w:t xml:space="preserve">من جواز تأخير القرينة عن اللّفظ الى آخر الكلام </w:t>
      </w:r>
      <w:r>
        <w:rPr>
          <w:rStyle w:val="FootnoteAnchor"/>
          <w:rtl w:val="true"/>
        </w:rPr>
        <w:footnoteReference w:id="775"/>
      </w:r>
      <w:r>
        <w:rPr>
          <w:rFonts w:ascii="Amiri" w:hAnsi="Amiri" w:eastAsia="Amiri" w:cs="Amiri"/>
          <w:color w:val="111111"/>
          <w:sz w:val="28"/>
          <w:sz w:val="28"/>
          <w:szCs w:val="28"/>
          <w:rtl w:val="true"/>
          <w:lang w:bidi="ar-SA"/>
        </w:rPr>
        <w:t xml:space="preserve">فهو قياس مع الفارق ، لأنّ وقت تشاغل المتكلّم بالكلام محتمل لما لا يحتمله حال السّكوت عنه كما يقتضيه العرف والعادة ، وذلك </w:t>
      </w:r>
      <w:r>
        <w:rPr>
          <w:rStyle w:val="FootnoteAnchor"/>
          <w:rtl w:val="true"/>
        </w:rPr>
        <w:footnoteReference w:id="776"/>
      </w:r>
      <w:r>
        <w:rPr>
          <w:rFonts w:ascii="Amiri" w:hAnsi="Amiri" w:eastAsia="Amiri" w:cs="Amiri"/>
          <w:color w:val="111111"/>
          <w:sz w:val="28"/>
          <w:sz w:val="28"/>
          <w:szCs w:val="28"/>
          <w:rtl w:val="true"/>
          <w:lang w:bidi="ar-SA"/>
        </w:rPr>
        <w:t>ليس لتفاوت زمان التأخير في الطّول والقصر كما توهّم ، بل لمدخليّة التشاغل ، وعدم التشاغل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الاستشهاد </w:t>
      </w:r>
      <w:r>
        <w:rPr>
          <w:rStyle w:val="FootnoteAnchor"/>
          <w:rtl w:val="true"/>
        </w:rPr>
        <w:footnoteReference w:id="777"/>
      </w:r>
      <w:r>
        <w:rPr>
          <w:rFonts w:ascii="Amiri" w:hAnsi="Amiri" w:eastAsia="Amiri" w:cs="Amiri"/>
          <w:color w:val="111111"/>
          <w:sz w:val="28"/>
          <w:sz w:val="28"/>
          <w:szCs w:val="28"/>
          <w:rtl w:val="true"/>
          <w:lang w:bidi="ar-SA"/>
        </w:rPr>
        <w:t>بالعامّ المخصوص بدليل العقل من دون إعلام السّامع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مضرّ ، لأنّ إعطاء العقل للمكلّف رافع للإغراء ، ودلالته قرينة على إرادة التخصيص ، فإنّ العقل والشّرع متطابقان يفسّر كلّ منهما الآخر ، ومع عدم تعقّل المخاطب ، فلا ريب في قبحه ، إلّا أن لا يتعقّل العموم ، بحيث يشمل الفرد </w:t>
      </w:r>
    </w:p>
    <w:p>
      <w:pPr>
        <w:pStyle w:val="BookText"/>
        <w:rPr/>
      </w:pPr>
      <w:r>
        <w:rPr>
          <w:rFonts w:ascii="Amiri" w:hAnsi="Amiri" w:eastAsia="Amiri" w:cs="Amiri"/>
          <w:color w:val="111111"/>
          <w:sz w:val="28"/>
          <w:sz w:val="28"/>
          <w:szCs w:val="28"/>
          <w:rtl w:val="true"/>
          <w:lang w:bidi="ar-SA"/>
        </w:rPr>
        <w:t>المخرج بالعقل ، وهو أيضا كاف في عدم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تعقّله للعموم وعدم تعقّله للتخصيص إلّا بعد زمان ، فهذا يكون من باب تأخير البيان عن وقت الخطاب ، ونلتزم فيه الإغراء ، ونمنع قبحه كما مرّ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تجويز إسماع العامّ المخصّص بالدّليل السّمعي </w:t>
      </w:r>
      <w:r>
        <w:rPr>
          <w:rStyle w:val="FootnoteAnchor"/>
          <w:rtl w:val="true"/>
        </w:rPr>
        <w:footnoteReference w:id="779"/>
      </w:r>
      <w:r>
        <w:rPr>
          <w:rFonts w:ascii="Amiri" w:hAnsi="Amiri" w:eastAsia="Amiri" w:cs="Amiri"/>
          <w:color w:val="111111"/>
          <w:sz w:val="28"/>
          <w:sz w:val="28"/>
          <w:szCs w:val="28"/>
          <w:rtl w:val="true"/>
          <w:lang w:bidi="ar-SA"/>
        </w:rPr>
        <w:t>، فلا دخل له بما نحن فيه ، إذ العامّ إن كان ممّا خوطب به المخاطب من لسان الشّارع مواجها له ، مريدا إفهامه والعمل على مقتضاه فعلا أو تعليما للغير ، فيجري فيه ما سبق من عدم جواز تأخير بيان المخصّص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وقت الخطاب ، فإذا أخّره فيلزم الإغراء جزما لأنّه يحمله على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الجواب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قبح ذلك الإغراء حتّى يتبيّن له المخصّص ، إمّا بذكره له قبل وقت الحاجة أو إحالته على راو أو أصل أو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السّامع ممّن يراد فهمه للخطاب كالعجميّ القحّ والعاميّ البحت ، فهو ليس بمخاطب بذلك حتى يترتّب عليه أحكام الخطاب ، بل هو مخاطب بالأخذ من العالم ، وكذلك من يفهم الخطاب ، لكن لا يحتاج الى العمل به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العامّ من باب الأدلّة الواردة من الشّرع لا من باب الخطاب كما هو كذلك </w:t>
      </w:r>
      <w:r>
        <w:rPr>
          <w:rStyle w:val="FootnoteAnchor"/>
          <w:rtl w:val="true"/>
        </w:rPr>
        <w:footnoteReference w:id="781"/>
      </w:r>
      <w:r>
        <w:rPr>
          <w:rFonts w:ascii="Amiri" w:hAnsi="Amiri" w:eastAsia="Amiri" w:cs="Amiri"/>
          <w:color w:val="111111"/>
          <w:sz w:val="28"/>
          <w:sz w:val="28"/>
          <w:szCs w:val="28"/>
          <w:rtl w:val="true"/>
          <w:lang w:bidi="ar-SA"/>
        </w:rPr>
        <w:t>بالنسبة الى زماننا على ما هو الحق من اختصاص الخطابات بالمشافهين ، فيخرج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الكلام في لزوم الإغراء وقبح الخطاب ، فخطابنا حينئذ هو العمل بمقتضى هذا العامّ الذي رأيناه أو سمعناه مع ما يقتضيه </w:t>
      </w:r>
    </w:p>
    <w:p>
      <w:pPr>
        <w:pStyle w:val="BookText"/>
        <w:rPr/>
      </w:pPr>
      <w:r>
        <w:rPr>
          <w:rFonts w:ascii="Amiri" w:hAnsi="Amiri" w:eastAsia="Amiri" w:cs="Amiri"/>
          <w:color w:val="111111"/>
          <w:sz w:val="28"/>
          <w:sz w:val="28"/>
          <w:szCs w:val="28"/>
          <w:rtl w:val="true"/>
          <w:lang w:bidi="ar-SA"/>
        </w:rPr>
        <w:t xml:space="preserve">سائر الأدلّة التي لم نعثر عليها ، وهي في الأصول </w:t>
      </w:r>
      <w:r>
        <w:rPr>
          <w:rStyle w:val="FootnoteAnchor"/>
          <w:rtl w:val="true"/>
        </w:rPr>
        <w:footnoteReference w:id="782"/>
      </w:r>
      <w:r>
        <w:rPr>
          <w:rFonts w:ascii="Amiri" w:hAnsi="Amiri" w:eastAsia="Amiri" w:cs="Amiri"/>
          <w:color w:val="111111"/>
          <w:sz w:val="28"/>
          <w:sz w:val="28"/>
          <w:szCs w:val="28"/>
          <w:rtl w:val="true"/>
          <w:lang w:bidi="ar-SA"/>
        </w:rPr>
        <w:t xml:space="preserve">يقينا أو ظنّا ، لا خصوص العام ، وهذا المقام </w:t>
      </w:r>
      <w:r>
        <w:rPr>
          <w:rStyle w:val="FootnoteAnchor"/>
          <w:rtl w:val="true"/>
        </w:rPr>
        <w:footnoteReference w:id="783"/>
      </w:r>
      <w:r>
        <w:rPr>
          <w:rFonts w:ascii="Amiri" w:hAnsi="Amiri" w:eastAsia="Amiri" w:cs="Amiri"/>
          <w:color w:val="111111"/>
          <w:sz w:val="28"/>
          <w:sz w:val="28"/>
          <w:szCs w:val="28"/>
          <w:rtl w:val="true"/>
          <w:lang w:bidi="ar-SA"/>
        </w:rPr>
        <w:t xml:space="preserve">هو الذي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الفحص عن المخصّص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فخطابنا حينئذ هو العمل بما نفهمه من مجموع الأدلّة ، ولا إجمال في هذا الخطاب ، وليس من باب الخطاب بما له ظاهر وإرادة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الفرض الحاصل في زماننا الآن هو أيضا قد يحصل في زمن الشّارع أيضا ، إذ ليس كلّ أحد في زمن الشّارع يسمع الخطابات شفاها ، عموما كان أو خصوصا ، بعنوان أن يراد منه فهمه والعمل به ، بل الأئمة عليهم‌السلام كانوا يقرّرون أصحابهم على العمل بما يفهمون من الجمع بين أخبارهم وفهمهم واجتهادهم في تطبيق الرّوايات بالكتاب وبمذاهب العامّة وبسنّة النبيّ صلى‌الله‌عليه‌وآله وغيرها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فالكلام في الإذعان بكون العامّ باقيا على عموم أم لا ، في غير محلّ الخطاب الشّفاهي ، وما في معناه غير الخطاب بالعامّ المخصوص شفاها مريدا به الإفهام ، مع عدم إسماع مخصّصه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قبيل الأوّل ، وما ذكره المجيب من قبيل الثاني </w:t>
      </w:r>
      <w:r>
        <w:rPr>
          <w:rStyle w:val="FootnoteAnchor"/>
          <w:rtl w:val="true"/>
        </w:rPr>
        <w:footnoteReference w:id="785"/>
      </w:r>
      <w:r>
        <w:rPr>
          <w:rFonts w:ascii="Amiri" w:hAnsi="Amiri" w:eastAsia="Amiri" w:cs="Amiri"/>
          <w:color w:val="111111"/>
          <w:sz w:val="28"/>
          <w:sz w:val="28"/>
          <w:szCs w:val="28"/>
          <w:rtl w:val="true"/>
          <w:lang w:bidi="ar-SA"/>
        </w:rPr>
        <w:t>، وبينهما بون بعيد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الشيوع والغلبة في التخصيص زاحم أصالة الحقيقة في العامّ ، وذلك </w:t>
      </w:r>
    </w:p>
    <w:p>
      <w:pPr>
        <w:pStyle w:val="BookText"/>
        <w:rPr/>
      </w:pPr>
      <w:r>
        <w:rPr>
          <w:rFonts w:ascii="Amiri" w:hAnsi="Amiri" w:eastAsia="Amiri" w:cs="Amiri"/>
          <w:color w:val="111111"/>
          <w:sz w:val="28"/>
          <w:sz w:val="28"/>
          <w:szCs w:val="28"/>
          <w:rtl w:val="true"/>
          <w:lang w:bidi="ar-SA"/>
        </w:rPr>
        <w:t>لا يوجب تأسيس القاعدة التي بني عليه الأمر ، وهو أنّ مجرّد احتمال التجوّز يوجب التوقّف عن الحمل على أصل الحقيقة ، مع أنّا قد أشرنا في مبحث البحث عن المخصّص ، أنّ البحث عن المجاز معنى ، والبحث عن المعارض معنى آخر ، ولزوم التوقّف عن العمل بظاهر الدّليل حتى يتفحّص عن معارضه عامّا كان الدّليل أو غيره من الظواهر ، مثل الأمر والنّهي ، غير التوقّف عن حمله على أصالة الحقيقة حتّى يعلم عدم القرينة على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التوقّف الذي أورده المجيب من باب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w:t>
      </w:r>
      <w:r>
        <w:rPr>
          <w:rStyle w:val="FootnoteAnchor"/>
          <w:rtl w:val="true"/>
        </w:rPr>
        <w:footnoteReference w:id="786"/>
      </w:r>
      <w:r>
        <w:rPr>
          <w:rFonts w:ascii="Amiri" w:hAnsi="Amiri" w:eastAsia="Amiri" w:cs="Amiri"/>
          <w:color w:val="111111"/>
          <w:sz w:val="28"/>
          <w:sz w:val="28"/>
          <w:szCs w:val="28"/>
          <w:rtl w:val="true"/>
          <w:lang w:bidi="ar-SA"/>
        </w:rPr>
        <w:t>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وتوجيهه أنّ المنسوخ لا بدّ أن يكون ظاهرا في الدّوام وإن كان عن القرائن الخارجية لا من دلالة اللّفظ والحقيقة ، فبعد مجيء الناسخ يعلم أنّه غير مراد ، ومن هنا التجأ بعضهم </w:t>
      </w:r>
      <w:r>
        <w:rPr>
          <w:rStyle w:val="FootnoteAnchor"/>
          <w:rtl w:val="true"/>
        </w:rPr>
        <w:footnoteReference w:id="787"/>
      </w:r>
      <w:r>
        <w:rPr>
          <w:rFonts w:ascii="Amiri" w:hAnsi="Amiri" w:eastAsia="Amiri" w:cs="Amiri"/>
          <w:color w:val="111111"/>
          <w:sz w:val="28"/>
          <w:sz w:val="28"/>
          <w:szCs w:val="28"/>
          <w:rtl w:val="true"/>
          <w:lang w:bidi="ar-SA"/>
        </w:rPr>
        <w:t>الى القول بلزوم اقتران المنسوخ بالبيان الإجمالي وهو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الجواب عن قوله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وضع للإفادة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منقوض بتأخير بيان المجمل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الفائدة حاصلة من العزم والتوطين على الظاهر</w:t>
      </w:r>
      <w:r>
        <w:rPr>
          <w:rFonts w:eastAsia="Amiri" w:cs="Amiri" w:ascii="Amiri" w:hAnsi="Amiri"/>
          <w:color w:val="111111"/>
          <w:sz w:val="28"/>
          <w:szCs w:val="28"/>
          <w:rtl w:val="true"/>
          <w:lang w:bidi="ar-SA"/>
        </w:rPr>
        <w:t xml:space="preserve">. </w:t>
      </w:r>
      <w:bookmarkStart w:id="105" w:name="pg14071_149027"/>
    </w:p>
    <w:p>
      <w:pPr>
        <w:pStyle w:val="Heading3"/>
        <w:numPr>
          <w:ilvl w:val="2"/>
          <w:numId w:val="1"/>
        </w:numPr>
        <w:rPr/>
      </w:pPr>
      <w:bookmarkStart w:id="106" w:name="__RefHeading___Toc495065_1738255347"/>
      <w:bookmarkStart w:id="107" w:name="_Toc38"/>
      <w:bookmarkEnd w:id="105"/>
      <w:bookmarkEnd w:id="106"/>
      <w:r>
        <w:rPr>
          <w:rtl w:val="true"/>
        </w:rPr>
        <w:t>تنبيه</w:t>
      </w:r>
      <w:bookmarkEnd w:id="107"/>
    </w:p>
    <w:p>
      <w:pPr>
        <w:pStyle w:val="BookText"/>
        <w:rPr/>
      </w:pPr>
      <w:r>
        <w:rPr>
          <w:rFonts w:ascii="Amiri" w:hAnsi="Amiri" w:eastAsia="Amiri" w:cs="Amiri"/>
          <w:color w:val="111111"/>
          <w:sz w:val="28"/>
          <w:sz w:val="28"/>
          <w:szCs w:val="28"/>
          <w:rtl w:val="true"/>
          <w:lang w:bidi="ar-SA"/>
        </w:rPr>
        <w:t xml:space="preserve">تنبيه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قد عرفت وجوب البيان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البيان إنّما يجب لمن أراد الله إفهامه الخطاب دون من لا يريد إفهامه ، للزوم التكليف بالمحال لو لاه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الأوّل ، قد يراد منه فعل ما تضمّنه الخطاب إن تضمّن فعلا كالعالم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يراد منه إلّا معرفة المضمون لإرشاد الغير ، كمسائل الحيض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 قد لا يراد منه العمل بمضمون الخطاب أيضا كالعوامّ بالنسبة الى مسائل الحيض</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يراد فعله كالعبادات بالنسبة الى العوامّ ، ومسائل الحيض بالنسبة الى النساء ، فإنّ وظيفتهم الأخذ عن العالم</w:t>
      </w:r>
      <w:r>
        <w:rPr>
          <w:rFonts w:eastAsia="Amiri" w:cs="Amiri" w:ascii="Amiri" w:hAnsi="Amiri"/>
          <w:color w:val="111111"/>
          <w:sz w:val="28"/>
          <w:szCs w:val="28"/>
          <w:rtl w:val="true"/>
          <w:lang w:bidi="ar-SA"/>
        </w:rPr>
        <w:t xml:space="preserve">. </w:t>
      </w:r>
      <w:bookmarkStart w:id="108" w:name="pg14071_149028"/>
    </w:p>
    <w:p>
      <w:pPr>
        <w:pStyle w:val="Heading3"/>
        <w:numPr>
          <w:ilvl w:val="2"/>
          <w:numId w:val="1"/>
        </w:numPr>
        <w:rPr/>
      </w:pPr>
      <w:bookmarkStart w:id="109" w:name="__RefHeading___Toc495067_1738255347"/>
      <w:bookmarkStart w:id="110" w:name="_Toc39"/>
      <w:bookmarkEnd w:id="108"/>
      <w:bookmarkEnd w:id="109"/>
      <w:r>
        <w:rPr>
          <w:rtl w:val="true"/>
        </w:rPr>
        <w:t>قانون</w:t>
      </w:r>
      <w:bookmarkEnd w:id="110"/>
    </w:p>
    <w:p>
      <w:pPr>
        <w:pStyle w:val="BookText"/>
        <w:rPr/>
      </w:pPr>
      <w:r>
        <w:rPr>
          <w:rFonts w:ascii="Amiri" w:hAnsi="Amiri" w:eastAsia="Amiri" w:cs="Amiri"/>
          <w:color w:val="111111"/>
          <w:sz w:val="28"/>
          <w:sz w:val="28"/>
          <w:szCs w:val="28"/>
          <w:rtl w:val="true"/>
          <w:lang w:bidi="ar-SA"/>
        </w:rPr>
        <w:t>قد عرفت معنى الظاهر في أقسام المحكم ، وتنبّهت على معنى المأوّل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هاهنا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Style w:val="FootnoteAnchor"/>
          <w:rtl w:val="true"/>
        </w:rPr>
        <w:footnoteReference w:id="790"/>
      </w:r>
      <w:r>
        <w:rPr>
          <w:rFonts w:ascii="Amiri" w:hAnsi="Amiri" w:eastAsia="Amiri" w:cs="Amiri"/>
          <w:color w:val="111111"/>
          <w:sz w:val="28"/>
          <w:sz w:val="28"/>
          <w:szCs w:val="28"/>
          <w:rtl w:val="true"/>
          <w:lang w:bidi="ar-SA"/>
        </w:rPr>
        <w:t xml:space="preserve">ما دلّ على معنى دلالة ظنيّة راجحة مع احتمال غيره ، كالألفاظ التي لها معان حقيقة إذا استعملت بلا قرينة تجوّز ، سواء كانت لغويّة أو شرعيّة أو غيرهما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المجاز المقترن بالقرينة الواضحة </w:t>
      </w:r>
      <w:r>
        <w:rPr>
          <w:rStyle w:val="FootnoteAnchor"/>
          <w:rtl w:val="true"/>
        </w:rPr>
        <w:footnoteReference w:id="792"/>
      </w:r>
      <w:r>
        <w:rPr>
          <w:rFonts w:ascii="Amiri" w:hAnsi="Amiri" w:eastAsia="Amiri" w:cs="Amiri"/>
          <w:color w:val="111111"/>
          <w:sz w:val="28"/>
          <w:sz w:val="28"/>
          <w:szCs w:val="28"/>
          <w:rtl w:val="true"/>
          <w:lang w:bidi="ar-SA"/>
        </w:rPr>
        <w:t>على 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المأوّل </w:t>
      </w:r>
      <w:r>
        <w:rPr>
          <w:rStyle w:val="FootnoteAnchor"/>
          <w:rtl w:val="true"/>
        </w:rPr>
        <w:footnoteReference w:id="793"/>
      </w:r>
      <w:r>
        <w:rPr>
          <w:rFonts w:ascii="Amiri" w:hAnsi="Amiri" w:eastAsia="Amiri" w:cs="Amiri"/>
          <w:color w:val="111111"/>
          <w:sz w:val="28"/>
          <w:sz w:val="28"/>
          <w:szCs w:val="28"/>
          <w:rtl w:val="true"/>
          <w:lang w:bidi="ar-SA"/>
        </w:rPr>
        <w:t xml:space="preserve">فهو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المحمول على معناه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أردت تعريف الصحيح منه فزد عليه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مقتضية له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والقرينة إمّا عقليّة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 </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يُضِلُّ اللهُ مَنْ يَشاءُ وَيَهْدِي مَنْ يَشاءُ </w:t>
      </w:r>
      <w:r>
        <w:rPr>
          <w:rFonts w:eastAsia="Amiri" w:cs="Amiri" w:ascii="Amiri" w:hAnsi="Amiri"/>
          <w:color w:val="111111"/>
          <w:sz w:val="28"/>
          <w:szCs w:val="28"/>
          <w:rtl w:val="true"/>
          <w:lang w:bidi="ar-SA"/>
        </w:rPr>
        <w:t xml:space="preserve">) .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وإمّا لفظيّة كحمل آية الصدقة على بيان المصرف لا الاستحقاق والملك ، بقرينة ملاحظة ما قبلها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مَنْ يَلْمِزُكَ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الصَّدَقاتِ فَإِنْ أُعْطُوا مِنْها رَضُوا وَإِنْ لَمْ يُعْطَوْا مِنْها إِذا هُمْ يَسْخَطُونَ</w:t>
      </w:r>
      <w:r>
        <w:rPr>
          <w:rFonts w:eastAsia="Amiri" w:cs="Amiri" w:ascii="Amiri" w:hAnsi="Amiri"/>
          <w:color w:val="111111"/>
          <w:sz w:val="28"/>
          <w:szCs w:val="28"/>
          <w:rtl w:val="true"/>
          <w:lang w:bidi="ar-SA"/>
        </w:rPr>
        <w:t xml:space="preserve">. ) </w:t>
      </w:r>
      <w:r>
        <w:rPr>
          <w:rStyle w:val="FootnoteAnchor"/>
          <w:rtl w:val="true"/>
        </w:rPr>
        <w:footnoteReference w:id="798"/>
      </w:r>
      <w:r>
        <w:rPr>
          <w:rFonts w:ascii="Amiri" w:hAnsi="Amiri" w:eastAsia="Amiri" w:cs="Amiri"/>
          <w:color w:val="111111"/>
          <w:sz w:val="28"/>
          <w:sz w:val="28"/>
          <w:szCs w:val="28"/>
          <w:rtl w:val="true"/>
          <w:lang w:bidi="ar-SA"/>
        </w:rPr>
        <w:t>فالآية ردّ عليهم وردع عمّا اعتقدوا أنّه يجور في ذلك ، بل إنّه يصرفه في مصرفه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وثمرة ذلك عدم وجوب التوزيع على الأصناف </w:t>
      </w:r>
      <w:r>
        <w:rPr>
          <w:rStyle w:val="FootnoteAnchor"/>
          <w:rtl w:val="true"/>
        </w:rPr>
        <w:footnoteReference w:id="799"/>
      </w:r>
      <w:r>
        <w:rPr>
          <w:rFonts w:ascii="IRNazanin" w:hAnsi="IRNazanin" w:eastAsia="IRNazanin"/>
          <w:color w:val="111111"/>
          <w:sz w:val="28"/>
          <w:sz w:val="28"/>
          <w:szCs w:val="28"/>
          <w:rtl w:val="true"/>
          <w:lang w:bidi="fa-IR"/>
        </w:rPr>
        <w:t>، وإحاطتهم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تكون القرينة مفصولة ، مثل الأخبار المخصوصة بالسّنّة والإجماع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جعلت المجازات كلّها من باب المأوّل بالنسبة الى اللّفظ مع قطع النظر عن القرينة سواء قارنها القرينة أو فارقها ، فمع ملاحظة الهيئة المركّبة من اللفظ والقرينة ظاهر ، ومع قطع النظر عن القرينة مأوّل ،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 ما اقترن بالقرينة الدالّة على خلاف ما وضع له اللّفظ ، والمأوّل ما لم يقترن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فاليد في الآية ليست بمجاز ، بل هي ظاهرة في معناها الحقيقي عند عامّة العرب ، محمولة على خلاف ظاهرها عند أهل المعرفة ، والقرينة على هذا الحمل 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يظهر الفرق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يرمي ، وبين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فكلّ المجملات التي لها ظاهر وتأخّر بياناتها عن وقت الخطاب مؤوّلات ، وكذلك العمومات المخصّصة بما هو مفصول عنها ، وأطلق عليها المجاز توسّعا من أجل احتمال أن يكون القائل أراد منها حين التكلّم ما ظهر إرادته </w:t>
      </w:r>
    </w:p>
    <w:p>
      <w:pPr>
        <w:pStyle w:val="BookText"/>
        <w:rPr/>
      </w:pPr>
      <w:r>
        <w:rPr>
          <w:rFonts w:ascii="Amiri" w:hAnsi="Amiri" w:eastAsia="Amiri" w:cs="Amiri"/>
          <w:color w:val="111111"/>
          <w:sz w:val="28"/>
          <w:sz w:val="28"/>
          <w:szCs w:val="28"/>
          <w:rtl w:val="true"/>
          <w:lang w:bidi="ar-SA"/>
        </w:rPr>
        <w:t>أخيرا ، ونصب قرينة عليها حين التكلّم بها قد اختفت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ارتكاب التأويل إلّا مع تعذّر الحمل على الظّاهر ، بأن يتحقّق عليه دليل يترجّح على ظهور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الرّاجح متفاوت في مقدار الرّجحان ، فالمرجوح أيضا متفاوت ، فمنها قريب ومنها بعيد ومنها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يحتمله اللّفظ فلا يجوز تنزيله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وتفاوت القرب والبعد إنّما يكون بسبب تفاوت أفهام النّاظرين وانتقالاتهم وتفاوت القرائن ، فربّما يكون اللفظ عند أحدهم ظاهرا وعند الآخر مؤوّلا وبالعكس</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الأصوليّون لأقسام التأويل وقريبها وبعيدها في كتبهم الأصوليّة أمثلة لا فائدة في التعرّض لها والكلام عليها</w:t>
      </w:r>
      <w:r>
        <w:rPr>
          <w:rFonts w:eastAsia="Amiri" w:cs="Amiri" w:ascii="Amiri" w:hAnsi="Amiri"/>
          <w:color w:val="111111"/>
          <w:sz w:val="28"/>
          <w:szCs w:val="28"/>
          <w:rtl w:val="true"/>
          <w:lang w:bidi="ar-SA"/>
        </w:rPr>
        <w:t xml:space="preserve">. </w:t>
      </w:r>
      <w:bookmarkStart w:id="111" w:name="pg14071_149031"/>
    </w:p>
    <w:p>
      <w:pPr>
        <w:pStyle w:val="Heading2"/>
        <w:numPr>
          <w:ilvl w:val="1"/>
          <w:numId w:val="1"/>
        </w:numPr>
        <w:rPr/>
      </w:pPr>
      <w:bookmarkStart w:id="112" w:name="__RefHeading___Toc495069_1738255347"/>
      <w:bookmarkStart w:id="113" w:name="_Toc40"/>
      <w:bookmarkEnd w:id="111"/>
      <w:bookmarkEnd w:id="112"/>
      <w:r>
        <w:rPr>
          <w:rtl w:val="true"/>
        </w:rPr>
        <w:t xml:space="preserve">الباب السادس </w:t>
      </w:r>
      <w:r>
        <w:rPr>
          <w:rtl w:val="true"/>
        </w:rPr>
        <w:t xml:space="preserve">: </w:t>
      </w:r>
      <w:r>
        <w:rPr>
          <w:rtl w:val="true"/>
        </w:rPr>
        <w:t>في الأدلّة الشرعيّة</w:t>
      </w:r>
      <w:bookmarkEnd w:id="113"/>
    </w:p>
    <w:p>
      <w:pPr>
        <w:pStyle w:val="Heading3"/>
        <w:numPr>
          <w:ilvl w:val="2"/>
          <w:numId w:val="1"/>
        </w:numPr>
        <w:rPr/>
      </w:pPr>
      <w:bookmarkStart w:id="114" w:name="__RefHeading___Toc495071_1738255347"/>
      <w:bookmarkStart w:id="115" w:name="_Toc41"/>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وفيه مقاصد </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495073_1738255347"/>
      <w:bookmarkStart w:id="117" w:name="_Toc42"/>
      <w:bookmarkEnd w:id="116"/>
      <w:r>
        <w:rPr>
          <w:rtl w:val="true"/>
        </w:rPr>
        <w:t xml:space="preserve">المقصد الأوّل </w:t>
      </w:r>
      <w:r>
        <w:rPr>
          <w:rtl w:val="true"/>
        </w:rPr>
        <w:t xml:space="preserve">: </w:t>
      </w:r>
      <w:r>
        <w:rPr>
          <w:rtl w:val="true"/>
        </w:rPr>
        <w:t>في الإجماع</w:t>
      </w:r>
      <w:bookmarkEnd w:id="117"/>
    </w:p>
    <w:p>
      <w:pPr>
        <w:pStyle w:val="Heading4"/>
        <w:numPr>
          <w:ilvl w:val="3"/>
          <w:numId w:val="1"/>
        </w:numPr>
        <w:rPr/>
      </w:pPr>
      <w:bookmarkStart w:id="118" w:name="__RefHeading___Toc495075_1738255347"/>
      <w:bookmarkStart w:id="119" w:name="_Toc43"/>
      <w:bookmarkEnd w:id="118"/>
      <w:r>
        <w:rPr>
          <w:rtl w:val="true"/>
        </w:rPr>
        <w:t>قانون</w:t>
      </w:r>
      <w:bookmarkEnd w:id="119"/>
    </w:p>
    <w:p>
      <w:pPr>
        <w:pStyle w:val="BookText"/>
        <w:rPr/>
      </w:pPr>
      <w:r>
        <w:rPr>
          <w:rFonts w:ascii="Amiri" w:hAnsi="Amiri" w:eastAsia="Amiri" w:cs="Amiri"/>
          <w:color w:val="111111"/>
          <w:sz w:val="28"/>
          <w:sz w:val="28"/>
          <w:szCs w:val="28"/>
          <w:rtl w:val="true"/>
          <w:lang w:bidi="ar-SA"/>
        </w:rPr>
        <w:t xml:space="preserve">الإجماع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والاتّفاق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خاصّ يدلّ على حقيّة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العلماء في حدّه ، ولا فائدة في ذكر </w:t>
      </w:r>
      <w:r>
        <w:rPr>
          <w:rStyle w:val="FootnoteAnchor"/>
          <w:rtl w:val="true"/>
        </w:rPr>
        <w:footnoteReference w:id="801"/>
      </w:r>
      <w:r>
        <w:rPr>
          <w:rFonts w:ascii="Amiri" w:hAnsi="Amiri" w:eastAsia="Amiri" w:cs="Amiri"/>
          <w:color w:val="111111"/>
          <w:sz w:val="28"/>
          <w:sz w:val="28"/>
          <w:szCs w:val="28"/>
          <w:rtl w:val="true"/>
          <w:lang w:bidi="ar-SA"/>
        </w:rPr>
        <w:t>ما ذكروه وجرحها وتعديلها ، فلنقتصر على تعريف واحد يناسب مذهب العامّة ، ثمّ نذكر ما يناسب مذهب الخاصّة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اتّفاق المجتهدين من هذه الأمّة على أمر دينيّ في عصر من الأعصار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فقيد الاجتهاد لعدم اعتبار وفاق العوام وخلافهم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والتخصيص بهذه الأمّة لأنّهم لا يقولون بحجّيّة إجماع سائر الأمم ، وإن اقتضى بعض أدلّتهم ذلك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الشيعة فيلزمهم القول بالحجّيّة ، لأنّ حجّيّة الإجماع عندهم باعتبار دخول المعصوم عليه‌السلام ، وهو لا يختصّ عندهم بزمان دون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العلّامة رحمه‌الله في أوّل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عصمة الأمّة من خواصّ نبيّنا صلى‌الله‌عليه‌وآله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نقل المحقّق البهائي رحمه‌الله عن والده عن مشايخه رحمهم‌الله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العصمة من المسخ والخسف ونحو ذلك ، فلا اعتراض عليه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والتقييد بالأمر الدّيني لإخراج ما ليس منه مثل العقليّات المحضة </w:t>
      </w:r>
      <w:r>
        <w:rPr>
          <w:rStyle w:val="FootnoteAnchor"/>
          <w:rtl w:val="true"/>
        </w:rPr>
        <w:footnoteReference w:id="805"/>
      </w:r>
      <w:r>
        <w:rPr>
          <w:rFonts w:ascii="Amiri" w:hAnsi="Amiri" w:eastAsia="Amiri" w:cs="Amiri"/>
          <w:color w:val="111111"/>
          <w:sz w:val="28"/>
          <w:sz w:val="28"/>
          <w:szCs w:val="28"/>
          <w:rtl w:val="true"/>
          <w:lang w:bidi="ar-SA"/>
        </w:rPr>
        <w:t xml:space="preserve">والدّيني </w:t>
      </w:r>
    </w:p>
    <w:p>
      <w:pPr>
        <w:pStyle w:val="BookText"/>
        <w:rPr/>
      </w:pPr>
      <w:r>
        <w:rPr>
          <w:rFonts w:ascii="Amiri" w:hAnsi="Amiri" w:eastAsia="Amiri" w:cs="Amiri"/>
          <w:color w:val="111111"/>
          <w:sz w:val="28"/>
          <w:sz w:val="28"/>
          <w:szCs w:val="28"/>
          <w:rtl w:val="true"/>
          <w:lang w:bidi="ar-SA"/>
        </w:rPr>
        <w:t>أعمّ من الاعتقادي والفروعي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 عصر من الأعصار ، لعدم اشتراط اجتماع ما مضى وما يأتي ، وإلّا فلم يتحقّق بعد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اتّفاق جماعة يكشف اتّفاقهم عن رأي المعصوم ، فقد يوافق ذلك مع ما حدّه العامة به </w:t>
      </w:r>
      <w:r>
        <w:rPr>
          <w:rStyle w:val="FootnoteAnchor"/>
          <w:rtl w:val="true"/>
        </w:rPr>
        <w:footnoteReference w:id="807"/>
      </w:r>
      <w:r>
        <w:rPr>
          <w:rFonts w:ascii="Amiri" w:hAnsi="Amiri" w:eastAsia="Amiri" w:cs="Amiri"/>
          <w:color w:val="111111"/>
          <w:sz w:val="28"/>
          <w:sz w:val="28"/>
          <w:szCs w:val="28"/>
          <w:rtl w:val="true"/>
          <w:lang w:bidi="ar-SA"/>
        </w:rPr>
        <w:t>، وقد يتخلّف عنه ، فإنّهم يعتبرون اتّفاق جميع علماء الأمّة ، ومع اتّفاق الجميع يظهر موافقة المعصوم عليه‌السلام أيضا لعدم خلوّ العصر عن معصوم عندهم ، أو لأنّ مع اتّفاق جميعهم يحصل العلم بأنّه مأخوذ من رئيسهم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أصحابنا متّفقون على حجّيّة الإجماع </w:t>
      </w:r>
      <w:r>
        <w:rPr>
          <w:rStyle w:val="FootnoteAnchor"/>
          <w:rtl w:val="true"/>
        </w:rPr>
        <w:footnoteReference w:id="808"/>
      </w:r>
      <w:r>
        <w:rPr>
          <w:rFonts w:ascii="Amiri" w:hAnsi="Amiri" w:eastAsia="Amiri" w:cs="Amiri"/>
          <w:color w:val="111111"/>
          <w:sz w:val="28"/>
          <w:sz w:val="28"/>
          <w:szCs w:val="28"/>
          <w:rtl w:val="true"/>
          <w:lang w:bidi="ar-SA"/>
        </w:rPr>
        <w:t>، ووقوعه موافقا لأكثر المخالفين ، ولكن منهم من أنكر إمكان حصوله ، ومنهم من أنكر إمكان العلم به ، ومنهم من أنكر حجّيّته والكلّ ضعيف ، وأدلّتهم سخيفة ، وسنشير إليها بعد ذلك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فلنقدّم الكلام في مدرك حجّيّة الإجماع وكونه مناطا للاحتجاج ، ثمّ نتبعه بذكر الشّكوك والشّبهات في المقامات الثلاثة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كان مدرك حجّيّته مختلفا بالنسبة الى مذاهب العامّة والخاصّة ، فلنذكر أوّلا ما اعتمد عليه الخاصّة ، ثمّ نذكر ما اعتمد عليه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الخاصّة فاعتمدوا في ذلك على كشفه عن رأي المعصوم عليه‌السلام ، فلا حجّيّة عندهم في الإجماع من حيث إنّه إجماع ، بل لأنّه كاشف عن رأي رئيسهم المعصوم ، ولهم في بيان ذلك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اشتهر بين قدمائهم </w:t>
      </w:r>
      <w:r>
        <w:rPr>
          <w:rStyle w:val="FootnoteAnchor"/>
          <w:rtl w:val="true"/>
        </w:rPr>
        <w:footnoteReference w:id="810"/>
      </w:r>
      <w:r>
        <w:rPr>
          <w:rFonts w:ascii="Amiri" w:hAnsi="Amiri" w:eastAsia="Amiri" w:cs="Amiri"/>
          <w:color w:val="111111"/>
          <w:sz w:val="28"/>
          <w:sz w:val="28"/>
          <w:szCs w:val="28"/>
          <w:rtl w:val="true"/>
          <w:lang w:bidi="ar-SA"/>
        </w:rPr>
        <w:t xml:space="preserve">، وهو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علماء أمّة النبيّ صلى‌الله‌عليه‌وآله على قول فهو قول الإمام المعصوم القائم بعده ، لأنّه عليه‌السلام من جملة الامّة وسيّدها ، فإذا ثبت اجتماع الامّة على حكم ، ثبت موافقته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أنّه قال بمثل ما قال سائر الأمّة ، فلا معنى للاعتماد على اتّفاق سائرهم ، فالمعتمد هو قوله ، وإلّا فكيف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موافق لهم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العلم الإجمالي والتفصيلي ، وكلامنا إنّما هو في العلم الإجمالي ، وما علم قوله فيه بالتفصيل فالكلام فيه هو ما ذكرت ، وذلك </w:t>
      </w:r>
      <w:r>
        <w:rPr>
          <w:rStyle w:val="FootnoteAnchor"/>
          <w:rtl w:val="true"/>
        </w:rPr>
        <w:footnoteReference w:id="812"/>
      </w:r>
      <w:r>
        <w:rPr>
          <w:rFonts w:ascii="Amiri" w:hAnsi="Amiri" w:eastAsia="Amiri" w:cs="Amiri"/>
          <w:color w:val="111111"/>
          <w:sz w:val="28"/>
          <w:sz w:val="28"/>
          <w:szCs w:val="28"/>
          <w:rtl w:val="true"/>
          <w:lang w:bidi="ar-SA"/>
        </w:rPr>
        <w:t xml:space="preserve">من باب كلّيّة الكبرى في الشكل الأوّل ، فإنّ العلم بجسميّة الإنسان في ضمن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حيوان جسم ، إنّما هو بالإجمال لا بالتفصيل حتى يستلزم الدّور </w:t>
      </w:r>
      <w:r>
        <w:rPr>
          <w:rStyle w:val="FootnoteAnchor"/>
          <w:rtl w:val="true"/>
        </w:rPr>
        <w:footnoteReference w:id="813"/>
      </w:r>
      <w:r>
        <w:rPr>
          <w:rFonts w:ascii="Amiri" w:hAnsi="Amiri" w:eastAsia="Amiri" w:cs="Amiri"/>
          <w:color w:val="111111"/>
          <w:sz w:val="28"/>
          <w:sz w:val="28"/>
          <w:szCs w:val="28"/>
          <w:rtl w:val="true"/>
          <w:lang w:bidi="ar-SA"/>
        </w:rPr>
        <w:t xml:space="preserve">، كما أورده </w:t>
      </w:r>
    </w:p>
    <w:p>
      <w:pPr>
        <w:pStyle w:val="BookText"/>
        <w:rPr/>
      </w:pPr>
      <w:r>
        <w:rPr>
          <w:rFonts w:ascii="Amiri" w:hAnsi="Amiri" w:eastAsia="Amiri" w:cs="Amiri"/>
          <w:color w:val="111111"/>
          <w:sz w:val="28"/>
          <w:sz w:val="28"/>
          <w:szCs w:val="28"/>
          <w:rtl w:val="true"/>
          <w:lang w:bidi="ar-SA"/>
        </w:rPr>
        <w:t xml:space="preserve">بعض المتصوّفة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التفصيلي بالنتيجة موقوف على العلم الاجمالي بكليّة الكبرى ، والعلم الاجمالي بكليّة الكبرى لا يتوقف على العلم التفصيلي بالنتيجة ، بل يتوقف على العلم بها أصلا ونقل أنّ للأوّل على الأخير مقالات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تأثير 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الكيميا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أهل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w:t>
      </w:r>
      <w:r>
        <w:rPr>
          <w:rStyle w:val="FootnoteAnchor"/>
          <w:rtl w:val="true"/>
        </w:rPr>
        <w:footnoteReference w:id="815"/>
      </w:r>
      <w:r>
        <w:rPr>
          <w:rFonts w:ascii="Amiri" w:hAnsi="Amiri" w:eastAsia="Amiri" w:cs="Amiri"/>
          <w:color w:val="111111"/>
          <w:sz w:val="28"/>
          <w:sz w:val="28"/>
          <w:szCs w:val="28"/>
          <w:rtl w:val="true"/>
          <w:lang w:bidi="ar-SA"/>
        </w:rPr>
        <w:t>، يندفع الشبهة التي أوردوها من عدم إمكان العلم بمذاهب العلماء المنتشرين في شرق العالم وغربه مع عدم معرفتهم وعدم إمكان لقائهم ، فإنّ العلم الإجمالي ممّا يمكن حصوله بلا شكّ ولا ريب ، كما في ضروريات المذهب وسيجيء 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مناط هذا التقرير في حجيّة الإجماع ، إنّي علمت بالعلم الإجمالي أنّ جميع أمّة محمّد صلى‌الله‌عليه‌وآله متّفقون على كذا ، وكلّ ما كان كذلك </w:t>
      </w:r>
      <w:r>
        <w:rPr>
          <w:rStyle w:val="FootnoteAnchor"/>
          <w:rtl w:val="true"/>
        </w:rPr>
        <w:footnoteReference w:id="816"/>
      </w:r>
      <w:r>
        <w:rPr>
          <w:rFonts w:ascii="Amiri" w:hAnsi="Amiri" w:eastAsia="Amiri" w:cs="Amiri"/>
          <w:color w:val="111111"/>
          <w:sz w:val="28"/>
          <w:sz w:val="28"/>
          <w:szCs w:val="28"/>
          <w:rtl w:val="true"/>
          <w:lang w:bidi="ar-SA"/>
        </w:rPr>
        <w:t>فهو حجّة ، لأنّ الإمام عليه‌السلام في جملتهم فهو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السرّ </w:t>
      </w:r>
      <w:r>
        <w:rPr>
          <w:rStyle w:val="FootnoteAnchor"/>
          <w:rtl w:val="true"/>
        </w:rPr>
        <w:footnoteReference w:id="817"/>
      </w:r>
      <w:r>
        <w:rPr>
          <w:rFonts w:ascii="Amiri" w:hAnsi="Amiri" w:eastAsia="Amiri" w:cs="Amiri"/>
          <w:color w:val="111111"/>
          <w:sz w:val="28"/>
          <w:sz w:val="28"/>
          <w:szCs w:val="28"/>
          <w:rtl w:val="true"/>
          <w:lang w:bidi="ar-SA"/>
        </w:rPr>
        <w:t>في اعتبار هؤلاء وجود شخص مجهول النّسب في جملة المجمعين ليجامع العلم الإجمالي ، ولو بدّلوا اعتبار وجود مجهول النّسب بعدم العلم بأجمعهم تفصيلا ، لكان أولى ، ولعلّهم أيضا يريدون بمجهول النسب 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 فرض إمكان صورة يمكن القول بكون الإمام فيهم إجمالا لا تفصيلا ، وعلى هذه الطريقة فإن حصل العلم باتّفاق الجميع إجمالا ، فيتمّ </w:t>
      </w:r>
    </w:p>
    <w:p>
      <w:pPr>
        <w:pStyle w:val="BookText"/>
        <w:rPr/>
      </w:pPr>
      <w:r>
        <w:rPr>
          <w:rFonts w:ascii="Amiri" w:hAnsi="Amiri" w:eastAsia="Amiri" w:cs="Amiri"/>
          <w:color w:val="111111"/>
          <w:sz w:val="28"/>
          <w:sz w:val="28"/>
          <w:szCs w:val="28"/>
          <w:rtl w:val="true"/>
          <w:lang w:bidi="ar-SA"/>
        </w:rPr>
        <w:t xml:space="preserve">المطلوب ، وكذا إن خرج منهم بعض من يعرف بشخصه ونسبه مع العلم الإجمالي باتّفاق الباقين ، ولكنّ الإنصاف أنّ على هذه الطريقة لا يمكن الاطّلاع على الإجماع في أمثال زماننا </w:t>
      </w:r>
      <w:r>
        <w:rPr>
          <w:rStyle w:val="FootnoteAnchor"/>
          <w:rtl w:val="true"/>
        </w:rPr>
        <w:footnoteReference w:id="818"/>
      </w:r>
      <w:r>
        <w:rPr>
          <w:rFonts w:ascii="Amiri" w:hAnsi="Amiri" w:eastAsia="Amiri" w:cs="Amiri"/>
          <w:color w:val="111111"/>
          <w:sz w:val="28"/>
          <w:sz w:val="28"/>
          <w:szCs w:val="28"/>
          <w:rtl w:val="true"/>
          <w:lang w:bidi="ar-SA"/>
        </w:rPr>
        <w:t xml:space="preserve">إلّا على سبيل النّقل ، وإن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موافقة الإمام عليه‌السلام موافقة قوله لقولهم لا دخول شخصه في أشخاصهم ، حتّى يستبعد ذلك في الإمام المنتظر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الشيخ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بعد ما وافق القوم في الطريقة السّابقة ، والظاهر أنّ له موافقا من أصحابنا أيضا ممّن تقدّم عليه وممّن تأخّر في هذه الطريقة ، وهي أنّه اعتمد في ذلك على ما رواه أصحابنا من الأخبار المتواترة ، من أنّ الزّمان لا يخلو من حجّة </w:t>
      </w:r>
      <w:r>
        <w:rPr>
          <w:rStyle w:val="FootnoteAnchor"/>
          <w:rtl w:val="true"/>
        </w:rPr>
        <w:footnoteReference w:id="820"/>
      </w:r>
      <w:r>
        <w:rPr>
          <w:rFonts w:ascii="Amiri" w:hAnsi="Amiri" w:eastAsia="Amiri" w:cs="Amiri"/>
          <w:color w:val="111111"/>
          <w:sz w:val="28"/>
          <w:sz w:val="28"/>
          <w:szCs w:val="28"/>
          <w:rtl w:val="true"/>
          <w:lang w:bidi="ar-SA"/>
        </w:rPr>
        <w:t>، كي إن زاد المؤمنون شيئا ردّهم وإن نقّصوا أتمّه لهم ، ولو لا ذلك لاختلط على النّاس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ثمرة هذه الطريقة حيث لم يحصل العلم بالطريقة الأولى كما لو وجد في الإماميّة قول ولم يعرف له دليل ولم يعرف له مخالف أيضا ، ولكن لم يعرف مع ذلك أيضا كونه قول الإمام ومختاره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انّه قول الإمام عليه‌السلام ومختاره ، لأنّه لو لم يكن كذا لوجب عليه أن يظهر القول بخلاف ما أجمعوا عليه لو كان باطلا ، فلمّا لم يظهر ظهر أنّه حقّ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ذلك منه في مواضع وبعض عباراته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Style w:val="FootnoteAnchor"/>
          <w:rtl w:val="true"/>
        </w:rPr>
        <w:footnoteReference w:id="821"/>
      </w: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قول </w:t>
      </w:r>
    </w:p>
    <w:p>
      <w:pPr>
        <w:pStyle w:val="BookText"/>
        <w:rPr/>
      </w:pPr>
      <w:r>
        <w:rPr>
          <w:rFonts w:ascii="Amiri" w:hAnsi="Amiri" w:eastAsia="Amiri" w:cs="Amiri"/>
          <w:color w:val="111111"/>
          <w:sz w:val="28"/>
          <w:sz w:val="28"/>
          <w:szCs w:val="28"/>
          <w:rtl w:val="true"/>
          <w:lang w:bidi="ar-SA"/>
        </w:rPr>
        <w:t>بين الطائفة ولم يعرف له مخالف ولم نجد ما يدلّ على صحّة ذلك القول ولا على فساده ، وجب القطع على صحّة ذلك القول وأنّه موافق لقول المعصوم عليه‌السلام ، لأنّه لو كان قول المعصوم مخالفا له لوجب أن يظهره ، وإلّا كان يقبح التكليف الذي ذلك القول لطف فيه ، وقد علمنا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قبل ذلك في مقام آخر </w:t>
      </w:r>
      <w:r>
        <w:rPr>
          <w:rStyle w:val="FootnoteAnchor"/>
          <w:rtl w:val="true"/>
        </w:rPr>
        <w:footnoteReference w:id="822"/>
      </w:r>
      <w:r>
        <w:rPr>
          <w:rFonts w:ascii="Amiri" w:hAnsi="Amiri" w:eastAsia="Amiri" w:cs="Amiri"/>
          <w:color w:val="111111"/>
          <w:sz w:val="28"/>
          <w:sz w:val="28"/>
          <w:szCs w:val="28"/>
          <w:rtl w:val="true"/>
          <w:lang w:bidi="ar-SA"/>
        </w:rPr>
        <w:t xml:space="preserve">وهو ، فيما لو اختلف الإماميّة على قولين لا يجري فيهما التخيير كالوجوب والحرمة مثلا ، وكان أحدهما قول الإمام عليه‌السلام ولم يشاركه أحد من العلماء فيه ، وكان الجميع متّفقين على الباطل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اتّفق ذلك </w:t>
      </w:r>
      <w:r>
        <w:rPr>
          <w:rStyle w:val="FootnoteAnchor"/>
          <w:rtl w:val="true"/>
        </w:rPr>
        <w:footnoteReference w:id="823"/>
      </w:r>
      <w:r>
        <w:rPr>
          <w:rFonts w:ascii="Amiri" w:hAnsi="Amiri" w:eastAsia="Amiri" w:cs="Amiri"/>
          <w:color w:val="111111"/>
          <w:sz w:val="28"/>
          <w:sz w:val="28"/>
          <w:szCs w:val="28"/>
          <w:rtl w:val="true"/>
          <w:lang w:bidi="ar-SA"/>
        </w:rPr>
        <w:t>وكان على القول الذي انفرد به الإمام دليل من كتاب أو سنّة مقطوع بها ، لم يجب عليه الظّهور والدّلالة على ذلك ، لأنّ ما هو موجود من الكتاب والسنّة كاف في باب إزاحة التكليف ، ومتى لم يكن على القول الذي انفرد به دليل على ما قلناه يعني على النحو الذي فرضه من الكتاب أو السنّة المقطوع بها وجب عليه الظهور وإظهار الحقّ وإعلام بعض ثقاته حتّى يؤدّي الحقّ إلى الأمّة ، بشرط أن يكون معه معجزة تدلّ على صدقه ، وإلّا لم يحسن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بعض المحقّقين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إلقاء الخلاف بينهم بأن يظهر القول وإن لم يعرفه العلماء أنّه إمام ، بل يكفي قول الفقيه المعلوم النّسب في ذلك أيضا ، بل يكفي وجود رواية بين روايات أصحابنا دالّة على خلاف ما أجمعوا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Style w:val="FootnoteAnchor"/>
          <w:rtl w:val="true"/>
        </w:rPr>
        <w:footnoteReference w:id="825"/>
      </w:r>
      <w:r>
        <w:rPr>
          <w:rFonts w:ascii="Amiri" w:hAnsi="Amiri" w:eastAsia="Amiri" w:cs="Amiri"/>
          <w:color w:val="111111"/>
          <w:sz w:val="28"/>
          <w:sz w:val="28"/>
          <w:szCs w:val="28"/>
          <w:rtl w:val="true"/>
          <w:lang w:bidi="ar-SA"/>
        </w:rPr>
        <w:t xml:space="preserve">ظاهر ، إذ مناط كلام الشيخ ليس أنّ الإجماع على الخطأ لمّا كان </w:t>
      </w:r>
    </w:p>
    <w:p>
      <w:pPr>
        <w:pStyle w:val="BookText"/>
        <w:rPr/>
      </w:pPr>
      <w:r>
        <w:rPr>
          <w:rFonts w:ascii="Amiri" w:hAnsi="Amiri" w:eastAsia="Amiri" w:cs="Amiri"/>
          <w:color w:val="111111"/>
          <w:sz w:val="28"/>
          <w:sz w:val="28"/>
          <w:szCs w:val="28"/>
          <w:rtl w:val="true"/>
          <w:lang w:bidi="ar-SA"/>
        </w:rPr>
        <w:t>باطلا وجب على الإمام رفع ذلك ، وهذا يتمّ بنقض الإجماع ولو كان بوجود مخالف ، بل مناط كلامه أنّ لطفه تعالى الدّاعي إلى نصب الإمام أوجب ردع الامّة عن الباطل ، وذلك لا يتمّ إلّا بما يوجب ردعهم ، فلمّا لم يحصل ذلك علم أنّه راض على ما اجتمعوا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 وإنّما الواجب على الله نصبه عليه‌السلام ، والواجب عليه عليه‌السلام الإبلاغ والردع عن الباطل إن لم يمنعه مانع ولم يثبت حكمة في غيبته واستتاره عليه‌السلام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ردّ هذا القول السيّد المرتضى رحمه‌الله </w:t>
      </w:r>
      <w:r>
        <w:rPr>
          <w:rStyle w:val="FootnoteAnchor"/>
          <w:rtl w:val="true"/>
        </w:rPr>
        <w:footnoteReference w:id="82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الظهور لأنّه إذا كنّا نحن السّبب في استتاره ، فكلّ ما يفوتنا من الانتفاع به وبتصرّفه وبما معه من الأحكام ، يكون قد أوتينا من قبل نفوسنا فيه ، ولو أزلنا سبب الاستتار لظهر وانتفعنا به وأدّى إلينا الحقّ الذي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هذا الكلام ؛ هو الذي ذكره المحقّق الطوسي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لطف وتصرّفه لطف آخر وعدمه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أنّا نرى أنّ خلاف مقتضى اللّطف والتبليغ موجودا إلى غير النّهاية ، والأقوال المختلفة في غاية الكثرة مع تعطّل الأمر بالمعروف والنّهي عن المنكر وإجراء الأحكام والحدود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عن وجود الاختلاف في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أوقعوا الخلاف وبيّنوا لنا علاجه ، وهو وإن كان كذلك في الغالب ، لكنّ بعض الخلافات الذي لا يمكن ذلك </w:t>
      </w:r>
    </w:p>
    <w:p>
      <w:pPr>
        <w:pStyle w:val="BookText"/>
        <w:rPr/>
      </w:pPr>
      <w:r>
        <w:rPr>
          <w:rFonts w:ascii="Amiri" w:hAnsi="Amiri" w:eastAsia="Amiri" w:cs="Amiri"/>
          <w:color w:val="111111"/>
          <w:sz w:val="28"/>
          <w:sz w:val="28"/>
          <w:szCs w:val="28"/>
          <w:rtl w:val="true"/>
          <w:lang w:bidi="ar-SA"/>
        </w:rPr>
        <w:t>فيه لا يتمّ فيه ما ذكر ، بل لا يتمّ في الغالب أيضا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ينتصر لطريقة الشيخ ردّا على الجواب الذي ذكرنا </w:t>
      </w:r>
      <w:r>
        <w:rPr>
          <w:rStyle w:val="FootnoteAnchor"/>
          <w:rtl w:val="true"/>
        </w:rPr>
        <w:footnoteReference w:id="828"/>
      </w:r>
      <w:r>
        <w:rPr>
          <w:rFonts w:ascii="Amiri" w:hAnsi="Amiri" w:eastAsia="Amiri" w:cs="Amiri"/>
          <w:color w:val="111111"/>
          <w:sz w:val="28"/>
          <w:sz w:val="28"/>
          <w:szCs w:val="28"/>
          <w:rtl w:val="true"/>
          <w:lang w:bidi="ar-SA"/>
        </w:rPr>
        <w:t xml:space="preserve">من أنّ عدم إظهار الإمام المخالفة لعلّه كان لأجل تقيّة أو مصلحة بأنّ هذا هو الذي يذكره العامّة في الردّ على الشّيعة من أنّ الحكمة لعلّها اقتضت خلوّ الزّمان عن الحجّة أيضا ، وبأنّ </w:t>
      </w:r>
      <w:r>
        <w:rPr>
          <w:rStyle w:val="FootnoteAnchor"/>
          <w:rtl w:val="true"/>
        </w:rPr>
        <w:footnoteReference w:id="829"/>
      </w:r>
      <w:r>
        <w:rPr>
          <w:rFonts w:ascii="Amiri" w:hAnsi="Amiri" w:eastAsia="Amiri" w:cs="Amiri"/>
          <w:color w:val="111111"/>
          <w:sz w:val="28"/>
          <w:sz w:val="28"/>
          <w:szCs w:val="28"/>
          <w:rtl w:val="true"/>
          <w:lang w:bidi="ar-SA"/>
        </w:rPr>
        <w:t xml:space="preserve">ذلك </w:t>
      </w:r>
      <w:r>
        <w:rPr>
          <w:rStyle w:val="FootnoteAnchor"/>
          <w:rtl w:val="true"/>
        </w:rPr>
        <w:footnoteReference w:id="830"/>
      </w:r>
      <w:r>
        <w:rPr>
          <w:rFonts w:ascii="Amiri" w:hAnsi="Amiri" w:eastAsia="Amiri" w:cs="Amiri"/>
          <w:color w:val="111111"/>
          <w:sz w:val="28"/>
          <w:sz w:val="28"/>
          <w:szCs w:val="28"/>
          <w:rtl w:val="true"/>
          <w:lang w:bidi="ar-SA"/>
        </w:rPr>
        <w:t xml:space="preserve">ينافي كون تقرير المعصوم عليه‌السلام حجّة ، خصوصا تقرير كلّ الشيعة على أمر ، مع أنّ الحكمة إذا اقتضت إبقاءهم على ذلك ، فيكون راضيا بما اتّفقوا عليه حتّى تتغيّر المصلحة فيثبت المطلوب ، مع أنّه يمكنه ردعهم </w:t>
      </w:r>
      <w:r>
        <w:rPr>
          <w:rStyle w:val="FootnoteAnchor"/>
          <w:rtl w:val="true"/>
        </w:rPr>
        <w:footnoteReference w:id="831"/>
      </w:r>
      <w:r>
        <w:rPr>
          <w:rFonts w:ascii="Amiri" w:hAnsi="Amiri" w:eastAsia="Amiri" w:cs="Amiri"/>
          <w:color w:val="111111"/>
          <w:sz w:val="28"/>
          <w:sz w:val="28"/>
          <w:szCs w:val="28"/>
          <w:rtl w:val="true"/>
          <w:lang w:bidi="ar-SA"/>
        </w:rPr>
        <w:t>بأن يظهر بعنوان المجهول النّسب ويلقي الخلاف بينهم ويبيّن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في ذلك </w:t>
      </w:r>
      <w:r>
        <w:rPr>
          <w:rStyle w:val="FootnoteAnchor"/>
          <w:rtl w:val="true"/>
        </w:rPr>
        <w:footnoteReference w:id="832"/>
      </w:r>
      <w:r>
        <w:rPr>
          <w:rFonts w:ascii="Amiri" w:hAnsi="Amiri" w:eastAsia="Amiri" w:cs="Amiri"/>
          <w:color w:val="111111"/>
          <w:sz w:val="28"/>
          <w:sz w:val="28"/>
          <w:szCs w:val="28"/>
          <w:rtl w:val="true"/>
          <w:lang w:bidi="ar-SA"/>
        </w:rPr>
        <w:t>وجود رواية أو مجتهد معروف مخالف كما توهّم ، لأنّه لا يوجب ردعهم كما هو المعهود من طريقتهم من طرحهم الرّواية الشاذّة والقول النادر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ردعهم في المسائل الخلافية </w:t>
      </w:r>
      <w:r>
        <w:rPr>
          <w:rStyle w:val="FootnoteAnchor"/>
          <w:rtl w:val="true"/>
        </w:rPr>
        <w:footnoteReference w:id="833"/>
      </w:r>
      <w:r>
        <w:rPr>
          <w:rFonts w:ascii="Amiri" w:hAnsi="Amiri" w:eastAsia="Amiri" w:cs="Amiri"/>
          <w:color w:val="111111"/>
          <w:sz w:val="28"/>
          <w:sz w:val="28"/>
          <w:szCs w:val="28"/>
          <w:rtl w:val="true"/>
          <w:lang w:bidi="ar-SA"/>
        </w:rPr>
        <w:t xml:space="preserve">وعدم رفع الخلاف من بينهم ، فلأنّه رضي باجتهاد المجتهدين وتقليد المقلّدين ، مع أنّهم أوقعوا الخلاف بينهم ، فيظهر منه في الخلافيّات </w:t>
      </w:r>
      <w:r>
        <w:rPr>
          <w:rStyle w:val="FootnoteAnchor"/>
          <w:rtl w:val="true"/>
        </w:rPr>
        <w:footnoteReference w:id="834"/>
      </w:r>
      <w:r>
        <w:rPr>
          <w:rFonts w:ascii="Amiri" w:hAnsi="Amiri" w:eastAsia="Amiri" w:cs="Amiri"/>
          <w:color w:val="111111"/>
          <w:sz w:val="28"/>
          <w:sz w:val="28"/>
          <w:szCs w:val="28"/>
          <w:rtl w:val="true"/>
          <w:lang w:bidi="ar-SA"/>
        </w:rPr>
        <w:t>أنّه راض بأحد طرفي النقيض لمجتهد ، وبآخر لمجتهد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فيما اجتمعوا عليه فليس إلّا رضاه بشيء واحد </w:t>
      </w:r>
      <w:r>
        <w:rPr>
          <w:rStyle w:val="FootnoteAnchor"/>
          <w:rtl w:val="true"/>
        </w:rPr>
        <w:footnoteReference w:id="835"/>
      </w:r>
      <w:r>
        <w:rPr>
          <w:rFonts w:ascii="Amiri" w:hAnsi="Amiri" w:eastAsia="Amiri" w:cs="Amiri"/>
          <w:color w:val="111111"/>
          <w:sz w:val="28"/>
          <w:sz w:val="28"/>
          <w:szCs w:val="28"/>
          <w:rtl w:val="true"/>
          <w:lang w:bidi="ar-SA"/>
        </w:rPr>
        <w:t>، فلا يجوز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بين الحكمة الباعثة على نصب الإمام وعلى إنفاذه جميع الأحكام ، سيّما إذا تسبّب لعدمه المكلّفون ، فلا يرد نقض العامّة ، وليس هنا مقام بسط الكلام ، وهذا واضح سيّما في مسائل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تقرير المعصوم عليه‌السلام حجّة فهو إنّما يسلّم إذا علم اطّلاعه عليه وتمكّنه من المنع لو كان باطلا ، ولم يمنع ، وهو فيما نحن فيه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رضاه على بقائهم على معتقدهم فهو لا ينافي جواز مخالفتهم بدليل دلّ المتأخّر منهم على المخالفة ، إذ ذلك أيضا من باب الرّضا باجتهادهم في حال الاضطرار كما في الخلافيّات ، إذ ليس في كلّ قول من الأقوال المتخالفة حديث أو آية ، بل ربّما اعتمد بعضهم على دليل ضعيف من قياس ونحوه خطأ وغفلة ، ومع ذلك نقول بأنّ الإمام عليه‌السلام راض باجتهاده وبتقليد مقلّده له ، فلعلّ اجتماع هؤلاء أيضا يكون من هذا القبيل ، ولا مانع من مخالفتهم إذا دلّ عليه دليل لمن بعدهم إلّا مخالفتهم للشّهرة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الكلام يفيد عدم جواز مخالفة الشّهرة ، وأنّه لا يمكن أن يثبت دليل يترجّح على الشّهرة ، وهو ممنوع لم يقم عليه دليل ولا يفيد إثبات الإجماع كما هو مرادك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برضا الإمام عليه‌السلام بذلك بالخصوص من حيث هو ، لا من حيث إنّه أيضا من الاجتهادات المعفوّة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ردعهم بعنوان مجهول النّسب ، فمع تجويز رضا الإمام عليه‌السلام باجتهاد المجتهد وعمل المقلّد به كما ذكرت ، فلا دليل على وجوب الرّدع عن هذا الاجتهاد </w:t>
      </w:r>
    </w:p>
    <w:p>
      <w:pPr>
        <w:pStyle w:val="BookText"/>
        <w:rPr/>
      </w:pPr>
      <w:r>
        <w:rPr>
          <w:rFonts w:ascii="Amiri" w:hAnsi="Amiri" w:eastAsia="Amiri" w:cs="Amiri"/>
          <w:color w:val="111111"/>
          <w:sz w:val="28"/>
          <w:sz w:val="28"/>
          <w:szCs w:val="28"/>
          <w:rtl w:val="true"/>
          <w:lang w:bidi="ar-SA"/>
        </w:rPr>
        <w:t>الخاصّ الذي اجتمع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ورضاه على هذا الاجتماع لا يسلم إلّا من جهة كونه باجتهادهم المعفوّ عنهم ، وذلك لا يوجب عدم رضاه بمخالفتهم إذا أدّى دليل إلى مخالفتهم ، مع أنّ جريان ما ذكره </w:t>
      </w:r>
      <w:r>
        <w:rPr>
          <w:rStyle w:val="FootnoteAnchor"/>
          <w:rtl w:val="true"/>
        </w:rPr>
        <w:footnoteReference w:id="836"/>
      </w:r>
      <w:r>
        <w:rPr>
          <w:rFonts w:ascii="Amiri" w:hAnsi="Amiri" w:eastAsia="Amiri" w:cs="Amiri"/>
          <w:color w:val="111111"/>
          <w:sz w:val="28"/>
          <w:sz w:val="28"/>
          <w:szCs w:val="28"/>
          <w:rtl w:val="true"/>
          <w:lang w:bidi="ar-SA"/>
        </w:rPr>
        <w:t>في مثل زماننا في غاية البعد ، بل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تتميم هذه الطريقة </w:t>
      </w:r>
      <w:r>
        <w:rPr>
          <w:rStyle w:val="FootnoteAnchor"/>
          <w:rtl w:val="true"/>
        </w:rPr>
        <w:footnoteReference w:id="837"/>
      </w:r>
      <w:r>
        <w:rPr>
          <w:rFonts w:ascii="Amiri" w:hAnsi="Amiri" w:eastAsia="Amiri" w:cs="Amiri"/>
          <w:color w:val="111111"/>
          <w:sz w:val="28"/>
          <w:sz w:val="28"/>
          <w:szCs w:val="28"/>
          <w:rtl w:val="true"/>
          <w:lang w:bidi="ar-SA"/>
        </w:rPr>
        <w:t xml:space="preserve">فيما لو اجتمع الطائفة على فتوى ولم يعلم موافقة الإمام لهم ، وكذا على قولين أو ثلاثة ، بالأخبار مثل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امّتي على الخطأ</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اجتماعهم على الخطأ ، فلو كان ما اجتمعوا عليه خطأ لوجب على الإمام عليه‌السلام ردعهم عن الاجتماع ، ويلزمه الاكتفاء بمجرّد إلقاء الخلاف ، ولكنّ الكلام في إثبات دلالة تلك الأخبار وحجّيّتها ، وسيجيء الكلام فيها مع أنّ مدلولها المطابقي يقتضي اجتماع كلّ الأمّة ، ومع عدم العلم بقول الإمام عليه‌السلام يخرج عن مدلولها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جماعة من محقّقي المتأخّرين </w:t>
      </w:r>
      <w:r>
        <w:rPr>
          <w:rStyle w:val="FootnoteAnchor"/>
          <w:rtl w:val="true"/>
        </w:rPr>
        <w:footnoteReference w:id="839"/>
      </w:r>
      <w:r>
        <w:rPr>
          <w:rFonts w:ascii="Amiri" w:hAnsi="Amiri" w:eastAsia="Amiri" w:cs="Amiri"/>
          <w:color w:val="111111"/>
          <w:sz w:val="28"/>
          <w:sz w:val="28"/>
          <w:szCs w:val="28"/>
          <w:rtl w:val="true"/>
          <w:lang w:bidi="ar-SA"/>
        </w:rPr>
        <w:t xml:space="preserve">وهو أنّه يمكن حصول العلم برأي الإمام عليه‌السلام من اجتماع جماعة من خواصّه على فتوى مع عدم ظهور مخالف لهم ، وكذلك يمكن العلم برأي كلّ رئيس بملاحظة أقوال تبعته ، فكما لو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أنّ فقيها له تلامذة ثقات عدول لا يروون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إلّا عن رأي فقيههم ولا يصدرون إلّا عن معتقده ، فاجتمعوا على فتوى من دون أن يسندوه إلى فقيههم ولم يعلم مخالفة لأحدهم فيه ، يمكن حصول العلم بذلك بأنّه رأي فقيههم ، فكذلك يمكن العلم بفتوى جمع كثير من أصحاب الصّادق عليه الصلاة والسلام من قبيل زرارة بن أعين ومحمّد بن مسلم وليث المرادي وبريد بن معاوية العجلي والفضيل بن يسار من الفضلاء الثّقات العدول وأمثالهم من دون ظهور مخالف منهم ، أنّ ذلك فتوى إمامهم عليه‌السلام ومعتقده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وطريقة ذلك هو الحدس </w:t>
      </w:r>
      <w:r>
        <w:rPr>
          <w:rStyle w:val="FootnoteAnchor"/>
          <w:rtl w:val="true"/>
        </w:rPr>
        <w:footnoteReference w:id="841"/>
      </w:r>
      <w:r>
        <w:rPr>
          <w:rFonts w:ascii="Amiri" w:hAnsi="Amiri" w:eastAsia="Amiri" w:cs="Amiri"/>
          <w:color w:val="111111"/>
          <w:sz w:val="28"/>
          <w:sz w:val="28"/>
          <w:szCs w:val="28"/>
          <w:rtl w:val="true"/>
          <w:lang w:bidi="ar-SA"/>
        </w:rPr>
        <w:t xml:space="preserve">والوجدان ، وهذه طريقة معروفة لا يجوز إنكارها ، فإذا حصل العلم بذلك بمعتقد الإمام عليه‌السلام ، فلا ريب في حجّيته ، بل يمكن أن يدّعى ثبوته في أمثال زماننا أيضا بملاحظة تتبّع أقوال علمائنا ، فإنّه لا شكّ في أنّه إذا أفتى فقيه عادل ماهر بحكم ، فهو بنفسه يورث ظنّا </w:t>
      </w:r>
    </w:p>
    <w:p>
      <w:pPr>
        <w:pStyle w:val="BookText"/>
        <w:rPr/>
      </w:pPr>
      <w:r>
        <w:rPr>
          <w:rFonts w:ascii="Amiri" w:hAnsi="Amiri" w:eastAsia="Amiri" w:cs="Amiri"/>
          <w:color w:val="111111"/>
          <w:sz w:val="28"/>
          <w:sz w:val="28"/>
          <w:szCs w:val="28"/>
          <w:rtl w:val="true"/>
          <w:lang w:bidi="ar-SA"/>
        </w:rPr>
        <w:t xml:space="preserve">بحقيّته وأنّه مأخوذ من إمامه ، وإذا ضمّ إليه فتوى فقيه آخر مثله يزيد ذلك </w:t>
      </w:r>
      <w:r>
        <w:rPr>
          <w:rStyle w:val="FootnoteAnchor"/>
          <w:rtl w:val="true"/>
        </w:rPr>
        <w:footnoteReference w:id="842"/>
      </w:r>
      <w:r>
        <w:rPr>
          <w:rFonts w:ascii="Amiri" w:hAnsi="Amiri" w:eastAsia="Amiri" w:cs="Amiri"/>
          <w:color w:val="111111"/>
          <w:sz w:val="28"/>
          <w:sz w:val="28"/>
          <w:szCs w:val="28"/>
          <w:rtl w:val="true"/>
          <w:lang w:bidi="ar-SA"/>
        </w:rPr>
        <w:t>الظنّ ، فإذا انضمّ إليه آخر وآخر حتّى استوعب فتواهم بحيث لم يعرف لهم مخالف ، فيمكن حصول العلم بأنّه رأي إمامهم ، وإذا انضمّ إلى ذلك البعض المؤيّدات الأخر ، مثل أنّ جمعا منهم نسبوه في كتبهم إلى مذهب علمائنا ، وجمعا منهم نفى الخلاف فيه ، وبعضهم ذكر المذهب مع سكوته عن ذكر مخالف ، بل وإذا رأى بعضهم أو جماعة منهم ذكر في كتابه أنّه إجماعيّ ، فيزيد ذلك الدّعوى وضوحا ، وإذا انضمّ إلى ذلك كون الطّرف المخالف مدلولا عليه بأخبار كثيرة صحيح السند ، فيزيد وضوحا أكثر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انضمّ إلى ذلك عدم ورود خبر في أصل الحكم أو ورود خبر ضعيف غير ظاهر الدّلالة ، فيتّضح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انضمّ إلى ذلك </w:t>
      </w:r>
      <w:r>
        <w:rPr>
          <w:rStyle w:val="FootnoteAnchor"/>
          <w:rtl w:val="true"/>
        </w:rPr>
        <w:footnoteReference w:id="843"/>
      </w:r>
      <w:r>
        <w:rPr>
          <w:rFonts w:ascii="Amiri" w:hAnsi="Amiri" w:eastAsia="Amiri" w:cs="Amiri"/>
          <w:color w:val="111111"/>
          <w:sz w:val="28"/>
          <w:sz w:val="28"/>
          <w:szCs w:val="28"/>
          <w:rtl w:val="true"/>
          <w:lang w:bidi="ar-SA"/>
        </w:rPr>
        <w:t>ملاحظة اختلاف مشاربهم ووقوع الخلاف بينهم في أكثر المسائل ، وقلّما يوجد خبر ضعيف إلّا وبه قائل ، وملاحظة غاية اهتمامهم في نقل الخلافات ولو كان قولا شاذّا نادرا ، بل القول النّادر من العامّة فضلا عن الخاصّة ، وملاحظة أنّهم لا يجوّزون التقليد للمجتهدين سيّما تقليد الموتى ، وأنّ كثيرا منهم يوجبون تجديد النظر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حصول العلم من جميع ذلك بأنّ الباعث على هذا الاجتماع هو كونه رأيا لإمامهم ورئيسهم الواجب الإطاعة على معتقدهم ، سيّما ولا يجوّزون العمل بالقياس والاستحسان والخروج عن مدلولات النصوص ، وخصوصا مع كون القياس وأمثاله من الأدلّة العقليّة ممّا يختلف فيه المشرب غاية الاختلاف ، من جهة تخريج المناط بالمناسبات الذوقيّة واستنباط العلّة بالترديد </w:t>
      </w:r>
    </w:p>
    <w:p>
      <w:pPr>
        <w:pStyle w:val="BookText"/>
        <w:rPr/>
      </w:pPr>
      <w:r>
        <w:rPr>
          <w:rFonts w:ascii="Amiri" w:hAnsi="Amiri" w:eastAsia="Amiri" w:cs="Amiri"/>
          <w:color w:val="111111"/>
          <w:sz w:val="28"/>
          <w:sz w:val="28"/>
          <w:szCs w:val="28"/>
          <w:rtl w:val="true"/>
          <w:lang w:bidi="ar-SA"/>
        </w:rPr>
        <w:t xml:space="preserve">والدوران ونفي الفارق ونحو ذلك ، لكان ذلك مكابرة صرفة </w:t>
      </w:r>
      <w:r>
        <w:rPr>
          <w:rStyle w:val="FootnoteAnchor"/>
          <w:rtl w:val="true"/>
        </w:rPr>
        <w:footnoteReference w:id="844"/>
      </w:r>
      <w:r>
        <w:rPr>
          <w:rFonts w:ascii="Amiri" w:hAnsi="Amiri" w:eastAsia="Amiri" w:cs="Amiri"/>
          <w:color w:val="111111"/>
          <w:sz w:val="28"/>
          <w:sz w:val="28"/>
          <w:szCs w:val="28"/>
          <w:rtl w:val="true"/>
          <w:lang w:bidi="ar-SA"/>
        </w:rPr>
        <w:t xml:space="preserve">لا يستحقّ منكره الجواب ، بل الظاهر أنّ مدار كلّ من يدّعي الإجماع من علمائنا المتأخّرين على هذه الطريقة ولا يتفاوت فيه زمان الغيبة والحضور ، مع أنّه إذا كان يمكن حصول العلم بمذهب الرئيس إلى حدّ الضّرورة كما وصل في ضروريّات الدّين والمذهب كوجوب الصّلوات الخمس </w:t>
      </w:r>
      <w:r>
        <w:rPr>
          <w:rStyle w:val="FootnoteAnchor"/>
          <w:rtl w:val="true"/>
        </w:rPr>
        <w:footnoteReference w:id="845"/>
      </w:r>
      <w:r>
        <w:rPr>
          <w:rFonts w:ascii="Amiri" w:hAnsi="Amiri" w:eastAsia="Amiri" w:cs="Amiri"/>
          <w:color w:val="111111"/>
          <w:sz w:val="28"/>
          <w:sz w:val="28"/>
          <w:szCs w:val="28"/>
          <w:rtl w:val="true"/>
          <w:lang w:bidi="ar-SA"/>
        </w:rPr>
        <w:t xml:space="preserve">، ومسح الرّجلين ، وحلّية المتعتين </w:t>
      </w:r>
      <w:r>
        <w:rPr>
          <w:rStyle w:val="FootnoteAnchor"/>
          <w:rtl w:val="true"/>
        </w:rPr>
        <w:footnoteReference w:id="846"/>
      </w:r>
      <w:r>
        <w:rPr>
          <w:rFonts w:ascii="Amiri" w:hAnsi="Amiri" w:eastAsia="Amiri" w:cs="Amiri"/>
          <w:color w:val="111111"/>
          <w:sz w:val="28"/>
          <w:sz w:val="28"/>
          <w:szCs w:val="28"/>
          <w:rtl w:val="true"/>
          <w:lang w:bidi="ar-SA"/>
        </w:rPr>
        <w:t xml:space="preserve">، فجواز حصول العلم إلى حدّ اليقين بالنظر </w:t>
      </w:r>
      <w:r>
        <w:rPr>
          <w:rStyle w:val="FootnoteAnchor"/>
          <w:rtl w:val="true"/>
        </w:rPr>
        <w:footnoteReference w:id="847"/>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أنّه يجوز أن يصير بعض أحكام النبيّ صلى‌الله‌عليه‌وآله والإمام عليه‌السلام بديهيا للنساء والصبيان ، بحيث يحصل لهم العلم بالبديهة أنّه من دين نبيّهم ومذهب إمامهم بسبب كثرة التضافر والتسامع ، فكذا يجوز أن يصير بعض أحكامه يقينيّا نظريا للعلماء بسبب ملاحظة أقوال العلماء وفتاوى أهل هذا الدّين والمذهب ، إذ الغالب في الضّروريات أنّه مسبوق باليقين النظري ، فكيف يمكن حصول المسبوق بدون حصول السّابق؟</w:t>
      </w:r>
    </w:p>
    <w:p>
      <w:pPr>
        <w:pStyle w:val="BookText"/>
        <w:rPr/>
      </w:pPr>
      <w:r>
        <w:rPr>
          <w:rFonts w:ascii="Amiri" w:hAnsi="Amiri" w:eastAsia="Amiri" w:cs="Amiri"/>
          <w:color w:val="111111"/>
          <w:sz w:val="28"/>
          <w:sz w:val="28"/>
          <w:szCs w:val="28"/>
          <w:rtl w:val="true"/>
          <w:lang w:bidi="ar-SA"/>
        </w:rPr>
        <w:t>وبالجملة ، فعلى هذه الطريقة ، الإجماع عبارة عن اجتماع طائفة دلّ بنفسه أو مع انضمام بعض القرائن الأخر على رضا المعصوم عليه‌السلام بالحكم ، ويكون كاشفا عن رأيه فلا يضرّه مخالفة بعضهم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فيه وجود مجهول النّسب ، ولا العلم بدخول شخص الإمام عليه‌السلام فيهم ، ولا قوله عليه‌السلام فيهم ، ولا يتفاوت الأمر بين زمان الحضور والغيبة ، ويعلم من ذلك أنّه لا يشترط وحدة العصر في تعريفهم الإجماع أيضا ، بل يجوز انضمام أهل عصر آخر في إفادة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ذلك لا تكون إلّا من ضروريات الدّين أو المذهب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من أهل الفقه والتتبّع ، فلا يليق لك القول بذلك </w:t>
      </w:r>
      <w:r>
        <w:rPr>
          <w:rStyle w:val="FootnoteAnchor"/>
          <w:rtl w:val="true"/>
        </w:rPr>
        <w:footnoteReference w:id="849"/>
      </w:r>
      <w:r>
        <w:rPr>
          <w:rFonts w:ascii="Amiri" w:hAnsi="Amiri" w:eastAsia="Amiri" w:cs="Amiri"/>
          <w:color w:val="111111"/>
          <w:sz w:val="28"/>
          <w:sz w:val="28"/>
          <w:szCs w:val="28"/>
          <w:rtl w:val="true"/>
          <w:lang w:bidi="ar-SA"/>
        </w:rPr>
        <w:t>، وإن لم تكن من أهله فاستمع لبعض الأمثلة ، تهتدي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أيّ ضرورة دلّت على نجاسة ألف كرّ من الجلّاب </w:t>
      </w:r>
      <w:r>
        <w:rPr>
          <w:rStyle w:val="FootnoteAnchor"/>
          <w:rtl w:val="true"/>
        </w:rPr>
        <w:footnoteReference w:id="850"/>
      </w:r>
      <w:r>
        <w:rPr>
          <w:rFonts w:ascii="Amiri" w:hAnsi="Amiri" w:eastAsia="Amiri" w:cs="Amiri"/>
          <w:color w:val="111111"/>
          <w:sz w:val="28"/>
          <w:sz w:val="28"/>
          <w:szCs w:val="28"/>
          <w:rtl w:val="true"/>
          <w:lang w:bidi="ar-SA"/>
        </w:rPr>
        <w:t xml:space="preserve">بملاقاة مقدار رأس إبرة من البول ، فهل يعرف ذلك العوامّ والنّسوان والصبيان ، وهل يعلم ذلك العلماء الفحول من جهة الأخبار المتواترة ، مع أنّه لم يرد خبر واحد فضلا عن المتواتر؟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 في ذلك هذا القول من غير دليل ، فقد جفوت عليهم جدّا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دليلهم غير الإجماع من آية أو عقل أو غيره ، فأت به إن كنت من الصّادقين ، وإلّا فاعتقد بأنّ الدّليل هو الإجماع ، بل مدار العلماء في جميع الأعصار والأمصار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ووافقنا المنكرون </w:t>
      </w:r>
      <w:r>
        <w:rPr>
          <w:rStyle w:val="FootnoteAnchor"/>
          <w:rtl w:val="true"/>
        </w:rPr>
        <w:footnoteReference w:id="851"/>
      </w:r>
      <w:r>
        <w:rPr>
          <w:rFonts w:ascii="Amiri" w:hAnsi="Amiri" w:eastAsia="Amiri" w:cs="Amiri"/>
          <w:color w:val="111111"/>
          <w:sz w:val="28"/>
          <w:sz w:val="28"/>
          <w:szCs w:val="28"/>
          <w:rtl w:val="true"/>
          <w:lang w:bidi="ar-SA"/>
        </w:rPr>
        <w:t xml:space="preserve">على ذلك من حيث لا يشعرون ، بل لا تتمّ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من المسائل الفقهيّة </w:t>
      </w:r>
      <w:r>
        <w:rPr>
          <w:rStyle w:val="FootnoteAnchor"/>
          <w:rtl w:val="true"/>
        </w:rPr>
        <w:footnoteReference w:id="852"/>
      </w:r>
      <w:r>
        <w:rPr>
          <w:rFonts w:ascii="Amiri" w:hAnsi="Amiri" w:eastAsia="Amiri" w:cs="Amiri"/>
          <w:color w:val="111111"/>
          <w:sz w:val="28"/>
          <w:sz w:val="28"/>
          <w:szCs w:val="28"/>
          <w:rtl w:val="true"/>
          <w:lang w:bidi="ar-SA"/>
        </w:rPr>
        <w:t xml:space="preserve">من الكتاب والسّنة إلّا بانضمام الإجماع إليه ، بسيطا أو مركّبا ، فانظر إليهم يستدلّون على نجاسة أبوال وأرواث ما لا يؤكل لحمه مطلقا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مطلقا ، مع أنّ ذلك ليس مدلولا مطابقيّا للّفظ ولا تضمّنيا ولا التزاميا ، إذ </w:t>
      </w:r>
    </w:p>
    <w:p>
      <w:pPr>
        <w:pStyle w:val="BookText"/>
        <w:rPr/>
      </w:pPr>
      <w:r>
        <w:rPr>
          <w:rFonts w:ascii="Amiri" w:hAnsi="Amiri" w:eastAsia="Amiri" w:cs="Amiri"/>
          <w:color w:val="111111"/>
          <w:sz w:val="28"/>
          <w:sz w:val="28"/>
          <w:szCs w:val="28"/>
          <w:rtl w:val="true"/>
          <w:lang w:bidi="ar-SA"/>
        </w:rPr>
        <w:t>وجوب الغسل أعمّ من النجاسة ، والثوب غير البدن ، وغيره من الملاقيات المأكولة والمشروبة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البول غير الرّوث ، إلى غير ذلك من المخالفات ، فليس فهم النجاسة الشرعيّة منه إلّا من جهة إجماعهم على أنّ العلّة في هذا الحكم </w:t>
      </w:r>
      <w:r>
        <w:rPr>
          <w:rStyle w:val="FootnoteAnchor"/>
          <w:rtl w:val="true"/>
        </w:rPr>
        <w:footnoteReference w:id="854"/>
      </w:r>
      <w:r>
        <w:rPr>
          <w:rFonts w:ascii="Amiri" w:hAnsi="Amiri" w:eastAsia="Amiri" w:cs="Amiri"/>
          <w:color w:val="111111"/>
          <w:sz w:val="28"/>
          <w:sz w:val="28"/>
          <w:szCs w:val="28"/>
          <w:rtl w:val="true"/>
          <w:lang w:bidi="ar-SA"/>
        </w:rPr>
        <w:t xml:space="preserve">هو النجاسة وليس من باب التعبّد ، وأنّه </w:t>
      </w:r>
      <w:r>
        <w:rPr>
          <w:rStyle w:val="FootnoteAnchor"/>
          <w:rtl w:val="true"/>
        </w:rPr>
        <w:footnoteReference w:id="855"/>
      </w:r>
      <w:r>
        <w:rPr>
          <w:rFonts w:ascii="Amiri" w:hAnsi="Amiri" w:eastAsia="Amiri" w:cs="Amiri"/>
          <w:color w:val="111111"/>
          <w:sz w:val="28"/>
          <w:sz w:val="28"/>
          <w:szCs w:val="28"/>
          <w:rtl w:val="true"/>
          <w:lang w:bidi="ar-SA"/>
        </w:rPr>
        <w:t>لا فرق بين الثوب والجسد ولا البول والرّوث ، وكذلك غيرهما من المخالفات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في مسألة نجاسة الماء القليل كلّ من يستدلّ على التنجيس فيستدلّ ببعض الأخبار الخاصّة ببعض النجاسات ، وبعض المياه الخاصّة كالكلب والماء الذي ولغ فيه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يستدلّ على الطهارة يستدلّ ببعض آخر مختصّ ببعض النجاسات وبعض المياه ، كالجرذ الميّتة ، والقربة من الماء ، مع أنّ في الخبر الأوّل </w:t>
      </w:r>
      <w:r>
        <w:rPr>
          <w:rStyle w:val="FootnoteAnchor"/>
          <w:rtl w:val="true"/>
        </w:rPr>
        <w:footnoteReference w:id="856"/>
      </w:r>
      <w:r>
        <w:rPr>
          <w:rFonts w:ascii="Amiri" w:hAnsi="Amiri" w:eastAsia="Amiri" w:cs="Amiri"/>
          <w:color w:val="111111"/>
          <w:sz w:val="28"/>
          <w:sz w:val="28"/>
          <w:szCs w:val="28"/>
          <w:rtl w:val="true"/>
          <w:lang w:bidi="ar-SA"/>
        </w:rPr>
        <w:t xml:space="preserve">فهم النجاسة من الأمر بالصبّ أو النّهي عن الوضوء ، ومن الثاني </w:t>
      </w:r>
      <w:r>
        <w:rPr>
          <w:rStyle w:val="FootnoteAnchor"/>
          <w:rtl w:val="true"/>
        </w:rPr>
        <w:footnoteReference w:id="857"/>
      </w:r>
      <w:r>
        <w:rPr>
          <w:rFonts w:ascii="Amiri" w:hAnsi="Amiri" w:eastAsia="Amiri" w:cs="Amiri"/>
          <w:color w:val="111111"/>
          <w:sz w:val="28"/>
          <w:sz w:val="28"/>
          <w:szCs w:val="28"/>
          <w:rtl w:val="true"/>
          <w:lang w:bidi="ar-SA"/>
        </w:rPr>
        <w:t xml:space="preserve">من جهة الأمر بالتوضّي ، ولا ريب أنّ الصبّ لا يدلّ على النجاسة ، وكذا النّهي عن التوضّي ، ومع ذلك لم يفصّلوا بالعمل بالرّوايتين ولم يبقوهما على حالهما مع عدم التعارض بينهما ، وليس ذلك إلّا الإجماع المركّب ، وعدم القول بالفرق بين المسألتين ، وليت شعري من ينكر حجّية الإجماع أو إمكان وقوعه أو العلم به بأيّ شيء يعتمد في هذه المسائل ، فإن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 كذا من اللفظ ، فمع أنّه مكابرة واقتراح وخروج عن اللغة والعرف ، فلم لا يفهم فيما لو أمر الشّارع بالجهر في الصلاة للرجل ؛ وجوبه على المرأة ، ويفهم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ثوبك دون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اغسلي ، وجوبه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لو أردنا شرح هذه المقامات وإيراد ما ليس فيها مناص عن الاحتجاج بالإجماع بسيطا أو مركّبا ، لكنّا ارتكبنا بيان المعسور والمحال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ذكرنا كفاية لمن كان له دراية ، ومن لا دراية له لا يفيده ألف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بأس أن نجدّد المقال في توضيح الحال لرفع الإشكال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طريقة أحدثها نبيّ فبعضها ممّا يعمّ به البلوى ويحتاج إليه الناس في كلّ يوم أو في أغلب الأوان ، كنجاسة البول والغائط ووجوب الصّلوات الخمس وأمثال ذلك ، فذلك بسبب كثرة تكرّره وكثرة التسامع والتضافر بين أهل هذا الدّين والملّة ، يصير ضروريّا يحصل العلم به لكلّ منهم ، ولكلّ من كان خارج هذه الملّة إذا دخل فيهم وعاشرهم يوما أو يومين أو أزيد ، فيحصل له العلم بأنّ هذه الطريقة من رئيسهم ، والعمدة فيه ملاحظتهم متلقّين ذلك بالقبول من دون منكر في ذلك ومخالف لهم أو منكر لا يعتدّ به لندرته ، أو ظهور نفاقه وعناده ، فهذا يسمّى بديهي الدّين ، ودون ذلك </w:t>
      </w:r>
      <w:r>
        <w:rPr>
          <w:rStyle w:val="FootnoteAnchor"/>
          <w:rtl w:val="true"/>
        </w:rPr>
        <w:footnoteReference w:id="859"/>
      </w:r>
      <w:r>
        <w:rPr>
          <w:rFonts w:ascii="Amiri" w:hAnsi="Amiri" w:eastAsia="Amiri" w:cs="Amiri"/>
          <w:color w:val="111111"/>
          <w:sz w:val="28"/>
          <w:sz w:val="28"/>
          <w:szCs w:val="28"/>
          <w:rtl w:val="true"/>
          <w:lang w:bidi="ar-SA"/>
        </w:rPr>
        <w:t xml:space="preserve">بعض المسائل الغير العامّة البلوى التي لا يحتاج إليها جميعهم ، ولكن علماء هذه الأمّة وأرباب أفهامهم المتردّدين عند ذلك النبيّ صلى‌الله‌عليه‌وآله والرئيس الذين هم الواسطة بينهم وبينه ، غالبا يتداولون هذه المسألة بينهم لأجل ضبط المسائل أو لرجوع من يحتاج في هذه المسائل إلى الرجوع بهم ، فيحصل من الاطّلاع على اتّفاقهم في هذه المسألة وتسامعهم بينهم من دون إنكار من أحدهم على الآخر ، العلم بأنّه طريقة رئيسهم ، فكما في البديهي ليس وجه حصول </w:t>
      </w:r>
    </w:p>
    <w:p>
      <w:pPr>
        <w:pStyle w:val="BookText"/>
        <w:rPr/>
      </w:pPr>
      <w:r>
        <w:rPr>
          <w:rFonts w:ascii="Amiri" w:hAnsi="Amiri" w:eastAsia="Amiri" w:cs="Amiri"/>
          <w:color w:val="111111"/>
          <w:sz w:val="28"/>
          <w:sz w:val="28"/>
          <w:szCs w:val="28"/>
          <w:rtl w:val="true"/>
          <w:lang w:bidi="ar-SA"/>
        </w:rPr>
        <w:t>اليقين إلّا التّسامع والتضافر بدون إنكار المنكر مع ملاحظة اقتضاء العادة ذكر المخالفة لو كان هناك مخالف ، فكذلك في الإجماعي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هو ملاحظة تسامع العلماء وتضافرهم واتّفاقهم في الفتوى ، مع كون العادة قاضية بذكر الخلاف لو كان ، فوجود المخالف لو فرض في عصر التتبّع وحصول الحدس فهو من باب النّادر الذي ذكرنا في الضّرورة ، بأن يكون بحيث ثبت عندهم غفلته وخطأه من أجل شبهة ، أو لم يقفوا عليه وأدّى اجتهادهم وسعيهم إلى الاعتماد على حدسهم الذي استقرّ عليه رأيهم ، إذ لا ننكر احتمال الخطأ في مدّعي الإجماع كما سنحقّقه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فكما يمكن حصول العلم بضروريات الدّين من جهة تسامع وتضافر العلماء والعوامّ والنسوان ، فيمكن حصول العلم بالنظريات </w:t>
      </w:r>
      <w:r>
        <w:rPr>
          <w:rStyle w:val="FootnoteAnchor"/>
          <w:rtl w:val="true"/>
        </w:rPr>
        <w:footnoteReference w:id="860"/>
      </w:r>
      <w:r>
        <w:rPr>
          <w:rFonts w:ascii="Amiri" w:hAnsi="Amiri" w:eastAsia="Amiri" w:cs="Amiri"/>
          <w:color w:val="111111"/>
          <w:sz w:val="28"/>
          <w:sz w:val="28"/>
          <w:szCs w:val="28"/>
          <w:rtl w:val="true"/>
          <w:lang w:bidi="ar-SA"/>
        </w:rPr>
        <w:t>من تسامع العلماء وتظافرهم ، وهذا نسمّيه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في المتواترات موجود ، فإنّ التواتر قد يحصل من دون طلب وتتبّع كما لو جاء ألف رجل من مكّة وأخبروا بوجود مكّة ، فيحصل العلم اليقيني بذلك للعلماء والنّسوان والصبيان ، وقد يحتاج ذلك إلى تتبّع وإعمال رويّة ، كقوله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 على ما ذكروه ، فإنّ اليقين بكون ذلك قول النبيّ صلى‌الله‌عليه‌وآله مختصّ بالعلماء ، بل ببعضهم لاحتياجه إلى معرفة الوسائط وتعدّدها بالعدد المعتبر في كلّ طبقة ، فهناك النظر إلى كثرة الرّواة والنقلة </w:t>
      </w:r>
      <w:r>
        <w:rPr>
          <w:rStyle w:val="FootnoteAnchor"/>
          <w:rtl w:val="true"/>
        </w:rPr>
        <w:footnoteReference w:id="862"/>
      </w:r>
      <w:r>
        <w:rPr>
          <w:rFonts w:ascii="Amiri" w:hAnsi="Amiri" w:eastAsia="Amiri" w:cs="Amiri"/>
          <w:color w:val="111111"/>
          <w:sz w:val="28"/>
          <w:sz w:val="28"/>
          <w:szCs w:val="28"/>
          <w:rtl w:val="true"/>
          <w:lang w:bidi="ar-SA"/>
        </w:rPr>
        <w:t xml:space="preserve">وثمّة إلى كثرة المفتين </w:t>
      </w:r>
      <w:r>
        <w:rPr>
          <w:rStyle w:val="FootnoteAnchor"/>
          <w:rtl w:val="true"/>
        </w:rPr>
        <w:footnoteReference w:id="863"/>
      </w:r>
      <w:r>
        <w:rPr>
          <w:rFonts w:ascii="Amiri" w:hAnsi="Amiri" w:eastAsia="Amiri" w:cs="Amiri"/>
          <w:color w:val="111111"/>
          <w:sz w:val="28"/>
          <w:sz w:val="28"/>
          <w:szCs w:val="28"/>
          <w:rtl w:val="true"/>
          <w:lang w:bidi="ar-SA"/>
        </w:rPr>
        <w:t>والقائلين والعاملين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ولنرجع إلى بيان مدرك الإجماع على طريقة العامّة ، وهو من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جدوى لنا في التعرّض إلى القدح في أدلّتهم التي أقاموها على حجّية الإجماع ، لأنّ الإجماع على مصطلحهم </w:t>
      </w:r>
      <w:r>
        <w:rPr>
          <w:rStyle w:val="FootnoteAnchor"/>
          <w:rtl w:val="true"/>
        </w:rPr>
        <w:footnoteReference w:id="864"/>
      </w:r>
      <w:r>
        <w:rPr>
          <w:rFonts w:ascii="Amiri" w:hAnsi="Amiri" w:eastAsia="Amiri" w:cs="Amiri"/>
          <w:color w:val="111111"/>
          <w:sz w:val="28"/>
          <w:sz w:val="28"/>
          <w:szCs w:val="28"/>
          <w:rtl w:val="true"/>
          <w:lang w:bidi="ar-SA"/>
        </w:rPr>
        <w:t>إذا ثبت فلا ريب أنّه حجّة عندنا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نتعرّض لذكر أدلّتهم ، والكلام فيها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أنّ ما تشبّثوا به في وجه حجّية الإجماع ، لا يمكن أن يعتمد عليه ، فيبطل كلّ ما يعتمدون في إثباته عليه إلزاما عليهم بعد إبطال المستند ، ومن ذلك أصل مذهبهم ودينهم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نلزمهم إمّا ببطلان طريقتهم من جهة عدم حجّية الإجماع إن كان مستنده ما ذكروه على معتقدهم إلزاما ، أو بمنع تحقّق الإجماع المصطلح فيما يضرّنا تسليمه في مذهبنا ، سواء سلّمنا مستندهم فيه أم لا ، مع أنّ حجّية الإجماع عندهم ليس بوفاقي ، بل أنكره النظّام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وقال النظام فی حق الصحابة هنا كلاماً لجعلهم الاجماع حجة 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أصحاب رسول الله صلى الله عليه وآله دعوا الناس الی اتباع الاجماع وراموا أن يتخذوا رؤوساء فقرروا الاجماه وأسند إليه ما يرون وأخذوا يحكمون مسترسلين فيما لا نهاية له ، وأصول الشريعة ومظبوطة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أنكر النظام حجية الاجماع أنطر – كذلك – ان يكون القياس طريقا الى إدراك الأحكام الشرعية واثباتها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إذا ورد بحكم من الاحكام فلا يجوز ان يحمل ما شاركه في العلّة عليه ويحكم فيه بمثل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عبد البر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بيان العلم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ابو القاسم عبيد الله بن عمر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كتبه في الاصول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انّ احداً من البصريين ولا غيرهم من له نباهة سبق ابراهيم النظام الى القول بنفي القياس والاجتهاد ولم يلتفت إليه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أنكر النظام أيضاً من الاخبار ما لا يوجب العلم الضروري وقال عبد القاهر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اجماع الصحابة على الاجتهاد في الفروع الشرعية فذكرهم بما يقرؤه غداً في صحيفة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وطعن في فتاوي الصحابة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وجعفر بن</w:t>
      </w:r>
    </w:p>
    <w:p>
      <w:pPr>
        <w:pStyle w:val="BookText"/>
        <w:rPr/>
      </w:pPr>
      <w:r>
        <w:rPr>
          <w:rFonts w:ascii="IRNazanin" w:hAnsi="IRNazanin" w:eastAsia="IRNazanin"/>
          <w:color w:val="111111"/>
          <w:sz w:val="28"/>
          <w:sz w:val="28"/>
          <w:szCs w:val="28"/>
          <w:rtl w:val="true"/>
          <w:lang w:bidi="fa-IR"/>
        </w:rPr>
        <w:t xml:space="preserve">حرب </w:t>
      </w:r>
      <w:r>
        <w:rPr>
          <w:rStyle w:val="FootnoteAnchor"/>
          <w:rtl w:val="true"/>
        </w:rPr>
        <w:footnoteReference w:id="866"/>
      </w:r>
      <w:r>
        <w:rPr>
          <w:rFonts w:ascii="Amiri" w:hAnsi="Amiri" w:eastAsia="Amiri" w:cs="Amiri"/>
          <w:color w:val="111111"/>
          <w:sz w:val="28"/>
          <w:sz w:val="28"/>
          <w:szCs w:val="28"/>
          <w:rtl w:val="true"/>
          <w:lang w:bidi="ar-SA"/>
        </w:rPr>
        <w:t xml:space="preserve">، وغيرهما </w:t>
      </w:r>
      <w:r>
        <w:rPr>
          <w:rStyle w:val="FootnoteAnchor"/>
          <w:rtl w:val="true"/>
        </w:rPr>
        <w:footnoteReference w:id="867"/>
      </w:r>
      <w:r>
        <w:rPr>
          <w:rFonts w:ascii="IRNazanin" w:hAnsi="IRNazanin" w:eastAsia="IRNazanin"/>
          <w:color w:val="111111"/>
          <w:sz w:val="28"/>
          <w:sz w:val="28"/>
          <w:szCs w:val="28"/>
          <w:rtl w:val="true"/>
          <w:lang w:bidi="fa-IR"/>
        </w:rPr>
        <w:t xml:space="preserve">، على ما نقل عنهم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أنكر إمكان وقوعه </w:t>
      </w:r>
      <w:r>
        <w:rPr>
          <w:rStyle w:val="FootnoteAnchor"/>
          <w:rtl w:val="true"/>
        </w:rPr>
        <w:footnoteReference w:id="869"/>
      </w:r>
      <w:r>
        <w:rPr>
          <w:rFonts w:ascii="Amiri" w:hAnsi="Amiri" w:eastAsia="Amiri" w:cs="Amiri"/>
          <w:color w:val="111111"/>
          <w:sz w:val="28"/>
          <w:sz w:val="28"/>
          <w:szCs w:val="28"/>
          <w:rtl w:val="true"/>
          <w:lang w:bidi="ar-SA"/>
        </w:rPr>
        <w:t xml:space="preserve">، وبعضهم العلم به ، ولكنّ جمهورهم على </w:t>
      </w:r>
    </w:p>
    <w:p>
      <w:pPr>
        <w:pStyle w:val="BookText"/>
        <w:rPr/>
      </w:pPr>
      <w:r>
        <w:rPr>
          <w:rFonts w:ascii="Amiri" w:hAnsi="Amiri" w:eastAsia="Amiri" w:cs="Amiri"/>
          <w:color w:val="111111"/>
          <w:sz w:val="28"/>
          <w:sz w:val="28"/>
          <w:szCs w:val="28"/>
          <w:rtl w:val="true"/>
          <w:lang w:bidi="ar-SA"/>
        </w:rPr>
        <w:t xml:space="preserve">حجّيته </w:t>
      </w:r>
      <w:r>
        <w:rPr>
          <w:rStyle w:val="FootnoteAnchor"/>
          <w:rtl w:val="true"/>
        </w:rPr>
        <w:footnoteReference w:id="870"/>
      </w:r>
      <w:r>
        <w:rPr>
          <w:rFonts w:ascii="Amiri" w:hAnsi="Amiri" w:eastAsia="Amiri" w:cs="Amiri"/>
          <w:color w:val="111111"/>
          <w:sz w:val="28"/>
          <w:sz w:val="28"/>
          <w:szCs w:val="28"/>
          <w:rtl w:val="true"/>
          <w:lang w:bidi="ar-SA"/>
        </w:rPr>
        <w:t xml:space="preserve">وإن اختلفوا أيضا في انحصارها في إجماع الصّحابة </w:t>
      </w:r>
      <w:r>
        <w:rPr>
          <w:rStyle w:val="FootnoteAnchor"/>
          <w:rtl w:val="true"/>
        </w:rPr>
        <w:footnoteReference w:id="871"/>
      </w:r>
      <w:r>
        <w:rPr>
          <w:rFonts w:ascii="Amiri" w:hAnsi="Amiri" w:eastAsia="Amiri" w:cs="Amiri"/>
          <w:color w:val="111111"/>
          <w:sz w:val="28"/>
          <w:sz w:val="28"/>
          <w:szCs w:val="28"/>
          <w:rtl w:val="true"/>
          <w:lang w:bidi="ar-SA"/>
        </w:rPr>
        <w:t xml:space="preserve">وأهل المدينة </w:t>
      </w:r>
      <w:r>
        <w:rPr>
          <w:rStyle w:val="FootnoteAnchor"/>
          <w:rtl w:val="true"/>
        </w:rPr>
        <w:footnoteReference w:id="872"/>
      </w:r>
      <w:r>
        <w:rPr>
          <w:rFonts w:ascii="IRNazanin" w:hAnsi="IRNazanin" w:eastAsia="IRNazanin"/>
          <w:color w:val="111111"/>
          <w:sz w:val="28"/>
          <w:sz w:val="28"/>
          <w:szCs w:val="28"/>
          <w:rtl w:val="true"/>
          <w:lang w:bidi="fa-IR"/>
        </w:rPr>
        <w:t>وعدم الانحصار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القائلون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من العقل والنقل ، من الآيات والأخبار ، ونحن نقتصر بما هو أظهر دلالة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الآيات ، فمنها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يُشاقِقِ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ما تَبَيَّنَ لَهُ الْهُدى وَيَتَّبِعْ غَيْرَ سَبِيلِ الْمُؤْمِنِينَ نُوَلِّهِ ما تَوَلَّى وَنُصْلِهِ جَهَنَّمَ </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الآية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تعالى جمع في الوعيد بين مخالفة سبيل المؤمنين ، ومشاقّة الرسول صلى‌الله‌عليه‌وآله ، ولا ريب في حرمة الثاني فكذا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الوعيد على المجموع من حيث المجموع ، لا على كلّ واحد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وإن كان هو الروايات مثل خبر الثقلين ونحوه ، فإن كانت أخبار آحاد فلا يفيد إلّا الظنّ ، وكفاية الظنّ في مثل هذا الأصل الذي هو مبنى دينهم هو أوّل الكلام ، وإن كانت متواترة فالقدر المسلّم إنّما هو لفظ الرّواية وهو لا يفيد إلّا القطع بحجّيته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 المسلّم منه إن كان نصا في المطلق لا مطلق الظواهر ، وهذه الآية ليست بنص في المطلوب لاحتمال إرادة الوعيد على المجموع من حيث المجموع لا على كل واحد من المشاقة وعدم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انّ الواو لمطلق الجمع لا للمعيّة ولا للترتيب ، بل الظاهر هو إرادة المجموع من حيث المجموع بفهم العرف ذلك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الدار وجلس فله درهم ، بل الظاهر انّ ذكر عدم متابعة المؤمنين إنّما هو بالتّبع ، والمقصود بالذّات هو الوعيد على المشاقة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مشاقّة الرّسول كافية فيه مستقلّا ، فلا حاجة إلى ضمّ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كذلك لكن متابعة غير سبيل المؤمنين غير مستقلّ بذلك حتّى تنضمّ إلى مشاقّة الرّسول ، فلا يتمّ الاستدلال والتمسّك بأصالة الاستقلال في كلّ منهما ، وأنّ الأصل عدم انضمام كلّ منهما إلى الآخر باطل ، لفهم العرف الانضمام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الدّار وجلس فله درهم ، مع أنّ القيد المعتبر في المعطوف عليه ، وهو تبيّن الهدى ؛ معتبر في المعطوف ، والهدى في المعطوف هو دليل الإجماع ، فلم يثبت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سبيل المؤمنين ليس على حقيقته ، ومن أقرب مجازاته دليلهم وهو مستند الإجماع لا نفسه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جملة ممّا ذكروه </w:t>
      </w:r>
      <w:r>
        <w:rPr>
          <w:rStyle w:val="FootnoteAnchor"/>
          <w:rtl w:val="true"/>
        </w:rPr>
        <w:footnoteReference w:id="876"/>
      </w:r>
      <w:r>
        <w:rPr>
          <w:rFonts w:ascii="Amiri" w:hAnsi="Amiri" w:eastAsia="Amiri" w:cs="Amiri"/>
          <w:color w:val="111111"/>
          <w:sz w:val="28"/>
          <w:sz w:val="28"/>
          <w:szCs w:val="28"/>
          <w:rtl w:val="true"/>
          <w:lang w:bidi="ar-SA"/>
        </w:rPr>
        <w:t xml:space="preserve">في هذا المقام ، وقد أطنب الأصحاب </w:t>
      </w:r>
      <w:r>
        <w:rPr>
          <w:rStyle w:val="FootnoteAnchor"/>
          <w:rtl w:val="true"/>
        </w:rPr>
        <w:footnoteReference w:id="877"/>
      </w:r>
      <w:r>
        <w:rPr>
          <w:rFonts w:ascii="Amiri" w:hAnsi="Amiri" w:eastAsia="Amiri" w:cs="Amiri"/>
          <w:color w:val="111111"/>
          <w:sz w:val="28"/>
          <w:sz w:val="28"/>
          <w:szCs w:val="28"/>
          <w:rtl w:val="true"/>
          <w:lang w:bidi="ar-SA"/>
        </w:rPr>
        <w:t xml:space="preserve">في هذا المقام بما لا حاجة إلى إيرادها ، والأوجه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بسبيل المؤمنين الإيمان ، وهو ما صاروا به 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عليها </w:t>
      </w:r>
      <w:r>
        <w:rPr>
          <w:rStyle w:val="FootnoteAnchor"/>
          <w:rtl w:val="true"/>
        </w:rPr>
        <w:footnoteReference w:id="87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اتّباع غير سبيل المؤمنين ، عدم اتّباع الغير لا اتّباع سبيل المؤمنين ، فلا يلزم تهديد ووعيد على تارك المتابعة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المتابعة رأسا هو متابعة غير سبيل المؤمنين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 أمر وجوديّ يحصل بحصول المتبوع ، والمفروض انتفاؤه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 xml:space="preserve">. ) </w:t>
      </w:r>
      <w:r>
        <w:rPr>
          <w:rStyle w:val="FootnoteAnchor"/>
          <w:rtl w:val="true"/>
        </w:rPr>
        <w:footnoteReference w:id="879"/>
      </w:r>
      <w:r>
        <w:rPr>
          <w:rFonts w:ascii="Amiri" w:hAnsi="Amiri" w:eastAsia="Amiri" w:cs="Amiri"/>
          <w:color w:val="111111"/>
          <w:sz w:val="28"/>
          <w:sz w:val="28"/>
          <w:szCs w:val="28"/>
          <w:rtl w:val="true"/>
          <w:lang w:bidi="ar-SA"/>
        </w:rPr>
        <w:t>فإنّ وسط كلّ شيء عدله وخياره في اللّغة ، فمن عدّله الله تعالى يكون معصوما عن الخطأ ، فقولهم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يستلزم عدم صدور الخطأ عنهم مطلقا </w:t>
      </w:r>
      <w:r>
        <w:rPr>
          <w:rStyle w:val="FootnoteAnchor"/>
          <w:rtl w:val="true"/>
        </w:rPr>
        <w:footnoteReference w:id="880"/>
      </w:r>
      <w:r>
        <w:rPr>
          <w:rFonts w:ascii="IRNazanin" w:hAnsi="IRNazanin" w:eastAsia="IRNazanin"/>
          <w:color w:val="111111"/>
          <w:sz w:val="28"/>
          <w:sz w:val="28"/>
          <w:szCs w:val="28"/>
          <w:rtl w:val="true"/>
          <w:lang w:bidi="fa-IR"/>
        </w:rPr>
        <w:t>، وهو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إذا اجتمعوا ،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تقييد بلا دليل ، وتخصيص قبيح ، مع أنّ التعليل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لِتَكُونُوا شُهَداءَ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كلّ منهم شاهدا ، لا المجموع من حيث المجموع ، فكذلك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المراد إمّا الشهادة في الآخرة كما ورد في الأخبار ، فهو إنّما يستلزم العدالة عند الأداء لا التحمّل ، فلا يجب عصمتهم في الدنيا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في الدنيا فهو إنّما يدلّ على قبول شهادتهم وهو لا يستلزم حجّية فتواهم ، فالآية متشابهة الدّلالة ، 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بهم أئمّتنا عليهم‌السلام كما روي في تفسيرها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تَنازَعْتُمْ فِي شَيْءٍ فَرُدُّوهُ إِلَى اللهِ وَالرَّسُولِ </w:t>
      </w:r>
      <w:r>
        <w:rPr>
          <w:rFonts w:eastAsia="Amiri" w:cs="Amiri" w:ascii="Amiri" w:hAnsi="Amiri"/>
          <w:color w:val="111111"/>
          <w:sz w:val="28"/>
          <w:szCs w:val="28"/>
          <w:rtl w:val="true"/>
          <w:lang w:bidi="ar-SA"/>
        </w:rPr>
        <w:t xml:space="preserve">) </w:t>
      </w:r>
      <w:r>
        <w:rPr>
          <w:rStyle w:val="FootnoteAnchor"/>
          <w:rtl w:val="true"/>
        </w:rPr>
        <w:footnoteReference w:id="882"/>
      </w:r>
      <w:r>
        <w:rPr>
          <w:rFonts w:ascii="IRNazanin" w:hAnsi="IRNazanin" w:eastAsia="IRNazanin"/>
          <w:color w:val="111111"/>
          <w:sz w:val="28"/>
          <w:sz w:val="28"/>
          <w:szCs w:val="28"/>
          <w:rtl w:val="true"/>
          <w:lang w:bidi="fa-IR"/>
        </w:rPr>
        <w:t>فإنّ مفهومه عدم وجوب الردّ مع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وجوب الردّ حينئذ أعمّ من أن يكون جواز العمل لكون إجماعهم حجّة ، بل إنّما كان من أجل أنّ عند كلّ منهم ما يكفيهم من الدّليل على مطلبه من عقل أو نقل ، مع انّ عموم الجمع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تَنازَعْتُمْ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أفراديّ لا مجموعيّ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انّ بعض العامّة استدلّ بهذه الآية على عدم حجّية الإجماع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الأخبار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ادّعوا تواتر مضمونها معنى </w:t>
      </w:r>
      <w:r>
        <w:rPr>
          <w:rStyle w:val="FootnoteAnchor"/>
          <w:rtl w:val="true"/>
        </w:rPr>
        <w:footnoteReference w:id="885"/>
      </w:r>
      <w:r>
        <w:rPr>
          <w:rFonts w:ascii="Amiri" w:hAnsi="Amiri" w:eastAsia="Amiri" w:cs="Amiri"/>
          <w:color w:val="111111"/>
          <w:sz w:val="28"/>
          <w:sz w:val="28"/>
          <w:szCs w:val="28"/>
          <w:rtl w:val="true"/>
          <w:lang w:bidi="ar-SA"/>
        </w:rPr>
        <w:t xml:space="preserve">وأظهرها دلالة ، وهو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امّتي على الخطأ</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الله ليجمع امّتي </w:t>
      </w:r>
    </w:p>
    <w:p>
      <w:pPr>
        <w:pStyle w:val="BookText"/>
        <w:rPr/>
      </w:pPr>
      <w:r>
        <w:rPr>
          <w:rFonts w:ascii="IRNazanin" w:hAnsi="IRNazanin" w:eastAsia="IRNazanin"/>
          <w:color w:val="111111"/>
          <w:sz w:val="28"/>
          <w:sz w:val="28"/>
          <w:szCs w:val="28"/>
          <w:rtl w:val="true"/>
          <w:lang w:bidi="fa-IR"/>
        </w:rPr>
        <w:t>على خطأ</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الجماعة</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على الجماعة</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صحتها وتواترها ، بل هي أخبار آحاد لا يمكن التمسّك بها في إثبات مثل هذا الأصل الذي بنوا دينهم عليه ، فضلا عن فقههم ، ولم يثبت دلالتها على القدر المشترك على سبيل القطع بحيث يفيد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الاجتماع هو التجامع الإرادي لا محض حصول الموافقة اتّفاقا ، فلا يثبت حجّية جميع الإجماعات ، إذ لا يتوقّف تحقّق الإجماع على اجتماع آرائهم على سبيل اطّلاع كلّ منهم على رأي الآخر واختياره موافقة الآخر ، وتتميمه بالإجماع المركّب أو بعدم القول بالفصل دور ، وهذا واضح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مرادهم إثبات الحجّية في الجملة لا مطلقا ، وبه يبطل السّلب الكلّي </w:t>
      </w:r>
      <w:r>
        <w:rPr>
          <w:rStyle w:val="FootnoteAnchor"/>
          <w:rtl w:val="true"/>
        </w:rPr>
        <w:footnoteReference w:id="890"/>
      </w:r>
      <w:r>
        <w:rPr>
          <w:rFonts w:ascii="Amiri" w:hAnsi="Amiri" w:eastAsia="Amiri" w:cs="Amiri"/>
          <w:color w:val="111111"/>
          <w:sz w:val="28"/>
          <w:sz w:val="28"/>
          <w:szCs w:val="28"/>
          <w:rtl w:val="true"/>
          <w:lang w:bidi="ar-SA"/>
        </w:rPr>
        <w:t>الذي يدّعيه الخصم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لام الخطأ جنسيّة ، لما حقّقناه سابقا في محلّه من أنّها حقيقة فيه </w:t>
      </w:r>
      <w:r>
        <w:rPr>
          <w:rStyle w:val="FootnoteAnchor"/>
          <w:rtl w:val="true"/>
        </w:rPr>
        <w:footnoteReference w:id="891"/>
      </w:r>
      <w:r>
        <w:rPr>
          <w:rFonts w:ascii="Amiri" w:hAnsi="Amiri" w:eastAsia="Amiri" w:cs="Amiri"/>
          <w:color w:val="111111"/>
          <w:sz w:val="28"/>
          <w:sz w:val="28"/>
          <w:szCs w:val="28"/>
          <w:rtl w:val="true"/>
          <w:lang w:bidi="ar-SA"/>
        </w:rPr>
        <w:t>، ومقتضاه عدم جواز اجتماعهم على جنس الخطأ ، وهو قد يحصل ، بأن يختار كلّ واحد من الامّة خطأ غير خطأ الآخر ، وذلك يوجب عصمتهم ولا يقولون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من أدلّة الشيعة على القول بوجوب وجود الإمام المعصوم ، والعجب من المخالفين حيث قالوا بمقتضاه من حيث لا يشعرون ، نقله المحقّق البهائي رحمه‌الله </w:t>
      </w:r>
      <w:r>
        <w:rPr>
          <w:rStyle w:val="FootnoteAnchor"/>
          <w:rtl w:val="true"/>
        </w:rPr>
        <w:footnoteReference w:id="892"/>
      </w:r>
      <w:r>
        <w:rPr>
          <w:rFonts w:ascii="IRNazanin" w:hAnsi="IRNazanin" w:eastAsia="IRNazanin"/>
          <w:color w:val="111111"/>
          <w:sz w:val="28"/>
          <w:sz w:val="28"/>
          <w:szCs w:val="28"/>
          <w:rtl w:val="true"/>
          <w:lang w:bidi="fa-IR"/>
        </w:rPr>
        <w:t xml:space="preserve">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Style w:val="FootnoteAnchor"/>
          <w:rtl w:val="true"/>
        </w:rPr>
        <w:footnoteReference w:id="893"/>
      </w:r>
      <w:r>
        <w:rPr>
          <w:rFonts w:ascii="Amiri" w:hAnsi="Amiri" w:eastAsia="Amiri" w:cs="Amiri"/>
          <w:color w:val="111111"/>
          <w:sz w:val="28"/>
          <w:sz w:val="28"/>
          <w:szCs w:val="28"/>
          <w:rtl w:val="true"/>
          <w:lang w:bidi="ar-SA"/>
        </w:rPr>
        <w:t>وهو نسبه فيه إلى أكثرهم ، وسيجيء في مسألة تعاكس شطري الإجماع ،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توجيه الدّلالة على القول بجنسيّة اللّام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اتّحاد الفرد ، من لفظ الاجتماع لا من لفظ الخطأ ،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امّتي على جنس الخطأ ، بأن يختاروا فردا منها كالزّنا مثلا ، فما اجتمعوا عليه فهو صواب ، وهو تقييد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يتمّ ذلك لو جعل اللّام للعهد الذّهني فيصير من باب النّكرة المنفيّة مفيدا للعموم </w:t>
      </w:r>
      <w:r>
        <w:rPr>
          <w:rStyle w:val="FootnoteAnchor"/>
          <w:rtl w:val="true"/>
        </w:rPr>
        <w:footnoteReference w:id="894"/>
      </w:r>
      <w:r>
        <w:rPr>
          <w:rFonts w:ascii="Amiri" w:hAnsi="Amiri" w:eastAsia="Amiri" w:cs="Amiri"/>
          <w:color w:val="111111"/>
          <w:sz w:val="28"/>
          <w:sz w:val="28"/>
          <w:szCs w:val="28"/>
          <w:rtl w:val="true"/>
          <w:lang w:bidi="ar-SA"/>
        </w:rPr>
        <w:t>، لكنّه أيضا معنى مجازي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الظاهر من اللّفظ سيّما على القول بكون الاجتماع بمعنى التجامع الإرادي ، أنّ اجتماع الأمّة لا يحصل على ما خطائيّته ثابتة قبل الاجتماع ، فالغرض نفي اجتماع الأمّة على ما هو خطأ ، لا أنّ ما اجتمعوا عليه يعلم أنّه ليس بخطإ</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الأوّل أنّ المعتبر في الخطأ كون خطئيّته ثابتة قبل الاجتماع ، فالغرض نفي اجتماع الأمّة على ما هو خطأ عندهم ، لا أنّ ما اجتمعوا عليه يكشف عن أنّه صواب وليس بخطإ ، وإن قلنا بكون الألفاظ أسامي للماهيّات النفس الأمرية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والحاصل ؛ أنّ هذه الرواية وما في معناها ظاهرة في مذهب الإمامية من لزوم معصوم في كلّ زمان ، ويؤيّده أيضا ما رووه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طائفة من امّتي على الحقّ حتّى تقوم السّاعة</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يشعر بأنّ نفيه عليه‌السلام اجتماعهم على الخطأ إنّما هو لأجل أنّه لا بدّ أن يكون طائفة من أمّته على الحقّ ، كما نبّه عليه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يقوله أصحابنا من وجوب دخول المعصوم عليه‌السلام في الإجماع حتّى يكون حجّة ، فيلزم المخالفين أن يقولوا بأنّ حجّية الإجماع إنّما هو من أجل ذلك ، كما يقوله أصحابنا ، لا لأنّه إجماع من حيث إنّه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الله ليجمع امّتي على خطأ</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ما فيه من أكثر ما مرّ من القدح في السّند والدّلالة ، أنّ ظاهرها مقبول عندنا ولا يصدر مثل هذا القبيح عن الله تعالى ، ولكن لا ينفي صدوره عن الخلق ، ويظهر الكلام في الباقي ممّا مرّ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الأدلّة العقليّة التي أقاموها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فأقواها أنّ العلماء أجمعوا على القطع بتخطئة المخالف للإجماع ، فدلّ على أنّه حجّة ، فإنّ العادة تحكم بأنّ هذا العدد الكثير من العلماء المحقّقين لا يجتمعون على القطع في شرعيّ بمجرّد تواطؤ </w:t>
      </w:r>
    </w:p>
    <w:p>
      <w:pPr>
        <w:pStyle w:val="BookText"/>
        <w:rPr/>
      </w:pPr>
      <w:r>
        <w:rPr>
          <w:rFonts w:ascii="Amiri" w:hAnsi="Amiri" w:eastAsia="Amiri" w:cs="Amiri"/>
          <w:color w:val="111111"/>
          <w:sz w:val="28"/>
          <w:sz w:val="28"/>
          <w:szCs w:val="28"/>
          <w:rtl w:val="true"/>
          <w:lang w:bidi="ar-SA"/>
        </w:rPr>
        <w:t>وظنّ ، بل لا يكون قطعهم إلّا عن قاطع ، فوجب الحكم بوجود نصّ قاطع بلغهم في ذلك ، فيكون مقتضاه ، وهو خطأ المخالف للإجماع حقّا ، وهو يقتضي حقيّة ما عليه الإجماع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بإجماع الفلاسفة على قدم العالم ، وإجماع اليهود على أنّ لا نبيّ بعد موسى عليه‌السلام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إجماع الفلاسفة عن نظر عقليّ وتعارض الشبه ، واشتباه الصحيح والفاسد فيه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الشرعيّات فالفرق بين القاطع والظنّي بيّن لا يشتبه على أهل المعرفة والتميّز ، وإجماع اليهود والنصارى عن الاتّباع لآحاد الأوائل لعدم تحقيقهم ، والعادة لا تحيله بخلاف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فإنّما يرد نقضا إذا وجد فيه ما ذكرنا من القيود ، وانتفاؤه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حاجة في هذا الاستدلال </w:t>
      </w:r>
      <w:r>
        <w:rPr>
          <w:rStyle w:val="FootnoteAnchor"/>
          <w:rtl w:val="true"/>
        </w:rPr>
        <w:footnoteReference w:id="898"/>
      </w:r>
      <w:r>
        <w:rPr>
          <w:rFonts w:ascii="Amiri" w:hAnsi="Amiri" w:eastAsia="Amiri" w:cs="Amiri"/>
          <w:color w:val="111111"/>
          <w:sz w:val="28"/>
          <w:sz w:val="28"/>
          <w:szCs w:val="28"/>
          <w:rtl w:val="true"/>
          <w:lang w:bidi="ar-SA"/>
        </w:rPr>
        <w:t>إلى توسيط الإجماع على تخطئة المخالف ، لأنّه لو صحّ لاستلزم وجود قاطع في كلّ حكم وقع الإجماع عليه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المجمعين </w:t>
      </w:r>
      <w:r>
        <w:rPr>
          <w:rStyle w:val="FootnoteAnchor"/>
          <w:rtl w:val="true"/>
        </w:rPr>
        <w:footnoteReference w:id="899"/>
      </w:r>
      <w:r>
        <w:rPr>
          <w:rFonts w:ascii="Amiri" w:hAnsi="Amiri" w:eastAsia="Amiri" w:cs="Amiri"/>
          <w:color w:val="111111"/>
          <w:sz w:val="28"/>
          <w:sz w:val="28"/>
          <w:szCs w:val="28"/>
          <w:rtl w:val="true"/>
          <w:lang w:bidi="ar-SA"/>
        </w:rPr>
        <w:t xml:space="preserve">ليسوا بقاطعين على خطأ مخالفيهم ، بل ربّما يكون كلّ حكم منهم ظنّيا مستندا إلى أمارة ، لكن يحصل لنا القطع بالحكم من اتّفاق الكلّ ، ولذلك قال في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القطع بتخطئة المخالف ، ولم </w:t>
      </w:r>
    </w:p>
    <w:p>
      <w:pPr>
        <w:pStyle w:val="BookText"/>
        <w:rPr/>
      </w:pPr>
      <w:r>
        <w:rPr>
          <w:rFonts w:ascii="Amiri" w:hAnsi="Amiri" w:eastAsia="Amiri" w:cs="Amiri"/>
          <w:color w:val="111111"/>
          <w:sz w:val="28"/>
          <w:sz w:val="28"/>
          <w:szCs w:val="28"/>
          <w:rtl w:val="true"/>
          <w:lang w:bidi="ar-SA"/>
        </w:rPr>
        <w:t xml:space="preserve">يقل على تخطئة المخالف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مستلزم للدور ، لأنّه إثبات للإجماع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وجود الإجماع الخاصّ ، دليل على حجّية الإجماع لاستلزامه ثبوت أمر قطعي </w:t>
      </w:r>
      <w:r>
        <w:rPr>
          <w:rStyle w:val="FootnoteAnchor"/>
          <w:rtl w:val="true"/>
        </w:rPr>
        <w:footnoteReference w:id="902"/>
      </w:r>
      <w:r>
        <w:rPr>
          <w:rFonts w:ascii="Amiri" w:hAnsi="Amiri" w:eastAsia="Amiri" w:cs="Amiri"/>
          <w:color w:val="111111"/>
          <w:sz w:val="28"/>
          <w:sz w:val="28"/>
          <w:szCs w:val="28"/>
          <w:rtl w:val="true"/>
          <w:lang w:bidi="ar-SA"/>
        </w:rPr>
        <w:t>يدلّ عليها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فحجيّة الإجماع موقوفة على وجود هذا الإجماع الخاصّ </w:t>
      </w:r>
      <w:r>
        <w:rPr>
          <w:rStyle w:val="FootnoteAnchor"/>
          <w:rtl w:val="true"/>
        </w:rPr>
        <w:footnoteReference w:id="903"/>
      </w:r>
      <w:r>
        <w:rPr>
          <w:rFonts w:ascii="Amiri" w:hAnsi="Amiri" w:eastAsia="Amiri" w:cs="Amiri"/>
          <w:color w:val="111111"/>
          <w:sz w:val="28"/>
          <w:sz w:val="28"/>
          <w:szCs w:val="28"/>
          <w:rtl w:val="true"/>
          <w:lang w:bidi="ar-SA"/>
        </w:rPr>
        <w:t>، ووجود هذا الإجماع الخاصّ لا يتوقّف على حجّية مطلق الإجماع ، وكذا دلالته على وجود قاطع يدلّ عليها لا تتوقّف على حجّية مطلق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قرّروا الدّليل والاعتراضات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 المخالفين من حجّية الإجماع هو حجّيته من حيث هو إجماع كما هو لازم طريقتهم ، بل هو صريح أكثرهم ، فلا يتمّ الاستدلال ، لأنّ مرادهم إن كان من العلماء المجمعين على القطع بتخطئة مخالف الإجماع ، علماء الإمامية أيضا ، ومن الإجماع الذي يخطأ مخالفه ما اشتمل على الإمام المعصوم ، فلا ريب في حقيّة ما ذكروه ، ولكن ذلك لا يثبت حجّية الإجماع من حيث هو ، فلا ينفعهم ، وإلّا فإن لم يعلم دخول المعصوم أو علم خروجه عن الإجماع الذي يخطأ مخالفه ، فلا نسلّم إجماع جميع العلماء حتّى الإمامية على القطع بتخطئة المخالف ، وبدونه نمنع حكم العادة على ما ذكروه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فرض موافقة الإمامية على القطع بتخطئة المخالف ، وإن لم يعلم دخول المعصوم </w:t>
      </w:r>
      <w:r>
        <w:rPr>
          <w:rStyle w:val="FootnoteAnchor"/>
          <w:rtl w:val="true"/>
        </w:rPr>
        <w:footnoteReference w:id="904"/>
      </w:r>
      <w:r>
        <w:rPr>
          <w:rFonts w:ascii="Amiri" w:hAnsi="Amiri" w:eastAsia="Amiri" w:cs="Amiri"/>
          <w:color w:val="111111"/>
          <w:sz w:val="28"/>
          <w:sz w:val="28"/>
          <w:szCs w:val="28"/>
          <w:rtl w:val="true"/>
          <w:lang w:bidi="ar-SA"/>
        </w:rPr>
        <w:t xml:space="preserve">فيهم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موافقة الإمامية في القطع في التخطئة بحيث يحصل القطع معه بكونه قول المعصوم ، فيكون حجّية الإجماع الذي يحكم بخطإ مخالفه للإجماع المصطلح عندنا ، لا لأجل اقتضاء العادة بذلك </w:t>
      </w:r>
      <w:r>
        <w:rPr>
          <w:rStyle w:val="FootnoteAnchor"/>
          <w:rtl w:val="true"/>
        </w:rPr>
        <w:footnoteReference w:id="905"/>
      </w:r>
      <w:r>
        <w:rPr>
          <w:rFonts w:ascii="Amiri" w:hAnsi="Amiri" w:eastAsia="Amiri" w:cs="Amiri"/>
          <w:color w:val="111111"/>
          <w:sz w:val="28"/>
          <w:sz w:val="28"/>
          <w:szCs w:val="28"/>
          <w:rtl w:val="true"/>
          <w:lang w:bidi="ar-SA"/>
        </w:rPr>
        <w:t>، وبدونه فيمنع أيضا حكم العادة على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ثمرة هذا الكلام </w:t>
      </w:r>
      <w:r>
        <w:rPr>
          <w:rStyle w:val="FootnoteAnchor"/>
          <w:rtl w:val="true"/>
        </w:rPr>
        <w:footnoteReference w:id="906"/>
      </w:r>
      <w:r>
        <w:rPr>
          <w:rFonts w:ascii="Amiri" w:hAnsi="Amiri" w:eastAsia="Amiri" w:cs="Amiri"/>
          <w:color w:val="111111"/>
          <w:sz w:val="28"/>
          <w:sz w:val="28"/>
          <w:szCs w:val="28"/>
          <w:rtl w:val="true"/>
          <w:lang w:bidi="ar-SA"/>
        </w:rPr>
        <w:t xml:space="preserve">في أمثال زماننا حيث لا يمكن تحقّق الإجماع على مصطلح العامّة بحيث يحكم بكون الإمام المنتظر فيهم ، وكذلك في عصر النبيّ صلى‌الله‌عليه‌وآله مع فرض عدم معصوم آخر حال انعقاد الإجماع ، لأنّه لا يستحيل ذلك </w:t>
      </w:r>
      <w:r>
        <w:rPr>
          <w:rStyle w:val="FootnoteAnchor"/>
          <w:rtl w:val="true"/>
        </w:rPr>
        <w:footnoteReference w:id="907"/>
      </w:r>
      <w:r>
        <w:rPr>
          <w:rFonts w:ascii="Amiri" w:hAnsi="Amiri" w:eastAsia="Amiri" w:cs="Amiri"/>
          <w:color w:val="111111"/>
          <w:sz w:val="28"/>
          <w:sz w:val="28"/>
          <w:szCs w:val="28"/>
          <w:rtl w:val="true"/>
          <w:lang w:bidi="ar-SA"/>
        </w:rPr>
        <w:t xml:space="preserve">عندنا أيضا ، مع أنّ القدر المسلّم في قضاء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لو كان عدد المجمعين عدد التواتر حتّى يمكن القطع بتخطئة مخالفه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الدّليل ناهض في إجماع المسلمين من غير تقييد واشتراط ، فإنّهم خطّئوا المخالف مطلقا </w:t>
      </w:r>
      <w:r>
        <w:rPr>
          <w:rStyle w:val="FootnoteAnchor"/>
          <w:rtl w:val="true"/>
        </w:rPr>
        <w:footnoteReference w:id="908"/>
      </w:r>
      <w:r>
        <w:rPr>
          <w:rFonts w:ascii="Amiri" w:hAnsi="Amiri" w:eastAsia="Amiri" w:cs="Amiri"/>
          <w:color w:val="111111"/>
          <w:sz w:val="28"/>
          <w:sz w:val="28"/>
          <w:szCs w:val="28"/>
          <w:rtl w:val="true"/>
          <w:lang w:bidi="ar-SA"/>
        </w:rPr>
        <w:t>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دعوى كونهم قاطعين بتخطئة المخالف لا بدّ أن تكون قطعيّة ، ومجرّد ظهور اللّفظ في إرادة العموم لا يكفي في ذلك ، مع أنّ المجمعين على القطع بالتخطئة لو ادّعوا ذلك في خصوص مثل هذا </w:t>
      </w:r>
    </w:p>
    <w:p>
      <w:pPr>
        <w:pStyle w:val="BookText"/>
        <w:rPr/>
      </w:pPr>
      <w:r>
        <w:rPr>
          <w:rFonts w:ascii="Amiri" w:hAnsi="Amiri" w:eastAsia="Amiri" w:cs="Amiri"/>
          <w:color w:val="111111"/>
          <w:sz w:val="28"/>
          <w:sz w:val="28"/>
          <w:szCs w:val="28"/>
          <w:rtl w:val="true"/>
          <w:lang w:bidi="ar-SA"/>
        </w:rPr>
        <w:t>الإجماع الذي لم يبلغ عدده حدّ التواتر ، لم يسمع منهم ، ودعوى حكم العادة حينئذ على ما ذكر ،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الاستدلال بناء على كون المطلوب إثبات الحجّية في الجملة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فما ذكروه من الأدلّة من العقل والنقل لو تمّت ، فلا يضرّنا ، بل ينفعنا ولو لم يتمّ ، فأيضا لا يخلو من تأييد لإثبات حجّية الإجماع ، وأكثر أدلّتهم مطابقة لمقتضى مذهب الشيعة في حجّية الإجماع ، يظهر لمن تأمّل فيها بعين التدقيق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هنا شيئا من الشّكوك والشبهات التي أوردوها في المقامات الثلاثة المتقدّمة </w:t>
      </w:r>
      <w:r>
        <w:rPr>
          <w:rStyle w:val="FootnoteAnchor"/>
          <w:rtl w:val="true"/>
        </w:rPr>
        <w:footnoteReference w:id="909"/>
      </w:r>
      <w:r>
        <w:rPr>
          <w:rFonts w:ascii="IRNazanin" w:hAnsi="IRNazanin" w:eastAsia="IRNazanin"/>
          <w:color w:val="111111"/>
          <w:sz w:val="28"/>
          <w:sz w:val="28"/>
          <w:szCs w:val="28"/>
          <w:rtl w:val="true"/>
          <w:lang w:bidi="fa-IR"/>
        </w:rPr>
        <w:t xml:space="preserve">، ولنجب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في نفي إمكانه ، وهو أنّ الاتّفاق إمّا عن قطعيّ أو ظنّي ، وكلاهما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القطعيّ فلأنّ العادة تقتضي نقله إلينا ، فلو كان لنقل وليس فليس ، ولو نقل لأغنى عن الإجماع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الظنّي فلقضاء العادة بامتناع الاتّفاق عليه لاختلاف القرائح وتباينهم ، وذلك كاتّفاقهم على أكل الزّبيب الأسود في زمان واحد ، فإنّه معلوم الانتفاء ، وما ذلك إلّا لاختلاف الدّواعي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حكم العادة بنقل القطعيّ إذا أغنى عنه ما هو أقوى عنه ، وهو </w:t>
      </w:r>
    </w:p>
    <w:p>
      <w:pPr>
        <w:pStyle w:val="BookText"/>
        <w:rPr/>
      </w:pPr>
      <w:r>
        <w:rPr>
          <w:rFonts w:ascii="Amiri" w:hAnsi="Amiri" w:eastAsia="Amiri" w:cs="Amiri"/>
          <w:color w:val="111111"/>
          <w:sz w:val="28"/>
          <w:sz w:val="28"/>
          <w:szCs w:val="28"/>
          <w:rtl w:val="true"/>
          <w:lang w:bidi="ar-SA"/>
        </w:rPr>
        <w:t>الإجماع ، ونقله أيضا لا يغني عن الإجماع ، لظهور كمال الفائدة في تعدّد الأدلّة سيّما مع كون القطعيّات متفاوتة في مراتب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استحالة الاتّفاق على الظنّي ، سيّما إذا كان جليّا واضح الدّلالة معلوم الحجّية ، مع أنّا سنثبت إمكان العلم به </w:t>
      </w:r>
      <w:r>
        <w:rPr>
          <w:rStyle w:val="FootnoteAnchor"/>
          <w:rtl w:val="true"/>
        </w:rPr>
        <w:footnoteReference w:id="911"/>
      </w:r>
      <w:r>
        <w:rPr>
          <w:rFonts w:ascii="Amiri" w:hAnsi="Amiri" w:eastAsia="Amiri" w:cs="Amiri"/>
          <w:color w:val="111111"/>
          <w:sz w:val="28"/>
          <w:sz w:val="28"/>
          <w:szCs w:val="28"/>
          <w:rtl w:val="true"/>
          <w:lang w:bidi="ar-SA"/>
        </w:rPr>
        <w:t>، فكيف يمكن التشكيك في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نفي إمكان العلم به ، وهو أنّه لا يمكن العلم بفتوى جميع علماء الإسلام لانتشارهم في مشارق الأرض ومغاربها ، بل لا يمكن معرفة أعيانهم فضلا عن أقوالهم ، مع احتمال خفاء بعضهم ، لئلّا يلزمه الموافقة أو المخالفة أو انقطاعه لطول غيبته ، فلا يعلم له خبر ، أو أسره في المطمورة </w:t>
      </w:r>
      <w:r>
        <w:rPr>
          <w:rStyle w:val="FootnoteAnchor"/>
          <w:rtl w:val="true"/>
        </w:rPr>
        <w:footnoteReference w:id="912"/>
      </w:r>
      <w:r>
        <w:rPr>
          <w:rFonts w:ascii="Amiri" w:hAnsi="Amiri" w:eastAsia="Amiri" w:cs="Amiri"/>
          <w:color w:val="111111"/>
          <w:sz w:val="28"/>
          <w:sz w:val="28"/>
          <w:szCs w:val="28"/>
          <w:rtl w:val="true"/>
          <w:lang w:bidi="ar-SA"/>
        </w:rPr>
        <w:t>أو كذبه في قوله ، رأيي كذا ، مع أنّ العبرة بالرّأي دون اللّفظ مع احتمال رجوع بعضهم عمّا قال بعد الاستماع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شبهة في مقابل البديهة لحصول العلم بمذهب جميع علماء الإسلام ، بأنّ رأيهم وجوب الصلوات الخمس وصوم رمضان ونحوهما </w:t>
      </w:r>
      <w:r>
        <w:rPr>
          <w:rStyle w:val="FootnoteAnchor"/>
          <w:rtl w:val="true"/>
        </w:rPr>
        <w:footnoteReference w:id="913"/>
      </w:r>
      <w:r>
        <w:rPr>
          <w:rFonts w:ascii="Amiri" w:hAnsi="Amiri" w:eastAsia="Amiri" w:cs="Amiri"/>
          <w:color w:val="111111"/>
          <w:sz w:val="28"/>
          <w:sz w:val="28"/>
          <w:szCs w:val="28"/>
          <w:rtl w:val="true"/>
          <w:lang w:bidi="ar-SA"/>
        </w:rPr>
        <w:t>، ومذهب علماء الشيعة بأنّ رأيهم حلّيّة المتعة ومسح الرّجلين ، فإذا أمكن حصول العلم برأيهم على سبيل البديهة فكيف لا يمكن حصول اليقين بالنظر ، مع أنّ مرتبة البداهة متأخّرة عن النّظر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أعيان العلماء غير معروفة بأجمعهم في ذلك ، فضلا عن حصول الاستماع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الدّاعي إلى ذلك أمر عقليّ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باجتماعهم </w:t>
      </w:r>
    </w:p>
    <w:p>
      <w:pPr>
        <w:pStyle w:val="BookText"/>
        <w:rPr/>
      </w:pPr>
      <w:r>
        <w:rPr>
          <w:rFonts w:ascii="Amiri" w:hAnsi="Amiri" w:eastAsia="Amiri" w:cs="Amiri"/>
          <w:color w:val="111111"/>
          <w:sz w:val="28"/>
          <w:sz w:val="28"/>
          <w:szCs w:val="28"/>
          <w:rtl w:val="true"/>
          <w:lang w:bidi="ar-SA"/>
        </w:rPr>
        <w:t>إنّما هو بحكم العقل ، بأنّ العقلاء يجتمعون على ذلك لأجل عقلهم ، مع أنّ العقليات أيضا ممّا وقع فيه الاختلاف كثيرا ، كما لا يخفى على المطّلع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w:t>
      </w:r>
      <w:r>
        <w:rPr>
          <w:rStyle w:val="FootnoteAnchor"/>
          <w:rtl w:val="true"/>
        </w:rPr>
        <w:footnoteReference w:id="914"/>
      </w:r>
      <w:r>
        <w:rPr>
          <w:rFonts w:ascii="Amiri" w:hAnsi="Amiri" w:eastAsia="Amiri" w:cs="Amiri"/>
          <w:color w:val="111111"/>
          <w:sz w:val="28"/>
          <w:sz w:val="28"/>
          <w:szCs w:val="28"/>
          <w:rtl w:val="true"/>
          <w:lang w:bidi="ar-SA"/>
        </w:rPr>
        <w:t>في نفي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العامّة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اللهِ وَالرَّسُولِ </w:t>
      </w:r>
      <w:r>
        <w:rPr>
          <w:rFonts w:eastAsia="Amiri" w:cs="Amiri" w:ascii="Amiri" w:hAnsi="Amiri"/>
          <w:color w:val="111111"/>
          <w:sz w:val="28"/>
          <w:szCs w:val="28"/>
          <w:rtl w:val="true"/>
          <w:lang w:bidi="ar-SA"/>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فظهر منها </w:t>
      </w:r>
      <w:r>
        <w:rPr>
          <w:rStyle w:val="FootnoteAnchor"/>
          <w:rtl w:val="true"/>
        </w:rPr>
        <w:footnoteReference w:id="917"/>
      </w:r>
      <w:r>
        <w:rPr>
          <w:rFonts w:ascii="Amiri" w:hAnsi="Amiri" w:eastAsia="Amiri" w:cs="Amiri"/>
          <w:color w:val="111111"/>
          <w:sz w:val="28"/>
          <w:sz w:val="28"/>
          <w:szCs w:val="28"/>
          <w:rtl w:val="true"/>
          <w:lang w:bidi="ar-SA"/>
        </w:rPr>
        <w:t>، أنّ المرجع والمعوّل إنّما هو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الكتاب تبيانا لا ينافي تبيانيّة غيره ، وأنّ المجمع عليه لا 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تَقُولُوا عَلَى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واضح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ذكره بعض القاصرين من الخاصّة فهو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الخطأ على كلّ واحد من المجمعين ، فكذا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بعينه الشّبهة التي أوردوها على نفي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المجموع وبين كلّ واحد كما لا يخفى ، فإنّ للإجماع تأثيرا واضحا في حصول الاعتماد ، بل هو في الإجماع أظهر منه في الخبر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المعصوم لو كان معلوما بشخصه ، فلا حاجة إلى الإجماع ، وإلّا فلا </w:t>
      </w:r>
    </w:p>
    <w:p>
      <w:pPr>
        <w:pStyle w:val="BookText"/>
        <w:rPr/>
      </w:pPr>
      <w:r>
        <w:rPr>
          <w:rFonts w:ascii="Amiri" w:hAnsi="Amiri" w:eastAsia="Amiri" w:cs="Amiri"/>
          <w:color w:val="111111"/>
          <w:sz w:val="28"/>
          <w:sz w:val="28"/>
          <w:szCs w:val="28"/>
          <w:rtl w:val="true"/>
          <w:lang w:bidi="ar-SA"/>
        </w:rPr>
        <w:t>يمكن الاطّلاع على رأيه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لا يمكن الوصول إلى خدمته ، ولكن يمكن العلم الإجمالي بقوله ورأيه ، وقد بيّنّا إمكان العلم الإجمالي كما يحصل في الضّروريات ، وأنّه يمكن العلم برأيه في زمان حضوره بسبب أقوال تبعته ، كما يمكن صيرورة الحكم بديهيّا في زمانه مع عدم الاستماع من لفظه ، ومن ذلك يظهر عدم الفرق بين زمان الظّهور وزمان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الخلاف في حجّية الإجماع ، وفي أدلّة حجّيته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علماء الشيعة المعتنين بأقوالهم لم يختلفوا في حجّيته ، وكذلك المحقّقون من العامّة ، ونسبة بعض العامّة </w:t>
      </w:r>
      <w:r>
        <w:rPr>
          <w:rStyle w:val="FootnoteAnchor"/>
          <w:rtl w:val="true"/>
        </w:rPr>
        <w:footnoteReference w:id="920"/>
      </w:r>
      <w:r>
        <w:rPr>
          <w:rFonts w:ascii="Amiri" w:hAnsi="Amiri" w:eastAsia="Amiri" w:cs="Amiri"/>
          <w:color w:val="111111"/>
          <w:sz w:val="28"/>
          <w:sz w:val="28"/>
          <w:szCs w:val="28"/>
          <w:rtl w:val="true"/>
          <w:lang w:bidi="ar-SA"/>
        </w:rPr>
        <w:t>القول بعدم الحجّية إلى الشيعة افتراء أو اشتباه لفهم مقصد الشيعة ، فإنّهم يمنعون حجّية الإجماع من حيث إنّه إجماع ، لا مطلقا ، وأنّ وجود الخلاف لا ينفي الحجّية ، وكذلك اختلاف مدرك الحجّية ، كما يلاحظ في حجّية خبر الواحد وغيره ، بل الخلاف موجود في اصول الدّين واصول المذهب ، بل في جميع العقليّات إلّا ما شذّ وندر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المخالف في أكثر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أنّ وجود المخالف يمنع عن تحقّق الإجماع ، فهو إنّما يصحّ على طريقة العامّة </w:t>
      </w:r>
      <w:r>
        <w:rPr>
          <w:rStyle w:val="FootnoteAnchor"/>
          <w:rtl w:val="true"/>
        </w:rPr>
        <w:footnoteReference w:id="921"/>
      </w:r>
      <w:r>
        <w:rPr>
          <w:rFonts w:ascii="Amiri" w:hAnsi="Amiri" w:eastAsia="Amiri" w:cs="Amiri"/>
          <w:color w:val="111111"/>
          <w:sz w:val="28"/>
          <w:sz w:val="28"/>
          <w:szCs w:val="28"/>
          <w:rtl w:val="true"/>
          <w:lang w:bidi="ar-SA"/>
        </w:rPr>
        <w:t>، مع أنّ بعضهم أيضا لا يعتبر خلاف النّادر ، وأمّا على طريقتنا ، فلا يضرّ وجود المخالف</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المختار من الطرق الثلاثة </w:t>
      </w:r>
      <w:r>
        <w:rPr>
          <w:rStyle w:val="FootnoteAnchor"/>
          <w:rtl w:val="true"/>
        </w:rPr>
        <w:footnoteReference w:id="922"/>
      </w:r>
      <w:r>
        <w:rPr>
          <w:rFonts w:ascii="IRNazanin" w:hAnsi="IRNazanin" w:eastAsia="IRNazanin"/>
          <w:color w:val="111111"/>
          <w:sz w:val="28"/>
          <w:sz w:val="28"/>
          <w:szCs w:val="28"/>
          <w:rtl w:val="true"/>
          <w:lang w:bidi="fa-IR"/>
        </w:rPr>
        <w:t xml:space="preserve">، فلما عرفت أنّ المناط هو حصول </w:t>
      </w:r>
    </w:p>
    <w:p>
      <w:pPr>
        <w:pStyle w:val="BookText"/>
        <w:rPr/>
      </w:pPr>
      <w:r>
        <w:rPr>
          <w:rFonts w:ascii="Amiri" w:hAnsi="Amiri" w:eastAsia="Amiri" w:cs="Amiri"/>
          <w:color w:val="111111"/>
          <w:sz w:val="28"/>
          <w:sz w:val="28"/>
          <w:szCs w:val="28"/>
          <w:rtl w:val="true"/>
          <w:lang w:bidi="ar-SA"/>
        </w:rPr>
        <w:t>الجزم بموافقة المعصوم ولو باتّفاق جماعة من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على المشهور </w:t>
      </w:r>
      <w:r>
        <w:rPr>
          <w:rStyle w:val="FootnoteAnchor"/>
          <w:rtl w:val="true"/>
        </w:rPr>
        <w:footnoteReference w:id="923"/>
      </w:r>
      <w:r>
        <w:rPr>
          <w:rFonts w:ascii="Amiri" w:hAnsi="Amiri" w:eastAsia="Amiri" w:cs="Amiri"/>
          <w:color w:val="111111"/>
          <w:sz w:val="28"/>
          <w:sz w:val="28"/>
          <w:szCs w:val="28"/>
          <w:rtl w:val="true"/>
          <w:lang w:bidi="ar-SA"/>
        </w:rPr>
        <w:t xml:space="preserve">بين القدماء ، فلأنّه لا يضرّ خروج معلوم النسب ، بل ولا المجهول النسب أيضا إذا علم أنّه ليس بمعصوم ، بل يكفي فيه العلم الإجمالي بأنّ غير الخارجين الّذين علم أنّهم ليسوا بإمام كلّهم متّفقون على كذا ، بحيث حصل العلم بأنّ الإمام فيهم ، مع أنّه يحتمل تقدّم المخالف على تحقّق الإجماع أو تأخّره مع عدم اطّلاعه على الإجماع ، إذ لم نقل بأنّ كلّ إجماع تحقّق لا بدّ أن يحصل العلم به لكلّ أحد ، سواء كان في حال الحضور أو الغيبة ، بل الأحكام الثابتة من الشّارع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بديهيّ </w:t>
      </w:r>
      <w:r>
        <w:rPr>
          <w:rStyle w:val="FootnoteAnchor"/>
          <w:rtl w:val="true"/>
        </w:rPr>
        <w:footnoteReference w:id="924"/>
      </w:r>
      <w:r>
        <w:rPr>
          <w:rFonts w:ascii="Amiri" w:hAnsi="Amiri" w:eastAsia="Amiri" w:cs="Amiri"/>
          <w:color w:val="111111"/>
          <w:sz w:val="28"/>
          <w:sz w:val="28"/>
          <w:szCs w:val="28"/>
          <w:rtl w:val="true"/>
          <w:lang w:bidi="ar-SA"/>
        </w:rPr>
        <w:t>، ومنها يقينيّ نظريّ للخواصّ ، ومنها ظنّيّ للخواصّ مجهول للعوامّ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والنّظريّ اليقينيّ ربّما يكون يقينيا لبعض الخواصّ ظنّيا لبعض آخر </w:t>
      </w:r>
      <w:r>
        <w:rPr>
          <w:rStyle w:val="FootnoteAnchor"/>
          <w:rtl w:val="true"/>
        </w:rPr>
        <w:footnoteReference w:id="925"/>
      </w:r>
      <w:r>
        <w:rPr>
          <w:rFonts w:ascii="Amiri" w:hAnsi="Amiri" w:eastAsia="Amiri" w:cs="Amiri"/>
          <w:color w:val="111111"/>
          <w:sz w:val="28"/>
          <w:sz w:val="28"/>
          <w:szCs w:val="28"/>
          <w:rtl w:val="true"/>
          <w:lang w:bidi="ar-SA"/>
        </w:rPr>
        <w:t>، ومرجوحا عند بعض آخر ، إذ أسباب الحدس والتتبّع مختلفة ، فيتفاوت الحال بالنسبة إلى الناظر والمتتبّعين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الشيعة مجمعون على حرمة العمل بالقياس ، مع أنّ ابن الجنيد ؛ قال بجوازه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ومنشأ هذه النسبة ما هو في عبارة النجاشي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شيوخنا الثقات يقولون عنه أنّه كان يقول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في عبارة الشيخ في الفهرست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الجنيد يكنّى أبا علي كان جيّد التصنيف حسنة إلّا أنّه كان يرى القول بالقياس فتركت لذلك كتبه ولم يعوّل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الحرمة حينئذ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p>
    <w:p>
      <w:pPr>
        <w:pStyle w:val="BookText"/>
        <w:rPr/>
      </w:pPr>
      <w:r>
        <w:rPr>
          <w:rFonts w:ascii="Amiri" w:hAnsi="Amiri" w:eastAsia="Amiri" w:cs="Amiri"/>
          <w:color w:val="111111"/>
          <w:sz w:val="28"/>
          <w:sz w:val="28"/>
          <w:szCs w:val="28"/>
          <w:rtl w:val="true"/>
          <w:lang w:bidi="ar-SA"/>
        </w:rPr>
        <w:t xml:space="preserve">عدم وجوب قراءة دعاء الهلال ، مع أنّ ابن أبي عقيل قال بوجوبه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شهر رمضان يعتبر فيه الرّؤية لا العدد ، مع أنّ الصّدوق رحمه‌الله خالف فيه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يتفاوت الحال بين زمان الحضور والغيبة ، فتحقّق الإجماع في كلّ واحد من الأزمنة بالنسبة إلى الأشخاص إمّا يقينيّ أو ظنّي ، واليقينيات مختلفة في مراتب القطع ، والظنّيات في مراتب الرجحان ، فلا يلزم اطّراد الحكم </w:t>
      </w:r>
      <w:r>
        <w:rPr>
          <w:rStyle w:val="FootnoteAnchor"/>
          <w:rtl w:val="true"/>
        </w:rPr>
        <w:footnoteReference w:id="928"/>
      </w:r>
      <w:r>
        <w:rPr>
          <w:rFonts w:ascii="Amiri" w:hAnsi="Amiri" w:eastAsia="Amiri" w:cs="Amiri"/>
          <w:color w:val="111111"/>
          <w:sz w:val="28"/>
          <w:sz w:val="28"/>
          <w:szCs w:val="28"/>
          <w:rtl w:val="true"/>
          <w:lang w:bidi="ar-SA"/>
        </w:rPr>
        <w:t>ولا القول بأنّ الإجماع المتحقّق في نفس الأمر لا بدّ أن يحصل به العلم لكلّ أحد ، ولا بدّ أن لا يوجد له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نضايق من القول باحتمال السّهو والغفلة والاشتباه في الحدس ، وذلك لا يوجب بطلان أصل الإجماع ، كما لا ينافي الغفلة والاشتباه والخطأ 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 والعقليّات مع حصول الخطأ فيها من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 وجود المخالف يمنع عن الاحتجاج بالإجماعات المنقولة ويورث العلم بخطإ المدّعين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أراد أنّا نجزم مع وجود المخالف بخطئهم في الدعوى فهو في غاية الظهور من البطلان ، لما عرفت من إمكان حصول العلم مع وجود المخالف</w:t>
      </w:r>
      <w:r>
        <w:rPr>
          <w:rFonts w:eastAsia="Amiri" w:cs="Amiri" w:ascii="Amiri" w:hAnsi="Amiri"/>
          <w:color w:val="111111"/>
          <w:sz w:val="28"/>
          <w:szCs w:val="28"/>
          <w:rtl w:val="true"/>
          <w:lang w:bidi="ar-SA"/>
        </w:rPr>
        <w:t xml:space="preserve">. </w:t>
      </w:r>
      <w:bookmarkStart w:id="120" w:name="pg14071_149067"/>
    </w:p>
    <w:p>
      <w:pPr>
        <w:pStyle w:val="BookText"/>
        <w:rPr/>
      </w:pPr>
      <w:bookmarkEnd w:id="120"/>
      <w:r>
        <w:rPr>
          <w:rFonts w:ascii="Amiri" w:hAnsi="Amiri" w:eastAsia="Amiri" w:cs="Amiri"/>
          <w:color w:val="111111"/>
          <w:sz w:val="28"/>
          <w:sz w:val="28"/>
          <w:szCs w:val="28"/>
          <w:rtl w:val="true"/>
          <w:lang w:bidi="ar-SA"/>
        </w:rPr>
        <w:t>وإن أراد أنّ ذلك يورث ضعف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ممنوع لما ذكرنا أنّ ذلك لا يوجب بطلان مطلق الإجماع </w:t>
      </w:r>
      <w:r>
        <w:rPr>
          <w:rStyle w:val="FootnoteAnchor"/>
          <w:rtl w:val="true"/>
        </w:rPr>
        <w:footnoteReference w:id="929"/>
      </w:r>
      <w:r>
        <w:rPr>
          <w:rFonts w:ascii="Amiri" w:hAnsi="Amiri" w:eastAsia="Amiri" w:cs="Amiri"/>
          <w:color w:val="111111"/>
          <w:sz w:val="28"/>
          <w:sz w:val="28"/>
          <w:szCs w:val="28"/>
          <w:rtl w:val="true"/>
          <w:lang w:bidi="ar-SA"/>
        </w:rPr>
        <w:t>ولا مطلق 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خروج بعض أخبار الآحاد عن الحجّية لا يوجب عدم حجّية مطلق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تخصيص العامّ ، وكثرة تخصيصه لا يوجب خروج العامّ عن أصالة العموم ، وكذلك المخالفات الواقعة في سائر المسائل وسائر العلوم لا يوجب عدم الاعتماد بأصل العلم</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95077_1738255347"/>
      <w:bookmarkStart w:id="122" w:name="_Toc44"/>
      <w:bookmarkEnd w:id="121"/>
      <w:r>
        <w:rPr>
          <w:rtl w:val="true"/>
        </w:rPr>
        <w:t>تنبيهات</w:t>
      </w:r>
      <w:bookmarkEnd w:id="122"/>
    </w:p>
    <w:p>
      <w:pPr>
        <w:pStyle w:val="Heading5"/>
        <w:numPr>
          <w:ilvl w:val="4"/>
          <w:numId w:val="1"/>
        </w:numPr>
        <w:rPr/>
      </w:pPr>
      <w:bookmarkStart w:id="123" w:name="__RefHeading___Toc495079_1738255347"/>
      <w:bookmarkStart w:id="124" w:name="_Toc45"/>
      <w:bookmarkEnd w:id="123"/>
      <w:r>
        <w:rPr>
          <w:rtl w:val="true"/>
        </w:rPr>
        <w:t xml:space="preserve">الأوّل </w:t>
      </w:r>
      <w:r>
        <w:rPr>
          <w:rtl w:val="true"/>
        </w:rPr>
        <w:t>:</w:t>
      </w:r>
      <w:bookmarkEnd w:id="12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قال بعض المجتهدين بقول وشاع بين الباقين من غير إنكار له وهو المسمّى بالإجماع السّكوتي ، فهو ليس بحجّة </w:t>
      </w:r>
      <w:r>
        <w:rPr>
          <w:rStyle w:val="FootnoteAnchor"/>
          <w:rtl w:val="true"/>
        </w:rPr>
        <w:footnoteReference w:id="930"/>
      </w:r>
      <w:r>
        <w:rPr>
          <w:rFonts w:ascii="IRNazanin" w:hAnsi="IRNazanin" w:eastAsia="IRNazanin"/>
          <w:color w:val="111111"/>
          <w:sz w:val="28"/>
          <w:sz w:val="28"/>
          <w:szCs w:val="28"/>
          <w:rtl w:val="true"/>
          <w:lang w:bidi="fa-IR"/>
        </w:rPr>
        <w:t xml:space="preserve">، خلافا لبعض أهل الخلاف </w:t>
      </w:r>
      <w:r>
        <w:rPr>
          <w:rStyle w:val="FootnoteAnchor"/>
          <w:rtl w:val="true"/>
        </w:rPr>
        <w:footnoteReference w:id="931"/>
      </w:r>
      <w:r>
        <w:rPr>
          <w:rFonts w:ascii="Amiri" w:hAnsi="Amiri" w:eastAsia="Amiri" w:cs="Amiri"/>
          <w:color w:val="111111"/>
          <w:sz w:val="28"/>
          <w:sz w:val="28"/>
          <w:szCs w:val="28"/>
          <w:rtl w:val="true"/>
          <w:lang w:bidi="ar-SA"/>
        </w:rPr>
        <w:t xml:space="preserve">، لأنّ الإجماع هو الاتّفاق ، ولم يعلم لاحتمال التصويب على مذهب المخالفين </w:t>
      </w:r>
      <w:r>
        <w:rPr>
          <w:rStyle w:val="FootnoteAnchor"/>
          <w:rtl w:val="true"/>
        </w:rPr>
        <w:footnoteReference w:id="932"/>
      </w:r>
      <w:r>
        <w:rPr>
          <w:rFonts w:ascii="IRNazanin" w:hAnsi="IRNazanin" w:eastAsia="IRNazanin"/>
          <w:color w:val="111111"/>
          <w:sz w:val="28"/>
          <w:sz w:val="28"/>
          <w:szCs w:val="28"/>
          <w:rtl w:val="true"/>
          <w:lang w:bidi="fa-IR"/>
        </w:rPr>
        <w:t xml:space="preserve">، </w:t>
      </w:r>
      <w:bookmarkStart w:id="125" w:name="pg14071_149068"/>
    </w:p>
    <w:p>
      <w:pPr>
        <w:pStyle w:val="BookText"/>
        <w:rPr/>
      </w:pPr>
      <w:bookmarkEnd w:id="125"/>
      <w:r>
        <w:rPr>
          <w:rFonts w:ascii="Amiri" w:hAnsi="Amiri" w:eastAsia="Amiri" w:cs="Amiri"/>
          <w:color w:val="111111"/>
          <w:sz w:val="28"/>
          <w:sz w:val="28"/>
          <w:szCs w:val="28"/>
          <w:rtl w:val="true"/>
          <w:lang w:bidi="ar-SA"/>
        </w:rPr>
        <w:t xml:space="preserve">واحتمال التوقّف والتمهّل للنظر أو لتجديد النظر ليكون ذا بصيرة في الردّ على مذهبنا في غير المعصوم ، ولاحتمال خوف الفتنة بالإنكار أو غير ذلك من الاحتمالات </w:t>
      </w:r>
      <w:r>
        <w:rPr>
          <w:rStyle w:val="FootnoteAnchor"/>
          <w:rtl w:val="true"/>
        </w:rPr>
        <w:footnoteReference w:id="933"/>
      </w:r>
      <w:r>
        <w:rPr>
          <w:rFonts w:ascii="Amiri" w:hAnsi="Amiri" w:eastAsia="Amiri" w:cs="Amiri"/>
          <w:color w:val="111111"/>
          <w:sz w:val="28"/>
          <w:sz w:val="28"/>
          <w:szCs w:val="28"/>
          <w:rtl w:val="true"/>
          <w:lang w:bidi="ar-SA"/>
        </w:rPr>
        <w:t>، فلا يكشف السّكوت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تكرّر ذلك في وقائع متعدّدة كثيرة في الأمور العامّة البلوى بلا نكير ، بحيث يحكم العادة بالرضا ، فهو حجّة</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495081_1738255347"/>
      <w:bookmarkStart w:id="127" w:name="_Toc46"/>
      <w:bookmarkEnd w:id="126"/>
      <w:r>
        <w:rPr>
          <w:rtl w:val="true"/>
        </w:rPr>
        <w:t xml:space="preserve">الثاني </w:t>
      </w:r>
      <w:r>
        <w:rPr>
          <w:rtl w:val="true"/>
        </w:rPr>
        <w:t>:</w:t>
      </w:r>
      <w:bookmarkEnd w:id="12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امتناع </w:t>
      </w:r>
      <w:r>
        <w:rPr>
          <w:rStyle w:val="FootnoteAnchor"/>
          <w:rtl w:val="true"/>
        </w:rPr>
        <w:footnoteReference w:id="934"/>
      </w:r>
      <w:r>
        <w:rPr>
          <w:rFonts w:ascii="Amiri" w:hAnsi="Amiri" w:eastAsia="Amiri" w:cs="Amiri"/>
          <w:color w:val="111111"/>
          <w:sz w:val="28"/>
          <w:sz w:val="28"/>
          <w:szCs w:val="28"/>
          <w:rtl w:val="true"/>
          <w:lang w:bidi="ar-SA"/>
        </w:rPr>
        <w:t>العلم بكون المسألة إجماعيّة في زماننا هذا وما ضاهاه إلّا من جهة النقل عن الأزمنة السّابقة على ذلك ، إذ لا سبيل إلى العلم بقول الإمام عليه‌السلام كيف وهو موقوف على وجود المجتهدين المجهولين ليدخل في جملتهم ، ويكون قوله مستورا بين أقوالهم ، وهذا ممّا يقطع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إجماع يدّعى في كلام الأصحاب ممّا يقرب من عصر الشيخ رحمه‌الله إلى زماننا هذا ، وليس مستندا إلى نقل متواتر وآحاد حيث تعتبر ، أو مع القرائن المفيدة للعلم ، فلا بدّ أن يراد به ما ذكره الشهيد رحمه‌الله من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مثل هذا نظر بعض علماء أهل الخلاف </w:t>
      </w:r>
      <w:r>
        <w:rPr>
          <w:rStyle w:val="FootnoteAnchor"/>
          <w:rtl w:val="true"/>
        </w:rPr>
        <w:footnoteReference w:id="936"/>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أنّه لا طريق إلى معرفة حصول </w:t>
      </w:r>
    </w:p>
    <w:p>
      <w:pPr>
        <w:pStyle w:val="BookText"/>
        <w:rPr/>
      </w:pPr>
      <w:r>
        <w:rPr>
          <w:rFonts w:ascii="Amiri" w:hAnsi="Amiri" w:eastAsia="Amiri" w:cs="Amiri"/>
          <w:color w:val="111111"/>
          <w:sz w:val="28"/>
          <w:sz w:val="28"/>
          <w:szCs w:val="28"/>
          <w:rtl w:val="true"/>
          <w:lang w:bidi="ar-SA"/>
        </w:rPr>
        <w:t>الإجماع إلّا في زمن الصّحابة ، حيث كان المؤمنون قليلين يمكن معرفتهم بأسرهم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إمكان حصول العلم في هذا الزّمان أيضا كما أشرنا على الطريقة التي اخترناها </w:t>
      </w:r>
      <w:r>
        <w:rPr>
          <w:rStyle w:val="FootnoteAnchor"/>
          <w:rtl w:val="true"/>
        </w:rPr>
        <w:footnoteReference w:id="937"/>
      </w:r>
      <w:r>
        <w:rPr>
          <w:rFonts w:ascii="Amiri" w:hAnsi="Amiri" w:eastAsia="Amiri" w:cs="Amiri"/>
          <w:color w:val="111111"/>
          <w:sz w:val="28"/>
          <w:sz w:val="28"/>
          <w:szCs w:val="28"/>
          <w:rtl w:val="true"/>
          <w:lang w:bidi="ar-SA"/>
        </w:rPr>
        <w:t xml:space="preserve">، فإنّه يمكن حصول العلم من تتبّع كلمات العلماء ومؤلّفاتهم بإجماع جميع الشيعة من زمان حضور الإمام عليه‌السلام إلى زماننا ، هذا بسبب اجتماعهم وعدم ظهور مخالف ، مع قضاء العادة بأنّ المتصدّين لنقل الأقوال ، حتّى الأقوال الشاذّة والنادرة حتّى من الواقفية وسائر المخالفين ، لو كان قول في المسألة من علمائنا لنقلوه ، وإذا مضاف إلى ذلك </w:t>
      </w:r>
      <w:r>
        <w:rPr>
          <w:rStyle w:val="FootnoteAnchor"/>
          <w:rtl w:val="true"/>
        </w:rPr>
        <w:footnoteReference w:id="938"/>
      </w:r>
      <w:r>
        <w:rPr>
          <w:rFonts w:ascii="Amiri" w:hAnsi="Amiri" w:eastAsia="Amiri" w:cs="Amiri"/>
          <w:color w:val="111111"/>
          <w:sz w:val="28"/>
          <w:sz w:val="28"/>
          <w:szCs w:val="28"/>
          <w:rtl w:val="true"/>
          <w:lang w:bidi="ar-SA"/>
        </w:rPr>
        <w:t>دعوى جماعة منهم الإجماع أيضا ، وكذا سائر القرائن ممّا أشرنا سابقا ، فيمكن حصول العلم بكونه إجماعيّا ، بمعنى كون اجتماعهم كاشفا عن موافقتهم لرئيسهم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لعلّهم اعتمدوا على دليل عقليّ ، لو وصلنا لظهر عدم دلالته على المطلوب ، ولم يعتمدوا على ما صدر من المعصوم عليه‌السلام من قول أو فعل أو تقرير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إذ هذا الكلام لا يجري في الأمور التي لا مجال للعقل فيها ، وجلّ الفقه ، بل كلّها من هذا الباب ، وما يمكن استفادته من العقل فإن كان من جهة إدراك حسن ذاتيّ أو قبح ذاتيّ ، فلا إشكال في كونه متّبعا سواء انعقد عليه الإجماع أو لا ، وإن كان من باب استنباط أو تخريج أو تفريع </w:t>
      </w:r>
      <w:r>
        <w:rPr>
          <w:rStyle w:val="FootnoteAnchor"/>
          <w:rtl w:val="true"/>
        </w:rPr>
        <w:footnoteReference w:id="939"/>
      </w:r>
      <w:r>
        <w:rPr>
          <w:rFonts w:ascii="Amiri" w:hAnsi="Amiri" w:eastAsia="Amiri" w:cs="Amiri"/>
          <w:color w:val="111111"/>
          <w:sz w:val="28"/>
          <w:sz w:val="28"/>
          <w:szCs w:val="28"/>
          <w:rtl w:val="true"/>
          <w:lang w:bidi="ar-SA"/>
        </w:rPr>
        <w:t xml:space="preserve">، فالعقل يحكم </w:t>
      </w:r>
    </w:p>
    <w:p>
      <w:pPr>
        <w:pStyle w:val="BookText"/>
        <w:rPr/>
      </w:pPr>
      <w:r>
        <w:rPr>
          <w:rFonts w:ascii="Amiri" w:hAnsi="Amiri" w:eastAsia="Amiri" w:cs="Amiri"/>
          <w:color w:val="111111"/>
          <w:sz w:val="28"/>
          <w:sz w:val="28"/>
          <w:szCs w:val="28"/>
          <w:rtl w:val="true"/>
          <w:lang w:bidi="ar-SA"/>
        </w:rPr>
        <w:t xml:space="preserve">والعادة تقتضي بعدم اتّفاق آراء هذا الجمّ الغفير ، المتخالفة المذاق المتباينة المشرب على دليل غير واضح المأخذ كما أشرنا سابقا ، سيّما وأصحابنا لا يعملون بأمثال ذلك </w:t>
      </w:r>
      <w:r>
        <w:rPr>
          <w:rStyle w:val="FootnoteAnchor"/>
          <w:rtl w:val="true"/>
        </w:rPr>
        <w:footnoteReference w:id="940"/>
      </w:r>
      <w:r>
        <w:rPr>
          <w:rFonts w:ascii="Amiri" w:hAnsi="Amiri" w:eastAsia="Amiri" w:cs="Amiri"/>
          <w:color w:val="111111"/>
          <w:sz w:val="28"/>
          <w:sz w:val="28"/>
          <w:szCs w:val="28"/>
          <w:rtl w:val="true"/>
          <w:lang w:bidi="ar-SA"/>
        </w:rPr>
        <w:t>، وإن كان مأخوذا من النصّ ، فهو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يظهر الإشكال فيما لو استدلّوا بعلّة غير معلومة المأخذ ، كما استدلّوا في لزوم تقديم الشّاهد والتزكية على اليمين إذا كان المثبت للحقّ هو الشّاهد مع اليمين ، وأنّه لو قدّم اليمين وقعت ملغاة </w:t>
      </w:r>
      <w:r>
        <w:rPr>
          <w:rStyle w:val="FootnoteAnchor"/>
          <w:rtl w:val="true"/>
        </w:rPr>
        <w:footnoteReference w:id="941"/>
      </w:r>
      <w:r>
        <w:rPr>
          <w:rFonts w:ascii="Amiri" w:hAnsi="Amiri" w:eastAsia="Amiri" w:cs="Amiri"/>
          <w:color w:val="111111"/>
          <w:sz w:val="28"/>
          <w:sz w:val="28"/>
          <w:szCs w:val="28"/>
          <w:rtl w:val="true"/>
          <w:lang w:bidi="ar-SA"/>
        </w:rPr>
        <w:t>، بأنّ وظيفة المدّعي هو البيّنة ، واليمين متمّم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أيضا في الحقيقة اتّفاق آخر على أمر شرعيّ ، وهو كون اليمين متلبّسة بوصف المتمميّة ، ولازمه التأخير ، فاتّفاقهم على هذا التعليل أيضا اتّفاق على أمر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من التتبّع اجتماع السّلف والخلف على أصل الحكم ، فلا يضرّ هذا التعليل ولا يقدح في إمكان دعوى الإجماع ، إنّ هذه العلّة غير واضحة المأخذ ولا دليل على حجّيتها ، لإمكان دعوى الإجماع على أصل العلّة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 على ما اختاره </w:t>
      </w:r>
      <w:r>
        <w:rPr>
          <w:rStyle w:val="FootnoteAnchor"/>
          <w:rtl w:val="true"/>
        </w:rPr>
        <w:footnoteReference w:id="942"/>
      </w:r>
      <w:r>
        <w:rPr>
          <w:rFonts w:ascii="Amiri" w:hAnsi="Amiri" w:eastAsia="Amiri" w:cs="Amiri"/>
          <w:color w:val="111111"/>
          <w:sz w:val="28"/>
          <w:sz w:val="28"/>
          <w:szCs w:val="28"/>
          <w:rtl w:val="true"/>
          <w:lang w:bidi="ar-SA"/>
        </w:rPr>
        <w:t>من الطريقة لا يتمّ دعوى حصول العلم بالإجماع في أمثال هذا الزّمان ، بل يشكل ثبوته في زمان الحضور أيضا ، إلّا بأن يؤوّل كلامهم بما ذكرنا سابقا ، من أن يراد من حصول العلم بأقوال العلماء حتّى الإمام ، العلم الإجماليّ لا العلم بهم تفصيلا ، حتّى ينتفي فائدة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ذلك عدم معرفة آرائهم تفصيلا ، وإن فرض معرفتهم بأشخاصهم مفصّلا لو شاهدهم ولقيهم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إنكار إمكان العلم بالإجماع في هذا الزّمان مكابرة ، وإن كان انعقاده في الأزمنة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قبول إمكان حصول العلم بالبديهي بسبب التّسامع والتظافر للعوامّ والخواصّ ، ولا يمكن دعوى العلم النظري للعلماء المتفحّصين المدقّقين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فيمكن حصول العلم الضروري بكون الشيء مجمعا عليه ، والعلم النظري ودونهما الظنّ المتاخم للعلم ، إذ كثيرا ما يحصل لنا الظنّ المتاخم للعلم بكون المسألة إجماعيّة بسبب القرائن والتتبّع العامّ ، ويختلف الحال في اليقين ومراتبه والظنّ ومراتبه بحسب المتتبّعين ، ولعلّ الإجماع الظنّيّ أيضا يكون حجّة كما سنشير إليه فيما بعد ، لو لم يكن هناك دليل أقوى منه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ما بيّنا يرجع كلام العلّامة رحمه‌الله في جواب 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علماء أهل الخلاف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نجزم </w:t>
      </w:r>
      <w:r>
        <w:rPr>
          <w:rStyle w:val="FootnoteAnchor"/>
          <w:rtl w:val="true"/>
        </w:rPr>
        <w:footnoteReference w:id="943"/>
      </w:r>
      <w:r>
        <w:rPr>
          <w:rFonts w:ascii="Amiri" w:hAnsi="Amiri" w:eastAsia="Amiri" w:cs="Amiri"/>
          <w:color w:val="111111"/>
          <w:sz w:val="28"/>
          <w:sz w:val="28"/>
          <w:szCs w:val="28"/>
          <w:rtl w:val="true"/>
          <w:lang w:bidi="ar-SA"/>
        </w:rPr>
        <w:t>بالمسائل المجمع عليها جزما قطعيّا ، ونعلم اتّفاق الأمّة عليها علما وجدانيا حصل بالتسامع وتضافر الأخبار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وحاصله ، أنّه لا ينحصر العلم بحصول الإجماع في زمن الصحابة ، بل يحصل في أمثال زماننا أيضا بالتسامع والتضافر ، أنّ المسألة </w:t>
      </w:r>
      <w:r>
        <w:rPr>
          <w:rStyle w:val="FootnoteAnchor"/>
          <w:rtl w:val="true"/>
        </w:rPr>
        <w:footnoteReference w:id="944"/>
      </w:r>
      <w:r>
        <w:rPr>
          <w:rFonts w:ascii="Amiri" w:hAnsi="Amiri" w:eastAsia="Amiri" w:cs="Amiri"/>
          <w:color w:val="111111"/>
          <w:sz w:val="28"/>
          <w:sz w:val="28"/>
          <w:szCs w:val="28"/>
          <w:rtl w:val="true"/>
          <w:lang w:bidi="ar-SA"/>
        </w:rPr>
        <w:t xml:space="preserve">إجماعيّة من دون أن ينقل يدا بيد أصل الإجماع من الزّمان السّابق إلى الزّمان اللّاحق ، وغفل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Style w:val="FootnoteAnchor"/>
          <w:rtl w:val="true"/>
        </w:rPr>
        <w:footnoteReference w:id="945"/>
      </w:r>
      <w:r>
        <w:rPr>
          <w:rFonts w:ascii="Amiri" w:hAnsi="Amiri" w:eastAsia="Amiri" w:cs="Amiri"/>
          <w:color w:val="111111"/>
          <w:sz w:val="28"/>
          <w:sz w:val="28"/>
          <w:szCs w:val="28"/>
          <w:rtl w:val="true"/>
          <w:lang w:bidi="ar-SA"/>
        </w:rPr>
        <w:t xml:space="preserve">ذلك لا ينافي ما ذكره بعض العامّة ، حيث أراد حصول العلم الابتدائي ، وما ذكره العلّامة ادّعاء حصول العلم بالنقل ، وإنّما دعاه إلى هذا الاعتراض إفراد الضمير المجرور في كلمة عليه </w:t>
      </w:r>
      <w:r>
        <w:rPr>
          <w:rStyle w:val="FootnoteAnchor"/>
          <w:rtl w:val="true"/>
        </w:rPr>
        <w:footnoteReference w:id="946"/>
      </w:r>
      <w:r>
        <w:rPr>
          <w:rFonts w:ascii="Amiri" w:hAnsi="Amiri" w:eastAsia="Amiri" w:cs="Amiri"/>
          <w:color w:val="111111"/>
          <w:sz w:val="28"/>
          <w:sz w:val="28"/>
          <w:szCs w:val="28"/>
          <w:rtl w:val="true"/>
          <w:lang w:bidi="ar-SA"/>
        </w:rPr>
        <w:t>، وقرينة المقام ومقابلة الجواب للسّؤال شاهد على أنّ مرجع الضمير كلّ واحد من فتاوى العلماء المجمعين كما لا يخفى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 ظهر ما في قوله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إجماع يدّعى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عدول ثقات ، وادّعوا العلم بحصول الإجماع ، فلا يجوز تكذيبهم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Style w:val="FootnoteAnchor"/>
          <w:rtl w:val="true"/>
        </w:rPr>
        <w:footnoteReference w:id="948"/>
      </w:r>
      <w:r>
        <w:rPr>
          <w:rFonts w:ascii="Amiri" w:hAnsi="Amiri" w:eastAsia="Amiri" w:cs="Amiri"/>
          <w:color w:val="111111"/>
          <w:sz w:val="28"/>
          <w:sz w:val="28"/>
          <w:szCs w:val="28"/>
          <w:rtl w:val="true"/>
          <w:lang w:bidi="ar-SA"/>
        </w:rPr>
        <w:t xml:space="preserve">لنا بمنزلة خبر صحيح أخبر به العدل عن إمامه بلا واسطة ، مع أنّ ما ذكره موافقا للشهيد </w:t>
      </w:r>
      <w:r>
        <w:rPr>
          <w:rStyle w:val="FootnoteAnchor"/>
          <w:rtl w:val="true"/>
        </w:rPr>
        <w:footnoteReference w:id="949"/>
      </w:r>
      <w:r>
        <w:rPr>
          <w:rFonts w:ascii="Amiri" w:hAnsi="Amiri" w:eastAsia="Amiri" w:cs="Amiri"/>
          <w:color w:val="111111"/>
          <w:sz w:val="28"/>
          <w:sz w:val="28"/>
          <w:szCs w:val="28"/>
          <w:rtl w:val="true"/>
          <w:lang w:bidi="ar-SA"/>
        </w:rPr>
        <w:t>من إرادة الشّهرة ، لا يليق بمن هو دونهم بمراتب ، فكيف وهم أمناء الأمّة ونوّاب الأئمّة عليهم‌السلام ومتكفّلو أيتامهم ، الورعون المتّقون ، الحجج على الخلق بعد أئمّتهم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منهم تدليس وخداع حيث يصطلحون في كتبهم </w:t>
      </w:r>
    </w:p>
    <w:p>
      <w:pPr>
        <w:pStyle w:val="BookText"/>
        <w:rPr/>
      </w:pPr>
      <w:r>
        <w:rPr>
          <w:rFonts w:ascii="Amiri" w:hAnsi="Amiri" w:eastAsia="Amiri" w:cs="Amiri"/>
          <w:color w:val="111111"/>
          <w:sz w:val="28"/>
          <w:sz w:val="28"/>
          <w:szCs w:val="28"/>
          <w:rtl w:val="true"/>
          <w:lang w:bidi="ar-SA"/>
        </w:rPr>
        <w:t>الأصولية أنّ الإجماع هو الاجتماع الكاشف عن رأي إمامهم ويطلقونه في كتبهم الفقهية على محض الشّهرة ، حاشاهم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تطرّق الغفلة والاشتباه عليهم لا نمنعه ، واحتمال الخطأ لا يوجب الحكم ببطلانه في نفس الأمر ، أو عدم جواز الاعتماد على الظنّ الحاصل به لو لم يزاحمه ظنّ أقوى ، أو لم يظهر من الخارج قرائن تدلّ على غفلته في دعوى الإجماع واشتباهه في حدسه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وجه لسائر التوجيهات التي ذكرها الشهيد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أيضا من أنّهم أرادوا بالإجماع عدم ظهور المخالف عندهم حين دعوى الإجماع ، إلّا أن يرجع إلى الإجماع على مصطلح الشيخ وقد عرفت ضعفه ، وأنّه خلاف مصطلح جمهورهم ، بل الشيخ أيضا يريد من الإجماع الذي يدّعيه مطلق مصطلح المشهور كما سنشير إليه ، أو أرادوا الإجماع على روايته بمعنى تدوينه في كتبهم منسوبا إلى الأئمّة عليهم‌السلام أو بتأويل الخلاف على وجه يمكن مجامعته لدعوى الإجماع وإن بعد ، كجعل الحكم من باب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بعيد لا حاجة إليه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الإجماعات إجماعات نقلها العلماء ، ومن يقول بحجّية الإجماع المنقول بخبر الواحد يقول بحجّيتها ، إلّا أن يعارضها أقوى منها من الأدلّة ، وظهور الخلل في بعضها لا يوجب خروج أصل الإجماع المنقول عن الحجّية أو كون جميع تلك الإجماعات باطلة في نفسها</w:t>
      </w:r>
      <w:r>
        <w:rPr>
          <w:rFonts w:eastAsia="Amiri" w:cs="Amiri" w:ascii="Amiri" w:hAnsi="Amiri"/>
          <w:color w:val="111111"/>
          <w:sz w:val="28"/>
          <w:szCs w:val="28"/>
          <w:rtl w:val="true"/>
          <w:lang w:bidi="ar-SA"/>
        </w:rPr>
        <w:t xml:space="preserve">. </w:t>
      </w:r>
      <w:bookmarkStart w:id="128" w:name="pg14071_149080"/>
    </w:p>
    <w:p>
      <w:pPr>
        <w:pStyle w:val="Heading5"/>
        <w:numPr>
          <w:ilvl w:val="4"/>
          <w:numId w:val="1"/>
        </w:numPr>
        <w:rPr/>
      </w:pPr>
      <w:bookmarkStart w:id="129" w:name="__RefHeading___Toc495083_1738255347"/>
      <w:bookmarkStart w:id="130" w:name="_Toc47"/>
      <w:bookmarkEnd w:id="128"/>
      <w:bookmarkEnd w:id="129"/>
      <w:r>
        <w:rPr>
          <w:rtl w:val="true"/>
        </w:rPr>
        <w:t xml:space="preserve">الثالث </w:t>
      </w:r>
      <w:r>
        <w:rPr>
          <w:rtl w:val="true"/>
        </w:rPr>
        <w:t>:</w:t>
      </w:r>
      <w:bookmarkEnd w:id="130"/>
    </w:p>
    <w:p>
      <w:pPr>
        <w:pStyle w:val="BookText"/>
        <w:rPr/>
      </w:pPr>
      <w:r>
        <w:rPr>
          <w:rFonts w:ascii="Amiri" w:hAnsi="Amiri" w:eastAsia="Amiri" w:cs="Amiri"/>
          <w:color w:val="111111"/>
          <w:sz w:val="28"/>
          <w:sz w:val="28"/>
          <w:szCs w:val="28"/>
          <w:rtl w:val="true"/>
          <w:lang w:bidi="ar-SA"/>
        </w:rPr>
        <w:t>قد عرفت أنّ الإجماع هو اتّفاق الكلّ أو اتّفاق جماعة يكشف عن رأي الإمام ، فأمّا لو أفتى جماعة من الأصحاب ولم يعلم لهم مخالف ولم يحصل القطع بقول الإمام عليه‌السلام ، فهو ليس بإجماع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حجّة مع عدم متمسّك ظاهر من حجّة عقلية أو 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ذلك </w:t>
      </w:r>
      <w:r>
        <w:rPr>
          <w:rStyle w:val="FootnoteAnchor"/>
          <w:rtl w:val="true"/>
        </w:rPr>
        <w:footnoteReference w:id="952"/>
      </w:r>
      <w:r>
        <w:rPr>
          <w:rFonts w:ascii="Amiri" w:hAnsi="Amiri" w:eastAsia="Amiri" w:cs="Amiri"/>
          <w:color w:val="111111"/>
          <w:sz w:val="28"/>
          <w:sz w:val="28"/>
          <w:szCs w:val="28"/>
          <w:rtl w:val="true"/>
          <w:lang w:bidi="ar-SA"/>
        </w:rPr>
        <w:t>، لأنّ عدالتهم تمنع عن الاقتحام على الإفتاء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عدم الظّفر بالدّليل عدم الدّليل ، خصوصا وقد تطرّق الدّروس </w:t>
      </w:r>
      <w:r>
        <w:rPr>
          <w:rStyle w:val="FootnoteAnchor"/>
          <w:rtl w:val="true"/>
        </w:rPr>
        <w:footnoteReference w:id="953"/>
      </w:r>
      <w:r>
        <w:rPr>
          <w:rFonts w:ascii="Amiri" w:hAnsi="Amiri" w:eastAsia="Amiri" w:cs="Amiri"/>
          <w:color w:val="111111"/>
          <w:sz w:val="28"/>
          <w:sz w:val="28"/>
          <w:szCs w:val="28"/>
          <w:rtl w:val="true"/>
          <w:lang w:bidi="ar-SA"/>
        </w:rPr>
        <w:t xml:space="preserve">إلى كثير من الأحاديث ، لمعارضة الدّول المتخالفة ومباينة الفرق المنافية وعدم تطرّق الباقين إلى الردّ له </w:t>
      </w:r>
      <w:r>
        <w:rPr>
          <w:rStyle w:val="FootnoteAnchor"/>
          <w:rtl w:val="true"/>
        </w:rPr>
        <w:footnoteReference w:id="954"/>
      </w:r>
      <w:r>
        <w:rPr>
          <w:rFonts w:ascii="Amiri" w:hAnsi="Amiri" w:eastAsia="Amiri" w:cs="Amiri"/>
          <w:color w:val="111111"/>
          <w:sz w:val="28"/>
          <w:sz w:val="28"/>
          <w:szCs w:val="28"/>
          <w:rtl w:val="true"/>
          <w:lang w:bidi="ar-SA"/>
        </w:rPr>
        <w:t>، مع أنّ الظاهر وقوفهم عليه ، وأنّهم لا يقرّون ما يعلمون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سكوتهم لعدم الظّفر بمستند من الجانبين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قول اولئك </w:t>
      </w:r>
      <w:r>
        <w:rPr>
          <w:rStyle w:val="FootnoteAnchor"/>
          <w:rtl w:val="true"/>
        </w:rPr>
        <w:footnoteReference w:id="956"/>
      </w:r>
      <w:r>
        <w:rPr>
          <w:rFonts w:ascii="Amiri" w:hAnsi="Amiri" w:eastAsia="Amiri" w:cs="Amiri"/>
          <w:color w:val="111111"/>
          <w:sz w:val="28"/>
          <w:sz w:val="28"/>
          <w:szCs w:val="28"/>
          <w:rtl w:val="true"/>
          <w:lang w:bidi="ar-SA"/>
        </w:rPr>
        <w:t>سليما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كثرة القائل بذلك أو قلّته ، مع عدم معارض ، وقد كان الأصحاب يتمسّكون بما يجدونه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الحسن بن بابويه رحمه‌الله عند إعواز النّصوص لحسن ظنّهم به ، وإنّ فتواه كروايته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131" w:name="pg14071_149082"/>
    </w:p>
    <w:p>
      <w:pPr>
        <w:pStyle w:val="BookText"/>
        <w:rPr/>
      </w:pPr>
      <w:bookmarkEnd w:id="131"/>
      <w:r>
        <w:rPr>
          <w:rFonts w:ascii="Amiri" w:hAnsi="Amiri" w:eastAsia="Amiri" w:cs="Amiri"/>
          <w:color w:val="111111"/>
          <w:sz w:val="28"/>
          <w:sz w:val="28"/>
          <w:szCs w:val="28"/>
          <w:rtl w:val="true"/>
          <w:lang w:bidi="ar-SA"/>
        </w:rPr>
        <w:t xml:space="preserve">وبالجملة ، تنزّل فتاويهم بمنزلة روايتهم ، هذا مع ندور هذا الفرض ، إذ الغالب وجود دليل دالّ على ذلك القول </w:t>
      </w:r>
      <w:r>
        <w:rPr>
          <w:rStyle w:val="FootnoteAnchor"/>
          <w:rtl w:val="true"/>
        </w:rPr>
        <w:footnoteReference w:id="958"/>
      </w:r>
      <w:r>
        <w:rPr>
          <w:rFonts w:ascii="Amiri" w:hAnsi="Amiri" w:eastAsia="Amiri" w:cs="Amiri"/>
          <w:color w:val="111111"/>
          <w:sz w:val="28"/>
          <w:sz w:val="28"/>
          <w:szCs w:val="28"/>
          <w:rtl w:val="true"/>
          <w:lang w:bidi="ar-SA"/>
        </w:rPr>
        <w:t>عند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بعد ما نقل كلامه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عندي ضعيف ، لأنّ العدالة إنّما يؤمن معها تعمّد الإفتاء بغير ما يظنّ بالاجتهاد دليلا ، وليس الخطأ بمأمون على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منه رحمه‌الله في مباحث الأخبار استدلاله بما يدلّ على كفاية الظنّ مطلقا إذا انسدّ باب العلم ، ولا ريب أنّ ما ذكر من الظّنون القويّة ، فلو لم يعارضه ما هو أقوى منه فلا يبعد الاعتماد عليه ، سيّما إذا كان القائل به في غاية الكثرة ، إلّا أنّ الفرض بعيد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495085_1738255347"/>
      <w:bookmarkStart w:id="133" w:name="_Toc48"/>
      <w:bookmarkEnd w:id="132"/>
      <w:r>
        <w:rPr>
          <w:rtl w:val="true"/>
        </w:rPr>
        <w:t xml:space="preserve">الرابع </w:t>
      </w:r>
      <w:r>
        <w:rPr>
          <w:rtl w:val="true"/>
        </w:rPr>
        <w:t>:</w:t>
      </w:r>
      <w:bookmarkEnd w:id="13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بعضهم المشهور بالمجمع عليه ، فإن أراد في </w:t>
      </w:r>
    </w:p>
    <w:p>
      <w:pPr>
        <w:pStyle w:val="BookText"/>
        <w:rPr/>
      </w:pPr>
      <w:r>
        <w:rPr>
          <w:rFonts w:ascii="IRNazanin" w:hAnsi="IRNazanin" w:eastAsia="IRNazanin"/>
          <w:color w:val="111111"/>
          <w:sz w:val="28"/>
          <w:sz w:val="28"/>
          <w:szCs w:val="28"/>
          <w:rtl w:val="true"/>
          <w:lang w:bidi="fa-IR"/>
        </w:rPr>
        <w:t xml:space="preserve">الإجماع </w:t>
      </w:r>
      <w:r>
        <w:rPr>
          <w:rStyle w:val="FootnoteAnchor"/>
          <w:rtl w:val="true"/>
        </w:rPr>
        <w:footnoteReference w:id="961"/>
      </w:r>
      <w:r>
        <w:rPr>
          <w:rFonts w:ascii="IRNazanin" w:hAnsi="IRNazanin" w:eastAsia="IRNazanin"/>
          <w:color w:val="111111"/>
          <w:sz w:val="28"/>
          <w:sz w:val="28"/>
          <w:szCs w:val="28"/>
          <w:rtl w:val="true"/>
          <w:lang w:bidi="fa-IR"/>
        </w:rPr>
        <w:t>، فهو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أراد في الحجّية ، فهو قريب لمثل ما قلناه ، يعني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عدالتهم تمنع من الاقتحام على الإفتاء بغير علم ، إلى آخر ما ذكره </w:t>
      </w:r>
      <w:r>
        <w:rPr>
          <w:rStyle w:val="FootnoteAnchor"/>
          <w:rtl w:val="true"/>
        </w:rPr>
        <w:footnoteReference w:id="962"/>
      </w:r>
      <w:r>
        <w:rPr>
          <w:rFonts w:ascii="Amiri" w:hAnsi="Amiri" w:eastAsia="Amiri" w:cs="Amiri"/>
          <w:color w:val="111111"/>
          <w:sz w:val="28"/>
          <w:sz w:val="28"/>
          <w:szCs w:val="28"/>
          <w:rtl w:val="true"/>
          <w:lang w:bidi="ar-SA"/>
        </w:rPr>
        <w:t xml:space="preserve">، ولقوّة الظنّ </w:t>
      </w:r>
      <w:r>
        <w:rPr>
          <w:rStyle w:val="FootnoteAnchor"/>
          <w:rtl w:val="true"/>
        </w:rPr>
        <w:footnoteReference w:id="963"/>
      </w:r>
      <w:r>
        <w:rPr>
          <w:rFonts w:ascii="Amiri" w:hAnsi="Amiri" w:eastAsia="Amiri" w:cs="Amiri"/>
          <w:color w:val="111111"/>
          <w:sz w:val="28"/>
          <w:sz w:val="28"/>
          <w:szCs w:val="28"/>
          <w:rtl w:val="true"/>
          <w:lang w:bidi="ar-SA"/>
        </w:rPr>
        <w:t>في جانب الشّهرة سواء كان اشتهارا في الرّواية بأن يكثر تدوينها ، أو الفتوى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الظنّ ، يحتمل أن يكون المراد به بيان كون الظنّ الحاصل من جانب المشهور أقوى من الظنّ الحاصل من مخالفهم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المفروض في المسألة السّابقة عدم العلم بالمخالف ، فلم يتعرّض لذلك </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رحمه‌الله قويّ ، ويؤيّده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بما اشتهر بين أصحابك واترك الشاذّ النّادر ، فإنّ المجمع عليه </w:t>
      </w:r>
      <w:r>
        <w:rPr>
          <w:rStyle w:val="FootnoteAnchor"/>
          <w:rtl w:val="true"/>
        </w:rPr>
        <w:footnoteReference w:id="965"/>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ملاحظة الحكم والتعليل في الرّواية يقتضي إرادة الشهرة من المجمع عليه أو الأعمّ منه ، والعلّة المنصوصة حجّة ، والتخصيص بالرّواية خروج عن القول بحجّية العلّة المنصوصة كما لا يخفى ، وعلى القول بكون الأصل العمل بالظنّ بعد انسداد باب العلم إلّا ما أخرجه الدّليل ، يتقوّى حجّية الشّهرة ، وإذا كان معها دليل ضعيف ، فأولى بالقبول سيّما إذا كان الدّليل الذي في طرف المخالف أقوى ، بل كلّما كان الأدلّة والأخبار في جانب المخالف أكثر </w:t>
      </w:r>
    </w:p>
    <w:p>
      <w:pPr>
        <w:pStyle w:val="BookText"/>
        <w:rPr/>
      </w:pPr>
      <w:r>
        <w:rPr>
          <w:rFonts w:ascii="Amiri" w:hAnsi="Amiri" w:eastAsia="Amiri" w:cs="Amiri"/>
          <w:color w:val="111111"/>
          <w:sz w:val="28"/>
          <w:sz w:val="28"/>
          <w:szCs w:val="28"/>
          <w:rtl w:val="true"/>
          <w:lang w:bidi="ar-SA"/>
        </w:rPr>
        <w:t>وأصحّ ، يتقوّى جانب الشّهرة ، ويضعف الطرق 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Style w:val="FootnoteAnchor"/>
          <w:rtl w:val="true"/>
        </w:rPr>
        <w:footnoteReference w:id="967"/>
      </w:r>
      <w:r>
        <w:rPr>
          <w:rFonts w:ascii="Amiri" w:hAnsi="Amiri" w:eastAsia="Amiri" w:cs="Amiri"/>
          <w:color w:val="111111"/>
          <w:sz w:val="28"/>
          <w:sz w:val="28"/>
          <w:szCs w:val="28"/>
          <w:rtl w:val="true"/>
          <w:lang w:bidi="ar-SA"/>
        </w:rPr>
        <w:t xml:space="preserve">اعترض على الشهيد رحمه‌الله بمثل ما سبق </w:t>
      </w:r>
      <w:r>
        <w:rPr>
          <w:rStyle w:val="FootnoteAnchor"/>
          <w:rtl w:val="true"/>
        </w:rPr>
        <w:footnoteReference w:id="968"/>
      </w:r>
      <w:r>
        <w:rPr>
          <w:rFonts w:ascii="Amiri" w:hAnsi="Amiri" w:eastAsia="Amiri" w:cs="Amiri"/>
          <w:color w:val="111111"/>
          <w:sz w:val="28"/>
          <w:sz w:val="28"/>
          <w:szCs w:val="28"/>
          <w:rtl w:val="true"/>
          <w:lang w:bidi="ar-SA"/>
        </w:rPr>
        <w:t>، وبأنّ الشهرة التي تحصل معها قوّة الظنّ هي الحاصلة قبل زمن الشيخ رحمه‌الله ، لا الواقعة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يوجد مشتهرا في كلام الأصحاب حدث بعد زمن الشيخ كما نبّه عليه والدي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في دراية الحديث مبيّنا لوجهه ، وهو أنّ أكثر الفقهاء الّذين نشئوا بعد زمن الشيخ كانوا يتّبعونه في الفتوى تقليدا له لكثرة اعتقادهم فيه وحسن ظنّهم به ، فلمّا جاء المتأخّرون ، وجدوا أحكاما مشهورة قد عمل بها الشيخ ومتابعوه ، فحسبوها شهرة بين العلماء ، وما دروا أنّ مرجعها إلى الشيخ ، وأنّ الشّهرة إنّما حصلت بمتابعته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والده </w:t>
      </w:r>
      <w:r>
        <w:rPr>
          <w:rStyle w:val="FootnoteAnchor"/>
          <w:rtl w:val="true"/>
        </w:rPr>
        <w:footnoteReference w:id="969"/>
      </w:r>
      <w:r>
        <w:rPr>
          <w:rFonts w:ascii="Amiri" w:hAnsi="Amiri" w:eastAsia="Amiri" w:cs="Amiri"/>
          <w:color w:val="111111"/>
          <w:sz w:val="28"/>
          <w:sz w:val="28"/>
          <w:szCs w:val="28"/>
          <w:rtl w:val="true"/>
          <w:lang w:bidi="ar-SA"/>
        </w:rPr>
        <w:t>تأييدا لما ذكره من كلام بعض أصحابنا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هذا الكلام في غاية البعد ، فإنّ توجيه كلام والده لا يمكن بمثل ما نقلناه عن الشهيد رحمه‌الله فيما لو يعرف خلاف للجماعة ولم يظهر مستندهم في الحكم ، فإنّ ذلك </w:t>
      </w:r>
      <w:r>
        <w:rPr>
          <w:rStyle w:val="FootnoteAnchor"/>
          <w:rtl w:val="true"/>
        </w:rPr>
        <w:footnoteReference w:id="970"/>
      </w:r>
      <w:r>
        <w:rPr>
          <w:rFonts w:ascii="Amiri" w:hAnsi="Amiri" w:eastAsia="Amiri" w:cs="Amiri"/>
          <w:color w:val="111111"/>
          <w:sz w:val="28"/>
          <w:sz w:val="28"/>
          <w:szCs w:val="28"/>
          <w:rtl w:val="true"/>
          <w:lang w:bidi="ar-SA"/>
        </w:rPr>
        <w:t xml:space="preserve">في المقام الذي لم يظهر مستند الحكم ، ولا بأس حينئذ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بمتابعتهم لحصول الظنّ بأنّ قولهم كان عن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مشهور بعد زمان الشيخ هو من هذا القبيل </w:t>
      </w:r>
      <w:r>
        <w:rPr>
          <w:rStyle w:val="FootnoteAnchor"/>
          <w:rtl w:val="true"/>
        </w:rPr>
        <w:footnoteReference w:id="972"/>
      </w:r>
      <w:r>
        <w:rPr>
          <w:rFonts w:ascii="Amiri" w:hAnsi="Amiri" w:eastAsia="Amiri" w:cs="Amiri"/>
          <w:color w:val="111111"/>
          <w:sz w:val="28"/>
          <w:sz w:val="28"/>
          <w:szCs w:val="28"/>
          <w:rtl w:val="true"/>
          <w:lang w:bidi="ar-SA"/>
        </w:rPr>
        <w:t>، فلا ريب أنّه 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أبقينا كلامه على ظاهره من تجويز تقليد الجماعة للشيخ مع تصريحهم بحرمة التقليد على المجتهد ، فهو جرأة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ذلك في معنى تفسيقهم ، مع أنّا نرى مخالفتهم له كثيرا ، بل أكثر من مخالفة القدماء بعضهم لبعض ، واعتراضهم عليه في غاية الكثرة ، 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كتب الشيخ كثيرة ، وفتاويه في كتبه متخالفة ، بل له في كتاب واحد فتاوى متخالفة ، فهذه الشّهرة حصلت في أيّ موضع وتبعيّة </w:t>
      </w:r>
      <w:r>
        <w:rPr>
          <w:rStyle w:val="FootnoteAnchor"/>
          <w:rtl w:val="true"/>
        </w:rPr>
        <w:footnoteReference w:id="973"/>
      </w:r>
      <w:r>
        <w:rPr>
          <w:rFonts w:ascii="Amiri" w:hAnsi="Amiri" w:eastAsia="Amiri" w:cs="Amiri"/>
          <w:color w:val="111111"/>
          <w:sz w:val="28"/>
          <w:sz w:val="28"/>
          <w:szCs w:val="28"/>
          <w:rtl w:val="true"/>
          <w:lang w:bidi="ar-SA"/>
        </w:rPr>
        <w:t xml:space="preserve">أيّ فتوى من فتاويه ، وتقليد أيّ كتاب من كتبه؟ إذ قلّما يوجد قول بين الأصحاب إلّا وللشيخ موافقة فيه ، فربّما وافق الشّهرة فتواه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وخالفت فتواه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وربّما كان بالعكس ، وربّما كانت 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هذا الكلام من الغرابة بحيث لا يحتاج إلى البيان ، فإن كان اعتمادهم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فسائر كتبه متأخّرة عنه ، فهي أولى بالإذعان ، مع أنّ المشهور ربّما كان موافقا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بالعكس ، فربّما كانت 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ترجيح الشهرة الحاصلة بين القدماء من جهة قربهم بزمان المعصوم عليه‌السلام ، وإن كان لترجيح الشهرة بين المتأخّرين أيضا وجه ؛ لكونهم أدقّ </w:t>
      </w:r>
    </w:p>
    <w:p>
      <w:pPr>
        <w:pStyle w:val="BookText"/>
        <w:rPr/>
      </w:pPr>
      <w:r>
        <w:rPr>
          <w:rFonts w:ascii="Amiri" w:hAnsi="Amiri" w:eastAsia="Amiri" w:cs="Amiri"/>
          <w:color w:val="111111"/>
          <w:sz w:val="28"/>
          <w:sz w:val="28"/>
          <w:szCs w:val="28"/>
          <w:rtl w:val="true"/>
          <w:lang w:bidi="ar-SA"/>
        </w:rPr>
        <w:t xml:space="preserve">نظرا وأكثر تأمّلا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حامل فقه إلى من هو أفقه منه</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المجتهد التحرّي والتأمّل وملاحظة رجحان الظنّ بحسب المقامات ، وقد وجدنا المقامات مختلفة في غاية الاختلاف ، وترجّح عندنا شهرة القدماء تارة وشهرة المتأخّرين أخرى ، وتارة وجدنا مشهورا لا أصل له ، وأخرى وجدناها مستقلّة </w:t>
      </w:r>
      <w:r>
        <w:rPr>
          <w:rStyle w:val="FootnoteAnchor"/>
          <w:rtl w:val="true"/>
        </w:rPr>
        <w:footnoteReference w:id="975"/>
      </w:r>
      <w:r>
        <w:rPr>
          <w:rFonts w:ascii="Amiri" w:hAnsi="Amiri" w:eastAsia="Amiri" w:cs="Amiri"/>
          <w:color w:val="111111"/>
          <w:sz w:val="28"/>
          <w:sz w:val="28"/>
          <w:szCs w:val="28"/>
          <w:rtl w:val="true"/>
          <w:lang w:bidi="ar-SA"/>
        </w:rPr>
        <w:t>في الحكم ومحلّا للاعتماد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هاهنا كلاما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عدم حجّية الشهرة ، فالقول بحجّية الشهرة مستلزم للقول بعدم حجّيتها ، وما يستلزم وجوده عدمه ،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يقوله القائل هو حجّية الشهرة في مسائل الفروع ، والذي يلزم عدم حجّيته هو الشهرة في المسألة الأصولية ، وهي عدم حجّية الشهرة ، ولا منافاة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الفرق ابتناء المسألة الأصولية على دليل عقليّ يمكن القدح فيه ، وهو عدم الائتمان على الخطأ في الظّنون ، وهو لا يقاوم ما دلّ على حجّية الشهرة ، وهو ما دلّ على حجّية الظنّ بعد انسداد باب العلم إلّا ما أخرجه الدليل كما سيجيء ، والعلّة المنصوصة وغيرهما </w:t>
      </w:r>
      <w:r>
        <w:rPr>
          <w:rStyle w:val="FootnoteAnchor"/>
          <w:rtl w:val="true"/>
        </w:rPr>
        <w:footnoteReference w:id="976"/>
      </w:r>
      <w:r>
        <w:rPr>
          <w:rFonts w:ascii="Amiri" w:hAnsi="Amiri" w:eastAsia="Amiri" w:cs="Amiri"/>
          <w:color w:val="111111"/>
          <w:sz w:val="28"/>
          <w:sz w:val="28"/>
          <w:szCs w:val="28"/>
          <w:rtl w:val="true"/>
          <w:lang w:bidi="ar-SA"/>
        </w:rPr>
        <w:t>، فما يحصل من الظنّ بصدق الجماعة في الحكم الفرعي ، أقوى من الظنّ الحاصل من قول الجماعة بعدم جواز العمل بالمشهور</w:t>
      </w:r>
      <w:r>
        <w:rPr>
          <w:rFonts w:eastAsia="Amiri" w:cs="Amiri" w:ascii="Amiri" w:hAnsi="Amiri"/>
          <w:color w:val="111111"/>
          <w:sz w:val="28"/>
          <w:szCs w:val="28"/>
          <w:rtl w:val="true"/>
          <w:lang w:bidi="ar-SA"/>
        </w:rPr>
        <w:t xml:space="preserve">. </w:t>
      </w:r>
      <w:bookmarkStart w:id="134" w:name="pg14071_149093"/>
    </w:p>
    <w:p>
      <w:pPr>
        <w:pStyle w:val="Heading5"/>
        <w:numPr>
          <w:ilvl w:val="4"/>
          <w:numId w:val="1"/>
        </w:numPr>
        <w:rPr/>
      </w:pPr>
      <w:bookmarkStart w:id="135" w:name="__RefHeading___Toc495087_1738255347"/>
      <w:bookmarkStart w:id="136" w:name="_Toc49"/>
      <w:bookmarkEnd w:id="134"/>
      <w:bookmarkEnd w:id="135"/>
      <w:r>
        <w:rPr>
          <w:rtl w:val="true"/>
        </w:rPr>
        <w:t xml:space="preserve">الخامس </w:t>
      </w:r>
      <w:r>
        <w:rPr>
          <w:rtl w:val="true"/>
        </w:rPr>
        <w:t>:</w:t>
      </w:r>
      <w:bookmarkEnd w:id="136"/>
    </w:p>
    <w:p>
      <w:pPr>
        <w:pStyle w:val="BookText"/>
        <w:rPr/>
      </w:pPr>
      <w:r>
        <w:rPr>
          <w:rFonts w:ascii="Amiri" w:hAnsi="Amiri" w:eastAsia="Amiri" w:cs="Amiri"/>
          <w:color w:val="111111"/>
          <w:sz w:val="28"/>
          <w:sz w:val="28"/>
          <w:szCs w:val="28"/>
          <w:rtl w:val="true"/>
          <w:lang w:bidi="ar-SA"/>
        </w:rPr>
        <w:t xml:space="preserve">قد يطلقون الإجماع على غير مصطلح الأصوليّ ، كإجماع أهل العربية والأصوليين واللّغويين ، ومثل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عنه ، وأجمع الشيعة على روايات فلان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ليس كاشفا عن قول الحجّة ، ولكنّه ممّا يعتمد عليه في مقام الترجيحات ومراتب الظّنون</w:t>
      </w:r>
      <w:r>
        <w:rPr>
          <w:rFonts w:eastAsia="Amiri" w:cs="Amiri" w:ascii="Amiri" w:hAnsi="Amiri"/>
          <w:color w:val="111111"/>
          <w:sz w:val="28"/>
          <w:szCs w:val="28"/>
          <w:rtl w:val="true"/>
          <w:lang w:bidi="ar-SA"/>
        </w:rPr>
        <w:t xml:space="preserve">. </w:t>
      </w:r>
      <w:bookmarkStart w:id="137" w:name="pg14071_149095"/>
    </w:p>
    <w:p>
      <w:pPr>
        <w:pStyle w:val="Heading4"/>
        <w:numPr>
          <w:ilvl w:val="3"/>
          <w:numId w:val="1"/>
        </w:numPr>
        <w:rPr/>
      </w:pPr>
      <w:bookmarkStart w:id="138" w:name="__RefHeading___Toc495089_1738255347"/>
      <w:bookmarkStart w:id="139" w:name="_Toc50"/>
      <w:bookmarkEnd w:id="137"/>
      <w:bookmarkEnd w:id="138"/>
      <w:r>
        <w:rPr>
          <w:rtl w:val="true"/>
        </w:rPr>
        <w:t>قانون</w:t>
      </w:r>
      <w:bookmarkEnd w:id="139"/>
    </w:p>
    <w:p>
      <w:pPr>
        <w:pStyle w:val="BookText"/>
        <w:rPr/>
      </w:pPr>
      <w:r>
        <w:rPr>
          <w:rFonts w:ascii="Amiri" w:hAnsi="Amiri" w:eastAsia="Amiri" w:cs="Amiri"/>
          <w:color w:val="111111"/>
          <w:sz w:val="28"/>
          <w:sz w:val="28"/>
          <w:szCs w:val="28"/>
          <w:rtl w:val="true"/>
          <w:lang w:bidi="ar-SA"/>
        </w:rPr>
        <w:t xml:space="preserve">لا يجوز خرق الإجماع المركّب عندنا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وكذا عند العامّة وإن خالفونا في الاستدلال عليه ، هذا والمخالف في هذه المسألة الأقلّون ، منهم ذهب إلى ذلك بعض الحنفية وبعض الظاهرية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الناظر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سواء كان مركّبا عن قولين أو أكثر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القول الزّائد على ما أجمعوا عليه ، وذلك قد يحصل بملاحظة توارد حكمين أو أحكام متعدّدة من الأحكام الشرعية على موضوع واحد بحسب أقوال الأمّة ، ثمّ حكم آخر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يحصل بملاحظة توارد حكمين من فريقين منها على موضوع كلّي ، ثمّ حكم موافق لأحدهما في بعض أفراد ذلك الموضوع ، وحكم آخر موافق لآخر في البعض الآخر من تلك الأفراد من فريق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من الشيعة منحصر في استحباب الجهر بالقراءة في ظهر الجمعة مثلا والقول بحرمته ، فالقول بوجوبه خرق للإجماع المركّب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المشتري إذا وطئ الجارية الباكرة ثمّ وجد بها عيبا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الردّ مع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تفاوت ما بين الثيبوبة والبكارة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بردّها مجّانا خرق للإجماع المركّب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مختلفة في وجوب الغسل بوطء الدّبر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 في المرأة ، قال به في الغلام ، ومن لم يقل به ، لم يقل به في شيء منهما ، فالقول بوجوبه في بعض أفراد الدّبر وهو دبر المرأة دون الرّجل ، خرق للإجماع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مسألة الفسخ بالعيوب ، فإنّ الأمّة مختلفة فيه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يفسخ بها كلّها </w:t>
      </w:r>
      <w:r>
        <w:rPr>
          <w:rStyle w:val="FootnoteAnchor"/>
          <w:rtl w:val="true"/>
        </w:rPr>
        <w:footnoteReference w:id="978"/>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يفسخ بها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بالفسخ في بعض العيوب دون بعض خرق للإجماع المركّب ، وقد يسمّى هذا قولا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القول بالفصل ، ويتمسّكون بعدم القول بالفصل في تعميم الحكم في كلّ واحد من القولين بالنسبة إلى أفراد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يفصل الأمّة بين مسألتين في حكم ، فلا يجوز القول بالفصل بينهما ، وذلك إذا لم يكن هناك كلّيّ جامع لموضوع المسألتين مثل الدّبر والعيب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أمثلته أنّ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المسلم لا يقتل بالذمّي ، ولا يصحّ بيع الغائب ، وبعضهم يقتل المسلم بالذمّي ويصحّ بيع الغائب ، فالقول بالقتل وعدم الصحّة قول بالفصل بين المسألتين ، فقد يجتمع خرق الإجماع المركّب مع القول بالفصل ، فقد يتفارقان من الجانبين ، فمادّة الاجتماع هو مسألة وطء الدّبر والفسخ بالعيوب وأمثالهما ، ومادّة الافتراق من جانب خرق الإجماع المركّب هو مسألة الجهر في ظهر الجمعة ، وردّ الجارية الموطوءة وأمثالهما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من جانب القول بالفصل ، فأمثلته كثيرة يتّضح في ضمن ما يتلى عليك فاستمع لتحقيق هذا المقام </w:t>
      </w:r>
      <w:r>
        <w:rPr>
          <w:rStyle w:val="FootnoteAnchor"/>
          <w:rtl w:val="true"/>
        </w:rPr>
        <w:footnoteReference w:id="979"/>
      </w:r>
      <w:r>
        <w:rPr>
          <w:rFonts w:ascii="Amiri" w:hAnsi="Amiri" w:eastAsia="Amiri" w:cs="Amiri"/>
          <w:color w:val="111111"/>
          <w:sz w:val="28"/>
          <w:sz w:val="28"/>
          <w:szCs w:val="28"/>
          <w:rtl w:val="true"/>
          <w:lang w:bidi="ar-SA"/>
        </w:rPr>
        <w:t xml:space="preserve">على ما يستفاد من كلماتهم ، وهو أنّه إذا لم يفصل الأمّة بين مسألتين أو أكثر ، فإن نصّوا على عدم الفصل بينهما بأن يعلم من حالهم الاتّفاق على ذلك ، وإن لم نجد التصريح به من كلامهم ، فلا يجوز الفصل ، سواء حكموا بعدمه </w:t>
      </w:r>
      <w:r>
        <w:rPr>
          <w:rStyle w:val="FootnoteAnchor"/>
          <w:rtl w:val="true"/>
        </w:rPr>
        <w:footnoteReference w:id="980"/>
      </w:r>
      <w:r>
        <w:rPr>
          <w:rFonts w:ascii="Amiri" w:hAnsi="Amiri" w:eastAsia="Amiri" w:cs="Amiri"/>
          <w:color w:val="111111"/>
          <w:sz w:val="28"/>
          <w:sz w:val="28"/>
          <w:szCs w:val="28"/>
          <w:rtl w:val="true"/>
          <w:lang w:bidi="ar-SA"/>
        </w:rPr>
        <w:t xml:space="preserve">في كلّ الأحكام ، أو بعض الأحكام ، وله صور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الأمّة بحكم واحد فيهما ، مثل أنّهم يستدلّون لوجوب الاجتناب عن البول 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من الأمّة للبول واحد ، وهو النجاسة ، وهم متّفقون على عدم الفصل بين وجوب غسل الثوب عنه والبدن وتنزيه المأكول والمشروب والمساجد والمصاحف وغير ذلك ، وكذلك سائر أحكام النجاسات ، فاتّفقوا على عدم الفصل بين أحكام المذكورات بالنسبة إلى ملاقاة البول ، مع كون الحكم واحدا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في الحقيقة إجماعان بسيطان وليس لنا هنا إجماع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وموارد هذه الصّورة في الأحكام الشرعية فوق حدّ الإحصاء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بعض الأمّة في المسألتين </w:t>
      </w:r>
      <w:r>
        <w:rPr>
          <w:rStyle w:val="FootnoteAnchor"/>
          <w:rtl w:val="true"/>
        </w:rPr>
        <w:footnoteReference w:id="982"/>
      </w:r>
      <w:r>
        <w:rPr>
          <w:rFonts w:ascii="Amiri" w:hAnsi="Amiri" w:eastAsia="Amiri" w:cs="Amiri"/>
          <w:color w:val="111111"/>
          <w:sz w:val="28"/>
          <w:sz w:val="28"/>
          <w:szCs w:val="28"/>
          <w:rtl w:val="true"/>
          <w:lang w:bidi="ar-SA"/>
        </w:rPr>
        <w:t>بحكم ، وبعض آخر بحكم آخر ، مثل أنّ بعضهم يقول بنجاسة الماء القليل الذي في الإناء بولوغ الكلب ، وكذلك بنجاسة القليل الذي دخل فيه الدّجاجة التي وطأت العذرة ، وكذلك غيرهما من أفراد الماء القليل وأقسام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والآخر يقول بعدم تنجّسه بشيء منها </w:t>
      </w:r>
      <w:r>
        <w:rPr>
          <w:rStyle w:val="FootnoteAnchor"/>
          <w:rtl w:val="true"/>
        </w:rPr>
        <w:footnoteReference w:id="983"/>
      </w:r>
      <w:r>
        <w:rPr>
          <w:rFonts w:ascii="Amiri" w:hAnsi="Amiri" w:eastAsia="Amiri" w:cs="Amiri"/>
          <w:color w:val="111111"/>
          <w:sz w:val="28"/>
          <w:sz w:val="28"/>
          <w:szCs w:val="28"/>
          <w:rtl w:val="true"/>
          <w:lang w:bidi="ar-SA"/>
        </w:rPr>
        <w:t xml:space="preserve">في شيء من أفرادها </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ممّا اجتمع فيه الإجماع المركّب مع الاتّفاق على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إجماع بسيط ومركّب ، وذلك أيضا في الأحكام الشرعية في غاية الكثرة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يعلم حكم منهم فيهما بخصوصه ، وإن اتّفقوا على الحكم بعدم الفرق بينهما ، وذلك في الأحكام الاجتهادية التي لم يتعيّن فيها حكم ، بحيث ينعقد عليه إجماع بسيط أو مركّب ، سواء كان في أوّل الاطّلاع على المسألة وابتداء البحث في خصوص حكمها ، أو بعد الاطّلاع والفحص وقبل استقرار الأمر على حكم </w:t>
      </w:r>
      <w:r>
        <w:rPr>
          <w:rStyle w:val="FootnoteAnchor"/>
          <w:rtl w:val="true"/>
        </w:rPr>
        <w:footnoteReference w:id="985"/>
      </w:r>
      <w:r>
        <w:rPr>
          <w:rFonts w:ascii="Amiri" w:hAnsi="Amiri" w:eastAsia="Amiri" w:cs="Amiri"/>
          <w:color w:val="111111"/>
          <w:sz w:val="28"/>
          <w:sz w:val="28"/>
          <w:szCs w:val="28"/>
          <w:rtl w:val="true"/>
          <w:lang w:bidi="ar-SA"/>
        </w:rPr>
        <w:t xml:space="preserve">أو حكمين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لم نعلم حكم تذكية المسوخ </w:t>
      </w:r>
      <w:r>
        <w:rPr>
          <w:rStyle w:val="FootnoteAnchor"/>
          <w:rtl w:val="true"/>
        </w:rPr>
        <w:footnoteReference w:id="986"/>
      </w:r>
      <w:r>
        <w:rPr>
          <w:rFonts w:ascii="Amiri" w:hAnsi="Amiri" w:eastAsia="Amiri" w:cs="Amiri"/>
          <w:color w:val="111111"/>
          <w:sz w:val="28"/>
          <w:sz w:val="28"/>
          <w:szCs w:val="28"/>
          <w:rtl w:val="true"/>
          <w:lang w:bidi="ar-SA"/>
        </w:rPr>
        <w:t>، فإذا ثبت جواز تذكية الذئب من جملتها من أجل ما دلّ على جواز تذكية السّباع ، فنحكم بجواز التذكية في الباقي إن ثبت الاتّفاق على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الحشرات بعد إثبات حكم المسوخ بما ذكرنا ، نقول بجواز التذكية في الفأرة لكونها منها ، وقد أثبتنا جوازها فيها </w:t>
      </w:r>
      <w:r>
        <w:rPr>
          <w:rStyle w:val="FootnoteAnchor"/>
          <w:rtl w:val="true"/>
        </w:rPr>
        <w:footnoteReference w:id="987"/>
      </w:r>
      <w:r>
        <w:rPr>
          <w:rFonts w:ascii="Amiri" w:hAnsi="Amiri" w:eastAsia="Amiri" w:cs="Amiri"/>
          <w:color w:val="111111"/>
          <w:sz w:val="28"/>
          <w:sz w:val="28"/>
          <w:szCs w:val="28"/>
          <w:rtl w:val="true"/>
          <w:lang w:bidi="ar-SA"/>
        </w:rPr>
        <w:t>وهكذا ، وأمثال ذلك أيضا كثيرة ، وإن لم ينصّوا على عدم الفصل ولم يعلم اتّفاقهم على ذلك ، ولكن لم يكن فيهم من فرّق بينهما أيضا ، فإن علم اتّحاد طريق الحكم فيهما ، فهو في معنى اتّفاقهم على عدم الفرق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ورّث العمّة ورّث الخالة ، ومن منع إحداهما منع الاخرى لاتّحادهما في الطريقة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 </w:t>
      </w:r>
      <w:r>
        <w:rPr>
          <w:rStyle w:val="FootnoteAnchor"/>
          <w:rtl w:val="true"/>
        </w:rPr>
        <w:footnoteReference w:id="988"/>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وأبوان ، وامرأة وأبوان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ثلث أصل التركة كابن عبّاس ، قال به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ثلث الباقي بعد فرضهما ، قال في الموضعين ، إلّا ابن سيرين فقال في الزّوج بمثل قول ابن عبّاس دون الزّوجة ، وعكس آخر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لم يعلم اتّحاد الطريقة فقال العلّامة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جواز الفرق لمن بعدهم ، عملا بالأصل السّالم عن معارضة مخالفة حكم مجمع عليه ، أو مثله </w:t>
      </w:r>
      <w:r>
        <w:rPr>
          <w:rStyle w:val="FootnoteAnchor"/>
          <w:rtl w:val="true"/>
        </w:rPr>
        <w:footnoteReference w:id="990"/>
      </w:r>
      <w:r>
        <w:rPr>
          <w:rFonts w:ascii="Amiri" w:hAnsi="Amiri" w:eastAsia="Amiri" w:cs="Amiri"/>
          <w:color w:val="111111"/>
          <w:sz w:val="28"/>
          <w:sz w:val="28"/>
          <w:szCs w:val="28"/>
          <w:rtl w:val="true"/>
          <w:lang w:bidi="ar-SA"/>
        </w:rPr>
        <w:t xml:space="preserve">، ولأنّ منع المخالفة يستلزم أنّ من قلّد مجتهدا في حكم أن يوافقه في كلّ حكم ذهب إليه </w:t>
      </w:r>
      <w:r>
        <w:rPr>
          <w:rStyle w:val="FootnoteAnchor"/>
          <w:rtl w:val="true"/>
        </w:rPr>
        <w:footnoteReference w:id="991"/>
      </w:r>
      <w:r>
        <w:rPr>
          <w:rFonts w:ascii="IRNazanin" w:hAnsi="IRNazanin" w:eastAsia="IRNazanin"/>
          <w:color w:val="111111"/>
          <w:sz w:val="28"/>
          <w:sz w:val="28"/>
          <w:szCs w:val="28"/>
          <w:rtl w:val="true"/>
          <w:lang w:bidi="fa-IR"/>
        </w:rPr>
        <w:t>، وهو ظاهر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يأتي على مذهبنا عدم الجواز ، لأنّ الإمام مع إحدى الطائفتين قطعا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يتمّ إلّا مع العلم بعدم خروج قول الإمام عن القولين ، والمفروض عدم ثبوت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التكلّف في إرجاع كلامه إلى صورة الإجماع ، ولكنّه بعيد ، فلنرجع إلى ما كنّا فيه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خرق الإجماع المركّب ، يعني ما علم أنّ قول الإمام عليه‌السلام ليس بخارج عن أحد الأقوال ، فإنّ الخروج عن الكلّ واختيار غيره ، يوجب ترك قول الإمام يقينا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هو الوجه فيما اخترناه من المنع مطلقا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العامّة فأكثرهم قد وافقنا على ذلك </w:t>
      </w:r>
      <w:r>
        <w:rPr>
          <w:rStyle w:val="FootnoteAnchor"/>
          <w:rtl w:val="true"/>
        </w:rPr>
        <w:footnoteReference w:id="994"/>
      </w:r>
      <w:r>
        <w:rPr>
          <w:rFonts w:ascii="Amiri" w:hAnsi="Amiri" w:eastAsia="Amiri" w:cs="Amiri"/>
          <w:color w:val="111111"/>
          <w:sz w:val="28"/>
          <w:sz w:val="28"/>
          <w:szCs w:val="28"/>
          <w:rtl w:val="true"/>
          <w:lang w:bidi="ar-SA"/>
        </w:rPr>
        <w:t>، وذهب الأقلّون منهم إلى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ابن الحاجب ومن تبعه بأنّ الثالث إن كان يرفع شيئا متّفقا عليه كمسألة ردّ البكر مجّانا ، فلا يجوز ، وإلّا فيجوز ، كمسألة فسخ النكاح ببعض العيوب ، لأنّه وافق في كلّ مسألة مذهبا فلم يخالف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ويوضّحه مثل قتل الذمّي وبيع الغائب المتقدّم ، فهما مسألتان خالف في إحداهما بعضا ، وفي الاخرى بعضا ، وإنّما الممنوع مخالفة الكلّ فيما اتّفقوا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المانعون منهم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اتّفقوا على عدم التفصيل في مسألة العيوب ومسألتي الأمّ ، فالمفصّل خالف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اتّفاقهم على عدم التفصيل ، فإنّ عدم القول بالفصل ليس قولا بعدم الفصل ، وإنّما الممتنع مخالفة ما قالوا بنفيه ، لا ما لم يقولوا بثبوته ويوضّحه مسألة قتل الذمّي وبيع الغائب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قال بالإيجاب الكلّي </w:t>
      </w:r>
      <w:r>
        <w:rPr>
          <w:rStyle w:val="FootnoteAnchor"/>
          <w:rtl w:val="true"/>
        </w:rPr>
        <w:footnoteReference w:id="996"/>
      </w:r>
      <w:r>
        <w:rPr>
          <w:rFonts w:ascii="Amiri" w:hAnsi="Amiri" w:eastAsia="Amiri" w:cs="Amiri"/>
          <w:color w:val="111111"/>
          <w:sz w:val="28"/>
          <w:sz w:val="28"/>
          <w:szCs w:val="28"/>
          <w:rtl w:val="true"/>
          <w:lang w:bidi="ar-SA"/>
        </w:rPr>
        <w:t xml:space="preserve">في مثل مسألة العيوب ، فيستلزم قوله بطلان السّلب الجزئي </w:t>
      </w:r>
      <w:r>
        <w:rPr>
          <w:rStyle w:val="FootnoteAnchor"/>
          <w:rtl w:val="true"/>
        </w:rPr>
        <w:footnoteReference w:id="997"/>
      </w:r>
      <w:r>
        <w:rPr>
          <w:rFonts w:ascii="Amiri" w:hAnsi="Amiri" w:eastAsia="Amiri" w:cs="Amiri"/>
          <w:color w:val="111111"/>
          <w:sz w:val="28"/>
          <w:sz w:val="28"/>
          <w:szCs w:val="28"/>
          <w:rtl w:val="true"/>
          <w:lang w:bidi="ar-SA"/>
        </w:rPr>
        <w:t>الذي هو نقيضه قطعا ، بل بطلان التفرقة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بالسّلب الكلّي يستلزم قوله بطلان الإيجاب الجزئي الذي هو نقيضه قطعا ، بل بطلان التفرقة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والقول بالتفصيل مركّب من الجزئيتين ، فالمركّب منهما باطل على القولين باعتبار أحد جزءيه قطعا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ما فيه ، فإنّ دلالة القول بالقضيّة الكلّية وإن سلّمت من باب الالتزام البيّن بالمعنى الأعمّ ، كما في دلالة الأمر بالشيء على النّهي عن الترك كما مرّ ، لكن بطلان أحد جزءي المركّب إنّما يستلزم بطلان المركّب من حيث إنّه مركّب ، لا من حيث سائر الأجزاء أيضا ، مع أنّه لا تركيب هنا حقيقيّا ، بل الجزئيتان كلّ منهما مسألة برأسها اتّفق للقائل القول بهما مطلقا لا بشرط اجتماع كلّ منهما مع الآخر ، ولا بشرط التركيب ، فلا دلالة في أحد من القولين </w:t>
      </w:r>
      <w:r>
        <w:rPr>
          <w:rStyle w:val="FootnoteAnchor"/>
          <w:rtl w:val="true"/>
        </w:rPr>
        <w:footnoteReference w:id="999"/>
      </w:r>
      <w:r>
        <w:rPr>
          <w:rFonts w:ascii="Amiri" w:hAnsi="Amiri" w:eastAsia="Amiri" w:cs="Amiri"/>
          <w:color w:val="111111"/>
          <w:sz w:val="28"/>
          <w:sz w:val="28"/>
          <w:szCs w:val="28"/>
          <w:rtl w:val="true"/>
          <w:lang w:bidi="ar-SA"/>
        </w:rPr>
        <w:t>إلّا على بطلان أحد من الجزئيتين ، فلم يثبت اجتماع الفريقين على بطلان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Style w:val="FootnoteAnchor"/>
          <w:rtl w:val="true"/>
        </w:rPr>
        <w:footnoteReference w:id="1000"/>
      </w:r>
      <w:r>
        <w:rPr>
          <w:rFonts w:ascii="Amiri" w:hAnsi="Amiri" w:eastAsia="Amiri" w:cs="Amiri"/>
          <w:color w:val="111111"/>
          <w:sz w:val="28"/>
          <w:sz w:val="28"/>
          <w:szCs w:val="28"/>
          <w:rtl w:val="true"/>
          <w:lang w:bidi="ar-SA"/>
        </w:rPr>
        <w:t>من أنّ اتّحاد الحكم في كلّ الأفراد لازم لقول كلّ الأمّة ، وإن لم يقولوا به صريحا ، والتفصيل ينافيه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لقولهم إنّما هو نفس اتّحاد الحكم في كلّ الأفراد بلزوم تبعيّ ، لا القول باتّحاد الحكم في كلّ الأفراد ، وما يفيد في تحقّق الإجماع هو الثاني لا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سلّمنا لزوم الثاني أيضا ، لكن لا يلزم من القول باتّحاد الكلّي في الحكم ، القول ببطلان القول بالحكم الموافق في البعض </w:t>
      </w:r>
      <w:r>
        <w:rPr>
          <w:rStyle w:val="FootnoteAnchor"/>
          <w:rtl w:val="true"/>
        </w:rPr>
        <w:footnoteReference w:id="1001"/>
      </w:r>
      <w:r>
        <w:rPr>
          <w:rFonts w:ascii="Amiri" w:hAnsi="Amiri" w:eastAsia="Amiri" w:cs="Amiri"/>
          <w:color w:val="111111"/>
          <w:sz w:val="28"/>
          <w:sz w:val="28"/>
          <w:szCs w:val="28"/>
          <w:rtl w:val="true"/>
          <w:lang w:bidi="ar-SA"/>
        </w:rPr>
        <w:t>، إذ ليس في القول باتّحاد الكلّ في الحكم لزوم انضمام كلّ منهما بالآخر ، لأنّ الحكم إنّما يتعلّق بكلّ واحد من الأفراد لا بالأفراد بشرط تركيبها واجتماعها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جميع ذلك ، لكنّ المسلّم من العقاب على مخالفة الإجماع والقدر الثابت الحجّية من الإجماع ، هو ما علم اتّفاقهم على شيء بدلالتهم المقصودة لا التبعيّات ، وأدلّتهم التي أقيمت على ذلك إنّما تنصرف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فاستدلّ المانعون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تخطئة كلّ فريق في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تخطئة كلّ الأمّة ، والأدلّة السّمعية تنفيها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المنفيّ تخطئة كلّ الأمّة فيما اتّفقوا عليه ، وأمّا فيما لم يتّفقوا عليه بأن يخطّئ كلّ بعض في مسألة غير ما خطّأ فيه الآخر ، فلا ينفى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منّا ما يخدش في هذا الكلام </w:t>
      </w:r>
      <w:r>
        <w:rPr>
          <w:rStyle w:val="FootnoteAnchor"/>
          <w:rtl w:val="true"/>
        </w:rPr>
        <w:footnoteReference w:id="1002"/>
      </w:r>
      <w:r>
        <w:rPr>
          <w:rFonts w:ascii="Amiri" w:hAnsi="Amiri" w:eastAsia="Amiri" w:cs="Amiri"/>
          <w:color w:val="111111"/>
          <w:sz w:val="28"/>
          <w:sz w:val="28"/>
          <w:szCs w:val="28"/>
          <w:rtl w:val="true"/>
          <w:lang w:bidi="ar-SA"/>
        </w:rPr>
        <w:t xml:space="preserve">وما يصلحه في خصوص الاستدلال بقوله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امّتي على الخطأ</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 بجعل اللّام للجنس أو للعهد ، ولكن الأظهر على مذهبهم </w:t>
      </w:r>
      <w:r>
        <w:rPr>
          <w:rStyle w:val="FootnoteAnchor"/>
          <w:rtl w:val="true"/>
        </w:rPr>
        <w:footnoteReference w:id="1004"/>
      </w:r>
      <w:r>
        <w:rPr>
          <w:rFonts w:ascii="Amiri" w:hAnsi="Amiri" w:eastAsia="Amiri" w:cs="Amiri"/>
          <w:color w:val="111111"/>
          <w:sz w:val="28"/>
          <w:sz w:val="28"/>
          <w:szCs w:val="28"/>
          <w:rtl w:val="true"/>
          <w:lang w:bidi="ar-SA"/>
        </w:rPr>
        <w:t xml:space="preserve">في هذا المقام هو قول المانع كما بيّنا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احتجّ المجوّزون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اختلافهم دليل على أنّ المسألة اجتهاديّة ، يعمل فيها بما اقتضاه الاجتهاد وأدّى إليه ، فيجوز إحداث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الاختلاف إنّما يدلّ على جواز الاجتهاد إذا لم يكن هناك إجماع مانع ، فإذا اختلفوا على قولين ولم يستقرّ خلافهم ، كانت المسألة اجتهاديّة ، وهنا استقرّ خلافهم على قولين ، فلا يجوز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أيضا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بمسألة الأمّ ، ومخالفة ابن سيرين وتابعيّ آخر وعدم إنكارهم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قسما من الجائز </w:t>
      </w:r>
      <w:r>
        <w:rPr>
          <w:rStyle w:val="FootnoteAnchor"/>
          <w:rtl w:val="true"/>
        </w:rPr>
        <w:footnoteReference w:id="1008"/>
      </w:r>
      <w:r>
        <w:rPr>
          <w:rFonts w:ascii="Amiri" w:hAnsi="Amiri" w:eastAsia="Amiri" w:cs="Amiri"/>
          <w:color w:val="111111"/>
          <w:sz w:val="28"/>
          <w:sz w:val="28"/>
          <w:szCs w:val="28"/>
          <w:rtl w:val="true"/>
          <w:lang w:bidi="ar-SA"/>
        </w:rPr>
        <w:t>ممّا لم يكن فيه مخالفة الإجماع كالفسخ بالعيوب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أنّه ممّا اتّحد فيه طريق المسألتين إلّا أن يمنع عن ذلك ، وأمّا عندنا ؛ فلا إشكال ، لعدم الثبوت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الكلام في تحقّق الإجماع المركّب وحجّيته وأقسامه من القطعيّ والظنّيّ وغير ذلك ، نظير ما مرّ في الإجماع البسيط ، فلا حاجة إلى الإعادة</w:t>
      </w:r>
      <w:r>
        <w:rPr>
          <w:rFonts w:eastAsia="Amiri" w:cs="Amiri" w:ascii="Amiri" w:hAnsi="Amiri"/>
          <w:color w:val="111111"/>
          <w:sz w:val="28"/>
          <w:szCs w:val="28"/>
          <w:rtl w:val="true"/>
          <w:lang w:bidi="ar-SA"/>
        </w:rPr>
        <w:t xml:space="preserve">. </w:t>
      </w:r>
      <w:bookmarkStart w:id="140" w:name="pg14071_149113"/>
    </w:p>
    <w:p>
      <w:pPr>
        <w:pStyle w:val="Heading4"/>
        <w:numPr>
          <w:ilvl w:val="3"/>
          <w:numId w:val="1"/>
        </w:numPr>
        <w:rPr/>
      </w:pPr>
      <w:bookmarkStart w:id="141" w:name="__RefHeading___Toc495091_1738255347"/>
      <w:bookmarkStart w:id="142" w:name="_Toc51"/>
      <w:bookmarkEnd w:id="140"/>
      <w:bookmarkEnd w:id="141"/>
      <w:r>
        <w:rPr>
          <w:rtl w:val="true"/>
        </w:rPr>
        <w:t>قانون</w:t>
      </w:r>
      <w:bookmarkEnd w:id="142"/>
    </w:p>
    <w:p>
      <w:pPr>
        <w:pStyle w:val="BookText"/>
        <w:rPr/>
      </w:pPr>
      <w:r>
        <w:rPr>
          <w:rFonts w:ascii="IRNazanin" w:hAnsi="IRNazanin" w:eastAsia="IRNazanin"/>
          <w:color w:val="111111"/>
          <w:sz w:val="28"/>
          <w:sz w:val="28"/>
          <w:szCs w:val="28"/>
          <w:rtl w:val="true"/>
          <w:lang w:bidi="fa-IR"/>
        </w:rPr>
        <w:t xml:space="preserve">إذا اختلفت </w:t>
      </w:r>
      <w:r>
        <w:rPr>
          <w:rStyle w:val="FootnoteAnchor"/>
          <w:rtl w:val="true"/>
        </w:rPr>
        <w:footnoteReference w:id="1010"/>
      </w:r>
      <w:r>
        <w:rPr>
          <w:rFonts w:ascii="Amiri" w:hAnsi="Amiri" w:eastAsia="Amiri" w:cs="Amiri"/>
          <w:color w:val="111111"/>
          <w:sz w:val="28"/>
          <w:sz w:val="28"/>
          <w:szCs w:val="28"/>
          <w:rtl w:val="true"/>
          <w:lang w:bidi="ar-SA"/>
        </w:rPr>
        <w:t>الأمّة على قولين ولم يدلّ على أحدهما دليل قطعيّ أو ظنّيّ يرجّحه على الآخر ، فمقتضى طريقة العامّة الرّجوع إلى مقتضى الأصل إن لم يكن موجبا لخرق المتّفق عليه ، وإلّا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مذهب الإماميّة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نقلهما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القولين والتمسّك بمقتضى العقل من حظر أو إباحة على اختلاف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 وإنّه يجري مجرى خبرين تعارضا ولم يكن مرجّح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الشيخ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يوجب طرح قول الإمام عليه‌السلام </w:t>
      </w:r>
      <w:r>
        <w:rPr>
          <w:rStyle w:val="FootnoteAnchor"/>
          <w:rtl w:val="true"/>
        </w:rPr>
        <w:footnoteReference w:id="1012"/>
      </w:r>
      <w:r>
        <w:rPr>
          <w:rFonts w:ascii="Amiri" w:hAnsi="Amiri" w:eastAsia="Amiri" w:cs="Amiri"/>
          <w:color w:val="111111"/>
          <w:sz w:val="28"/>
          <w:sz w:val="28"/>
          <w:szCs w:val="28"/>
          <w:rtl w:val="true"/>
          <w:lang w:bidi="ar-SA"/>
        </w:rPr>
        <w:t>، واختار الثاني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واعترضه المحقّق رحمه‌الله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التخيير أيضا إبطالا لقول الإمام عليه‌السلام ، لأنّ كلّا من الطائفتين يوجب العمل بقوله ويمنع من العمل بالقول الآخر ، فلو خيّرنا لاستبحنا ما حظره المعصوم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ضعف هذا الاعتراض ، فإنّ التخيير طريق في العمل للجاهل بالحكم ، لا قول في المسألة يوجب طرح كلّ واحد من القولين كالتخيير في العمل بالخبرين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كلّ واحد منهما </w:t>
      </w:r>
      <w:r>
        <w:rPr>
          <w:rStyle w:val="FootnoteAnchor"/>
          <w:rtl w:val="true"/>
        </w:rPr>
        <w:footnoteReference w:id="1014"/>
      </w:r>
      <w:r>
        <w:rPr>
          <w:rFonts w:ascii="Amiri" w:hAnsi="Amiri" w:eastAsia="Amiri" w:cs="Amiri"/>
          <w:color w:val="111111"/>
          <w:sz w:val="28"/>
          <w:sz w:val="28"/>
          <w:szCs w:val="28"/>
          <w:rtl w:val="true"/>
          <w:lang w:bidi="ar-SA"/>
        </w:rPr>
        <w:t>ببطلان القول الآخر ، وعدم صحّته في نفس الأمر ، لا ينافي تجويزه العمل به للجاهل ، كما أنّه لا يجوز للمجتهد منع مقلّد مجتهد آخر عن تقليده وإن علم خطأه في المسألة ، بل له أن يجوّز تقليده إذا كان أهلا للاجتهاد ، ويرخّصه فيه ، فإنّ الترخيص في التقليد غير إمضاء نفس الحكم وإظهار الرضا به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فرض اتّفاق الفريقين بعد الاختلاف على أحد القولين ، فقال الشيخ بجواز ذلك على القول بالرّجوع بمقتضى العقل ، وإسقاط القولين لانعقاد الإجماع حينئذ على ما أجمعوا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مختاره من التخيير ، فمنعه ، لأنّه يوجب بطلان القول الآخر ، والمفروض كان التخيير بينهما ، وهو ينافي البطلان ، وهو ضعيف ، لأنّ التخيير إنّما كان في العمل لجهالة قول الإمام بخصوصه ، وبعد انعقاد الإجماع يتعيّن قول الامام ويظهر بطلان القول الآخر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منافاة بين عدم ظهور البطلان وجواز العمل به في وقت ، وظهور البطلان وعدم جواز العمل به في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تعاكس الفريقين </w:t>
      </w:r>
      <w:r>
        <w:rPr>
          <w:rStyle w:val="FootnoteAnchor"/>
          <w:rtl w:val="true"/>
        </w:rPr>
        <w:footnoteReference w:id="1015"/>
      </w:r>
      <w:r>
        <w:rPr>
          <w:rFonts w:ascii="IRNazanin" w:hAnsi="IRNazanin" w:eastAsia="IRNazanin"/>
          <w:color w:val="111111"/>
          <w:sz w:val="28"/>
          <w:sz w:val="28"/>
          <w:szCs w:val="28"/>
          <w:rtl w:val="true"/>
          <w:lang w:bidi="fa-IR"/>
        </w:rPr>
        <w:t xml:space="preserve">عند أصحابنا ، </w:t>
      </w:r>
    </w:p>
    <w:p>
      <w:pPr>
        <w:pStyle w:val="BookText"/>
        <w:rPr/>
      </w:pPr>
      <w:r>
        <w:rPr>
          <w:rFonts w:ascii="Amiri" w:hAnsi="Amiri" w:eastAsia="Amiri" w:cs="Amiri"/>
          <w:color w:val="111111"/>
          <w:sz w:val="28"/>
          <w:sz w:val="28"/>
          <w:szCs w:val="28"/>
          <w:rtl w:val="true"/>
          <w:lang w:bidi="ar-SA"/>
        </w:rPr>
        <w:t>للزوم رجوع المعصوم عليه‌السلام عن قوله ، اللهمّ إلّا إذا كان القولان منه ، وكان أحدهما من باب التقيّة ، وهو خلاف الأصل ، لا يصار إليه إلّا مع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على عدم جواز التعاكس بقوله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امّتي على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كون اللّام للجنس للزوم الاجتماع على جنس الخطأ حينئذ ، فإنّ من عدل عن الخطأ فيلزمه الخطأ أوّلا ، ويلزم الفرقة الاخرى بعدولها عن الصّواب إلى ذلك الخطأ ، فصدر عن كلّ منهما جنس الخطأ وإن كان في وقتين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يستدلّ بذلك على هذا ، على لزوم عدم خلوّ الزّمان عن المعصوم عليه‌السلام ، لأنّ إتيان كلّ واحد من الأمّة خطأ وإن كان خطأ كلّ منهم غير خطأ الآخر ، يوجب اجتماعهم على جنس الخطأ ، فلا بدّ من معصوم حتّى يصدق عدم الاجتماع على الخطأ ، ويؤيّده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طائفة من امّتي على الحقّ</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اسم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ضمير الشأن</w:t>
      </w:r>
      <w:r>
        <w:rPr>
          <w:rFonts w:eastAsia="Amiri" w:cs="Amiri" w:ascii="Amiri" w:hAnsi="Amiri"/>
          <w:color w:val="111111"/>
          <w:sz w:val="28"/>
          <w:szCs w:val="28"/>
          <w:rtl w:val="true"/>
          <w:lang w:bidi="ar-SA"/>
        </w:rPr>
        <w:t xml:space="preserve">. </w:t>
      </w:r>
      <w:bookmarkStart w:id="143" w:name="pg14071_149119"/>
    </w:p>
    <w:p>
      <w:pPr>
        <w:pStyle w:val="Heading4"/>
        <w:numPr>
          <w:ilvl w:val="3"/>
          <w:numId w:val="1"/>
        </w:numPr>
        <w:rPr/>
      </w:pPr>
      <w:bookmarkStart w:id="144" w:name="__RefHeading___Toc495093_1738255347"/>
      <w:bookmarkStart w:id="145" w:name="_Toc52"/>
      <w:bookmarkEnd w:id="143"/>
      <w:bookmarkEnd w:id="144"/>
      <w:r>
        <w:rPr>
          <w:rtl w:val="true"/>
        </w:rPr>
        <w:t xml:space="preserve">قانون </w:t>
      </w:r>
      <w:r>
        <w:rPr>
          <w:rtl w:val="true"/>
        </w:rPr>
        <w:t>:</w:t>
      </w:r>
      <w:bookmarkEnd w:id="145"/>
    </w:p>
    <w:p>
      <w:pPr>
        <w:pStyle w:val="BookText"/>
        <w:rPr/>
      </w:pPr>
      <w:r>
        <w:rPr>
          <w:rFonts w:ascii="Amiri" w:hAnsi="Amiri" w:eastAsia="Amiri" w:cs="Amiri"/>
          <w:color w:val="111111"/>
          <w:sz w:val="28"/>
          <w:sz w:val="28"/>
          <w:szCs w:val="28"/>
          <w:rtl w:val="true"/>
          <w:lang w:bidi="ar-SA"/>
        </w:rPr>
        <w:t xml:space="preserve">الأقرب حجّية الإجماع المنقول بخبر الواحد </w:t>
      </w:r>
      <w:r>
        <w:rPr>
          <w:rStyle w:val="FootnoteAnchor"/>
          <w:rtl w:val="true"/>
        </w:rPr>
        <w:footnoteReference w:id="1017"/>
      </w:r>
      <w:r>
        <w:rPr>
          <w:rFonts w:ascii="Amiri" w:hAnsi="Amiri" w:eastAsia="Amiri" w:cs="Amiri"/>
          <w:color w:val="111111"/>
          <w:sz w:val="28"/>
          <w:sz w:val="28"/>
          <w:szCs w:val="28"/>
          <w:rtl w:val="true"/>
          <w:lang w:bidi="ar-SA"/>
        </w:rPr>
        <w:t>لأنّه خبر ، وخبر الواحد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على كذا ، يدلّ بالالتزام على نقل قول المعصوم عليه‌السلام أو فعله أو تقريره الكاشفات عن اعتقاده على طريقة المشهور أو على رأيه واعتقاده على الطريقة التي اخترنا ، فكأنّه أخبر عن اعتقاد المعصوم عليه‌السلام إخبارا ناشئا عن علم ، فهو نبأ وخبر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يجيء في مبحث الأخبار </w:t>
      </w:r>
      <w:r>
        <w:rPr>
          <w:rStyle w:val="FootnoteAnchor"/>
          <w:rtl w:val="true"/>
        </w:rPr>
        <w:footnoteReference w:id="1018"/>
      </w:r>
      <w:r>
        <w:rPr>
          <w:rFonts w:ascii="Amiri" w:hAnsi="Amiri" w:eastAsia="Amiri" w:cs="Amiri"/>
          <w:color w:val="111111"/>
          <w:sz w:val="28"/>
          <w:sz w:val="28"/>
          <w:szCs w:val="28"/>
          <w:rtl w:val="true"/>
          <w:lang w:bidi="ar-SA"/>
        </w:rPr>
        <w:t xml:space="preserve">، والفرق بين الطريقين </w:t>
      </w:r>
      <w:r>
        <w:rPr>
          <w:rStyle w:val="FootnoteAnchor"/>
          <w:rtl w:val="true"/>
        </w:rPr>
        <w:footnoteReference w:id="1019"/>
      </w:r>
      <w:r>
        <w:rPr>
          <w:rFonts w:ascii="Amiri" w:hAnsi="Amiri" w:eastAsia="Amiri" w:cs="Amiri"/>
          <w:color w:val="111111"/>
          <w:sz w:val="28"/>
          <w:sz w:val="28"/>
          <w:szCs w:val="28"/>
          <w:rtl w:val="true"/>
          <w:lang w:bidi="ar-SA"/>
        </w:rPr>
        <w:t>، أنّ الأوّل يفيد كونه حديثا مصطلحا ، والثاني أنّه خبر لغة وعرفا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w:t>
      </w:r>
      <w:r>
        <w:rPr>
          <w:rStyle w:val="FootnoteAnchor"/>
          <w:rtl w:val="true"/>
        </w:rPr>
        <w:footnoteReference w:id="1020"/>
      </w:r>
      <w:r>
        <w:rPr>
          <w:rFonts w:ascii="Amiri" w:hAnsi="Amiri" w:eastAsia="Amiri" w:cs="Amiri"/>
          <w:color w:val="111111"/>
          <w:sz w:val="28"/>
          <w:sz w:val="28"/>
          <w:szCs w:val="28"/>
          <w:rtl w:val="true"/>
          <w:lang w:bidi="ar-SA"/>
        </w:rPr>
        <w:t xml:space="preserve">ظهر وجه الاستدلال بآية النبأ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آية النفر </w:t>
      </w:r>
      <w:r>
        <w:rPr>
          <w:rStyle w:val="FootnoteAnchor"/>
          <w:rtl w:val="true"/>
        </w:rPr>
        <w:footnoteReference w:id="1022"/>
      </w:r>
      <w:r>
        <w:rPr>
          <w:rFonts w:ascii="Amiri" w:hAnsi="Amiri" w:eastAsia="Amiri" w:cs="Amiri"/>
          <w:color w:val="111111"/>
          <w:sz w:val="28"/>
          <w:sz w:val="28"/>
          <w:szCs w:val="28"/>
          <w:rtl w:val="true"/>
          <w:lang w:bidi="ar-SA"/>
        </w:rPr>
        <w:t xml:space="preserve">، فهي أيضا دالّة عليه كالخبر ، لأنّ تحصيل المعرفة به </w:t>
      </w:r>
      <w:r>
        <w:rPr>
          <w:rStyle w:val="FootnoteAnchor"/>
          <w:rtl w:val="true"/>
        </w:rPr>
        <w:footnoteReference w:id="1023"/>
      </w:r>
      <w:r>
        <w:rPr>
          <w:rFonts w:ascii="IRNazanin" w:hAnsi="IRNazanin" w:eastAsia="IRNazanin"/>
          <w:color w:val="111111"/>
          <w:sz w:val="28"/>
          <w:sz w:val="28"/>
          <w:szCs w:val="28"/>
          <w:rtl w:val="true"/>
          <w:lang w:bidi="fa-IR"/>
        </w:rPr>
        <w:t>تفقّه ، والإخبار به إنذار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الإجماع الذي نقلوه في حجّية خبر الواحد ، فلمّا كان بالنسبة إلينا منقولا فالتمسّك به دوريّ ، ومن ظهر له القطع بذلك الإجماع بحيث يشمل هذا النبأ الذي هو مدلول التزاميّ للإجماع المنقول الذي نحن نتكلّم فيه فهو ، وإلّا فلا وجه للاستدلال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انسداد باب العلم وانحصار الطريق في الظنّ ، فدلالته عليه </w:t>
      </w:r>
      <w:r>
        <w:rPr>
          <w:rStyle w:val="FootnoteAnchor"/>
          <w:rtl w:val="true"/>
        </w:rPr>
        <w:footnoteReference w:id="1024"/>
      </w:r>
      <w:r>
        <w:rPr>
          <w:rFonts w:ascii="Amiri" w:hAnsi="Amiri" w:eastAsia="Amiri" w:cs="Amiri"/>
          <w:color w:val="111111"/>
          <w:sz w:val="28"/>
          <w:sz w:val="28"/>
          <w:szCs w:val="28"/>
          <w:rtl w:val="true"/>
          <w:lang w:bidi="ar-SA"/>
        </w:rPr>
        <w:t>واضحة ، لأنّ مقتضاه حجّية الظنّ من حيث إنّه ظنّ ، لا ظنّ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أيضا على حجّيته بالأولوية </w:t>
      </w:r>
      <w:r>
        <w:rPr>
          <w:rStyle w:val="FootnoteAnchor"/>
          <w:rtl w:val="true"/>
        </w:rPr>
        <w:footnoteReference w:id="1025"/>
      </w:r>
      <w:r>
        <w:rPr>
          <w:rFonts w:ascii="Amiri" w:hAnsi="Amiri" w:eastAsia="Amiri" w:cs="Amiri"/>
          <w:color w:val="111111"/>
          <w:sz w:val="28"/>
          <w:sz w:val="28"/>
          <w:szCs w:val="28"/>
          <w:rtl w:val="true"/>
          <w:lang w:bidi="ar-SA"/>
        </w:rPr>
        <w:t xml:space="preserve">بالنسبة إلى خبر الواحد ، فإنّ الظنّيّ المنقول بخبر الواحد إذا كان حجّة فالقطعيّ المنقول به أولى </w:t>
      </w:r>
      <w:r>
        <w:rPr>
          <w:rStyle w:val="FootnoteAnchor"/>
          <w:rtl w:val="true"/>
        </w:rPr>
        <w:footnoteReference w:id="1026"/>
      </w:r>
      <w:r>
        <w:rPr>
          <w:rFonts w:ascii="Amiri" w:hAnsi="Amiri" w:eastAsia="Amiri" w:cs="Amiri"/>
          <w:color w:val="111111"/>
          <w:sz w:val="28"/>
          <w:sz w:val="28"/>
          <w:szCs w:val="28"/>
          <w:rtl w:val="true"/>
          <w:lang w:bidi="ar-SA"/>
        </w:rPr>
        <w:t xml:space="preserve">، وسيجيء الكلام </w:t>
      </w:r>
      <w:r>
        <w:rPr>
          <w:rStyle w:val="FootnoteAnchor"/>
          <w:rtl w:val="true"/>
        </w:rPr>
        <w:footnoteReference w:id="1027"/>
      </w:r>
      <w:r>
        <w:rPr>
          <w:rFonts w:ascii="Amiri" w:hAnsi="Amiri" w:eastAsia="Amiri" w:cs="Amiri"/>
          <w:color w:val="111111"/>
          <w:sz w:val="28"/>
          <w:sz w:val="28"/>
          <w:szCs w:val="28"/>
          <w:rtl w:val="true"/>
          <w:lang w:bidi="ar-SA"/>
        </w:rPr>
        <w:t>في توضيح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نحكم بالظاهر</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عن الأوّل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الاطّلاع على الإجماع أمر بعيد ، فالظنّ بوقوعه </w:t>
      </w:r>
    </w:p>
    <w:p>
      <w:pPr>
        <w:pStyle w:val="BookText"/>
        <w:rPr/>
      </w:pPr>
      <w:r>
        <w:rPr>
          <w:rFonts w:ascii="IRNazanin" w:hAnsi="IRNazanin" w:eastAsia="IRNazanin"/>
          <w:color w:val="111111"/>
          <w:sz w:val="28"/>
          <w:sz w:val="28"/>
          <w:szCs w:val="28"/>
          <w:rtl w:val="true"/>
          <w:lang w:bidi="fa-IR"/>
        </w:rPr>
        <w:t>أضعف من الظنّ بوقوع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يمنع من جهته ذلك التساوي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الأوّل والثانيّ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لا يفيدان إلّا الظنّ ، وهو غير معتبر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الخطأ في مدّعي الإجماع معارض بكثرة الحوادث اللّاحقة بالأخبار من حيث المتن والسّند والدلالة والتعارض والاختلاف والاضطراب والسّهو والغفلة والنقل بالمعنى ، مع الاشتباه في فهم المقصود ، والإجماع المنقول خال عن أكثر ما ذكر ، فيبقى مزيّة العلم مرجّحا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لزوم القطع في الأصول </w:t>
      </w:r>
      <w:r>
        <w:rPr>
          <w:rStyle w:val="FootnoteAnchor"/>
          <w:rtl w:val="true"/>
        </w:rPr>
        <w:footnoteReference w:id="1031"/>
      </w:r>
      <w:r>
        <w:rPr>
          <w:rFonts w:ascii="Amiri" w:hAnsi="Amiri" w:eastAsia="Amiri" w:cs="Amiri"/>
          <w:color w:val="111111"/>
          <w:sz w:val="28"/>
          <w:sz w:val="28"/>
          <w:szCs w:val="28"/>
          <w:rtl w:val="true"/>
          <w:lang w:bidi="ar-SA"/>
        </w:rPr>
        <w:t xml:space="preserve">خالية عن شاهد ودليل ، وقد مرّ الإشارة إليه </w:t>
      </w:r>
      <w:r>
        <w:rPr>
          <w:rStyle w:val="FootnoteAnchor"/>
          <w:rtl w:val="true"/>
        </w:rPr>
        <w:footnoteReference w:id="1032"/>
      </w:r>
      <w:r>
        <w:rPr>
          <w:rFonts w:ascii="Amiri" w:hAnsi="Amiri" w:eastAsia="Amiri" w:cs="Amiri"/>
          <w:color w:val="111111"/>
          <w:sz w:val="28"/>
          <w:sz w:val="28"/>
          <w:szCs w:val="28"/>
          <w:rtl w:val="true"/>
          <w:lang w:bidi="ar-SA"/>
        </w:rPr>
        <w:t>وسيجيء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 أنّ المقامات تختلف في الترجيح ، فربّ خبر يقدّم على إجماع منقول ، بل وإجماعين منقولين ، وربّ إجماع منقول ، يقدّم على خبر صحيح ، بل وأخبار صحيحة ، فلا بدّ من ملاحظة الخصوصيّات والمرجّحات الخارجية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المنكر للحجّية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الآيات والأخبار حرمة العمل بالظنّ في الفتوى والعمل ، خرج خبر الواحد بالإجماع </w:t>
      </w:r>
      <w:r>
        <w:rPr>
          <w:rStyle w:val="FootnoteAnchor"/>
          <w:rtl w:val="true"/>
        </w:rPr>
        <w:footnoteReference w:id="1034"/>
      </w:r>
      <w:r>
        <w:rPr>
          <w:rFonts w:ascii="Amiri" w:hAnsi="Amiri" w:eastAsia="Amiri" w:cs="Amiri"/>
          <w:color w:val="111111"/>
          <w:sz w:val="28"/>
          <w:sz w:val="28"/>
          <w:szCs w:val="28"/>
          <w:rtl w:val="true"/>
          <w:lang w:bidi="ar-SA"/>
        </w:rPr>
        <w:t xml:space="preserve">والآيتين </w:t>
      </w:r>
      <w:r>
        <w:rPr>
          <w:rStyle w:val="FootnoteAnchor"/>
          <w:rtl w:val="true"/>
        </w:rPr>
        <w:footnoteReference w:id="1035"/>
      </w:r>
      <w:r>
        <w:rPr>
          <w:rFonts w:ascii="Amiri" w:hAnsi="Amiri" w:eastAsia="Amiri" w:cs="Amiri"/>
          <w:color w:val="111111"/>
          <w:sz w:val="28"/>
          <w:sz w:val="28"/>
          <w:szCs w:val="28"/>
          <w:rtl w:val="true"/>
          <w:lang w:bidi="ar-SA"/>
        </w:rPr>
        <w:t>وبقي الإجماع المنقول تحت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إنّا لا نعلم أنّ الإجماع انعقد على حجّية هذا الخبر </w:t>
      </w:r>
    </w:p>
    <w:p>
      <w:pPr>
        <w:pStyle w:val="BookText"/>
        <w:rPr/>
      </w:pPr>
      <w:r>
        <w:rPr>
          <w:rFonts w:ascii="Amiri" w:hAnsi="Amiri" w:eastAsia="Amiri" w:cs="Amiri"/>
          <w:color w:val="111111"/>
          <w:sz w:val="28"/>
          <w:sz w:val="28"/>
          <w:szCs w:val="28"/>
          <w:rtl w:val="true"/>
          <w:lang w:bidi="ar-SA"/>
        </w:rPr>
        <w:t xml:space="preserve">الذي هو المدلول الالتزامي لنقل الإجماع ، أو لا نعلم الإجماع عليه </w:t>
      </w:r>
      <w:r>
        <w:rPr>
          <w:rStyle w:val="FootnoteAnchor"/>
          <w:rtl w:val="true"/>
        </w:rPr>
        <w:footnoteReference w:id="1036"/>
      </w:r>
      <w:r>
        <w:rPr>
          <w:rFonts w:ascii="Amiri" w:hAnsi="Amiri" w:eastAsia="Amiri" w:cs="Amiri"/>
          <w:color w:val="111111"/>
          <w:sz w:val="28"/>
          <w:sz w:val="28"/>
          <w:szCs w:val="28"/>
          <w:rtl w:val="true"/>
          <w:lang w:bidi="ar-SA"/>
        </w:rPr>
        <w:t>لأنّه ليس بحديث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الآيتان ، فقد ذكرنا أنّهما تشملانه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على ما إدّعاه الشيخ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يدلّ على حجّية الخبر مطلقا أيضا ، بل غاية ما ثبت </w:t>
      </w:r>
      <w:r>
        <w:rPr>
          <w:rStyle w:val="FootnoteAnchor"/>
          <w:rtl w:val="true"/>
        </w:rPr>
        <w:footnoteReference w:id="1037"/>
      </w:r>
      <w:r>
        <w:rPr>
          <w:rFonts w:ascii="Amiri" w:hAnsi="Amiri" w:eastAsia="Amiri" w:cs="Amiri"/>
          <w:color w:val="111111"/>
          <w:sz w:val="28"/>
          <w:sz w:val="28"/>
          <w:szCs w:val="28"/>
          <w:rtl w:val="true"/>
          <w:lang w:bidi="ar-SA"/>
        </w:rPr>
        <w:t xml:space="preserve">هو أخبار الآحاد مع وصف تداولها بين أصحاب الأئمّة عليهم‌السلام ، ولا ريب أنّ حال زمانهم وزماننا متفاوت غاية التفاوت بسبب قلّة الوسائط </w:t>
      </w:r>
      <w:r>
        <w:rPr>
          <w:rStyle w:val="FootnoteAnchor"/>
          <w:rtl w:val="true"/>
        </w:rPr>
        <w:footnoteReference w:id="1038"/>
      </w:r>
      <w:r>
        <w:rPr>
          <w:rFonts w:ascii="Amiri" w:hAnsi="Amiri" w:eastAsia="Amiri" w:cs="Amiri"/>
          <w:color w:val="111111"/>
          <w:sz w:val="28"/>
          <w:sz w:val="28"/>
          <w:szCs w:val="28"/>
          <w:rtl w:val="true"/>
          <w:lang w:bidi="ar-SA"/>
        </w:rPr>
        <w:t xml:space="preserve">، وإمكان حصول القرائن على صدوره عن الإمام عليه‌السلام ، وقلّة الاختلال من جهة النقل </w:t>
      </w:r>
      <w:r>
        <w:rPr>
          <w:rStyle w:val="FootnoteAnchor"/>
          <w:rtl w:val="true"/>
        </w:rPr>
        <w:footnoteReference w:id="1039"/>
      </w:r>
      <w:r>
        <w:rPr>
          <w:rFonts w:ascii="Amiri" w:hAnsi="Amiri" w:eastAsia="Amiri" w:cs="Amiri"/>
          <w:color w:val="111111"/>
          <w:sz w:val="28"/>
          <w:sz w:val="28"/>
          <w:szCs w:val="28"/>
          <w:rtl w:val="true"/>
          <w:lang w:bidi="ar-SA"/>
        </w:rPr>
        <w:t xml:space="preserve">والتقطيع </w:t>
      </w:r>
      <w:r>
        <w:rPr>
          <w:rStyle w:val="FootnoteAnchor"/>
          <w:rtl w:val="true"/>
        </w:rPr>
        <w:footnoteReference w:id="1040"/>
      </w:r>
      <w:r>
        <w:rPr>
          <w:rFonts w:ascii="IRNazanin" w:hAnsi="IRNazanin" w:eastAsia="IRNazanin"/>
          <w:color w:val="111111"/>
          <w:sz w:val="28"/>
          <w:sz w:val="28"/>
          <w:szCs w:val="28"/>
          <w:rtl w:val="true"/>
          <w:lang w:bidi="fa-IR"/>
        </w:rPr>
        <w:t xml:space="preserve">وسائر التصرّفات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وقيل في الفرق بينهما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تفصيله في قانون عدم جواز العام قبل الفحص عن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بسبب تغاير الاصطلاحات وتفاوت القرائن في فهم اللّفظ ، وبسبب علاج التعارض المتفاوت حاله بالنسبة إلى الزّمانين ، فالاعتماد على الإجماع المدّعى الذي لم يعلم دعواه ولا وقوعه إلّا على العمل بأخبار الآحاد في زمان الأئمّة عليهم‌السلام لا يثبت الإجماع على جواز العمل به في زماننا أيضا ، فما تقول في غالب أخبار الآحاد في زماننا نقوله في الإجماع المنقول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أردت إثبات جواز العمل على الظّنون التي يحتاج إليها في العمل بأخبار </w:t>
      </w:r>
    </w:p>
    <w:p>
      <w:pPr>
        <w:pStyle w:val="BookText"/>
        <w:rPr/>
      </w:pPr>
      <w:r>
        <w:rPr>
          <w:rFonts w:ascii="Amiri" w:hAnsi="Amiri" w:eastAsia="Amiri" w:cs="Amiri"/>
          <w:color w:val="111111"/>
          <w:sz w:val="28"/>
          <w:sz w:val="28"/>
          <w:szCs w:val="28"/>
          <w:rtl w:val="true"/>
          <w:lang w:bidi="ar-SA"/>
        </w:rPr>
        <w:t xml:space="preserve">الآحاد في زماننا من جهة المتن والسّند والدلالة وغيرها من الوجوه </w:t>
      </w:r>
      <w:r>
        <w:rPr>
          <w:rStyle w:val="FootnoteAnchor"/>
          <w:rtl w:val="true"/>
        </w:rPr>
        <w:footnoteReference w:id="1042"/>
      </w:r>
      <w:r>
        <w:rPr>
          <w:rFonts w:ascii="Amiri" w:hAnsi="Amiri" w:eastAsia="Amiri" w:cs="Amiri"/>
          <w:color w:val="111111"/>
          <w:sz w:val="28"/>
          <w:sz w:val="28"/>
          <w:szCs w:val="28"/>
          <w:rtl w:val="true"/>
          <w:lang w:bidi="ar-SA"/>
        </w:rPr>
        <w:t xml:space="preserve">كلّها بالدليل من إجماع أو غيره ، فلا ريب أنّه تمحّل </w:t>
      </w:r>
      <w:r>
        <w:rPr>
          <w:rStyle w:val="FootnoteAnchor"/>
          <w:rtl w:val="true"/>
        </w:rPr>
        <w:footnoteReference w:id="1043"/>
      </w:r>
      <w:r>
        <w:rPr>
          <w:rFonts w:ascii="Amiri" w:hAnsi="Amiri" w:eastAsia="Amiri" w:cs="Amiri"/>
          <w:color w:val="111111"/>
          <w:sz w:val="28"/>
          <w:sz w:val="28"/>
          <w:szCs w:val="28"/>
          <w:rtl w:val="true"/>
          <w:lang w:bidi="ar-SA"/>
        </w:rPr>
        <w:t xml:space="preserve">فاسد ، بل العمل بظواهر الآيات أيضا كذلك </w:t>
      </w:r>
      <w:r>
        <w:rPr>
          <w:rStyle w:val="FootnoteAnchor"/>
          <w:rtl w:val="true"/>
        </w:rPr>
        <w:footnoteReference w:id="1044"/>
      </w:r>
      <w:r>
        <w:rPr>
          <w:rFonts w:ascii="Amiri" w:hAnsi="Amiri" w:eastAsia="Amiri" w:cs="Amiri"/>
          <w:color w:val="111111"/>
          <w:sz w:val="28"/>
          <w:sz w:val="28"/>
          <w:szCs w:val="28"/>
          <w:rtl w:val="true"/>
          <w:lang w:bidi="ar-SA"/>
        </w:rPr>
        <w:t>، إذ لا ريب أنّ القدر الثابت من كون الآية حجّة ، هو متفاهم المشافهين ، وتحصيل متفاهمهم يحتاج إلى استعمال ظنون شتّى لا يمكن دعوى الإجماع على حجّية كلّ واحد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من تتبّع الفقه وبلغ إلى حقيقته ، يعلم أنّ دعوى أنّه لا يجوز العمل فيه إلّا بظنّ ثبت حجّيته من إجماع أو دليل قاطع آخر ؛ مجازفة ، فإذا لم يبق فرق بين الظّنون ، فلا ريب أنّ الإجماع المنقول ممّا يفيد الظنّ ، بل ربّما يفيد لنا ظنّا أقوى من ظاهر الخبر ، بل الآية أيضا ، فالآيات والأخبار الدالّة على عدم جواز العمل بالظنّ مخصوصة بصورة إمكان تحصيل العلم أو بأصول الدّين فقط ، كما هو مورد أكثر الآيات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مثل القياس الذي أجمع الشيعة على بطلانه وصار حرمته من باب ضروريّات المذهب ، فهو إنّما خرج بالدّليل ، فاقتضى الدّليل جواز العمل بالظنّ إلّا ما أخرجه الدّليل ، ولذلك ذهبنا سابقا إلى تقوية حجّية الشّهرة والإجماعات الظنّية ، ومن ذلك قاعدة الغلبة وإلحاق الظنّ بالأعمّ الأغلب ، وإن كان ذلك ممّا يستفاد من الأخبار أيضا كما أشرنا في أوائل الكتاب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الإشكال في الإجماعات المنقولة بسبب وجود المخالف وتعارضها حتّى من مدّعيها كما مرّ الإشارة إليه ، قد ظهر لك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هنا أيضا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المخالف غير مضرّ في تحقّق الإجماع كما عرفت ، ووقوع الخطأ من المدّعي أيضا في استنباطه أيضا لا ننكره ، وكم من هذا القبيل في أخبار الآحاد ، مع أنّا نقول بحجّيتها ، فكذلك التعارض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يمكن حصول الاختلاف في الأخبار من جهة الغفلة والنسيان وسوء الفهم والنقل بالمعنى وغير ذلك ، وهو لا يقدح في حجّية ماهية خبر الواحد ، فكذلك ما نحن فيه ، فإنّ مبنى الاطّلاع على الإجماع غالبا ، على الحدس وهو ممّا يجري فيه الخطأ ، والخطأ في القطعيّات </w:t>
      </w:r>
      <w:r>
        <w:rPr>
          <w:rStyle w:val="FootnoteAnchor"/>
          <w:rtl w:val="true"/>
        </w:rPr>
        <w:footnoteReference w:id="1047"/>
      </w:r>
      <w:r>
        <w:rPr>
          <w:rFonts w:ascii="Amiri" w:hAnsi="Amiri" w:eastAsia="Amiri" w:cs="Amiri"/>
          <w:color w:val="111111"/>
          <w:sz w:val="28"/>
          <w:sz w:val="28"/>
          <w:szCs w:val="28"/>
          <w:rtl w:val="true"/>
          <w:lang w:bidi="ar-SA"/>
        </w:rPr>
        <w:t>في غاية الكثرة ، ألا ترى أنّ بعض أرباب المعقول يدّعي أنّ الجسم بعد الانفصال هو هو بالبديهة ، والآخر يدّعي أنّه غيره بالبديهة ، فتعارض الإجماعات ، ومخالفتها مبتن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السيّد رحمه‌الله ادّعى الإجماع على عدم حجّية خبر الواحد ، وادّعى الشيخ الإجماع على خلافه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رحمه‌الله كان ناظرا إلى طريقة المتكلّمين والناظرين في أصول العقائد ، وانضمّ إلى ذلك في نظره قرائن اخرى وغفل عن طريقة أهل الحديث ، وحكم بكون عدم جواز العمل به مطلقا </w:t>
      </w:r>
      <w:r>
        <w:rPr>
          <w:rStyle w:val="FootnoteAnchor"/>
          <w:rtl w:val="true"/>
        </w:rPr>
        <w:footnoteReference w:id="1049"/>
      </w:r>
      <w:r>
        <w:rPr>
          <w:rFonts w:ascii="Amiri" w:hAnsi="Amiri" w:eastAsia="Amiri" w:cs="Amiri"/>
          <w:color w:val="111111"/>
          <w:sz w:val="28"/>
          <w:sz w:val="28"/>
          <w:szCs w:val="28"/>
          <w:rtl w:val="true"/>
          <w:lang w:bidi="ar-SA"/>
        </w:rPr>
        <w:t>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إلى طريقة الفقهاء وأهل الحديث ، وغفل عن طريقة المتكلّمين ، وحكم بكون جواز العمل به إجماعيا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سبب حصول الاختلاف من جانب الشارع ممكن في الأخبار ، كما صرّحوا عليهم‌السلام به ، فكذلك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انعقد إجماع على مستند صدر قطعا من الإمام عليه‌السلام ، وانعقد إجماع آخر على مستند آخر بعينه صدر عنه عليه‌السلام قطعا ، وهذا ليس بمستبعد ولا مستنكر ، ووجه صدور المتخالفة من الأحكام عنهم عليهم‌السلام ظاهر من جهة التقيّة وغيرها </w:t>
      </w:r>
      <w:r>
        <w:rPr>
          <w:rStyle w:val="FootnoteAnchor"/>
          <w:rtl w:val="true"/>
        </w:rPr>
        <w:footnoteReference w:id="1050"/>
      </w:r>
      <w:r>
        <w:rPr>
          <w:rFonts w:ascii="Amiri" w:hAnsi="Amiri" w:eastAsia="Amiri" w:cs="Amiri"/>
          <w:color w:val="111111"/>
          <w:sz w:val="28"/>
          <w:sz w:val="28"/>
          <w:szCs w:val="28"/>
          <w:rtl w:val="true"/>
          <w:lang w:bidi="ar-SA"/>
        </w:rPr>
        <w:t>، فلا مانع من رجوع المدّعي عن دعواه أيضا من جهة هذه الامور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هاهنا كلام آخر ، وهو انّا بيّنا أنّ الطريقة التي اختارها الشيخ وغيره من الأصحاب الّذين يعتمدون في إثبات موافقة قول الإمام عليه‌السلام للمجمعين ، بأنّه لو كان اجتماعهم على الباطل ؛ لوجب على الإمام عليه‌السلام ردعهم عن الضلالة بنفسه أو بغيره ، ضعيفة </w:t>
      </w:r>
      <w:r>
        <w:rPr>
          <w:rStyle w:val="FootnoteAnchor"/>
          <w:rtl w:val="true"/>
        </w:rPr>
        <w:footnoteReference w:id="1051"/>
      </w:r>
      <w:r>
        <w:rPr>
          <w:rFonts w:ascii="Amiri" w:hAnsi="Amiri" w:eastAsia="Amiri" w:cs="Amiri"/>
          <w:color w:val="111111"/>
          <w:sz w:val="28"/>
          <w:sz w:val="28"/>
          <w:szCs w:val="28"/>
          <w:rtl w:val="true"/>
          <w:lang w:bidi="ar-SA"/>
        </w:rPr>
        <w:t xml:space="preserve">، ولا يمكن الاعتماد عليها ، فكيف يجوز الاعتماد على إجماعاتهم المنقولة مع أنّكم لا تفرّقون بينها ، فإذا كان الإجماع المنقول من مثلهم </w:t>
      </w:r>
      <w:r>
        <w:rPr>
          <w:rStyle w:val="FootnoteAnchor"/>
          <w:rtl w:val="true"/>
        </w:rPr>
        <w:footnoteReference w:id="1052"/>
      </w:r>
      <w:r>
        <w:rPr>
          <w:rFonts w:ascii="IRNazanin" w:hAnsi="IRNazanin" w:eastAsia="IRNazanin"/>
          <w:color w:val="111111"/>
          <w:sz w:val="28"/>
          <w:sz w:val="28"/>
          <w:szCs w:val="28"/>
          <w:rtl w:val="true"/>
          <w:lang w:bidi="fa-IR"/>
        </w:rPr>
        <w:t xml:space="preserve">أو </w:t>
      </w:r>
    </w:p>
    <w:p>
      <w:pPr>
        <w:pStyle w:val="BookText"/>
        <w:rPr/>
      </w:pPr>
      <w:r>
        <w:rPr>
          <w:rFonts w:ascii="Amiri" w:hAnsi="Amiri" w:eastAsia="Amiri" w:cs="Amiri"/>
          <w:color w:val="111111"/>
          <w:sz w:val="28"/>
          <w:sz w:val="28"/>
          <w:szCs w:val="28"/>
          <w:rtl w:val="true"/>
          <w:lang w:bidi="ar-SA"/>
        </w:rPr>
        <w:t xml:space="preserve">محتملا لكون مدّعيه قائلا بكونه إجماعا من هذه الجهة ، فكيف يمكن الاعتماد عليه ، وهو نظير الإشكال الذي ذكره المنكرون لعلم الرّجال النافون للاحتياج إليه ، بأنّه كيف يعرف عدالة الرّاوي مع وجود الاختلاف في معنى العدالة ، وعدم المعرفة بحال المزكّى واعتقاده في العدالة ، وسنجيب عنه </w:t>
      </w:r>
      <w:r>
        <w:rPr>
          <w:rStyle w:val="FootnoteAnchor"/>
          <w:rtl w:val="true"/>
        </w:rPr>
        <w:footnoteReference w:id="1053"/>
      </w:r>
      <w:r>
        <w:rPr>
          <w:rFonts w:ascii="Amiri" w:hAnsi="Amiri" w:eastAsia="Amiri" w:cs="Amiri"/>
          <w:color w:val="111111"/>
          <w:sz w:val="28"/>
          <w:sz w:val="28"/>
          <w:szCs w:val="28"/>
          <w:rtl w:val="true"/>
          <w:lang w:bidi="ar-SA"/>
        </w:rPr>
        <w:t>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في دفع الإشكال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الإشكال لا يرد على ما إدّعاه غير الشيخ ممّن لم يقل بهذه المقالة ، وهم الأكثرون ، بل لم نقف على مصرّح بهذه الطريقة </w:t>
      </w:r>
      <w:r>
        <w:rPr>
          <w:rStyle w:val="FootnoteAnchor"/>
          <w:rtl w:val="true"/>
        </w:rPr>
        <w:footnoteReference w:id="1054"/>
      </w:r>
      <w:r>
        <w:rPr>
          <w:rFonts w:ascii="Amiri" w:hAnsi="Amiri" w:eastAsia="Amiri" w:cs="Amiri"/>
          <w:color w:val="111111"/>
          <w:sz w:val="28"/>
          <w:sz w:val="28"/>
          <w:szCs w:val="28"/>
          <w:rtl w:val="true"/>
          <w:lang w:bidi="ar-SA"/>
        </w:rPr>
        <w:t xml:space="preserve">من بعد الشيخ ، وقد ردّ هذه الطريقة وزيّفها سيّدنا المرتضى رحمه‌الله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الشيخ ومن يوافقه في هذه المقالة ، فهم لا يقولون بانحصار العلم بثبوت الإجماع في هذه الطريقة المدخولة ، بل يصرّحون بأنّ الاتّفاق كاشف عن قول الإمام عليه‌السلام ، وبأنّ العلم </w:t>
      </w:r>
      <w:r>
        <w:rPr>
          <w:rStyle w:val="FootnoteAnchor"/>
          <w:rtl w:val="true"/>
        </w:rPr>
        <w:footnoteReference w:id="1056"/>
      </w:r>
      <w:r>
        <w:rPr>
          <w:rFonts w:ascii="Amiri" w:hAnsi="Amiri" w:eastAsia="Amiri" w:cs="Amiri"/>
          <w:color w:val="111111"/>
          <w:sz w:val="28"/>
          <w:sz w:val="28"/>
          <w:szCs w:val="28"/>
          <w:rtl w:val="true"/>
          <w:lang w:bidi="ar-SA"/>
        </w:rPr>
        <w:t xml:space="preserve">يحصل من جهة الاتّفاق كغيرهم من الأصحاب ، والإجماع الواقعي عنده أيضا هو ما ذكره القوم فلاحظ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مصرّحا فيها بذلك في مواضع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ذلك أيضا في طريق معرفة قول الإمام عليه‌السلام حيث لم يوجد للإماميّة مخالف في الحكم ولم يعلم اتّفاقهم ، ولم يعرف بموافقة إمامهم 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عدم ظهور المخالفة يعلم أنّه عليه‌السلام راض بما اتّفقوا عليه ، وإلّا لوجب عليه الظهور بنفسه أو بغيره وردعهم عن ذلك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لو كان بينهم قولان لم يظهر لهم مخالف ولم يعلم موافقته عليه‌السلام 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يدلّ على أنّ الإمام عليه‌السلام خيّرهم بين القولين وإلّا لظهر وأقامهم على الحقّ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ذكر الشيخ أنّ الأصحاب أجمعوا على كذا أو اتّفقوا على كذا </w:t>
      </w:r>
      <w:r>
        <w:rPr>
          <w:rStyle w:val="FootnoteAnchor"/>
          <w:rtl w:val="true"/>
        </w:rPr>
        <w:footnoteReference w:id="1059"/>
      </w:r>
      <w:r>
        <w:rPr>
          <w:rFonts w:ascii="Amiri" w:hAnsi="Amiri" w:eastAsia="Amiri" w:cs="Amiri"/>
          <w:color w:val="111111"/>
          <w:sz w:val="28"/>
          <w:sz w:val="28"/>
          <w:szCs w:val="28"/>
          <w:rtl w:val="true"/>
          <w:lang w:bidi="ar-SA"/>
        </w:rPr>
        <w:t>، وهو أغلب ما يذكرونه في هذا المقام ، فهو دالّ على الإجماع المصطلح عند جمهورهم ولا غبار عليه ، فإنّ اتّفاق الكلّ واجتماعهم ، كاشف عن رأي رئيسهم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الشيخ إذا اختلف اصطلاحه في الإجماع ، فالظاهر من حاله أنّه إذا أراد حكاية الإجماع على غير الطريقة المستمرّة بين العلماء ، أن يبيّن ذلك ، فإنّ نقلهم الإجماع في كتبهم لأجل أن يعتمد عليه من بعدهم ، فإخفاء ذلك مع تعدّد اصطلاحه ، تدليس منه </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 حيث يطلق الإجماع إرادة المعنى المعهود كما ذكروا ، نظير ذلك في الجواب عن الشّبهة في التعديل ، فإنّ ظاهر حال المزكّي أنّه يذكر في كتابه ليكون معتمدا لكلّ من سيجيء بعده ، فإنّه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عدل ، لا بدّ أن يريد منه العدالة التي تكون كافية عند الكلّ ، مع أنّ الغالب الشّائع </w:t>
      </w:r>
      <w:r>
        <w:rPr>
          <w:rStyle w:val="FootnoteAnchor"/>
          <w:rtl w:val="true"/>
        </w:rPr>
        <w:footnoteReference w:id="1061"/>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الإجماعات هو ما كان على طبق مصطلح المشهور ، فالمطلق في كلامهم ينصرف إلى الأفراد الغالبة ، مع أنّ حصول مقام لم يعرف في الإمامية مخالف في الحكم ولم يبق احتمال ظاهر لوجود المخالف ، قلّما ينفكّ عن حصول العلم بموافقة الإمام من جهة اتّفاقهم ، ولا يحتاج إلى إثبات الموافقة من جهة الدّليل الذي ذكره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 فلا يخفى أنّ ما ذكره الشيخ أيضا لو لم يصر إجماعا ، فلا ريب أنّه يفيد ظنّا قويّا قد يمكن الاعتماد عليه ، فليجعل الإجماعات المنقولة على قسمين ، وذلك لا يوجب نفي حجّية الإجماع المنقول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إشكال آخر أيضا ، وهو أنّ بعضهم يعتمد على الإجماع الظنّي ، بمعنى أنّه يدّعي الإجماع بمظنّة حصوله ، وآخرون لا يعتمدون إلّا على القطعي ، فكيف يجوز الاعتماد على مطلق الإجماعات المنقولة مع عدم العلم بأنّها من قبيل الأوّل أو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أنّهم يعتبرون ذلك ، فلا يخفى أنّهم يتكلّمون على ما هو مصطلحهم ، ومصطلحهم في كتبهم الاصولية والفقهية هو القسم الثاني ، فيحمل إطلاقها عليه ، وكلّ ما كان من قبيل الأوّل ، فيصرّحون بما يدلّ على ظنّيته ، مثل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إجماعيّ أو لعلّه إجماعيّ ، وأمثال ذلك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على كذا ، واتّفقوا ، أو أنّه كذلك عند علمائنا ، ونحو ذلك ، فلا ريب أنّها صريحة في دعوى العلم ، والعلم بمثل هذه الألفاظ وإرادة الظنّ بالاجتماع تدليس ينافي عدالتهم حاشاهم من ذلك ، مع أنّه لا يبعد القول بحجّية الإجماع المظنون كالإجماع المنقول نظير الشّهرة بالنسبة إلى الإجماع على ما </w:t>
      </w:r>
    </w:p>
    <w:p>
      <w:pPr>
        <w:pStyle w:val="BookText"/>
        <w:rPr/>
      </w:pPr>
      <w:r>
        <w:rPr>
          <w:rFonts w:ascii="Amiri" w:hAnsi="Amiri" w:eastAsia="Amiri" w:cs="Amiri"/>
          <w:color w:val="111111"/>
          <w:sz w:val="28"/>
          <w:sz w:val="28"/>
          <w:szCs w:val="28"/>
          <w:rtl w:val="true"/>
          <w:lang w:bidi="ar-SA"/>
        </w:rPr>
        <w:t xml:space="preserve">وجّهه الشهيد رحمه‌الله كما مرّ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من البيان لتفاوت المذاهب في الاحتجاج وتفاوت المذكورات في القوّة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الإجماع المنقول ، مثل الخبر المنقول يجري فيه أقسامه وأحكامه من الردّ والقبول والتعادل والترجيح ، فينقسم بالمنقول بخبر الواحد والمتواتر والصحيح والضعيف والمسند والمرسل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اعتبار المرجّحات من علوّ الإسناد وكثرة الواسطة والأفقهيّة والأعدليّة وغير ذلك من المرجّحات ، والصحّة والضعف ، يحصل بسبب عدالة الناقل وعدمها ، والإسناد والإرسال يحصل باتّصال السّند إلى الناقل وعدمه ، وحذف بعض السّلسلة وعدمه مثل أنّ الشيخ سمع عن شيخه المفيد أنّ المسألة اجماعية ، فقال هو أجمع الأصحاب من دون رواية عن شيخه فهذا موقوف ، أو روى ابن إدريس عن المفيد بواسطة الشيخ بحذف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 بخبر الواحد أو متواترا ، فقد أورد المحقّق البهائي رحمه‌الله سؤالا فيه </w:t>
      </w:r>
      <w:r>
        <w:rPr>
          <w:rStyle w:val="FootnoteAnchor"/>
          <w:rtl w:val="true"/>
        </w:rPr>
        <w:footnoteReference w:id="1063"/>
      </w:r>
      <w:r>
        <w:rPr>
          <w:rFonts w:ascii="IRNazanin" w:hAnsi="IRNazanin" w:eastAsia="IRNazanin"/>
          <w:color w:val="111111"/>
          <w:sz w:val="28"/>
          <w:sz w:val="28"/>
          <w:szCs w:val="28"/>
          <w:rtl w:val="true"/>
          <w:lang w:bidi="fa-IR"/>
        </w:rPr>
        <w:t xml:space="preserve">على القوم </w:t>
      </w:r>
      <w:r>
        <w:rPr>
          <w:rStyle w:val="FootnoteAnchor"/>
          <w:rtl w:val="true"/>
        </w:rPr>
        <w:footnoteReference w:id="1064"/>
      </w:r>
      <w:r>
        <w:rPr>
          <w:rFonts w:ascii="Amiri" w:hAnsi="Amiri" w:eastAsia="Amiri" w:cs="Amiri"/>
          <w:color w:val="111111"/>
          <w:sz w:val="28"/>
          <w:sz w:val="28"/>
          <w:szCs w:val="28"/>
          <w:rtl w:val="true"/>
          <w:lang w:bidi="ar-SA"/>
        </w:rPr>
        <w:t xml:space="preserve">بأنّهم مطبقون على اشتراط الحسّ في التواتر ، وأنّه لا يثبت بالتواتر إلّا ما كان محسوسا ، والإجماع هو تطابق آراء رؤساء الدّين على حكم ، والذي ينقل بالتواتر هو قولهم ، وقولهم بشيء لا يستلزم إذعانهم به في نفس الأمر ، وإن قال 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مذعن بذلك لاحتمال التقيّة أو الكذب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يفيد الظنّ بذلك لأصالة عدمهما ، وسيّما الثاني لمصادمته للعدالة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بذلك ، أنّ تقسيم الأصوليين الإجماع إلى قطعيّ ثابت بالتواتر ، وظنّيّ </w:t>
      </w:r>
    </w:p>
    <w:p>
      <w:pPr>
        <w:pStyle w:val="BookText"/>
        <w:rPr/>
      </w:pPr>
      <w:r>
        <w:rPr>
          <w:rFonts w:ascii="Amiri" w:hAnsi="Amiri" w:eastAsia="Amiri" w:cs="Amiri"/>
          <w:color w:val="111111"/>
          <w:sz w:val="28"/>
          <w:sz w:val="28"/>
          <w:szCs w:val="28"/>
          <w:rtl w:val="true"/>
          <w:lang w:bidi="ar-SA"/>
        </w:rPr>
        <w:t>ثابت بغيره ، بعيد عن السّداد ، وكذا قول بعض المتكلّمين أنّ القطع بحدوث العالم حاصل من الإجماع المتواتر على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تواتر الإجماع وإن كان قلّما ينفكّ عن الضّروري وفرضه بدونه نادر ، سيّما مع كثرة الوسائط ، ولكن يمكن أن يقال في جواب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فيمنع انحصار التواتر في المحسوسات ، بل يمكن به إثبات غيره </w:t>
      </w:r>
      <w:r>
        <w:rPr>
          <w:rStyle w:val="FootnoteAnchor"/>
          <w:rtl w:val="true"/>
        </w:rPr>
        <w:footnoteReference w:id="1065"/>
      </w:r>
      <w:r>
        <w:rPr>
          <w:rFonts w:ascii="Amiri" w:hAnsi="Amiri" w:eastAsia="Amiri" w:cs="Amiri"/>
          <w:color w:val="111111"/>
          <w:sz w:val="28"/>
          <w:sz w:val="28"/>
          <w:szCs w:val="28"/>
          <w:rtl w:val="true"/>
          <w:lang w:bidi="ar-SA"/>
        </w:rPr>
        <w:t xml:space="preserve">أيضا ، فيمكن حصول العلم بمسألة علمية باجتماع كثير من العقلاء الأزكياء ، سيّما مع عدم قيام دليل على بطلان قولهم ، كما استدلّ بعضهم على إثبات الصّانع ووحدته باتّفاق الأنبياء والأوصياء والعلماء قاطبة على ذلك </w:t>
      </w:r>
      <w:r>
        <w:rPr>
          <w:rStyle w:val="FootnoteAnchor"/>
          <w:rtl w:val="true"/>
        </w:rPr>
        <w:footnoteReference w:id="1066"/>
      </w:r>
      <w:r>
        <w:rPr>
          <w:rFonts w:ascii="Amiri" w:hAnsi="Amiri" w:eastAsia="Amiri" w:cs="Amiri"/>
          <w:color w:val="111111"/>
          <w:sz w:val="28"/>
          <w:sz w:val="28"/>
          <w:szCs w:val="28"/>
          <w:rtl w:val="true"/>
          <w:lang w:bidi="ar-SA"/>
        </w:rPr>
        <w:t>، فإنّ العقل يستحيل اجتماع أمثال ذلك على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فيما نحن فيه ، إذا نقل جماعة كثيرة يؤمن تواطؤهم على الخطأ ، أقوال المجمعين ، مع دعواهم بمعرفتهم من حالهم ، إذعانهم بما قالوا </w:t>
      </w:r>
      <w:r>
        <w:rPr>
          <w:rStyle w:val="FootnoteAnchor"/>
          <w:rtl w:val="true"/>
        </w:rPr>
        <w:footnoteReference w:id="1067"/>
      </w:r>
      <w:r>
        <w:rPr>
          <w:rFonts w:ascii="Amiri" w:hAnsi="Amiri" w:eastAsia="Amiri" w:cs="Amiri"/>
          <w:color w:val="111111"/>
          <w:sz w:val="28"/>
          <w:sz w:val="28"/>
          <w:szCs w:val="28"/>
          <w:rtl w:val="true"/>
          <w:lang w:bidi="ar-SA"/>
        </w:rPr>
        <w:t xml:space="preserve">، وانّهم صادقون في ذلك ، فيمكن حصول العلم بصدقهم في نقل القول ، وإصابتهم في إدراك مطابقة قولهم لرأيهم سيّما مع ملاحظة تطابقهم في ذلك </w:t>
      </w:r>
      <w:r>
        <w:rPr>
          <w:rStyle w:val="FootnoteAnchor"/>
          <w:rtl w:val="true"/>
        </w:rPr>
        <w:footnoteReference w:id="1068"/>
      </w:r>
      <w:r>
        <w:rPr>
          <w:rFonts w:ascii="Amiri" w:hAnsi="Amiri" w:eastAsia="Amiri" w:cs="Amiri"/>
          <w:color w:val="111111"/>
          <w:sz w:val="28"/>
          <w:sz w:val="28"/>
          <w:szCs w:val="28"/>
          <w:rtl w:val="true"/>
          <w:lang w:bidi="ar-SA"/>
        </w:rPr>
        <w:t>واعتراف كلّ منهم بأنّي مذعن بما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ممّا ذكرنا أنّه يمكن حصول القطع بالإجماع بنقل هذه الجماعة الكثيرة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ذلك نظير ما يعلم به اتّفاق كلّ العلماء إجمالا في أصل انعقاد الإجماع ، فإنّه كما يمكن حصول العلم باتّفاق الكلّ بسبب العلم برأي أكثرهم وعامّتهم وإن كان ذلك بسبب انضمام القرائن ، فيمكن حصول العلم بتحقّق </w:t>
      </w:r>
    </w:p>
    <w:p>
      <w:pPr>
        <w:pStyle w:val="BookText"/>
        <w:rPr/>
      </w:pPr>
      <w:r>
        <w:rPr>
          <w:rFonts w:ascii="Amiri" w:hAnsi="Amiri" w:eastAsia="Amiri" w:cs="Amiri"/>
          <w:color w:val="111111"/>
          <w:sz w:val="28"/>
          <w:sz w:val="28"/>
          <w:szCs w:val="28"/>
          <w:rtl w:val="true"/>
          <w:lang w:bidi="ar-SA"/>
        </w:rPr>
        <w:t>الإجماع بدعوى جماعة كثيرة تحقّق الإجماع ، وإن كان بسبب انضمام بعض القرائن ، فمراد القوم بالإجماع الثابت بالتواتر هو ذلك ، مع أنّه يكفي ثبوت أقوالهم بالتواتر ، فنفهم نحن تحقّق الإجماع بسبب اجتماع أقوالهم ، فالتواتر إنّما هو في ملزوم الإجماع لا في نفسه ، كما سنذكره في المتواتر بالمعنى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الأفاضل </w:t>
      </w:r>
      <w:r>
        <w:rPr>
          <w:rStyle w:val="FootnoteAnchor"/>
          <w:rtl w:val="true"/>
        </w:rPr>
        <w:footnoteReference w:id="1069"/>
      </w:r>
      <w:r>
        <w:rPr>
          <w:rFonts w:ascii="Amiri" w:hAnsi="Amiri" w:eastAsia="Amiri" w:cs="Amiri"/>
          <w:color w:val="111111"/>
          <w:sz w:val="28"/>
          <w:sz w:val="28"/>
          <w:szCs w:val="28"/>
          <w:rtl w:val="true"/>
          <w:lang w:bidi="ar-SA"/>
        </w:rPr>
        <w:t xml:space="preserve">في مقام الجواب </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تحقّق التواتر على طريقة العامّة الّذين يقولون بحجّية الإجماع من حيث إنّه إجماع واتّفاق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الرؤساء إذا اتّفقوا على قول ، مثل أنّ الماء الكثير لا ينجس بالملاقاة ، لا بدّ أن يكون كذلك في الواقع ، وليس علينا أن نبحث عن مطابقته لآرائهم ، لأنّ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امّتي على الخطأ</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 كما يدلّ على عدم اجتماعهم على الرأي الخطأ ، يدلّ على عدم اجتماعهم على القول الخطأ أيضا ، فلو اجتمعت على هذا القول الكاذب ، لزم كذبه صلى‌الله‌عليه‌وآله </w:t>
      </w:r>
      <w:r>
        <w:rPr>
          <w:rStyle w:val="FootnoteAnchor"/>
          <w:rtl w:val="true"/>
        </w:rPr>
        <w:footnoteReference w:id="1072"/>
      </w:r>
      <w:r>
        <w:rPr>
          <w:rFonts w:ascii="IRNazanin" w:hAnsi="IRNazanin" w:eastAsia="IRNazanin"/>
          <w:color w:val="111111"/>
          <w:sz w:val="28"/>
          <w:sz w:val="28"/>
          <w:szCs w:val="28"/>
          <w:rtl w:val="true"/>
          <w:lang w:bidi="fa-IR"/>
        </w:rPr>
        <w:t>وهو محال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القول المتّفق عليه إن ثبت </w:t>
      </w:r>
      <w:r>
        <w:rPr>
          <w:rStyle w:val="FootnoteAnchor"/>
          <w:rtl w:val="true"/>
        </w:rPr>
        <w:footnoteReference w:id="1073"/>
      </w:r>
      <w:r>
        <w:rPr>
          <w:rFonts w:ascii="Amiri" w:hAnsi="Amiri" w:eastAsia="Amiri" w:cs="Amiri"/>
          <w:color w:val="111111"/>
          <w:sz w:val="28"/>
          <w:sz w:val="28"/>
          <w:szCs w:val="28"/>
          <w:rtl w:val="true"/>
          <w:lang w:bidi="ar-SA"/>
        </w:rPr>
        <w:t xml:space="preserve">بالتواتر فقطعيّ ، وإلّا فظنّيّ لظنّية طريقه لا </w:t>
      </w:r>
    </w:p>
    <w:p>
      <w:pPr>
        <w:pStyle w:val="BookText"/>
        <w:rPr/>
      </w:pPr>
      <w:r>
        <w:rPr>
          <w:rFonts w:ascii="Amiri" w:hAnsi="Amiri" w:eastAsia="Amiri" w:cs="Amiri"/>
          <w:color w:val="111111"/>
          <w:sz w:val="28"/>
          <w:sz w:val="28"/>
          <w:szCs w:val="28"/>
          <w:rtl w:val="true"/>
          <w:lang w:bidi="ar-SA"/>
        </w:rPr>
        <w:t>لظنّية نفسه ، فهو كالمتن القطعيّ الثابت بالسّند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الحاجبي </w:t>
      </w:r>
      <w:r>
        <w:rPr>
          <w:rStyle w:val="FootnoteAnchor"/>
          <w:rtl w:val="true"/>
        </w:rPr>
        <w:footnoteReference w:id="1074"/>
      </w:r>
      <w:r>
        <w:rPr>
          <w:rFonts w:ascii="Amiri" w:hAnsi="Amiri" w:eastAsia="Amiri" w:cs="Amiri"/>
          <w:color w:val="111111"/>
          <w:sz w:val="28"/>
          <w:sz w:val="28"/>
          <w:szCs w:val="28"/>
          <w:rtl w:val="true"/>
          <w:lang w:bidi="ar-SA"/>
        </w:rPr>
        <w:t xml:space="preserve">في مقام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الإجماع قطعيّة ، ودلالة الخبر ظنّية ، وإذا وجب العمل مع نقل الخبر الظنّي ، فوجوبه مع نقل القطعيّ أولى ، وليس غرضه أنّ الإجماع المنقول بخبر الواحد يفيد القطع حتّى يمنع </w:t>
      </w:r>
      <w:r>
        <w:rPr>
          <w:rStyle w:val="FootnoteAnchor"/>
          <w:rtl w:val="true"/>
        </w:rPr>
        <w:footnoteReference w:id="1075"/>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مثل أن يقول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بالظاهر المحكيّ عن المعصوم عليه‌السلام مثلا إذا كان واجبا ، فالنصّ المحكيّ أولى ، انتهى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 فإنّه لا معنى محصّل للإجماع على القول الخطأ ، والاتّفاق على القول الصّواب ، إذا اريد منه محض اللّفظ ، إلّا اتّفاقهم في كيفيّة </w:t>
      </w:r>
    </w:p>
    <w:p>
      <w:pPr>
        <w:pStyle w:val="BookText"/>
        <w:rPr/>
      </w:pPr>
      <w:r>
        <w:rPr>
          <w:rFonts w:ascii="Amiri" w:hAnsi="Amiri" w:eastAsia="Amiri" w:cs="Amiri"/>
          <w:color w:val="111111"/>
          <w:sz w:val="28"/>
          <w:sz w:val="28"/>
          <w:szCs w:val="28"/>
          <w:rtl w:val="true"/>
          <w:lang w:bidi="ar-SA"/>
        </w:rPr>
        <w:t xml:space="preserve">قراءة اللّفظ وإعرابه ، وإلّا فالظاهر من الاجتماع على القول هو الاجتماع على مؤدّاه ومفهومه ، ومع ذلك فأيّ فائدة له في المسائل الفقهية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فائدته </w:t>
      </w:r>
      <w:r>
        <w:rPr>
          <w:rStyle w:val="FootnoteAnchor"/>
          <w:rtl w:val="true"/>
        </w:rPr>
        <w:footnoteReference w:id="1077"/>
      </w:r>
      <w:r>
        <w:rPr>
          <w:rFonts w:ascii="Amiri" w:hAnsi="Amiri" w:eastAsia="Amiri" w:cs="Amiri"/>
          <w:color w:val="111111"/>
          <w:sz w:val="28"/>
          <w:sz w:val="28"/>
          <w:szCs w:val="28"/>
          <w:rtl w:val="true"/>
          <w:lang w:bidi="ar-SA"/>
        </w:rPr>
        <w:t>هو صيرورة المتن قطعيّا ، أو إن كان الدّلالة ظنّية كالخبر المتواتر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بالتواتر فقطعيّ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هذا اللّفظ حينئذ موافق للواقع </w:t>
      </w:r>
      <w:r>
        <w:rPr>
          <w:rStyle w:val="FootnoteAnchor"/>
          <w:rtl w:val="true"/>
        </w:rPr>
        <w:footnoteReference w:id="1079"/>
      </w:r>
      <w:r>
        <w:rPr>
          <w:rFonts w:ascii="Amiri" w:hAnsi="Amiri" w:eastAsia="Amiri" w:cs="Amiri"/>
          <w:color w:val="111111"/>
          <w:sz w:val="28"/>
          <w:sz w:val="28"/>
          <w:szCs w:val="28"/>
          <w:rtl w:val="true"/>
          <w:lang w:bidi="ar-SA"/>
        </w:rPr>
        <w:t xml:space="preserve">ونفس الأمر على ما حقّق المقام ، لا إنّه قطعيّ الدلالة على مراد المجمعين ، وحينئذ فلا معنى لقوله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فظنّيّ لظنّيّة طريقه لا لظنّيّة نفسه ، فإنّ مراده بذلك بقرينة المقابلة لا بدّ أن يكون أنّه بدون التواتر لا يعلم كون اللّفظ موافقا للواقع ونفس الأمر ، لكن ذلك بسبب ظنّيّة طريقه لا بسبب ظنّيّة نفسه ، لأنّ نفسه قطعيّ موافق لنفس الأمر ، وهو كما ترى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أراد من نفي ظنّيّة نفسه كونه قطعيّ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قطع النظر عن الدلالة وعن مراد القائل ، والمفروض عدم القطع بمرادهم أيضا ، فهل هذا إلّا تناقض</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نظير أن ينقل أحد آية ويذكر أنّه من القرآن لمن يعلم قطعا بأنّ القرآن قطعيّ وموافق لنفس الأمر ومحدود معيّن ، ولكن لا يعلم أنّ هذه الآية </w:t>
      </w:r>
    </w:p>
    <w:p>
      <w:pPr>
        <w:pStyle w:val="BookText"/>
        <w:rPr/>
      </w:pPr>
      <w:r>
        <w:rPr>
          <w:rFonts w:ascii="Amiri" w:hAnsi="Amiri" w:eastAsia="Amiri" w:cs="Amiri"/>
          <w:color w:val="111111"/>
          <w:sz w:val="28"/>
          <w:sz w:val="28"/>
          <w:szCs w:val="28"/>
          <w:rtl w:val="true"/>
          <w:lang w:bidi="ar-SA"/>
        </w:rPr>
        <w:t>هل هي من القرآن أم لا ، فهذا نقل قطعيّ بالظنّيّ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نحن فيه من هذا القبيل ، بل من قبيل ما روي في الشواذّ زيادة بعض الكلمات أو الآيات ، فالكلام في ذلك أنّا لا نعلم أنّ هذه الآية قرآن أم لا ، لا أنّها من القرآن أم لا ، لأنّ الإجماعيات ليست متعيّنة في الخارج بشخصها لا يتجاوزها حتّى يشكّ في أنّ ذلك هل هو منها أم لا ، بل الشكّ في أنّ هذا إجماعيّ أم لا ، فتأمّل حتّى تفهم الفرق ولا يختلط عليك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كالمتن القطعيّ الثابت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أفهم معنى هذا التشبيه ، فإن أراد من المتن القطعيّ ، القطعيّ الوقوع ، فلا معنى له مع كون السّند ظنّيا ، وإن أراد قطعيّ الدّلالة فالمفروض عدمه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الخبر الذي يسمعه الرّاوي عن المعصوم عليه‌السلام بلا واسطة ليس بخبر واحد ولا ظنّي ، بل هو قطعيّ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الخبر لمن يرويه عنه عليه‌السلام إذا لم يحتفّ بقرينة توجب القطع ، ظنّيّ ، ودلالته أيضا ظنّيّة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 ابن الحاجب وغيره في هذا المقام جواز نقل هذا الخبر عن الرّاوي بطريق الآحاد ، فإذا جاز نقل ما هو ظنّي أنّه من الشارع دلالة وسندا ، فنقل ما هو </w:t>
      </w:r>
    </w:p>
    <w:p>
      <w:pPr>
        <w:pStyle w:val="BookText"/>
        <w:rPr/>
      </w:pPr>
      <w:r>
        <w:rPr>
          <w:rFonts w:ascii="Amiri" w:hAnsi="Amiri" w:eastAsia="Amiri" w:cs="Amiri"/>
          <w:color w:val="111111"/>
          <w:sz w:val="28"/>
          <w:sz w:val="28"/>
          <w:szCs w:val="28"/>
          <w:rtl w:val="true"/>
          <w:lang w:bidi="ar-SA"/>
        </w:rPr>
        <w:t>قطعيّ أولى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من نقل القطعيّ هو نقل مدّعي الإجماع ، فإنّ من يدّعي الإجماع فهو يحكي لغيره ما هو يقينيّ له أنّه من الشّارع ، بخلاف من يروي عن الرّاوي عن الشارع ، فإنّه يحكي ما هو ظنّيّ له أنّه من الشّارع ، فإن اقتصرت على ظنّيّة الدّلالة فيجوز ذلك المقايسة </w:t>
      </w:r>
      <w:r>
        <w:rPr>
          <w:rStyle w:val="FootnoteAnchor"/>
          <w:rtl w:val="true"/>
        </w:rPr>
        <w:footnoteReference w:id="1088"/>
      </w:r>
      <w:r>
        <w:rPr>
          <w:rFonts w:ascii="Amiri" w:hAnsi="Amiri" w:eastAsia="Amiri" w:cs="Amiri"/>
          <w:color w:val="111111"/>
          <w:sz w:val="28"/>
          <w:sz w:val="28"/>
          <w:szCs w:val="28"/>
          <w:rtl w:val="true"/>
          <w:lang w:bidi="ar-SA"/>
        </w:rPr>
        <w:t>بالنسبة إلى أوّل صدور الخبر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يتوهّم هذا المعنى أحد من كلامه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المحكيّ أولى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هذا التشبيه لا يصحّ على ما بني عليه المقام ، وإن كان موافقا لغرض الحاجبي ، كيف وليس موافقا لغرضه كما عرفت</w:t>
      </w:r>
      <w:r>
        <w:rPr>
          <w:rFonts w:eastAsia="Amiri" w:cs="Amiri" w:ascii="Amiri" w:hAnsi="Amiri"/>
          <w:color w:val="111111"/>
          <w:sz w:val="28"/>
          <w:szCs w:val="28"/>
          <w:rtl w:val="true"/>
          <w:lang w:bidi="ar-SA"/>
        </w:rPr>
        <w:t xml:space="preserve">. </w:t>
      </w:r>
      <w:bookmarkStart w:id="146" w:name="pg14071_149154"/>
    </w:p>
    <w:p>
      <w:pPr>
        <w:pStyle w:val="Heading3"/>
        <w:numPr>
          <w:ilvl w:val="2"/>
          <w:numId w:val="1"/>
        </w:numPr>
        <w:rPr/>
      </w:pPr>
      <w:bookmarkStart w:id="147" w:name="__RefHeading___Toc495095_1738255347"/>
      <w:bookmarkStart w:id="148" w:name="_Toc53"/>
      <w:bookmarkEnd w:id="146"/>
      <w:bookmarkEnd w:id="147"/>
      <w:r>
        <w:rPr>
          <w:rtl w:val="true"/>
        </w:rPr>
        <w:t xml:space="preserve">المقصد الثاني </w:t>
      </w:r>
      <w:r>
        <w:rPr>
          <w:rtl w:val="true"/>
        </w:rPr>
        <w:t xml:space="preserve">: </w:t>
      </w:r>
      <w:r>
        <w:rPr>
          <w:rtl w:val="true"/>
        </w:rPr>
        <w:t>في الكتاب</w:t>
      </w:r>
      <w:bookmarkEnd w:id="148"/>
    </w:p>
    <w:p>
      <w:pPr>
        <w:pStyle w:val="Heading4"/>
        <w:numPr>
          <w:ilvl w:val="3"/>
          <w:numId w:val="1"/>
        </w:numPr>
        <w:rPr/>
      </w:pPr>
      <w:bookmarkStart w:id="149" w:name="__RefHeading___Toc495097_1738255347"/>
      <w:bookmarkStart w:id="150" w:name="_Toc54"/>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في الكتاب </w:t>
      </w:r>
      <w:r>
        <w:rPr>
          <w:rStyle w:val="FootnoteAnchor"/>
          <w:rtl w:val="true"/>
        </w:rPr>
        <w:footnoteReference w:id="1092"/>
      </w:r>
    </w:p>
    <w:p>
      <w:pPr>
        <w:pStyle w:val="Heading4"/>
        <w:numPr>
          <w:ilvl w:val="3"/>
          <w:numId w:val="1"/>
        </w:numPr>
        <w:rPr/>
      </w:pPr>
      <w:bookmarkStart w:id="151" w:name="__RefHeading___Toc495099_1738255347"/>
      <w:bookmarkStart w:id="152" w:name="_Toc55"/>
      <w:bookmarkEnd w:id="151"/>
      <w:r>
        <w:rPr>
          <w:rtl w:val="true"/>
        </w:rPr>
        <w:t>قانون</w:t>
      </w:r>
      <w:bookmarkEnd w:id="15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جواز العمل بمحكمات الكتاب نصّا كان أو ظاهرا ، خلافا للأخباريين حيث قالوا بمنع الاستدلال بكلّه </w:t>
      </w:r>
      <w:r>
        <w:rPr>
          <w:rStyle w:val="FootnoteAnchor"/>
          <w:rtl w:val="true"/>
        </w:rPr>
        <w:footnoteReference w:id="1093"/>
      </w:r>
      <w:r>
        <w:rPr>
          <w:rFonts w:ascii="Amiri" w:hAnsi="Amiri" w:eastAsia="Amiri" w:cs="Amiri"/>
          <w:color w:val="111111"/>
          <w:sz w:val="28"/>
          <w:sz w:val="28"/>
          <w:szCs w:val="28"/>
          <w:rtl w:val="true"/>
          <w:lang w:bidi="ar-SA"/>
        </w:rPr>
        <w:t xml:space="preserve">على ما نسب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w:t>
      </w:r>
      <w:r>
        <w:rPr>
          <w:rStyle w:val="FootnoteAnchor"/>
          <w:rtl w:val="true"/>
        </w:rPr>
        <w:footnoteReference w:id="109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مذهبهم أنّ كلّ القرآن متشابه بالنسبة إلينا ، ولا يجوز أخذ حكم منه إلّا من دلالة الأخبار على بيانه ، وهو الأظهر من مذهبهم ، أو بالظّواهر فقط </w:t>
      </w:r>
      <w:r>
        <w:rPr>
          <w:rStyle w:val="FootnoteAnchor"/>
          <w:rtl w:val="true"/>
        </w:rPr>
        <w:footnoteReference w:id="1095"/>
      </w:r>
      <w:r>
        <w:rPr>
          <w:rFonts w:ascii="IRNazanin" w:hAnsi="IRNazanin" w:eastAsia="IRNazanin"/>
          <w:color w:val="111111"/>
          <w:sz w:val="28"/>
          <w:sz w:val="28"/>
          <w:szCs w:val="28"/>
          <w:rtl w:val="true"/>
          <w:lang w:bidi="fa-IR"/>
        </w:rPr>
        <w:t xml:space="preserve">على ما </w:t>
      </w:r>
    </w:p>
    <w:p>
      <w:pPr>
        <w:pStyle w:val="BookText"/>
        <w:rPr/>
      </w:pPr>
      <w:r>
        <w:rPr>
          <w:rFonts w:ascii="Amiri" w:hAnsi="Amiri" w:eastAsia="Amiri" w:cs="Amiri"/>
          <w:color w:val="111111"/>
          <w:sz w:val="28"/>
          <w:sz w:val="28"/>
          <w:szCs w:val="28"/>
          <w:rtl w:val="true"/>
          <w:lang w:bidi="ar-SA"/>
        </w:rPr>
        <w:t>يظهر من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وفصّل بعض الأفاضل </w:t>
      </w:r>
      <w:r>
        <w:rPr>
          <w:rStyle w:val="FootnoteAnchor"/>
          <w:rtl w:val="true"/>
        </w:rPr>
        <w:footnoteReference w:id="109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أرادوا أنّه لا يجوز العمل بالظواهر التي ادّعيت إفادتها للظنّ المحتملة لمثل التخصيص والتقييد والنسخ وغيرها ، لصيرورة أكثرها متشابها بالنسبة إلينا فلا يفيد الظنّ ، وما أفاد الظنّ منه قد منعنا عن العمل به ، مع قبول أنّ في القرآن محكما بالنسبة إلينا أيضا ، فلا كلام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أنّه لا محكم فيه أصلا ،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التفصيل غفلة عن محلّ النزاع ، فإنّ هذا التشابه على الوجه الذي ذكره لا اختصاص له بالكتاب ، بل هو يجري في الأخبار أيضا ، وقد مرّ بيانه في باب وجوب البحث عن المخصّص في العامّ ، بل النزاع في المقام إنّما هو بالنسبة إلى خصوص الكتاب ، وإنّما نشأ هذا النزاع من جهة بعض الأخبار الذي دلّ على أنّ علم القرآن مختصّ بالمعصومين عليهم‌السلام ، وأنّه لا يجوز تفسيره لغيرهم </w:t>
      </w:r>
      <w:r>
        <w:rPr>
          <w:rStyle w:val="FootnoteAnchor"/>
          <w:rtl w:val="true"/>
        </w:rPr>
        <w:footnoteReference w:id="1097"/>
      </w:r>
      <w:r>
        <w:rPr>
          <w:rFonts w:ascii="Amiri" w:hAnsi="Amiri" w:eastAsia="Amiri" w:cs="Amiri"/>
          <w:color w:val="111111"/>
          <w:sz w:val="28"/>
          <w:sz w:val="28"/>
          <w:szCs w:val="28"/>
          <w:rtl w:val="true"/>
          <w:lang w:bidi="ar-SA"/>
        </w:rPr>
        <w:t>، وذلك لا يختصّ بوقت دون وقت وبزمان دون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المفصّل فهو إنّما يصحّ في زمان عروض الاختلالات ، لا في أوّل زمان النزول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 القول بجواز العمل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في الصّدر الأوّل الذي خوطب به المشافهون فلأنّ الضّرورة قاضية بأنّ الله تعالى بعث رسوله صلى‌الله‌عليه‌وآله وأنزل إليه الكتاب بلسان قومه مشتملا على أوامر ونواهي </w:t>
      </w:r>
    </w:p>
    <w:p>
      <w:pPr>
        <w:pStyle w:val="BookText"/>
        <w:rPr/>
      </w:pPr>
      <w:r>
        <w:rPr>
          <w:rFonts w:ascii="IRNazanin" w:hAnsi="IRNazanin" w:eastAsia="IRNazanin"/>
          <w:color w:val="111111"/>
          <w:sz w:val="28"/>
          <w:sz w:val="28"/>
          <w:szCs w:val="28"/>
          <w:rtl w:val="true"/>
          <w:lang w:bidi="fa-IR"/>
        </w:rPr>
        <w:t xml:space="preserve">ودلائل لمعرفته ، وقصصا عمّن غبر </w:t>
      </w:r>
      <w:r>
        <w:rPr>
          <w:rStyle w:val="FootnoteAnchor"/>
          <w:rtl w:val="true"/>
        </w:rPr>
        <w:footnoteReference w:id="1098"/>
      </w:r>
      <w:r>
        <w:rPr>
          <w:rFonts w:ascii="Amiri" w:hAnsi="Amiri" w:eastAsia="Amiri" w:cs="Amiri"/>
          <w:color w:val="111111"/>
          <w:sz w:val="28"/>
          <w:sz w:val="28"/>
          <w:szCs w:val="28"/>
          <w:rtl w:val="true"/>
          <w:lang w:bidi="ar-SA"/>
        </w:rPr>
        <w:t xml:space="preserve">ووعدا ووعيدا وإخبارا بما سيجيء ، وما كان ذلك إلّا لأن يفهم قومه ويعتبروا به ، وقد فهموا وقطعوا بمراده تعالى من دون بيانه صلى‌الله‌عليه‌وآله ، وما جعل القرآن من باب اللّغز والمعمّى بالنسبة إليهم ، مع أنّ اللّغز والمعمّى </w:t>
      </w:r>
      <w:r>
        <w:rPr>
          <w:rStyle w:val="FootnoteAnchor"/>
          <w:rtl w:val="true"/>
        </w:rPr>
        <w:footnoteReference w:id="1099"/>
      </w:r>
      <w:r>
        <w:rPr>
          <w:rFonts w:ascii="Amiri" w:hAnsi="Amiri" w:eastAsia="Amiri" w:cs="Amiri"/>
          <w:color w:val="111111"/>
          <w:sz w:val="28"/>
          <w:sz w:val="28"/>
          <w:szCs w:val="28"/>
          <w:rtl w:val="true"/>
          <w:lang w:bidi="ar-SA"/>
        </w:rPr>
        <w:t xml:space="preserve">أيضا ممّا يظهر للذكيّ المتأمّل من أهل اللّسان والاصطلاح ، بل أصل الدّين ، وإثباته إنّما هو مبنيّ على ذلك ، إذ النبوّة إنّما تثبت بالمعجزة </w:t>
      </w:r>
      <w:r>
        <w:rPr>
          <w:rStyle w:val="FootnoteAnchor"/>
          <w:rtl w:val="true"/>
        </w:rPr>
        <w:footnoteReference w:id="1100"/>
      </w:r>
      <w:r>
        <w:rPr>
          <w:rFonts w:ascii="Amiri" w:hAnsi="Amiri" w:eastAsia="Amiri" w:cs="Amiri"/>
          <w:color w:val="111111"/>
          <w:sz w:val="28"/>
          <w:sz w:val="28"/>
          <w:szCs w:val="28"/>
          <w:rtl w:val="true"/>
          <w:lang w:bidi="ar-SA"/>
        </w:rPr>
        <w:t>، ومن أظهر معجزات نبيّنا صلى‌الله‌عليه‌وآله وأجلّها وأتقنها 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 أنّ إعجاز القرآن هو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أجلّها وأقواها بلاغته ، لا مجرّد مخالفة اسلوبه لسائر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البلاغة هو موافقة الكلام الفصيح لمقتضى المقام وهو لا يعلم إلّا بمعرفة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العرب كانت تتوقّف في فهم المعاني على بيان النبيّ صلى‌الله‌عليه‌وآله من دون أن يفهموه بأنفسهم ثمّ تعلم البلاغة شطط من الكلام ، مع أنّ الأخبار الدالّة على جواز الاستدلال به ولزوم التمسّك به ، قريب من التواتر أو متواترا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أمير المؤمنين عليه‌السلام في خطبته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والصلاة على نبيّه الذي أرسله بالفرقان ليكون للعالمين نذيرا وأنزل عليه القرآن ليكون إلى الحقّ هاديا وبرحمته بشيرا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آمر زاجر ، وصامت ناطق ، حجّة الله على خلقه ، أخذ عليهم ميثاقه</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عليه‌السلام من هذا النمط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الثّقلين </w:t>
      </w:r>
      <w:r>
        <w:rPr>
          <w:rStyle w:val="FootnoteAnchor"/>
          <w:rtl w:val="true"/>
        </w:rPr>
        <w:footnoteReference w:id="1102"/>
      </w:r>
      <w:r>
        <w:rPr>
          <w:rFonts w:ascii="Amiri" w:hAnsi="Amiri" w:eastAsia="Amiri" w:cs="Amiri"/>
          <w:color w:val="111111"/>
          <w:sz w:val="28"/>
          <w:sz w:val="28"/>
          <w:szCs w:val="28"/>
          <w:rtl w:val="true"/>
          <w:lang w:bidi="ar-SA"/>
        </w:rPr>
        <w:t xml:space="preserve">الذي ادّعوا تواتره بالخصوص ، فإنّ الأمر بالتمسّك بالكتاب سيّما مع عطف أهل البيت عليهم‌السلام عليه صريح في كون كلّ منهما مستقلّا بالإفادة وعدم افتراقهما كما في بعض رواياته </w:t>
      </w:r>
      <w:r>
        <w:rPr>
          <w:rStyle w:val="FootnoteAnchor"/>
          <w:rtl w:val="true"/>
        </w:rPr>
        <w:footnoteReference w:id="1103"/>
      </w:r>
      <w:r>
        <w:rPr>
          <w:rFonts w:ascii="Amiri" w:hAnsi="Amiri" w:eastAsia="Amiri" w:cs="Amiri"/>
          <w:color w:val="111111"/>
          <w:sz w:val="28"/>
          <w:sz w:val="28"/>
          <w:szCs w:val="28"/>
          <w:rtl w:val="true"/>
          <w:lang w:bidi="ar-SA"/>
        </w:rPr>
        <w:t xml:space="preserve">لا يدلّ على توقّف فهم جميع القرآن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اللّغة وموضوع كلام العرب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المتشابه وفروع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يجري مجرى الغيوب وقيام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ببيان أهل البيت عليهم‌السلام ، فإنّ ذلك لأجل إفهام المتشابهات ، وما لا يعلم تأويله إلّا الله والرّاسخون في العلم ، فإنّا مذعنون بما قاله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أَنْزَلَ عَلَيْكَ الْكِتابَ مِنْهُ آياتٌ مُحْكَماتٌ هُنَّ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بالمتشابه هو مشتبه الدّلالة ، والمحكم في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المتشابه مشتبه ، فيحتمل أن يكون الظاهر منه لجهالة معناه بالنسبة إلى الواقع ، وكذلك المراد بالمحكم لما يستفاد من بعض الأخبار أنّ المحكم هو ما يرادف النصّ أو المراد به الناسخ</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ما لا يخفى ، إذ من المعاين الغنيّ عن البيان ، أنّ مجرى عادة الله في بيان </w:t>
      </w:r>
    </w:p>
    <w:p>
      <w:pPr>
        <w:pStyle w:val="BookText"/>
        <w:rPr/>
      </w:pPr>
      <w:r>
        <w:rPr>
          <w:rFonts w:ascii="Amiri" w:hAnsi="Amiri" w:eastAsia="Amiri" w:cs="Amiri"/>
          <w:color w:val="111111"/>
          <w:sz w:val="28"/>
          <w:sz w:val="28"/>
          <w:szCs w:val="28"/>
          <w:rtl w:val="true"/>
          <w:lang w:bidi="ar-SA"/>
        </w:rPr>
        <w:t>الأحكام على النطق والكلام ، وأنّ الكلام كلّه لا يفيد اليقين ، بل أكثره مبتن على الظنّ من العمل بأصل الحقيقة في الحقائق ، وبالقرائن في المجازات ، مع احتمال إرادة المجاز واختفاء القرينة على السّامع واحتمال اشتباه القرينة بقرينة اخرى ، ولم يعهد من نبيّ ولا وصي ، ولا متكلّم إنسيّ من حكيم وعاقل أو سفيه وجاهل ، التوقّف في حال التكلّم مع مخاطبه في أنّه هل حصل له اليقين بمرامه أم اكتفى بالظنّ ، بل لو توقّف وكرّر عليه القول واستفسر وبيّن له ثانيا أيضا ، فلا ينفكّ ذلك أيضا غالبا عن لفظ آخر محتمل لتلك الوجوه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زيادة توضيح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المتشابه هو ما لم يتّضح دلالته بأن يصير السّامع متردّدا لأجل تعدّد الحقائق أو لأجل خفاء القرينة المعيّنة للمجاز ، لتعدّد المجازات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ما لم يكن له ظاهر اريد منه ، سواء لم يكن له ظاهر </w:t>
      </w:r>
      <w:r>
        <w:rPr>
          <w:rStyle w:val="FootnoteAnchor"/>
          <w:rtl w:val="true"/>
        </w:rPr>
        <w:footnoteReference w:id="1105"/>
      </w:r>
      <w:r>
        <w:rPr>
          <w:rFonts w:ascii="Amiri" w:hAnsi="Amiri" w:eastAsia="Amiri" w:cs="Amiri"/>
          <w:color w:val="111111"/>
          <w:sz w:val="28"/>
          <w:sz w:val="28"/>
          <w:szCs w:val="28"/>
          <w:rtl w:val="true"/>
          <w:lang w:bidi="ar-SA"/>
        </w:rPr>
        <w:t xml:space="preserve">أو كان ولم يرد </w:t>
      </w:r>
      <w:r>
        <w:rPr>
          <w:rStyle w:val="FootnoteAnchor"/>
          <w:rtl w:val="true"/>
        </w:rPr>
        <w:footnoteReference w:id="1106"/>
      </w:r>
      <w:r>
        <w:rPr>
          <w:rFonts w:ascii="Amiri" w:hAnsi="Amiri" w:eastAsia="Amiri" w:cs="Amiri"/>
          <w:color w:val="111111"/>
          <w:sz w:val="28"/>
          <w:sz w:val="28"/>
          <w:szCs w:val="28"/>
          <w:rtl w:val="true"/>
          <w:lang w:bidi="ar-SA"/>
        </w:rPr>
        <w:t xml:space="preserve">واشتبه دلالته في غيره ، فما وضح دلالته إمّا للقطع بالمراد </w:t>
      </w:r>
      <w:r>
        <w:rPr>
          <w:rStyle w:val="FootnoteAnchor"/>
          <w:rtl w:val="true"/>
        </w:rPr>
        <w:footnoteReference w:id="1107"/>
      </w:r>
      <w:r>
        <w:rPr>
          <w:rFonts w:ascii="Amiri" w:hAnsi="Amiri" w:eastAsia="Amiri" w:cs="Amiri"/>
          <w:color w:val="111111"/>
          <w:sz w:val="28"/>
          <w:sz w:val="28"/>
          <w:szCs w:val="28"/>
          <w:rtl w:val="true"/>
          <w:lang w:bidi="ar-SA"/>
        </w:rPr>
        <w:t xml:space="preserve">أو للظّهور </w:t>
      </w:r>
      <w:r>
        <w:rPr>
          <w:rStyle w:val="FootnoteAnchor"/>
          <w:rtl w:val="true"/>
        </w:rPr>
        <w:footnoteReference w:id="1108"/>
      </w:r>
      <w:r>
        <w:rPr>
          <w:rFonts w:ascii="Amiri" w:hAnsi="Amiri" w:eastAsia="Amiri" w:cs="Amiri"/>
          <w:color w:val="111111"/>
          <w:sz w:val="28"/>
          <w:sz w:val="28"/>
          <w:szCs w:val="28"/>
          <w:rtl w:val="true"/>
          <w:lang w:bidi="ar-SA"/>
        </w:rPr>
        <w:t>المعهود الذي يكتفي العقلاء وأرباب اللّسان به ، فهو المحكم ، ومقابله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 هذا ودع عنك ما استشكله بعضهم في هذا المجال لإطلاق المحكم في كلام بعض العلماء على ما يرادف النصّ أو يدّعى استفادة ذلك من بعض الأخبار أيضا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في بعض الأخبار ما يدلّ على أنّ المحكم هو الثّابت لا المنسوخ </w:t>
      </w:r>
      <w:r>
        <w:rPr>
          <w:rStyle w:val="FootnoteAnchor"/>
          <w:rtl w:val="true"/>
        </w:rPr>
        <w:footnoteReference w:id="1109"/>
      </w:r>
      <w:r>
        <w:rPr>
          <w:rFonts w:ascii="Amiri" w:hAnsi="Amiri" w:eastAsia="Amiri" w:cs="Amiri"/>
          <w:color w:val="111111"/>
          <w:sz w:val="28"/>
          <w:sz w:val="28"/>
          <w:szCs w:val="28"/>
          <w:rtl w:val="true"/>
          <w:lang w:bidi="ar-SA"/>
        </w:rPr>
        <w:t xml:space="preserve">، وأنّ المنسوخ من المتشابهات ، فإنّ الظاهر أنّ المراد من كون المنسوخ من المتشابهات </w:t>
      </w:r>
    </w:p>
    <w:p>
      <w:pPr>
        <w:pStyle w:val="BookText"/>
        <w:rPr/>
      </w:pPr>
      <w:r>
        <w:rPr>
          <w:rFonts w:ascii="Amiri" w:hAnsi="Amiri" w:eastAsia="Amiri" w:cs="Amiri"/>
          <w:color w:val="111111"/>
          <w:sz w:val="28"/>
          <w:sz w:val="28"/>
          <w:szCs w:val="28"/>
          <w:rtl w:val="true"/>
          <w:lang w:bidi="ar-SA"/>
        </w:rPr>
        <w:t>أنّه مثلها في عدم جواز العمل ، ومن أنّ الناسخ محكم ، أنّه يجب العمل به ، فهذه الآية محكمة لا تشابه فيها ولا يحتاج في بيان المتشابه إلى كلام 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 يندفع </w:t>
      </w:r>
      <w:r>
        <w:rPr>
          <w:rStyle w:val="FootnoteAnchor"/>
          <w:rtl w:val="true"/>
        </w:rPr>
        <w:footnoteReference w:id="1110"/>
      </w:r>
      <w:r>
        <w:rPr>
          <w:rFonts w:ascii="Amiri" w:hAnsi="Amiri" w:eastAsia="Amiri" w:cs="Amiri"/>
          <w:color w:val="111111"/>
          <w:sz w:val="28"/>
          <w:sz w:val="28"/>
          <w:szCs w:val="28"/>
          <w:rtl w:val="true"/>
          <w:lang w:bidi="ar-SA"/>
        </w:rPr>
        <w:t xml:space="preserve">ما يورد على الاستدلال برواية الثّقلين أيضا من أنّ الأمر بالتمسّك بكتاب الله لا يدلّ على أنّه يمكنه الفهم بنفسه ، بل الذي لا بدّ منه هو الاستعداد للفهم بعد الإفهام ، فإنّ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 لن تضلّوا</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لفظ النّبيّ صلى‌الله‌عليه‌وآله لا لفظ الكتاب حتّى يكون معركة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المتبادر منه التمسّك بلا واسطة ، والاحتياج إلى الترجمة للعجميّ مثلا ليس من باب الاحتياج إلى بيان الإمام عليه‌السلام ، فإنّه يشمل العربي القحّ أيضا ، فنحن لا نلتزم وجوب أن يمكنه الفهم بنفسه ، بل يجوز احتياجه إلى المترجم لو كان عجميّا مثلا ، لا البيان ولو كان عربيا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ينافي دلالة الحديث على عدم الاحتياج إلى بيان الإمام عليه‌السلام بالمعنى الذي يحتاج إليه العربي أيضا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 التي ادّعوا تواترها في عرض الحديث المشكوك فيه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بكتاب الله هو ما يفهمه أهل اللسان منه ، وما يتوهّم أنّ </w:t>
      </w:r>
    </w:p>
    <w:p>
      <w:pPr>
        <w:pStyle w:val="BookText"/>
        <w:rPr/>
      </w:pPr>
      <w:r>
        <w:rPr>
          <w:rFonts w:ascii="Amiri" w:hAnsi="Amiri" w:eastAsia="Amiri" w:cs="Amiri"/>
          <w:color w:val="111111"/>
          <w:sz w:val="28"/>
          <w:sz w:val="28"/>
          <w:szCs w:val="28"/>
          <w:rtl w:val="true"/>
          <w:lang w:bidi="ar-SA"/>
        </w:rPr>
        <w:t>العرض على بيان الأئمّة للكتاب أيضا تمسّك بالكتاب وعرض على الكتاب غلط ، لأنّ الاعتماد حينئذ على البيان لا على الكتاب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 التي استدلّ فيها الأئمّة عليهم‌السلام بالكتاب لأصحابه مرشدين إيّاهم لذلك واستدلال بعض الأصحاب ، به على بعضهم وهي كثيرة جدّا متفرّقة في مواضع شتّى لا نطيل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هذا المقصود من الواضحات التي لا تحتاج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أدلّة الأخباريين فهي الأخبار التي دلّ بعضها على حصر علم القرآن في النبيّ صلى‌الله‌عليه‌وآله والأئمّة عليهم‌السلام مثل ما رواه الكليني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يعلم القرآن من خوطب به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الحاضرين مجلس الوحي أو الموجودين في زمانه كانوا ممّن خوطب به ، فلا يختصّ به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أنّه ليس من علم الله ولا من أمره أن يأخذ أحد من خلق الله في دينه بهوى ولا رأي ولا 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القرآن وجعل فيه تبيان كلّ شيء وجعل للقرآن ولعلم القرآن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الذّكر الّذين أمر الله هذه الامّة بسؤالهم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 بل صريح في أنّ المراد علم جميعه </w:t>
      </w:r>
      <w:r>
        <w:rPr>
          <w:rStyle w:val="FootnoteAnchor"/>
          <w:rtl w:val="true"/>
        </w:rPr>
        <w:footnoteReference w:id="1114"/>
      </w:r>
      <w:r>
        <w:rPr>
          <w:rFonts w:ascii="Amiri" w:hAnsi="Amiri" w:eastAsia="Amiri" w:cs="Amiri"/>
          <w:color w:val="111111"/>
          <w:sz w:val="28"/>
          <w:sz w:val="28"/>
          <w:szCs w:val="28"/>
          <w:rtl w:val="true"/>
          <w:lang w:bidi="ar-SA"/>
        </w:rPr>
        <w:t>وهو مسلّم ، وفي معناهما أخبار أخر ، والجواب عن الكلّ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ورود حديث صحيح </w:t>
      </w:r>
    </w:p>
    <w:p>
      <w:pPr>
        <w:pStyle w:val="BookText"/>
        <w:rPr/>
      </w:pPr>
      <w:r>
        <w:rPr>
          <w:rFonts w:ascii="Amiri" w:hAnsi="Amiri" w:eastAsia="Amiri" w:cs="Amiri"/>
          <w:color w:val="111111"/>
          <w:sz w:val="28"/>
          <w:sz w:val="28"/>
          <w:szCs w:val="28"/>
          <w:rtl w:val="true"/>
          <w:lang w:bidi="ar-SA"/>
        </w:rPr>
        <w:t xml:space="preserve">صريح ، بل أخبار صحاح أيضا في أنّ العلم منحصر فيهم رأسا وقطعا ولا يفهمه أحد سواهم ولا يجوز العمل إلّا ببيانهم لنؤوّله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لنؤوّله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نذره في سنبله ، كيف ولا خبر يدلّ على ذلك صريحا ولا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التي دلّت على عدم جواز التفسير بالرأي ، وأفتى بمضمونه المحقّق الطبرسي رحمه‌الله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الخبر قد صحّ عن النبيّ صلى‌الله‌عليه‌وآله والأئمّة القائمين مقامه عليهم‌السلام أنّ تفسير القرآن لا يجوز إلّا بالأثر الصّحيح والنصّ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العامّة عن النبيّ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فسّر القرآن برأيه فأصاب الحقّ فقد أخطأ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المراد بالتفسير كما ذكره المحقّق الطبرسي رحمه‌الله أيضا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 عن اللّفظ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 ، ولا ريب أنّه لا يجوز الحكم بالمراد من الألفاظ المشتركة والمجملة في القرآن بالرأي ومجرّد الاستحسان العقليّ من دون نصّ صريح من الأئمّة عليهم‌السلام أو دليل معتبر ، فلا منافاة بين المنع من التفسير بالرأي وجواز العمل بالظواهر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يراد أنّ من ترك متابعة مقتضى وضع اللّغة والتعارف في بيان المعنى ، وأبدع معنى للّفظ </w:t>
      </w:r>
      <w:r>
        <w:rPr>
          <w:rStyle w:val="FootnoteAnchor"/>
          <w:rtl w:val="true"/>
        </w:rPr>
        <w:footnoteReference w:id="1118"/>
      </w:r>
      <w:r>
        <w:rPr>
          <w:rFonts w:ascii="IRNazanin" w:hAnsi="IRNazanin" w:eastAsia="IRNazanin"/>
          <w:color w:val="111111"/>
          <w:sz w:val="28"/>
          <w:sz w:val="28"/>
          <w:szCs w:val="28"/>
          <w:rtl w:val="true"/>
          <w:lang w:bidi="fa-IR"/>
        </w:rPr>
        <w:t xml:space="preserve">بمجرّد الاشتهار ، فهو ممنوع ، مع أنّا نرى أنّ المحقّق </w:t>
      </w:r>
    </w:p>
    <w:p>
      <w:pPr>
        <w:pStyle w:val="BookText"/>
        <w:rPr/>
      </w:pPr>
      <w:r>
        <w:rPr>
          <w:rFonts w:ascii="Amiri" w:hAnsi="Amiri" w:eastAsia="Amiri" w:cs="Amiri"/>
          <w:color w:val="111111"/>
          <w:sz w:val="28"/>
          <w:sz w:val="28"/>
          <w:szCs w:val="28"/>
          <w:rtl w:val="true"/>
          <w:lang w:bidi="ar-SA"/>
        </w:rPr>
        <w:t>الطبرسي كثيرا ما يفسّر الألفاظ ويبيّن المعاني من دون نصّ وأثر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المفصّل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يجوز العمل في القطعيّات منه دون الظواهر المحتملة للنسخ والتخصيص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محلّ النزاع إن كان ظاهر الكتاب من حيث إنّه هو ظاهر الكتاب ، فلا يضرّه هذه المحتملات قبل طروّها ، مثل أوائل نزول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آية كان يجوز العمل بها حتّى يثبت لها ناسخ أو مخصّص أو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سنوح هذه العوارض فيعمل على مقتضاها إذا علم بها على وجهها ، وإلّا فالحال فيه هو الحال في جميع ما يرد علينا في أمثال زماننا من متعارضات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والمجتهدون أيضا يقولون بأنّه لا يجوز العمل بها حينئذ إلّا بعد ملاحظة المعارض ، ينادي بذلك اتّفاقهم على لزوم الفحص عن المخصّص في العامّ ، ووجوب تحصيل القطع بالعدم </w:t>
      </w:r>
      <w:r>
        <w:rPr>
          <w:rStyle w:val="FootnoteAnchor"/>
          <w:rtl w:val="true"/>
        </w:rPr>
        <w:footnoteReference w:id="1120"/>
      </w:r>
      <w:r>
        <w:rPr>
          <w:rFonts w:ascii="Amiri" w:hAnsi="Amiri" w:eastAsia="Amiri" w:cs="Amiri"/>
          <w:color w:val="111111"/>
          <w:sz w:val="28"/>
          <w:sz w:val="28"/>
          <w:szCs w:val="28"/>
          <w:rtl w:val="true"/>
          <w:lang w:bidi="ar-SA"/>
        </w:rPr>
        <w:t>أو الظنّ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يدّعى أنّ الحاصل من تتبّع الأخبار أنّ أصحاب الأئمّة عليهم‌السلام كانوا يعملون بالأخبار العامّة بمحض الورود من دون فحص عن المخصّص ، وأنّهم ما كانوا يعملون </w:t>
      </w:r>
      <w:r>
        <w:rPr>
          <w:rStyle w:val="FootnoteAnchor"/>
          <w:rtl w:val="true"/>
        </w:rPr>
        <w:footnoteReference w:id="1121"/>
      </w:r>
      <w:r>
        <w:rPr>
          <w:rFonts w:ascii="Amiri" w:hAnsi="Amiri" w:eastAsia="Amiri" w:cs="Amiri"/>
          <w:color w:val="111111"/>
          <w:sz w:val="28"/>
          <w:sz w:val="28"/>
          <w:szCs w:val="28"/>
          <w:rtl w:val="true"/>
          <w:lang w:bidi="ar-SA"/>
        </w:rPr>
        <w:t xml:space="preserve">بالآيات كذلك ، وإجماعهم المستفاد من طريقتهم هو الدّاعي لإخراج </w:t>
      </w:r>
    </w:p>
    <w:p>
      <w:pPr>
        <w:pStyle w:val="BookText"/>
        <w:rPr/>
      </w:pPr>
      <w:r>
        <w:rPr>
          <w:rFonts w:ascii="Amiri" w:hAnsi="Amiri" w:eastAsia="Amiri" w:cs="Amiri"/>
          <w:color w:val="111111"/>
          <w:sz w:val="28"/>
          <w:sz w:val="28"/>
          <w:szCs w:val="28"/>
          <w:rtl w:val="true"/>
          <w:lang w:bidi="ar-SA"/>
        </w:rPr>
        <w:t>الأخبار عن هذا الحكم ، بخلاف الكتاب ؛ فهو من أغرب الدّعاوي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نقول في الكتاب نظير ما قلناه في الأخبار ، وأنّه يجب الفحص عن النّاسخ والمنسوخ والعامّ والخاصّ ، ثمّ يعمل على ما يبقى ظاهرا بعد ذلك ، وهذا لا ينافي جواز العمل بالظواهر على ما هو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بما دلّ على حرمة العمل بالظنّ في مثل هذه الظواهر ، فإن كان بالآيات ، ففيه ، وإن كان لا يتمّ إلّا إلزاما </w:t>
      </w:r>
      <w:r>
        <w:rPr>
          <w:rStyle w:val="FootnoteAnchor"/>
          <w:rtl w:val="true"/>
        </w:rPr>
        <w:footnoteReference w:id="1122"/>
      </w:r>
      <w:r>
        <w:rPr>
          <w:rFonts w:ascii="Amiri" w:hAnsi="Amiri" w:eastAsia="Amiri" w:cs="Amiri"/>
          <w:color w:val="111111"/>
          <w:sz w:val="28"/>
          <w:sz w:val="28"/>
          <w:szCs w:val="28"/>
          <w:rtl w:val="true"/>
          <w:lang w:bidi="ar-SA"/>
        </w:rPr>
        <w:t>، وإلّا عند هذا المفصّل إن ادّعى أنّ هذا من المحكمات القطعية الدّلالة لا من الظواهر انّ دلالتها ممنوعة ، لظهورها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قطعيّتها </w:t>
      </w:r>
      <w:r>
        <w:rPr>
          <w:rStyle w:val="FootnoteAnchor"/>
          <w:rtl w:val="true"/>
        </w:rPr>
        <w:footnoteReference w:id="1123"/>
      </w:r>
      <w:r>
        <w:rPr>
          <w:rFonts w:ascii="Amiri" w:hAnsi="Amiri" w:eastAsia="Amiri" w:cs="Amiri"/>
          <w:color w:val="111111"/>
          <w:sz w:val="28"/>
          <w:sz w:val="28"/>
          <w:szCs w:val="28"/>
          <w:rtl w:val="true"/>
          <w:lang w:bidi="ar-SA"/>
        </w:rPr>
        <w:t>لأنّها عمومات ، وإطلاقات مخصّصة بالظواهر لما بيّنا من الأدلّة على حجّية الظنّ الحاصل من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الظنّ الحاصل بعد انقطاع سبيل العلم إلى الأحكام في أمثال زماننا كما سنبيّنه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ذلك ظهر أنّ حجّية ظواهر القرآن على وجوه ، فبالنسبة إلى بعض الأحوال معلوم الحجّية مثل حال المخاطبين بها ، وبالنسبة إلى غير المشافهين مظنون الحجّية ، وكونها مظنون الحجّية ، إمّا بظنّ آخر علم حجّيته بالخصوص كأن نستنبط من دلالة الأخبار وجوب التمسّك بها لكلّ من يفهم منها شيئا ، وإمّا بظنّ لم يعلم حجّيته بالخصوص ، كأن نعتمد على مجرّد الظنّ الحاصل من تلك الظواهر ولو بضميمة أصالة عدم النقل وعدم التخصيص والتقييد وغير ذلك ، فإنّ ذلك إنّما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يثبت حجيّته وقت انسداد باب العلم بالأحكام الشرعية وانحصار الأمر في الرّجوع إلى الظنّ ، ولمّا كان الأخبار أيضا من باب الخطابات الشّفاهية فكون دلالتها على حجّية الكتاب معلوم الحجّية ، إنّما هو للمشافهين بتلك الأخبار ، وطرد حكمها بالنسبة إلينا أيضا لم يعلم دليل عليه بالخصوص ، فيدخل حينئذ أيضا في القسم الآخر </w:t>
      </w:r>
      <w:r>
        <w:rPr>
          <w:rStyle w:val="FootnoteAnchor"/>
          <w:rtl w:val="true"/>
        </w:rPr>
        <w:footnoteReference w:id="1124"/>
      </w:r>
      <w:r>
        <w:rPr>
          <w:rFonts w:ascii="Amiri" w:hAnsi="Amiri" w:eastAsia="Amiri" w:cs="Amiri"/>
          <w:color w:val="111111"/>
          <w:sz w:val="28"/>
          <w:sz w:val="28"/>
          <w:szCs w:val="28"/>
          <w:rtl w:val="true"/>
          <w:lang w:bidi="ar-SA"/>
        </w:rPr>
        <w:t>فليكن على ذكر منك ، وانتظر لتتمّة الكلام</w:t>
      </w:r>
      <w:r>
        <w:rPr>
          <w:rFonts w:eastAsia="Amiri" w:cs="Amiri" w:ascii="Amiri" w:hAnsi="Amiri"/>
          <w:color w:val="111111"/>
          <w:sz w:val="28"/>
          <w:szCs w:val="28"/>
          <w:rtl w:val="true"/>
          <w:lang w:bidi="ar-SA"/>
        </w:rPr>
        <w:t xml:space="preserve">. </w:t>
      </w:r>
      <w:bookmarkStart w:id="153" w:name="pg14071_149176"/>
    </w:p>
    <w:p>
      <w:pPr>
        <w:pStyle w:val="Heading4"/>
        <w:numPr>
          <w:ilvl w:val="3"/>
          <w:numId w:val="1"/>
        </w:numPr>
        <w:rPr/>
      </w:pPr>
      <w:bookmarkStart w:id="154" w:name="__RefHeading___Toc495101_1738255347"/>
      <w:bookmarkStart w:id="155" w:name="_Toc56"/>
      <w:bookmarkEnd w:id="153"/>
      <w:bookmarkEnd w:id="154"/>
      <w:r>
        <w:rPr>
          <w:rtl w:val="true"/>
        </w:rPr>
        <w:t>قانون</w:t>
      </w:r>
      <w:bookmarkEnd w:id="155"/>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متواتر ، فما نقل آحادا ليس بقرآن ، لأنّه ممّا يتوفّر الدّواعي على نقله ، وما هو كذلك ، فالعادة تقضي بتواتر تفاصيله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فلما تضمّنت من التحدّي والإعجاز ، ولكونه أصل سائر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w:t>
      </w:r>
      <w:r>
        <w:rPr>
          <w:rStyle w:val="FootnoteAnchor"/>
          <w:rtl w:val="true"/>
        </w:rPr>
        <w:footnoteReference w:id="1126"/>
      </w:r>
      <w:r>
        <w:rPr>
          <w:rFonts w:ascii="Amiri" w:hAnsi="Amiri" w:eastAsia="Amiri" w:cs="Amiri"/>
          <w:color w:val="111111"/>
          <w:sz w:val="28"/>
          <w:sz w:val="28"/>
          <w:szCs w:val="28"/>
          <w:rtl w:val="true"/>
          <w:lang w:bidi="ar-SA"/>
        </w:rPr>
        <w:t>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تواتر القرآن في الجملة ووجوب العمل بما في أيدينا اليوم فممّا لا شكّ فيه ولا شبهة تعتريه ، لكن تواتر جميع ما نزل على محمّد صلى‌الله‌عليه‌وآله ، غير معلوم ، وكذا وجوب تواتره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يتمّ لو انحصر طريق المعجزة وإثبات النبوّة لمن سلف وغبر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بعض المعجزات ممّا لم يثبت تواتره ، وأيضا يتمّ لو لم يمنع المكلّفون على أنفسهم اللّطف كما منعوه في شهود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تواتر جميع 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توضيحه برسم مباحث</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اختلفوا في وقوع التحريف والنقصان في القرآن وعدمه ، فعن أكثر الأخباريين أنّه وقع فيه التحريف والزّيادة والنقصان ، وهو الظاهر من الكليني </w:t>
      </w:r>
    </w:p>
    <w:p>
      <w:pPr>
        <w:pStyle w:val="BookText"/>
        <w:rPr/>
      </w:pPr>
      <w:r>
        <w:rPr>
          <w:rFonts w:ascii="Amiri" w:hAnsi="Amiri" w:eastAsia="Amiri" w:cs="Amiri"/>
          <w:color w:val="111111"/>
          <w:sz w:val="28"/>
          <w:sz w:val="28"/>
          <w:szCs w:val="28"/>
          <w:rtl w:val="true"/>
          <w:lang w:bidi="ar-SA"/>
        </w:rPr>
        <w:t xml:space="preserve">وشيخه علي بن إبراهيم القمّي والشيخ أحمد بن أبي طالب الطبرسي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والصّدوق والمحقّق الطبرسي وجمهور المجتهدين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الصّدوق في اعتقاداته يعرب عن أنّ المراد بما ورد في الأخبار الدالّة على أنّ في القرآن الذي جمعه أمير المؤمنين عليه الصّلاة والسلام كان زيادة لم تكن في غيره ، أنّها كانت من باب الأحاديث القدسية لا القرآن ،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والأدلّة على الأوّل على ما ذكره الفاضل السيّد نعمة الله رحمه‌الله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 الحياة</w:t>
      </w:r>
      <w:r>
        <w:rPr>
          <w:rFonts w:eastAsia="Amiri" w:cs="Amiri" w:ascii="Amiri" w:hAnsi="Amiri"/>
          <w:color w:val="111111"/>
          <w:sz w:val="28"/>
          <w:szCs w:val="28"/>
          <w:rtl w:val="true"/>
          <w:lang w:bidi="ar-SA"/>
        </w:rPr>
        <w:t xml:space="preserve">» </w:t>
      </w:r>
      <w:r>
        <w:rPr>
          <w:rStyle w:val="FootnoteAnchor"/>
          <w:rtl w:val="true"/>
        </w:rPr>
        <w:footnoteReference w:id="1128"/>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w:t>
      </w:r>
      <w:r>
        <w:rPr>
          <w:rStyle w:val="FootnoteAnchor"/>
          <w:rtl w:val="true"/>
        </w:rPr>
        <w:footnoteReference w:id="1129"/>
      </w:r>
      <w:r>
        <w:rPr>
          <w:rFonts w:ascii="Amiri" w:hAnsi="Amiri" w:eastAsia="Amiri" w:cs="Amiri"/>
          <w:color w:val="111111"/>
          <w:sz w:val="28"/>
          <w:sz w:val="28"/>
          <w:szCs w:val="28"/>
          <w:rtl w:val="true"/>
          <w:lang w:bidi="ar-SA"/>
        </w:rPr>
        <w:t xml:space="preserve">بل المتواترة ، مثل ما روي عن أمير المؤمنين عليه‌السلام لمّا سئل عن المناسبة بين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خِفْتُمْ أَلَّا تُقْسِطُوا فِي الْيَتامى فَانْكِحُوا ما طابَ لَكُمْ مِنَ النِّساءِ مَثْنى وَثُلاثَ وَرُباعَ</w:t>
      </w:r>
      <w:r>
        <w:rPr>
          <w:rFonts w:eastAsia="Amiri" w:cs="Amiri" w:ascii="Amiri" w:hAnsi="Amiri"/>
          <w:color w:val="111111"/>
          <w:sz w:val="28"/>
          <w:szCs w:val="28"/>
          <w:rtl w:val="true"/>
          <w:lang w:bidi="ar-SA"/>
        </w:rPr>
        <w:t xml:space="preserve">. ) </w:t>
      </w:r>
      <w:r>
        <w:rPr>
          <w:rStyle w:val="FootnoteAnchor"/>
          <w:rtl w:val="true"/>
        </w:rPr>
        <w:footnoteReference w:id="113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سقط بينهما أكثر من ثلث القرآن</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 عن الصادق عليه‌السلام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هذه الامّة خير أمّة وقد قتلوا ابن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نزلت وإنّما </w:t>
      </w:r>
    </w:p>
    <w:p>
      <w:pPr>
        <w:pStyle w:val="BookText"/>
        <w:rPr/>
      </w:pPr>
      <w:r>
        <w:rPr>
          <w:rFonts w:ascii="Amiri" w:hAnsi="Amiri" w:eastAsia="Amiri" w:cs="Amiri"/>
          <w:color w:val="111111"/>
          <w:sz w:val="28"/>
          <w:sz w:val="28"/>
          <w:szCs w:val="28"/>
          <w:rtl w:val="true"/>
          <w:lang w:bidi="ar-SA"/>
        </w:rPr>
        <w:t xml:space="preserve">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أئمّة ، أي الأئمّة من أهل البيت عليهم‌السلام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في أنّ آية الغدير هكذا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لو جمع لكان كتابا كثير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كان ينزل منجّما </w:t>
      </w:r>
      <w:r>
        <w:rPr>
          <w:rStyle w:val="FootnoteAnchor"/>
          <w:rtl w:val="true"/>
        </w:rPr>
        <w:footnoteReference w:id="1135"/>
      </w:r>
      <w:r>
        <w:rPr>
          <w:rFonts w:ascii="Amiri" w:hAnsi="Amiri" w:eastAsia="Amiri" w:cs="Amiri"/>
          <w:color w:val="111111"/>
          <w:sz w:val="28"/>
          <w:sz w:val="28"/>
          <w:szCs w:val="28"/>
          <w:rtl w:val="true"/>
          <w:lang w:bidi="ar-SA"/>
        </w:rPr>
        <w:t>على حسب المصالح والوقائع ، وكتّاب الوحي كانوا أربعة عشر رجلا من الصّحابة وكان رئيسهم أمير المؤمنين عليه‌السلام ، وقد كانوا في الأغلب ما يكتبون إلّا ما يتعلّق بالأحكام ، وإلّا ما يوحى إليه في المحافل والمجامع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كان يكتب ما ينزل عليه في منازله وخلواته فليس هو إلّا أمير المؤمنين عليه‌السلام لأنّه عليه‌السلام كان يدور معه صلى‌الله‌عليه‌وآله كيفما دار ، فكان مصحفه أجمع من غيره من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رسول الله صلى‌الله‌عليه‌وآله إلى لقاء حبيبه وتفرّقت الأهواء بعده ، جمع أمير المؤمنين عليه‌السلام القرآن كما انزل وشدّه بردائه وأتى به إلى المسجد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ربّكم كما 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فيه حاجة ، هذا عندنا مصحف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تروه ولن يراه أحد حتّى يظهر القائم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القرآن كان عند الأئمّة عليهم‌السلام يتلونه في خلواتهم وربّما اطلعوا عليه لبعض خواصّهم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رواه ثقة الإسلام الكليني عطّر الله مرقده بإسناده إلى سالم بن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p>
    <w:p>
      <w:pPr>
        <w:pStyle w:val="BookText"/>
        <w:rPr/>
      </w:pPr>
      <w:r>
        <w:rPr>
          <w:rFonts w:ascii="Amiri" w:hAnsi="Amiri" w:eastAsia="Amiri" w:cs="Amiri"/>
          <w:color w:val="111111"/>
          <w:sz w:val="28"/>
          <w:sz w:val="28"/>
          <w:szCs w:val="28"/>
          <w:rtl w:val="true"/>
          <w:lang w:bidi="ar-SA"/>
        </w:rPr>
        <w:t>رجل على أبي عبد الله عليه‌السلام وأنا أستمع حروفا من القرآن ليس على ما يقرأها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كفّ عن هذه القراءة ، واقرأ كما يقرأها الناس حتّى يقوم القائم عليه‌السلام ، فإذا قام قرأ كتاب الله على حدّه ، وأخرج المصحف الذي كتبه عليّ عليه‌السلام</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يوجّه هذا الحديث </w:t>
      </w:r>
      <w:r>
        <w:rPr>
          <w:rStyle w:val="FootnoteAnchor"/>
          <w:rtl w:val="true"/>
        </w:rPr>
        <w:footnoteReference w:id="1138"/>
      </w:r>
      <w:r>
        <w:rPr>
          <w:rFonts w:ascii="Amiri" w:hAnsi="Amiri" w:eastAsia="Amiri" w:cs="Amiri"/>
          <w:color w:val="111111"/>
          <w:sz w:val="28"/>
          <w:sz w:val="28"/>
          <w:szCs w:val="28"/>
          <w:rtl w:val="true"/>
          <w:lang w:bidi="ar-SA"/>
        </w:rPr>
        <w:t>وأمثاله ممّا يدلّ على ثبوت شيء آخر نقص من هذا القرآن الذي في أيدينا ، بأنّ المراد ما نقص المعنى وتغييره إلى ما ليس مراده تعالى أو نقص ما فسّروه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عليهم‌السلام كتبوا في مصاحفهم تفسير الآيات وأصحابهم كانوا يتلفّظون بها فمنعوهم عن ذلك أو أنّ أصحابهم كانوا يفسّرون الآيات بشيء لم يكن إظهاره صلاحا لوقتهم ، فأمروهم بالكفّ عن ذلك حتّى يظهر القائم عليه‌السلام فيظهره ، لا أنّه كان شيء في القرآن داخلا فأخرجوه ، وهو بعيد ، بل لا يمكن جريانه في كثير من تلك الأخبار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w:t>
      </w:r>
      <w:r>
        <w:rPr>
          <w:rStyle w:val="FootnoteAnchor"/>
          <w:rtl w:val="true"/>
        </w:rPr>
        <w:footnoteReference w:id="1139"/>
      </w:r>
      <w:r>
        <w:rPr>
          <w:rFonts w:ascii="Amiri" w:hAnsi="Amiri" w:eastAsia="Amiri" w:cs="Amiri"/>
          <w:color w:val="111111"/>
          <w:sz w:val="28"/>
          <w:sz w:val="28"/>
          <w:szCs w:val="28"/>
          <w:rtl w:val="true"/>
          <w:lang w:bidi="ar-SA"/>
        </w:rPr>
        <w:t xml:space="preserve">بعد نقل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وما بمعناه قد أظهر العذر في تلاوتنا من هذا المصحف </w:t>
      </w:r>
      <w:r>
        <w:rPr>
          <w:rStyle w:val="FootnoteAnchor"/>
          <w:rtl w:val="true"/>
        </w:rPr>
        <w:footnoteReference w:id="1140"/>
      </w:r>
      <w:r>
        <w:rPr>
          <w:rFonts w:ascii="Amiri" w:hAnsi="Amiri" w:eastAsia="Amiri" w:cs="Amiri"/>
          <w:color w:val="111111"/>
          <w:sz w:val="28"/>
          <w:sz w:val="28"/>
          <w:szCs w:val="28"/>
          <w:rtl w:val="true"/>
          <w:lang w:bidi="ar-SA"/>
        </w:rPr>
        <w:t>والعمل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حكاية طبخ عثمان ما عدا مصحفه من مصاحف كتّاب الوحي ، فلو لا حصول المخالفة بينهما لما ارتكب هذا الأمر الشنيع الذي صار من أعظم المطاعن عليه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 xml:space="preserve">للسيّد بن طاوس رحمه‌الله أنّه نقل عن محمّد </w:t>
      </w:r>
    </w:p>
    <w:p>
      <w:pPr>
        <w:pStyle w:val="BookText"/>
        <w:rPr/>
      </w:pPr>
      <w:r>
        <w:rPr>
          <w:rFonts w:ascii="Amiri" w:hAnsi="Amiri" w:eastAsia="Amiri" w:cs="Amiri"/>
          <w:color w:val="111111"/>
          <w:sz w:val="28"/>
          <w:sz w:val="28"/>
          <w:szCs w:val="28"/>
          <w:rtl w:val="true"/>
          <w:lang w:bidi="ar-SA"/>
        </w:rPr>
        <w:t xml:space="preserve">بن بحر الرّهني من أعاظم علماء العامّة في بيان التفاوت في المصاحف التي بعث بها عثمان إلى أهل الأمصار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عثمان سبع نسخ ، فحبس منها بالمدينة مصحفا ، وأرسل إلى أهل مكّة مصحفا ، وإلى أهل الشام مصحفا ، وإلى أهل الكوفة مصحفا ، وإلى أهل البصرة مصحفا ، وإلى أهل اليمن مصحفا ، وإلى أهل البحرين مصحفا </w:t>
      </w:r>
      <w:r>
        <w:rPr>
          <w:rStyle w:val="FootnoteAnchor"/>
          <w:rtl w:val="true"/>
        </w:rPr>
        <w:footnoteReference w:id="1142"/>
      </w:r>
      <w:r>
        <w:rPr>
          <w:rFonts w:ascii="Amiri" w:hAnsi="Amiri" w:eastAsia="Amiri" w:cs="Amiri"/>
          <w:color w:val="111111"/>
          <w:sz w:val="28"/>
          <w:sz w:val="28"/>
          <w:szCs w:val="28"/>
          <w:rtl w:val="true"/>
          <w:lang w:bidi="ar-SA"/>
        </w:rPr>
        <w:t>، ثمّ عدّد ما وقع فيها من الاختلاف بالكلمات والحروف ، مع أنّها كلّها بخطّ عثمان ، فكيف حال ما ليس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السيّد الاختلاف في القرآن الواقع في أزمان القرّاء ، وذلك أنّ المصحف الذي دفع إليهم خال من الإعراب والنقط كما هو الآن موجود في المصاحف التي هي بخطّ مولانا أمير المؤمنين عليه‌السلام وأولاده المعصومين عليهم‌السلام وقد شاهدنا عدّة منها في خزانة الرّضا عليه‌السلام</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ذكر جلال الدّين السيوطي في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المطالع السعيدة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أبا الأسود الدؤلي أعرب مصحفا واحدا في خلافة معاوية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لمّا دفعت إليهم المصاحف على ذلك الحال تصرّفوا في إعرابها ونقطها وإدغامها وإمالتها ونحو ذلك من القوانين المختلفة بينهم على ما يوافق مذاهبهم في </w:t>
      </w:r>
    </w:p>
    <w:p>
      <w:pPr>
        <w:pStyle w:val="BookText"/>
        <w:rPr/>
      </w:pPr>
      <w:r>
        <w:rPr>
          <w:rFonts w:ascii="Amiri" w:hAnsi="Amiri" w:eastAsia="Amiri" w:cs="Amiri"/>
          <w:color w:val="111111"/>
          <w:sz w:val="28"/>
          <w:sz w:val="28"/>
          <w:szCs w:val="28"/>
          <w:rtl w:val="true"/>
          <w:lang w:bidi="ar-SA"/>
        </w:rPr>
        <w:t>اللّغة والعربية ، كما تصرّفوا في النحو وصاروا إلى ما دوّنوه من القواعد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بحر الرّهني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 من القرّاء قبل أن يتجدّد القارئ الذي بعده كانوا لا يجيزون إلّا قراءة ، ثمّ لمّا جاء القارئ الثاني انتقلوا عن ذلك المنع إلى جواز قراءة الثاني ، وكذلك في القراءات السبع فاشتمل كلّ واحد على إنكار قراءته ، ثمّ عادوا إلى خلاف ما أنكروه ، ثمّ اقتصروا على هؤلاء السّبعة ، مع انّه قد حصل في علماء المسلمين والعاملين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أرجح منهم ، مع أنّ زمان الصّحابة ما كان هؤلاء السّبعة ولا عددا معلوما من الصّحابة للناس يأخذون القراءات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قول الصّحابة لنبيّهم صلى‌الله‌عليه‌وآله على الحوض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خلّفتموني في الثّقلين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الأكبر فحرّفناه وبدّلناه وأمّا الأصغر فقتلناه ، ثمّ يذادون عن الحوض</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الدليل على الثاني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يَأْتِيهِ الْباطِلُ مِنْ بَيْنِ يَدَيْهِ وَلا مِنْ خَلْفِهِ </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ولا دلالة فيه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عدم التغيير في القرآن الذي بأيدينا ، فيكفي كونه محفوظا عند الأئمّة عليهم‌السلام في حفظ أصل القرآن في مصداق الآية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ما في أيدينا أيضا محفوظ من أن يتطرّق إليه نقص آخر أو زيادة ، </w:t>
      </w:r>
    </w:p>
    <w:p>
      <w:pPr>
        <w:pStyle w:val="BookText"/>
        <w:rPr/>
      </w:pPr>
      <w:r>
        <w:rPr>
          <w:rFonts w:ascii="Amiri" w:hAnsi="Amiri" w:eastAsia="Amiri" w:cs="Amiri"/>
          <w:color w:val="111111"/>
          <w:sz w:val="28"/>
          <w:sz w:val="28"/>
          <w:szCs w:val="28"/>
          <w:rtl w:val="true"/>
          <w:lang w:bidi="ar-SA"/>
        </w:rPr>
        <w:t xml:space="preserve">مع احتمال أن يراد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لعالمون ، وأنّ القول بجواز التبديل فتح لباب الكلام على إعجاز القرآن وعلى استنباط الأحكام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يخرج بذلك عن كونه معجزا لبقاء الاسلوب والبلاغة اللّذين هما مناط الإعجاز بحالهما ، بل سائر وجوه الإعجاز أيضا مع أنّه لم يدلّ الإخبار على حصول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على عدمها أيضا الإجماع الشيخ والطبرسي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والذي له مدخليّة في الإخراج عن حدّ الإعجاز هو الزّيادة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Style w:val="FootnoteAnchor"/>
          <w:rtl w:val="true"/>
        </w:rPr>
        <w:footnoteReference w:id="1148"/>
      </w:r>
      <w:r>
        <w:rPr>
          <w:rFonts w:ascii="Amiri" w:hAnsi="Amiri" w:eastAsia="Amiri" w:cs="Amiri"/>
          <w:color w:val="111111"/>
          <w:sz w:val="28"/>
          <w:sz w:val="28"/>
          <w:szCs w:val="28"/>
          <w:rtl w:val="true"/>
          <w:lang w:bidi="ar-SA"/>
        </w:rPr>
        <w:t>لم يظهر وقوع التحريف في آيات الأحكام ، مع أنّه لو وقع فليس بأعظم من غيبة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الأخبار الدالّة على وجوب التمسّك بالكتاب والأمر باتّباعه وعرض الأخبار على كتاب الله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من هذه الأخبار عن النبيّ صلى‌الله‌عليه‌وآله لا ينافي ما ذكرنا ، فإنّه أمر أيضا بالتمسّك بالأوصياء مع أنّهم صاروا ممنوعين عن التبليغ كما هو حقّه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من الأئمّة عليهم‌السلام فلا ينافي تجويزهم العمل بها من باب التقيّة وحكم الله الظاهري كما سنقول في القراءات السّبع المتواترة ما يقرب من ذلك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نلتزم تغيير الأحكام فيما ذكر في الكتاب الذي بأيدينا اليوم ، بل هي صحيحة وإن كان لا ينافي ذلك حذف بعض الكلمات عنه ، كذكر أسماء أهل البيت عليهم‌السلام </w:t>
      </w:r>
    </w:p>
    <w:p>
      <w:pPr>
        <w:pStyle w:val="BookText"/>
        <w:rPr/>
      </w:pPr>
      <w:r>
        <w:rPr>
          <w:rFonts w:ascii="Amiri" w:hAnsi="Amiri" w:eastAsia="Amiri" w:cs="Amiri"/>
          <w:color w:val="111111"/>
          <w:sz w:val="28"/>
          <w:sz w:val="28"/>
          <w:szCs w:val="28"/>
          <w:rtl w:val="true"/>
          <w:lang w:bidi="ar-SA"/>
        </w:rPr>
        <w:t>والمنافقين ، وعدم ذكر بعض الأحكام أيضا ، بل الظاهر من بعض الأصحاب دعوى الإجماع على عدم وقوع تحريف وتغيير في الكتاب يوجب تغيير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كون القراءات السّبع متواترة ، وهي المروية عن مشايخها السّبعة ، وهم نافع وأبو عمرو والكسائي وحمزة وابن عامر وابن كثير وعاصم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أبو عمرو بن العلاء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بن العلاء التميمي المازني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الكسائي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أبو الحسن ، علي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 أبو عمارة ، حمزة بن حبيب الزيات التيمي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عامر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 ، عبد الله بن عامر بن يزيد بن تميم بن ربيعة اليحصبي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 عبد الله أبو معبد العطار الداري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 أبو بكر ، عاصم بن أبي النجود الأسدي بالولاء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وادّعى على تواترها الإجماع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جماعة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ألحق بها القراءات الثلاث الباقية أيضا ، ومشايخها أبو جعفر ويعقوب وخلف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 يعقوب بن اسحاق بن زيد بن عبد الله بن أبي اسحاق الحضرمي البصري مولى الحضرميين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الأسدي البزار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المشهور بين المتأخّرين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صرّح بكونها متواترة ،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 xml:space="preserve">، والشهيد الثاني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الشهرة عن المتأخّرين ، وشهادة الشهيد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يقصر ذلك عن ثبوت الإجماع بخبر الواحد ، فيجوز القراءة بها مع أنّ بعض محقّقي القرّاء من المتأخّرين أفرد كتابا في أسماء الرّجال الّذين نقلوها في كلّ طبقة ، وهم يزيدون عمّا يعتبر في التواتر ، فيجوز القراءة بها إن شاء الله تعالى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زاد على ذلك </w:t>
      </w:r>
      <w:r>
        <w:rPr>
          <w:rStyle w:val="FootnoteAnchor"/>
          <w:rtl w:val="true"/>
        </w:rPr>
        <w:footnoteReference w:id="1153"/>
      </w:r>
      <w:r>
        <w:rPr>
          <w:rFonts w:ascii="IRNazanin" w:hAnsi="IRNazanin" w:eastAsia="IRNazanin"/>
          <w:color w:val="111111"/>
          <w:sz w:val="28"/>
          <w:sz w:val="28"/>
          <w:szCs w:val="28"/>
          <w:rtl w:val="true"/>
          <w:lang w:bidi="fa-IR"/>
        </w:rPr>
        <w:t>وهو مهجور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وأنكر الزمخشري تواتر السّبعة ووافقه على ذلك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الفاضل المقدّم ذكره </w:t>
      </w:r>
      <w:r>
        <w:rPr>
          <w:rStyle w:val="FootnoteAnchor"/>
          <w:rtl w:val="true"/>
        </w:rPr>
        <w:footnoteReference w:id="1154"/>
      </w:r>
      <w:r>
        <w:rPr>
          <w:rFonts w:ascii="Amiri" w:hAnsi="Amiri" w:eastAsia="Amiri" w:cs="Amiri"/>
          <w:color w:val="111111"/>
          <w:sz w:val="28"/>
          <w:sz w:val="28"/>
          <w:szCs w:val="28"/>
          <w:rtl w:val="true"/>
          <w:lang w:bidi="ar-SA"/>
        </w:rPr>
        <w:t xml:space="preserve">بعد اختياره عدم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وافقنا عليه السيّد الأجل عليّ بن طاوس في مواضع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عند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زَيَّنَ لِكَثِيرٍ مِنَ الْمُشْرِكِينَ قَتْلَ أَوْلادِهِمْ شُرَكاؤُهُمْ ، </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ونجم الأئمّة الرّضي رحمه‌الله </w:t>
      </w:r>
      <w:r>
        <w:rPr>
          <w:rStyle w:val="FootnoteAnchor"/>
          <w:rtl w:val="true"/>
        </w:rPr>
        <w:footnoteReference w:id="1157"/>
      </w:r>
      <w:r>
        <w:rPr>
          <w:rFonts w:ascii="Amiri" w:hAnsi="Amiri" w:eastAsia="Amiri" w:cs="Amiri"/>
          <w:color w:val="111111"/>
          <w:sz w:val="28"/>
          <w:sz w:val="28"/>
          <w:szCs w:val="28"/>
          <w:rtl w:val="true"/>
          <w:lang w:bidi="ar-SA"/>
        </w:rPr>
        <w:t xml:space="preserve">في موضعين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أحدهما عند قول ابن الحاجب ، وإن عطف على الضمير المجرور اعيد الخافض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ظاهر الأكثر أنّها متواترة إن كانت جوهريّة ، أي من قبيل جوهر </w:t>
      </w:r>
    </w:p>
    <w:p>
      <w:pPr>
        <w:pStyle w:val="BookText"/>
        <w:rPr/>
      </w:pPr>
      <w:r>
        <w:rPr>
          <w:rFonts w:ascii="Amiri" w:hAnsi="Amiri" w:eastAsia="Amiri" w:cs="Amiri"/>
          <w:color w:val="111111"/>
          <w:sz w:val="28"/>
          <w:sz w:val="28"/>
          <w:szCs w:val="28"/>
          <w:rtl w:val="true"/>
          <w:lang w:bidi="ar-SA"/>
        </w:rPr>
        <w:t xml:space="preserve">اللّفظ ،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ومالك ، ممّا يختلف خطوط المصحف والمعنى باختلافه لأنّه قرآن ، وقد ثبت اشتراط التواتر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كانت أدائيّة ، أي من قبيل الهيئة ، كالإمالة والمدّ واللّين ، فلا ، لأنّ القرآن هو الكلام ، وصفات الألفاظ ليست كلاما ، ولأنّه لا يوجب ذلك اختلافا في المعنى ، فلا يتعلّق فائدة مهمّة بتواتره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 الأصحاب ممّن يدّعي تواتر السّبعة أو العشرة هو تواترها عن النبيّ صلى‌الله‌عليه‌وآله عن الله تعالى كما يشير إليه ما سننقله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ذلك بعد ما عرفت ما نقلناه في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كان مرادهم تواترها عن الأئمّة عليهم‌السلام بمعنى تجويزهم عليهم‌السلام قراءتها والعمل على مقتضاها ، فهذا هو الذي يمكن أن يدّعى معلوميّتها من الشارع ، لأمرهم بقراءة القرآن كما يقرأ الناس وتقريرهم لأصحابهم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ينافي عدم علميّة صدورها عن النبيّ صلى‌الله‌عليه‌وآله ووقوع الزّيادة والنقصان فيه والإذعان بذلك ، والسّكوت عمّا سواه أوفق بطريقة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على كون السّبع من الله تعالى بما ورد في الأخبار أنّ القرآن نزل على سبعة أحرف ، فهو لا يدلّ على المطلوب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ادّعى بعض العامّة تواترها ، واختلفوا في معناه على ما يقرب من أربعين قولا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على سبعة أحرف كلّها كاف 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بالحرف اللّغة ، يعني على سبع لغات من لغات العرب ، أي انّها متفرّقة </w:t>
      </w:r>
      <w:r>
        <w:rPr>
          <w:rStyle w:val="FootnoteAnchor"/>
          <w:rtl w:val="true"/>
        </w:rPr>
        <w:footnoteReference w:id="1159"/>
      </w:r>
      <w:r>
        <w:rPr>
          <w:rFonts w:ascii="Amiri" w:hAnsi="Amiri" w:eastAsia="Amiri" w:cs="Amiri"/>
          <w:color w:val="111111"/>
          <w:sz w:val="28"/>
          <w:sz w:val="28"/>
          <w:szCs w:val="28"/>
          <w:rtl w:val="true"/>
          <w:lang w:bidi="ar-SA"/>
        </w:rPr>
        <w:t xml:space="preserve">في القرآن ، فبعضه بلغة قريش ، وبعضه بلغة هذيل ، وبعضه بلغة هوازن ، وبعضه بلغة يمن </w:t>
      </w:r>
      <w:r>
        <w:rPr>
          <w:rStyle w:val="FootnoteAnchor"/>
          <w:rtl w:val="true"/>
        </w:rPr>
        <w:footnoteReference w:id="1160"/>
      </w:r>
      <w:r>
        <w:rPr>
          <w:rFonts w:ascii="Amiri" w:hAnsi="Amiri" w:eastAsia="Amiri" w:cs="Amiri"/>
          <w:color w:val="111111"/>
          <w:sz w:val="28"/>
          <w:sz w:val="28"/>
          <w:szCs w:val="28"/>
          <w:rtl w:val="true"/>
          <w:lang w:bidi="ar-SA"/>
        </w:rPr>
        <w:t xml:space="preserve">، وليس معناه أن يكون في الحرف الواحد سبعة أوجه ، على أنّه قد جاء في القرآن ما قرئ بسبعة ، وعشرة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يَوْمِ الدِّينِ ، </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الطَّاغُوتَ</w:t>
      </w:r>
      <w:r>
        <w:rPr>
          <w:rFonts w:eastAsia="Amiri" w:cs="Amiri" w:ascii="Amiri" w:hAnsi="Amiri"/>
          <w:color w:val="111111"/>
          <w:sz w:val="28"/>
          <w:szCs w:val="28"/>
          <w:rtl w:val="true"/>
          <w:lang w:bidi="ar-SA"/>
        </w:rPr>
        <w:t xml:space="preserve">. )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وممّا يبيّن ذلك قول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سمعت القرّاء </w:t>
      </w:r>
      <w:r>
        <w:rPr>
          <w:rStyle w:val="FootnoteAnchor"/>
          <w:rtl w:val="true"/>
        </w:rPr>
        <w:footnoteReference w:id="1163"/>
      </w:r>
      <w:r>
        <w:rPr>
          <w:rFonts w:ascii="Amiri" w:hAnsi="Amiri" w:eastAsia="Amiri" w:cs="Amiri"/>
          <w:color w:val="111111"/>
          <w:sz w:val="28"/>
          <w:sz w:val="28"/>
          <w:szCs w:val="28"/>
          <w:rtl w:val="true"/>
          <w:lang w:bidi="ar-SA"/>
        </w:rPr>
        <w:t xml:space="preserve">فوجدتهم متقاربين فاقرءوا كما علّمتم إنّما هو كقول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وتعال وأقبل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أقوال غير ذلك هذا أحسنها </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الكليني روى في الحسن كالصحيح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أنّ القرآن نزل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أعداء الله ، ولكنّه نزل على حرف واحد من عند الواحد</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عليه‌السلام كذّبهم لأجل فهمهم من النزول على سبعة أحرف النزول على القراءات السّبع كما هو الظاهر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على حرف واحد من عند </w:t>
      </w:r>
    </w:p>
    <w:p>
      <w:pPr>
        <w:pStyle w:val="BookText"/>
        <w:rPr/>
      </w:pP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صحّة الخبر إذا اريد منه اللّغات السّبع أو البطون السّبعة أو نحو ذلك ، مثل ما روى أصحابنا عن أمير المؤمنين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أنزل القرآن على سبعة أقسام كلّ قسم منها كاف شاف وهي أمر وزجر وترغيب وترهيب وجدل ومثل وقصص</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روى العامّة 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رووه أيضا </w:t>
      </w:r>
      <w:r>
        <w:rPr>
          <w:rStyle w:val="FootnoteAnchor"/>
          <w:rtl w:val="true"/>
        </w:rPr>
        <w:footnoteReference w:id="1167"/>
      </w:r>
      <w:r>
        <w:rPr>
          <w:rFonts w:ascii="Amiri" w:hAnsi="Amiri" w:eastAsia="Amiri" w:cs="Amiri"/>
          <w:color w:val="111111"/>
          <w:sz w:val="28"/>
          <w:sz w:val="28"/>
          <w:szCs w:val="28"/>
          <w:rtl w:val="true"/>
          <w:lang w:bidi="ar-SA"/>
        </w:rPr>
        <w:t xml:space="preserve">عن زرارة 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واحد نزل من عند واحد ولكنّ الاختلاف يجيء من قبل الرّواة</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ذكرنا أنّ المراد بالسّبعة ليس القراءات السّبع ،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 xml:space="preserve">عن الصّادق عليه‌السلام قال له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تختلف عنكم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على سبعة أحرف وأدنى ما للإمام عليه‌السلام أن يفتي على سبعة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العامّة عنه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القرآن نزل على سبعة أحرف لكلّ آية منها ظهر وبطن ولكلّ حرف حدّ ومطلع</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للقرآن ظهرا وبطنا ولبطنه بطنا إلى سبعة أبطن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عيسى بن عبد الله الهاشمي عن أبيه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أتاني آت من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يأمرك أن تقرأ القرآن على 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وسّع 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تقرأ القرآن على سبعة أحرف</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مع ضعف سندها أيضا غير واضحة الدّلالة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فدعوى تواتر السّبعة عن النبيّ صلى‌الله‌عليه‌وآله 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السيّد المتقدّم ذكره </w:t>
      </w:r>
      <w:r>
        <w:rPr>
          <w:rStyle w:val="FootnoteAnchor"/>
          <w:rtl w:val="true"/>
        </w:rPr>
        <w:footnoteReference w:id="1173"/>
      </w:r>
      <w:r>
        <w:rPr>
          <w:rFonts w:ascii="Amiri" w:hAnsi="Amiri" w:eastAsia="Amiri" w:cs="Amiri"/>
          <w:color w:val="111111"/>
          <w:sz w:val="28"/>
          <w:sz w:val="28"/>
          <w:szCs w:val="28"/>
          <w:rtl w:val="true"/>
          <w:lang w:bidi="ar-SA"/>
        </w:rPr>
        <w:t xml:space="preserve">في بيان منع تواترها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نصّوا على أنّه كان لكلّ قارئ راويان يرويان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اتّفق التواتر في الطبقات اللّاحقة ، وأيضا تواترها عنهم </w:t>
      </w:r>
      <w:r>
        <w:rPr>
          <w:rStyle w:val="FootnoteAnchor"/>
          <w:rtl w:val="true"/>
        </w:rPr>
        <w:footnoteReference w:id="1174"/>
      </w:r>
      <w:r>
        <w:rPr>
          <w:rFonts w:ascii="Amiri" w:hAnsi="Amiri" w:eastAsia="Amiri" w:cs="Amiri"/>
          <w:color w:val="111111"/>
          <w:sz w:val="28"/>
          <w:sz w:val="28"/>
          <w:szCs w:val="28"/>
          <w:rtl w:val="true"/>
          <w:lang w:bidi="ar-SA"/>
        </w:rPr>
        <w:t xml:space="preserve">كيف يفيدوهم من آحاد المخالفين استبدّوا بآرائهم كما تقدّم ، وإسنادهم إلى النبيّ صلى‌الله‌عليه‌وآله إن ثبت فلا حجّة فيه </w:t>
      </w:r>
      <w:r>
        <w:rPr>
          <w:rStyle w:val="FootnoteAnchor"/>
          <w:rtl w:val="true"/>
        </w:rPr>
        <w:footnoteReference w:id="1175"/>
      </w:r>
      <w:r>
        <w:rPr>
          <w:rFonts w:ascii="Amiri" w:hAnsi="Amiri" w:eastAsia="Amiri" w:cs="Amiri"/>
          <w:color w:val="111111"/>
          <w:sz w:val="28"/>
          <w:sz w:val="28"/>
          <w:szCs w:val="28"/>
          <w:rtl w:val="true"/>
          <w:lang w:bidi="ar-SA"/>
        </w:rPr>
        <w:t xml:space="preserve">، مع أنّ كتب القراءة والتفاسير مشحونة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حفص كذا ، وعاصم كذا ، وفي قراءة عليّ بن أبي طالب عليه‌السلام وأهل البيت عليهم‌السلام كذا ، بل ربّما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قراءة رسول الله صلى‌الله‌عليه‌وآله كذا كما يظهر من الاختلافات المذكورة في 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الْمَغْضُوبِ عَلَيْهِمْ وَلَا الضَّالِّينَ </w:t>
      </w:r>
      <w:r>
        <w:rPr>
          <w:rFonts w:eastAsia="Amiri" w:cs="Amiri" w:ascii="Amiri" w:hAnsi="Amiri"/>
          <w:color w:val="111111"/>
          <w:sz w:val="28"/>
          <w:szCs w:val="28"/>
          <w:rtl w:val="true"/>
          <w:lang w:bidi="ar-SA"/>
        </w:rPr>
        <w:t xml:space="preserve">) .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والحاصل ، أنّهم يجعلون قراءة القرّاء قسيمة لقراءة المعصومين عليهم‌السلام ، فكيف يكون القراءات السّبع متواترة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أنّ الراويين كانا يرويان القراءة عن شيخهم بمعنى أنّ </w:t>
      </w:r>
    </w:p>
    <w:p>
      <w:pPr>
        <w:pStyle w:val="BookText"/>
        <w:rPr/>
      </w:pPr>
      <w:r>
        <w:rPr>
          <w:rFonts w:ascii="Amiri" w:hAnsi="Amiri" w:eastAsia="Amiri" w:cs="Amiri"/>
          <w:color w:val="111111"/>
          <w:sz w:val="28"/>
          <w:sz w:val="28"/>
          <w:szCs w:val="28"/>
          <w:rtl w:val="true"/>
          <w:lang w:bidi="ar-SA"/>
        </w:rPr>
        <w:t>شيخهم كان يقرأ كذا ، يعني أنّ الشيخ كان يختار هذه القراءة من جملة القراءات المتواترة ، فتخصيص الراويين بالنقل إنّما هو لأجل إسناد الاختيار والترجيح ، لا رواية أصل القراءة حتّى يستند في منع حصول التواتر بذلك ، وذلك لا ينافي مخالفتهم للمعصومين أيضا ، لأنّهم كانوا يختارون ما نقل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يؤيّد عدم تواتر السّبع أيضا باختلاف القرّاء في ترك البسملة ، فقد نقل متواتر عن قراءة كثير منهم ترك البسملة ، مع أنّ الأصحاب مجمعون على بطلان الصّلاة بتركها </w:t>
      </w:r>
      <w:r>
        <w:rPr>
          <w:rStyle w:val="FootnoteAnchor"/>
          <w:rtl w:val="true"/>
        </w:rPr>
        <w:footnoteReference w:id="1177"/>
      </w:r>
      <w:r>
        <w:rPr>
          <w:rFonts w:ascii="Amiri" w:hAnsi="Amiri" w:eastAsia="Amiri" w:cs="Amiri"/>
          <w:color w:val="111111"/>
          <w:sz w:val="28"/>
          <w:sz w:val="28"/>
          <w:szCs w:val="28"/>
          <w:rtl w:val="true"/>
          <w:lang w:bidi="ar-SA"/>
        </w:rPr>
        <w:t xml:space="preserve">، فكيف يحكمون ببطلان المتواتر عن النبيّ صلى‌الله‌عليه‌وآله وفيه تأمّل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ما بنينا عليه من كون ذلك تجويزا عن الأئمّة عليهم‌السلام فيصحّ الجواب باستثناء ذلك كما ورد في الأخبار المستفيضة من كون البسملة جزء ، وانعقد إجماعهم عليه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الشهيد الثاني رحمه‌الله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الألفية</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ليس المراد أنّ كلّ ما ورد من هذه القراءات متواتر ، بل المراد انحصار المتواتر الآن فيما نقل من هذه القراءات ، فإنّ بعض ما نقل عن السّبعة شاذّ ، فضلا عن غيرهم كما حقّقه جماعة من أهل هذا الشأن ، والمعتبر القراءة بما تواتر من هذه القراءات وإن ركب بعضها في بعض ، ما لم يترتّب بعضه على بعض آخر بحسب العربية فيجب مراعاته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 </w:t>
      </w:r>
      <w:r>
        <w:rPr>
          <w:rStyle w:val="FootnoteAnchor"/>
          <w:rtl w:val="true"/>
        </w:rPr>
        <w:footnoteReference w:id="1180"/>
      </w:r>
      <w:r>
        <w:rPr>
          <w:rFonts w:ascii="Amiri" w:hAnsi="Amiri" w:eastAsia="Amiri" w:cs="Amiri"/>
          <w:color w:val="111111"/>
          <w:sz w:val="28"/>
          <w:sz w:val="28"/>
          <w:szCs w:val="28"/>
          <w:rtl w:val="true"/>
          <w:lang w:bidi="ar-SA"/>
        </w:rPr>
        <w:t xml:space="preserve">فإنّه لا يجوز الرّفع فيهما ولا </w:t>
      </w:r>
    </w:p>
    <w:p>
      <w:pPr>
        <w:pStyle w:val="BookText"/>
        <w:rPr/>
      </w:pPr>
      <w:r>
        <w:rPr>
          <w:rFonts w:ascii="Amiri" w:hAnsi="Amiri" w:eastAsia="Amiri" w:cs="Amiri"/>
          <w:color w:val="111111"/>
          <w:sz w:val="28"/>
          <w:sz w:val="28"/>
          <w:szCs w:val="28"/>
          <w:rtl w:val="true"/>
          <w:lang w:bidi="ar-SA"/>
        </w:rPr>
        <w:t xml:space="preserve">النصب وإن كان كلّ منهما متواترا بأن يؤخذ رفع آدم من غير قراءة ابن كثير ، ورفع كلمات من قراءته </w:t>
      </w:r>
      <w:r>
        <w:rPr>
          <w:rStyle w:val="FootnoteAnchor"/>
          <w:rtl w:val="true"/>
        </w:rPr>
        <w:footnoteReference w:id="1181"/>
      </w:r>
      <w:r>
        <w:rPr>
          <w:rFonts w:ascii="Amiri" w:hAnsi="Amiri" w:eastAsia="Amiri" w:cs="Amiri"/>
          <w:color w:val="111111"/>
          <w:sz w:val="28"/>
          <w:sz w:val="28"/>
          <w:szCs w:val="28"/>
          <w:rtl w:val="true"/>
          <w:lang w:bidi="ar-SA"/>
        </w:rPr>
        <w:t>، فإنّ ذلك لا يصحّ ، لفساد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وَكَفَّلَها زَكَرِيَّا </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بالتشديد مع الرّفع أو بالعكس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ابن الجوزي </w:t>
      </w:r>
      <w:r>
        <w:rPr>
          <w:rStyle w:val="FootnoteAnchor"/>
          <w:rtl w:val="true"/>
        </w:rPr>
        <w:footnoteReference w:id="118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أكثر القرّاء جواز ذلك أيضا </w:t>
      </w:r>
      <w:r>
        <w:rPr>
          <w:rStyle w:val="FootnoteAnchor"/>
          <w:rtl w:val="true"/>
        </w:rPr>
        <w:footnoteReference w:id="1185"/>
      </w:r>
      <w:r>
        <w:rPr>
          <w:rFonts w:ascii="Amiri" w:hAnsi="Amiri" w:eastAsia="Amiri" w:cs="Amiri"/>
          <w:color w:val="111111"/>
          <w:sz w:val="28"/>
          <w:sz w:val="28"/>
          <w:szCs w:val="28"/>
          <w:rtl w:val="true"/>
          <w:lang w:bidi="ar-SA"/>
        </w:rPr>
        <w:t xml:space="preserve">واختار ما ذكرناه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اتباع قراءة الواحد من العشرة في جميع السّور فغير واجب قطعا ، بل ولا مستحبّ ، فإنّ الكلّ من عند الله نزل به الرّوح الأمين على قلب سيّد المرسلين تخفيفا عن الامّة وتهوينا على أهل هذه الملّة ، وانحصار القراءات فيما ذكر أمر حادث غير معروف في الزّمن السّابق ، بل كثير من الفضلاء أنكر ذلك خوفا من التباس الأمر وتوهّم أنّ المراد بالسّبعة هي الأحرف التي ورد في النقل أنّ القرآن انزل عليها ، والأمر ليس كذلك </w:t>
      </w:r>
      <w:r>
        <w:rPr>
          <w:rStyle w:val="FootnoteAnchor"/>
          <w:rtl w:val="true"/>
        </w:rPr>
        <w:footnoteReference w:id="1187"/>
      </w:r>
      <w:r>
        <w:rPr>
          <w:rFonts w:ascii="Amiri" w:hAnsi="Amiri" w:eastAsia="Amiri" w:cs="Amiri"/>
          <w:color w:val="111111"/>
          <w:sz w:val="28"/>
          <w:sz w:val="28"/>
          <w:szCs w:val="28"/>
          <w:rtl w:val="true"/>
          <w:lang w:bidi="ar-SA"/>
        </w:rPr>
        <w:t xml:space="preserve">فالواجب القراءة بما تواتر ، انتهى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وانحصار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متشابه المقصود ، والأظهر أنّه ابتداء تحقيق ، يعني أنّها في الصدر الأوّل لم تكن منحصرة في السّبع والعشر ، بل كانت أزيد من </w:t>
      </w:r>
    </w:p>
    <w:p>
      <w:pPr>
        <w:pStyle w:val="BookText"/>
        <w:rPr/>
      </w:pPr>
      <w:r>
        <w:rPr>
          <w:rFonts w:ascii="Amiri" w:hAnsi="Amiri" w:eastAsia="Amiri" w:cs="Amiri"/>
          <w:color w:val="111111"/>
          <w:sz w:val="28"/>
          <w:sz w:val="28"/>
          <w:szCs w:val="28"/>
          <w:rtl w:val="true"/>
          <w:lang w:bidi="ar-SA"/>
        </w:rPr>
        <w:t xml:space="preserve">ذلك ، وأنكر كثير منهم ذلك حتّى لا يتوهّم أنّ المرخّص فيه في الصّدر الأوّل إنّما هو هذا القدر كما يشير إليه ما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توافقت فيه القراءات فلا إشكال ، والمشهور في المختلفات التخيير لعدم المرجّح ، ويشكل الأمر فيما يختلف به الحكم في ظاهر اللّفظ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يطهرن ويطهّرن ، فإن ثبت مرجّح كما ثبت للتخفيف هنا ، فيعمل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ما ذكرنا </w:t>
      </w:r>
      <w:r>
        <w:rPr>
          <w:rStyle w:val="FootnoteAnchor"/>
          <w:rtl w:val="true"/>
        </w:rPr>
        <w:footnoteReference w:id="1189"/>
      </w:r>
      <w:r>
        <w:rPr>
          <w:rFonts w:ascii="Amiri" w:hAnsi="Amiri" w:eastAsia="Amiri" w:cs="Amiri"/>
          <w:color w:val="111111"/>
          <w:sz w:val="28"/>
          <w:sz w:val="28"/>
          <w:szCs w:val="28"/>
          <w:rtl w:val="true"/>
          <w:lang w:bidi="ar-SA"/>
        </w:rPr>
        <w:t>وقوع الخلاف في هذه الآية ، وإلّا لتعيّن التخيير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وأحبّ القراءات إليّ </w:t>
      </w:r>
      <w:r>
        <w:rPr>
          <w:rStyle w:val="FootnoteAnchor"/>
          <w:rtl w:val="true"/>
        </w:rPr>
        <w:footnoteReference w:id="1190"/>
      </w:r>
      <w:r>
        <w:rPr>
          <w:rFonts w:ascii="Amiri" w:hAnsi="Amiri" w:eastAsia="Amiri" w:cs="Amiri"/>
          <w:color w:val="111111"/>
          <w:sz w:val="28"/>
          <w:sz w:val="28"/>
          <w:szCs w:val="28"/>
          <w:rtl w:val="true"/>
          <w:lang w:bidi="ar-SA"/>
        </w:rPr>
        <w:t xml:space="preserve">ما قرأه عاصم من طريق أبي بكر بن عيّاش </w:t>
      </w:r>
      <w:r>
        <w:rPr>
          <w:rStyle w:val="FootnoteAnchor"/>
          <w:rtl w:val="true"/>
        </w:rPr>
        <w:footnoteReference w:id="1191"/>
      </w:r>
      <w:r>
        <w:rPr>
          <w:rFonts w:ascii="Amiri" w:hAnsi="Amiri" w:eastAsia="Amiri" w:cs="Amiri"/>
          <w:color w:val="111111"/>
          <w:sz w:val="28"/>
          <w:sz w:val="28"/>
          <w:szCs w:val="28"/>
          <w:rtl w:val="true"/>
          <w:lang w:bidi="ar-SA"/>
        </w:rPr>
        <w:t>، وطريق أبي عمرو بن العلاء ، فإنّها أولى من قراءة حمزة والكسائي لما فيها من الإدغام والإمالة وزيادة المدّ ، وذلك كلّه تكلّف ، ولو قرأ به ، صحّت صلاته بلا خلاف</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بالشواذّ لعدم ثبوت كونها قرآنا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العامّة إلى أنّها كأخبار الآحاد يجوز العمل بها </w:t>
      </w:r>
      <w:r>
        <w:rPr>
          <w:rStyle w:val="FootnoteAnchor"/>
          <w:rtl w:val="true"/>
        </w:rPr>
        <w:footnoteReference w:id="1193"/>
      </w:r>
      <w:r>
        <w:rPr>
          <w:rFonts w:ascii="Amiri" w:hAnsi="Amiri" w:eastAsia="Amiri" w:cs="Amiri"/>
          <w:color w:val="111111"/>
          <w:sz w:val="28"/>
          <w:sz w:val="28"/>
          <w:szCs w:val="28"/>
          <w:rtl w:val="true"/>
          <w:lang w:bidi="ar-SA"/>
        </w:rPr>
        <w:t xml:space="preserve">، وهو مشكل لأنّ إثبات السنة بخبر الواحد قام الدّليل عليه بخلاف الكتاب ، وذلك كقراءة ابن مسعود في كفّارة اليمين ، فصيام ثلاثة أيّام متتابعات </w:t>
      </w:r>
      <w:r>
        <w:rPr>
          <w:rStyle w:val="FootnoteAnchor"/>
          <w:rtl w:val="true"/>
        </w:rPr>
        <w:footnoteReference w:id="1194"/>
      </w:r>
      <w:r>
        <w:rPr>
          <w:rFonts w:ascii="Amiri" w:hAnsi="Amiri" w:eastAsia="Amiri" w:cs="Amiri"/>
          <w:color w:val="111111"/>
          <w:sz w:val="28"/>
          <w:sz w:val="28"/>
          <w:szCs w:val="28"/>
          <w:rtl w:val="true"/>
          <w:lang w:bidi="ar-SA"/>
        </w:rPr>
        <w:t>، فهل ينزل منزلة الخبر لأنّها رواية أم لا ، لأنّها لم تنقل خبرا ، والقرآن لا يثبت بالآحاد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عليه وجوب التّتابع في كفّارة اليمين وعدمه ، ولكن ثبت الحكم عندنا من غير القراءة</w:t>
      </w:r>
      <w:r>
        <w:rPr>
          <w:rFonts w:eastAsia="Amiri" w:cs="Amiri" w:ascii="Amiri" w:hAnsi="Amiri"/>
          <w:color w:val="111111"/>
          <w:sz w:val="28"/>
          <w:szCs w:val="28"/>
          <w:rtl w:val="true"/>
          <w:lang w:bidi="ar-SA"/>
        </w:rPr>
        <w:t xml:space="preserve">. </w:t>
      </w:r>
      <w:bookmarkStart w:id="156" w:name="pg14071_149211"/>
    </w:p>
    <w:p>
      <w:pPr>
        <w:pStyle w:val="Heading3"/>
        <w:numPr>
          <w:ilvl w:val="2"/>
          <w:numId w:val="1"/>
        </w:numPr>
        <w:rPr/>
      </w:pPr>
      <w:bookmarkStart w:id="157" w:name="__RefHeading___Toc495103_1738255347"/>
      <w:bookmarkStart w:id="158" w:name="_Toc57"/>
      <w:bookmarkEnd w:id="156"/>
      <w:bookmarkEnd w:id="157"/>
      <w:r>
        <w:rPr>
          <w:rtl w:val="true"/>
        </w:rPr>
        <w:t xml:space="preserve">المقصد الثالث </w:t>
      </w:r>
      <w:r>
        <w:rPr>
          <w:rtl w:val="true"/>
        </w:rPr>
        <w:t xml:space="preserve">: </w:t>
      </w:r>
      <w:r>
        <w:rPr>
          <w:rtl w:val="true"/>
        </w:rPr>
        <w:t>في السنة</w:t>
      </w:r>
      <w:bookmarkEnd w:id="158"/>
    </w:p>
    <w:p>
      <w:pPr>
        <w:pStyle w:val="Heading4"/>
        <w:numPr>
          <w:ilvl w:val="3"/>
          <w:numId w:val="1"/>
        </w:numPr>
        <w:rPr/>
      </w:pPr>
      <w:bookmarkStart w:id="159" w:name="__RefHeading___Toc495105_1738255347"/>
      <w:bookmarkStart w:id="160" w:name="_Toc58"/>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 xml:space="preserve">في السنة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وهو قول المعصوم عليه‌السلام أو فعله أو تقريره الغير العاديات </w:t>
      </w:r>
      <w:r>
        <w:rPr>
          <w:rStyle w:val="FootnoteAnchor"/>
          <w:rtl w:val="true"/>
        </w:rPr>
        <w:footnoteReference w:id="1196"/>
      </w:r>
      <w:r>
        <w:rPr>
          <w:rFonts w:ascii="Amiri" w:hAnsi="Amiri" w:eastAsia="Amiri" w:cs="Amiri"/>
          <w:color w:val="111111"/>
          <w:sz w:val="28"/>
          <w:sz w:val="28"/>
          <w:szCs w:val="28"/>
          <w:rtl w:val="true"/>
          <w:lang w:bidi="ar-SA"/>
        </w:rPr>
        <w:t xml:space="preserve">وفيه مطلبان </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495107_1738255347"/>
      <w:bookmarkStart w:id="162" w:name="_Toc59"/>
      <w:bookmarkEnd w:id="161"/>
      <w:r>
        <w:rPr>
          <w:rtl w:val="true"/>
        </w:rPr>
        <w:t xml:space="preserve">المطلب الأوّل </w:t>
      </w:r>
      <w:r>
        <w:rPr>
          <w:rtl w:val="true"/>
        </w:rPr>
        <w:t xml:space="preserve">: </w:t>
      </w:r>
      <w:r>
        <w:rPr>
          <w:rtl w:val="true"/>
        </w:rPr>
        <w:t>في القول</w:t>
      </w:r>
      <w:bookmarkEnd w:id="162"/>
    </w:p>
    <w:p>
      <w:pPr>
        <w:pStyle w:val="Heading5"/>
        <w:numPr>
          <w:ilvl w:val="4"/>
          <w:numId w:val="1"/>
        </w:numPr>
        <w:rPr/>
      </w:pPr>
      <w:bookmarkStart w:id="163" w:name="__RefHeading___Toc495109_1738255347"/>
      <w:bookmarkStart w:id="164" w:name="_Toc60"/>
      <w:bookmarkEnd w:id="163"/>
      <w:r>
        <w:rPr>
          <w:rtl w:val="true"/>
        </w:rPr>
        <w:t>قانون</w:t>
      </w:r>
      <w:bookmarkEnd w:id="164"/>
    </w:p>
    <w:p>
      <w:pPr>
        <w:pStyle w:val="BookText"/>
        <w:rPr/>
      </w:pPr>
      <w:r>
        <w:rPr>
          <w:rFonts w:ascii="Amiri" w:hAnsi="Amiri" w:eastAsia="Amiri" w:cs="Amiri"/>
          <w:color w:val="111111"/>
          <w:sz w:val="28"/>
          <w:sz w:val="28"/>
          <w:szCs w:val="28"/>
          <w:rtl w:val="true"/>
          <w:lang w:bidi="ar-SA"/>
        </w:rPr>
        <w:t>الحديث هو ما يحكي قول المعصوم عليه‌السلام أو فعله أو تقريره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حكاية الحديث القدسي داخلة في السنّة ، وحكاية هذه الحكاية </w:t>
      </w:r>
    </w:p>
    <w:p>
      <w:pPr>
        <w:pStyle w:val="BookText"/>
        <w:rPr/>
      </w:pPr>
      <w:r>
        <w:rPr>
          <w:rFonts w:ascii="Amiri" w:hAnsi="Amiri" w:eastAsia="Amiri" w:cs="Amiri"/>
          <w:color w:val="111111"/>
          <w:sz w:val="28"/>
          <w:sz w:val="28"/>
          <w:szCs w:val="28"/>
          <w:rtl w:val="true"/>
          <w:lang w:bidi="ar-SA"/>
        </w:rPr>
        <w:t>عنه صلى‌الله‌عليه‌وآله داخل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نفس الحديث القدسي </w:t>
      </w:r>
      <w:r>
        <w:rPr>
          <w:rStyle w:val="FootnoteAnchor"/>
          <w:rtl w:val="true"/>
        </w:rPr>
        <w:footnoteReference w:id="1197"/>
      </w:r>
      <w:r>
        <w:rPr>
          <w:rFonts w:ascii="Amiri" w:hAnsi="Amiri" w:eastAsia="Amiri" w:cs="Amiri"/>
          <w:color w:val="111111"/>
          <w:sz w:val="28"/>
          <w:sz w:val="28"/>
          <w:szCs w:val="28"/>
          <w:rtl w:val="true"/>
          <w:lang w:bidi="ar-SA"/>
        </w:rPr>
        <w:t>فهو خارج عن السنّة والحديث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القرآن ، أنّ القرآن هو المنزل للتحدّي والإعجاز ، بخلاف الحديث القدسي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يعرّف الحديث </w:t>
      </w:r>
      <w:r>
        <w:rPr>
          <w:rStyle w:val="FootnoteAnchor"/>
          <w:rtl w:val="true"/>
        </w:rPr>
        <w:footnoteReference w:id="1199"/>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المعصوم عليه‌السلام أو حكاية قوله أو فعله أو تقريره ، ليدخل فيه أصل الكلام المسموع عن المعصوم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والأنسب بقاعدة النقل هو عدم الدّخول لكون كلامه عليه‌السلام في الأغلب أمرا أو نهيا ، بخلاف حكايته ، فإنّه دائما إخبار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الكلام المسموع هو الذي يسمّونه بالمتن ، ومتن الحديث مغاير لنفسه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ومذهب أصحابنا أنّ ما لا ينتهي إلى المعصوم عليه‌السلام ليس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 فاكتفوا فيه بالانتهاء إلى أحد الصّحابة أو التابعين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فيما يرد على التعريفات وإصلاح طردها وعكسها يشغلنا عنه ما هو أهمّ ، فلنقتصر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الخبر قد يطلق على ما يرادف الحديث ، كما هو مصطلح أصحاب الدراية</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يطلق على ما يقابل الإنشاء ، وقد عرفت تعريفه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فهو كلام لنسبته خارج يطابقه أو لا يطابقه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بالخارج هو الخارج عن مدلول اللفظ وإن كان في الذّهن ليدخل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 وليس المراد به ثبوته في جملة الأعيان الخارجية لينافي كونها أمرا اعتباريا ، لا أمرا مستقلا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الموجود الخارجي على ما ذكره بعض المحقّقين </w:t>
      </w:r>
      <w:r>
        <w:rPr>
          <w:rStyle w:val="FootnoteAnchor"/>
          <w:rtl w:val="true"/>
        </w:rPr>
        <w:footnoteReference w:id="1202"/>
      </w:r>
      <w:r>
        <w:rPr>
          <w:rFonts w:ascii="Amiri" w:hAnsi="Amiri" w:eastAsia="Amiri" w:cs="Amiri"/>
          <w:color w:val="111111"/>
          <w:sz w:val="28"/>
          <w:sz w:val="28"/>
          <w:szCs w:val="28"/>
          <w:rtl w:val="true"/>
          <w:lang w:bidi="ar-SA"/>
        </w:rPr>
        <w:t xml:space="preserve">هو ما كان الخارج ظرفا لوجوده لا لنفسه ، ولا ريب أنّ الخارج ظرف لنفس النسبة لا لوجودها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موجود في الخارج ، بمعنى أنّ وجود زيد في الخارج لا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حصول القيام لزيد مثلا فليس وجوده في الخارج حتّى يكون موجودا خارجيا ، بل هو نفسه في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فالحاصل </w:t>
      </w:r>
      <w:r>
        <w:rPr>
          <w:rStyle w:val="FootnoteAnchor"/>
          <w:rtl w:val="true"/>
        </w:rPr>
        <w:footnoteReference w:id="1203"/>
      </w:r>
      <w:r>
        <w:rPr>
          <w:rFonts w:ascii="Amiri" w:hAnsi="Amiri" w:eastAsia="Amiri" w:cs="Amiri"/>
          <w:color w:val="111111"/>
          <w:sz w:val="28"/>
          <w:sz w:val="28"/>
          <w:szCs w:val="28"/>
          <w:rtl w:val="true"/>
          <w:lang w:bidi="ar-SA"/>
        </w:rPr>
        <w:t xml:space="preserve">، أنّ الموجود الخارجي هو زيد لا وجوده ، والقيام لا حصوله ، لأنّه لو فرض للحصول والوجود وجود حتّى يكونان موجودين خارجيين لزم التسلسل </w:t>
      </w:r>
      <w:r>
        <w:rPr>
          <w:rStyle w:val="FootnoteAnchor"/>
          <w:rtl w:val="true"/>
        </w:rPr>
        <w:footnoteReference w:id="1204"/>
      </w:r>
      <w:r>
        <w:rPr>
          <w:rFonts w:ascii="Amiri" w:hAnsi="Amiri" w:eastAsia="Amiri" w:cs="Amiri"/>
          <w:color w:val="111111"/>
          <w:sz w:val="28"/>
          <w:sz w:val="28"/>
          <w:szCs w:val="28"/>
          <w:rtl w:val="true"/>
          <w:lang w:bidi="ar-SA"/>
        </w:rPr>
        <w:t>فيقال لحصول القيام أنّه أمر خارجيّ لا موجود خارجي ، وكذلك لوجود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النسبة في الخبر ثابتة في الواقع سواء التفت الذهن إليها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الإنشاء </w:t>
      </w:r>
      <w:r>
        <w:rPr>
          <w:rStyle w:val="FootnoteAnchor"/>
          <w:rtl w:val="true"/>
        </w:rPr>
        <w:footnoteReference w:id="1205"/>
      </w:r>
      <w:r>
        <w:rPr>
          <w:rFonts w:ascii="Amiri" w:hAnsi="Amiri" w:eastAsia="Amiri" w:cs="Amiri"/>
          <w:color w:val="111111"/>
          <w:sz w:val="28"/>
          <w:sz w:val="28"/>
          <w:szCs w:val="28"/>
          <w:rtl w:val="true"/>
          <w:lang w:bidi="ar-SA"/>
        </w:rPr>
        <w:t>فإنّما يثبت بنفسه نسبته بالتفات الذّهن إليها وإيقاعها ، ويوجد الحكم بنفس الكلام الإنشائيّ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 إذا استعمل على وضعه الحقيقيّ ، فلا بدّ أن يكون البيع واقعا في نفس الأمر قبل هذا الكلام حتّى يطابقه ،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الإنشائي ، فإنّ البيع يوجد بهذا اللفظ ، ولا ينافي ذلك جواز التعليق على شيء ، كما في الظهار ، مثل أن يقول رجل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كلّمت فلانا فأنت عليّ كظهر امّي ، فإنّ الظّهار وإن كان لا يحصل بمجرّد التنطّق ، بل يبقى معلّقا بحصول الشّرط ، ولكن الحكم الحاصل من هذا اللفظ إنّما يحصل به ، ولا خارج له أصلا ، وحيلولة حائل عن أثره وتأخيره عن المؤثّر لا ينافي حصوله به ، ومن هذا القبيل صيغة الإجارة مع تأخّر زمان الإجارة عن </w:t>
      </w:r>
    </w:p>
    <w:p>
      <w:pPr>
        <w:pStyle w:val="BookText"/>
        <w:rPr/>
      </w:pPr>
      <w:r>
        <w:rPr>
          <w:rFonts w:ascii="Amiri" w:hAnsi="Amiri" w:eastAsia="Amiri" w:cs="Amiri"/>
          <w:color w:val="111111"/>
          <w:sz w:val="28"/>
          <w:sz w:val="28"/>
          <w:szCs w:val="28"/>
          <w:rtl w:val="true"/>
          <w:lang w:bidi="ar-SA"/>
        </w:rPr>
        <w:t>الصّيغة ، وصيغة الأمر المعلّق على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تعريف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كلام يحتمل الصدق والكذب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والتكذيب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يفرّع على ذلك </w:t>
      </w:r>
      <w:r>
        <w:rPr>
          <w:rStyle w:val="FootnoteAnchor"/>
          <w:rtl w:val="true"/>
        </w:rPr>
        <w:footnoteReference w:id="1208"/>
      </w:r>
      <w:r>
        <w:rPr>
          <w:rFonts w:ascii="Amiri" w:hAnsi="Amiri" w:eastAsia="Amiri" w:cs="Amiri"/>
          <w:color w:val="111111"/>
          <w:sz w:val="28"/>
          <w:sz w:val="28"/>
          <w:szCs w:val="28"/>
          <w:rtl w:val="true"/>
          <w:lang w:bidi="ar-SA"/>
        </w:rPr>
        <w:t xml:space="preserve">ما لو قال لإحدى زوجاته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أخبرتني بقدوم زيد فهي عليّ كظهر امّي ، فأخبرته إحداهنّ بذلك كاذبة ، فيقع الظّهار لصدق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يشكل بأنّ المتعارف في ذلك إرادة الخبر الصادق ، بل الصدق إنّما هو مدلول الخبر ، والكذب إنّما هو احتمال عقليّ ، فإن علم أنّ المراد مطلق الخبر ،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أنّ تعريف الخبر بذلك مع أنّهم عرّفوا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الخبر عن الشيء ، على ما هو به يستلزم الدور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بالخبر في تعريف الصدق هو مطلق الإعلام ، فلا دور ، أو أنّ المراد تعريف صدق المتكلّم لا الكلام ، والصدق في تعريف الخبر هو صدق الكلام ، وإن شئت تعريف صدق الخبر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الخبر هو مطابقته للواقع ولا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اختلفوا في تعريف صدق الخبر وكذبه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الأقوى أنّ الصدق مطابقة الواقع ، والكذب عدم مطابقته ، للتبادر ، والإجماع على أنّ اليهودي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حقّ ، يحكم بصدقه ، وإذا قال خلافه يحكم بكذبه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النّظام </w:t>
      </w:r>
      <w:r>
        <w:rPr>
          <w:rStyle w:val="FootnoteAnchor"/>
          <w:rtl w:val="true"/>
        </w:rPr>
        <w:footnoteReference w:id="1210"/>
      </w:r>
      <w:r>
        <w:rPr>
          <w:rFonts w:ascii="Amiri" w:hAnsi="Amiri" w:eastAsia="Amiri" w:cs="Amiri"/>
          <w:color w:val="111111"/>
          <w:sz w:val="28"/>
          <w:sz w:val="28"/>
          <w:szCs w:val="28"/>
          <w:rtl w:val="true"/>
          <w:lang w:bidi="ar-SA"/>
        </w:rPr>
        <w:t xml:space="preserve">ومن تبعه إلى أنّ الصدق مطابقته لاعتقاد المخبر وإن لم يطابق الواقع ، والكذب عدمها وإن طابق الواقع ، 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تحتنا معتقدا ذلك ، صدق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فوقنا غير معتقد ذلك كذب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بالاعتقاد ما يعمّ الظنّ ، وهو الاعتقاد الرّاجح مع احتمال النقيض عند المخبر ، والعلم </w:t>
      </w:r>
      <w:r>
        <w:rPr>
          <w:rStyle w:val="FootnoteAnchor"/>
          <w:rtl w:val="true"/>
        </w:rPr>
        <w:footnoteReference w:id="1212"/>
      </w:r>
      <w:r>
        <w:rPr>
          <w:rFonts w:ascii="Amiri" w:hAnsi="Amiri" w:eastAsia="Amiri" w:cs="Amiri"/>
          <w:color w:val="111111"/>
          <w:sz w:val="28"/>
          <w:sz w:val="28"/>
          <w:szCs w:val="28"/>
          <w:rtl w:val="true"/>
          <w:lang w:bidi="ar-SA"/>
        </w:rPr>
        <w:t>، وهو الحكم الذّهني الجازم الثابت المطابق للواقع الذي لا يزول بتشكيك المشكّك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المركّب وهو الحكم الجازم الغير المطابق سواء زال بتشكيك المشكّك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والاعتقاد المشهور أي الحكم الذّهني الجازم الذي يقبل 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أرادوا من قبول التشكيك في الاعتقاد المشهور </w:t>
      </w:r>
      <w:r>
        <w:rPr>
          <w:rStyle w:val="FootnoteAnchor"/>
          <w:rtl w:val="true"/>
        </w:rPr>
        <w:footnoteReference w:id="1213"/>
      </w:r>
      <w:r>
        <w:rPr>
          <w:rFonts w:ascii="Amiri" w:hAnsi="Amiri" w:eastAsia="Amiri" w:cs="Amiri"/>
          <w:color w:val="111111"/>
          <w:sz w:val="28"/>
          <w:sz w:val="28"/>
          <w:szCs w:val="28"/>
          <w:rtl w:val="true"/>
          <w:lang w:bidi="ar-SA"/>
        </w:rPr>
        <w:t>، القبول في بعض أفراده ، فيشمل العلم ، وإلّا فيخرج عنه العلم وما لا يقبل التشكيك من أفراد الجهل المركّب ، ويدخل فيه الاعتقاد الجازم المطابق للواقع الذي يقبل التشكيك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قيل </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هو الحكم الجازم الذي لا يقبل التشكيك ، والاعتقاد </w:t>
      </w:r>
    </w:p>
    <w:p>
      <w:pPr>
        <w:pStyle w:val="BookText"/>
        <w:rPr/>
      </w:pPr>
      <w:r>
        <w:rPr>
          <w:rFonts w:ascii="Amiri" w:hAnsi="Amiri" w:eastAsia="Amiri" w:cs="Amiri"/>
          <w:color w:val="111111"/>
          <w:sz w:val="28"/>
          <w:sz w:val="28"/>
          <w:szCs w:val="28"/>
          <w:rtl w:val="true"/>
          <w:lang w:bidi="ar-SA"/>
        </w:rPr>
        <w:t>المشهور هو ما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الاعتقاد إلى هذين ، والظنّ وهو مفوّت للجهل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الجهل المركّب ما يقبل التشكيك مطلقا </w:t>
      </w:r>
      <w:r>
        <w:rPr>
          <w:rStyle w:val="FootnoteAnchor"/>
          <w:rtl w:val="true"/>
        </w:rPr>
        <w:footnoteReference w:id="1215"/>
      </w:r>
      <w:r>
        <w:rPr>
          <w:rFonts w:ascii="Amiri" w:hAnsi="Amiri" w:eastAsia="Amiri" w:cs="Amiri"/>
          <w:color w:val="111111"/>
          <w:sz w:val="28"/>
          <w:sz w:val="28"/>
          <w:szCs w:val="28"/>
          <w:rtl w:val="true"/>
          <w:lang w:bidi="ar-SA"/>
        </w:rPr>
        <w:t>، بمعنى أنّه يمكن زواله بإقامة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أيضا ربّما يقبل التشكيك بإلقاء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قبول التشكيك احتمال نفس الأمر للخلاف لا مجرّد حصول الشكّ للمخبر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الاعتقاد الجازم المشهوري الذي يقبل التشكيك ، ربّما يكون مطابقا للواقع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فالخبر المعلوم والمظنون والمجزوم به بالاعتقاد المشهوري ، صادق عند النّظام </w:t>
      </w:r>
      <w:r>
        <w:rPr>
          <w:rStyle w:val="FootnoteAnchor"/>
          <w:rtl w:val="true"/>
        </w:rPr>
        <w:footnoteReference w:id="1216"/>
      </w:r>
      <w:r>
        <w:rPr>
          <w:rFonts w:ascii="IRNazanin" w:hAnsi="IRNazanin" w:eastAsia="IRNazanin"/>
          <w:color w:val="111111"/>
          <w:sz w:val="28"/>
          <w:sz w:val="28"/>
          <w:szCs w:val="28"/>
          <w:rtl w:val="true"/>
          <w:lang w:bidi="fa-IR"/>
        </w:rPr>
        <w:t>، بخلاف الموهوم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إذا دلّ الخبر على الطرف الذي هو مرجوح عند المخبر ، فهو كاذب ، وكذا </w:t>
      </w:r>
    </w:p>
    <w:p>
      <w:pPr>
        <w:pStyle w:val="BookText"/>
        <w:rPr/>
      </w:pPr>
      <w:r>
        <w:rPr>
          <w:rFonts w:ascii="Amiri" w:hAnsi="Amiri" w:eastAsia="Amiri" w:cs="Amiri"/>
          <w:color w:val="111111"/>
          <w:sz w:val="28"/>
          <w:sz w:val="28"/>
          <w:szCs w:val="28"/>
          <w:rtl w:val="true"/>
          <w:lang w:bidi="ar-SA"/>
        </w:rPr>
        <w:t>ما كان مشكوكا عنده لعدم كونه مطابقا لاعتقاده ، وإن كان بسبب انتفاء الاعتقاد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 مدلول الخبر متّصف بالكذب ، وإلّا فلا حكم للشاكّ حتّى يقال أنّ خبره صادق أو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يَشْهَدُ إِنَّ الْمُنافِقِينَ لَكاذِبُونَ</w:t>
      </w:r>
      <w:r>
        <w:rPr>
          <w:rFonts w:eastAsia="Amiri" w:cs="Amiri" w:ascii="Amiri" w:hAnsi="Amiri"/>
          <w:color w:val="111111"/>
          <w:sz w:val="28"/>
          <w:szCs w:val="28"/>
          <w:rtl w:val="true"/>
          <w:lang w:bidi="ar-SA"/>
        </w:rPr>
        <w:t xml:space="preserve">. ) </w:t>
      </w:r>
      <w:r>
        <w:rPr>
          <w:rStyle w:val="FootnoteAnchor"/>
          <w:rtl w:val="true"/>
        </w:rPr>
        <w:footnoteReference w:id="1217"/>
      </w:r>
      <w:r>
        <w:rPr>
          <w:rFonts w:ascii="Amiri" w:hAnsi="Amiri" w:eastAsia="Amiri" w:cs="Amiri"/>
          <w:color w:val="111111"/>
          <w:sz w:val="28"/>
          <w:sz w:val="28"/>
          <w:szCs w:val="28"/>
          <w:rtl w:val="true"/>
          <w:lang w:bidi="ar-SA"/>
        </w:rPr>
        <w:t xml:space="preserve">فإنّه تعالى حكم بكونهم كاذبين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لرسول الله صلى‌الله‌عليه‌وآله ، مع أنّه مطابق للواقع ، فاتّصافه بالكذب إنّما يكون من جهة مخالفة اعتقادهم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عنه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أنّهم كاذبون فيما تضمّنه شهادتهم من ادّعائهم من صميم القلب ، كما يدلّ عليه تأكيد الكلام بأنواع التأكيدات من ذكر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 واللّام ، والجملة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لا يبطل قوله </w:t>
      </w:r>
      <w:r>
        <w:rPr>
          <w:rStyle w:val="FootnoteAnchor"/>
          <w:rtl w:val="true"/>
        </w:rPr>
        <w:footnoteReference w:id="1220"/>
      </w:r>
      <w:r>
        <w:rPr>
          <w:rFonts w:ascii="Amiri" w:hAnsi="Amiri" w:eastAsia="Amiri" w:cs="Amiri"/>
          <w:color w:val="111111"/>
          <w:sz w:val="28"/>
          <w:sz w:val="28"/>
          <w:szCs w:val="28"/>
          <w:rtl w:val="true"/>
          <w:lang w:bidi="ar-SA"/>
        </w:rPr>
        <w:t>، لأنّ دعوى المواطاة وكون الشّهادة من صميم القلب مخالف لمعتقدهم أيضا ، لأنّا نقول أنّه غير مطابق للواقع أيضا ، فلم يثبت أنّ وصفه بالكذب ، لما ذكره دون ما ذكرنا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راجع إلى دعوى الاستمرار </w:t>
      </w:r>
      <w:r>
        <w:rPr>
          <w:rStyle w:val="FootnoteAnchor"/>
          <w:rtl w:val="true"/>
        </w:rPr>
        <w:footnoteReference w:id="1221"/>
      </w:r>
      <w:r>
        <w:rPr>
          <w:rFonts w:ascii="Amiri" w:hAnsi="Amiri" w:eastAsia="Amiri" w:cs="Amiri"/>
          <w:color w:val="111111"/>
          <w:sz w:val="28"/>
          <w:sz w:val="28"/>
          <w:szCs w:val="28"/>
          <w:rtl w:val="true"/>
          <w:lang w:bidi="ar-SA"/>
        </w:rPr>
        <w:t xml:space="preserve">، كما يشهد به الجملة المضارعة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راجع إلى لازم فائدة الخبر ، وهو كونهم عالمين بذلك معتقدين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المنافقين قوم متّسمون بالكذب ، وهو عادتهم وسجيّتهم ، فلا تغترّ بشهادتهم ، ولا تعتمد عليهم ، فإنّ الكذوب قد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كاذبون في تسميته شهادة ؛ لاشتراط مواطاة القلب واللّسان في مفهوم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تسميتهم كأنّه إخبار بأنّ ذلك شهادة ، فيؤول التسمية إلى الخبر ، وإلّا فالتسمية ليست بخبر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يمنع اشتراط المواطاة في مفهوم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تسليم رجوع التكذيب إلى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لَرَسُولُ اللهِ </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أنّهم كاذبون في اعتقادهم الفاسد لأنّهم يعتقدون أنّ هذا غير 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راجع إلى حلفهم على أنّهم لم 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تُنْفِقُوا عَلى مَنْ عِنْدَ رَسُولِ اللهِ ، </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 xml:space="preserve">ولم 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رَجَعْنا إِلَى الْمَدِينَةِ لَيُخْرِجَنَّ الْأَعَزُّ مِنْهَا الْأَذَلَّ </w:t>
      </w:r>
      <w:r>
        <w:rPr>
          <w:rFonts w:eastAsia="Amiri" w:cs="Amiri" w:ascii="Amiri" w:hAnsi="Amiri"/>
          <w:color w:val="111111"/>
          <w:sz w:val="28"/>
          <w:szCs w:val="28"/>
          <w:rtl w:val="true"/>
          <w:lang w:bidi="ar-SA"/>
        </w:rPr>
        <w:t xml:space="preserve">) . </w:t>
      </w:r>
      <w:r>
        <w:rPr>
          <w:rStyle w:val="FootnoteAnchor"/>
          <w:rtl w:val="true"/>
        </w:rPr>
        <w:footnoteReference w:id="122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الجاحظ </w:t>
      </w:r>
      <w:r>
        <w:rPr>
          <w:rStyle w:val="FootnoteAnchor"/>
          <w:rtl w:val="true"/>
        </w:rPr>
        <w:footnoteReference w:id="1225"/>
      </w:r>
      <w:r>
        <w:rPr>
          <w:rFonts w:ascii="Amiri" w:hAnsi="Amiri" w:eastAsia="Amiri" w:cs="Amiri"/>
          <w:color w:val="111111"/>
          <w:sz w:val="28"/>
          <w:sz w:val="28"/>
          <w:szCs w:val="28"/>
          <w:rtl w:val="true"/>
          <w:lang w:bidi="ar-SA"/>
        </w:rPr>
        <w:t>إلى أنّ الصدق مطابقة الواقع ، والاعتقاد والكذب مخالفتهما معا ، وأنّ هناك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وحاصله ، أنّ الخبر إمّا مطابق للواقع أو لا ، وكلّ منهما إمّا مع اعتقاد المطابقة أو اعتقاد عدمها ، أو الشكّ أو عدم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هو المطابقة مع اعتقاد المطابقة ، والكذب هو المخالفة مع اعتقاد المخالفة ، والسّت البواقي وسائط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ثبوت الواسطة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أَفْتَرى عَلَى اللهِ كَذِباً أَمْ بِهِ جِنَّةٌ</w:t>
      </w:r>
      <w:r>
        <w:rPr>
          <w:rFonts w:eastAsia="Amiri" w:cs="Amiri" w:ascii="Amiri" w:hAnsi="Amiri"/>
          <w:color w:val="111111"/>
          <w:sz w:val="28"/>
          <w:szCs w:val="28"/>
          <w:rtl w:val="true"/>
          <w:lang w:bidi="ar-SA"/>
        </w:rPr>
        <w:t xml:space="preserve">. ) </w:t>
      </w:r>
      <w:r>
        <w:rPr>
          <w:rStyle w:val="FootnoteAnchor"/>
          <w:rtl w:val="true"/>
        </w:rPr>
        <w:footnoteReference w:id="1226"/>
      </w:r>
      <w:r>
        <w:rPr>
          <w:rFonts w:ascii="Amiri" w:hAnsi="Amiri" w:eastAsia="Amiri" w:cs="Amiri"/>
          <w:color w:val="111111"/>
          <w:sz w:val="28"/>
          <w:sz w:val="28"/>
          <w:szCs w:val="28"/>
          <w:rtl w:val="true"/>
          <w:lang w:bidi="ar-SA"/>
        </w:rPr>
        <w:t xml:space="preserve">فإنّ الكفّار حصروا إخبار النبيّ صلى‌الله‌عليه‌وآله عن الحشر والنشر ، أو عن نبوّته صلى‌الله‌عليه‌وآله في الافتراء ، وهو الكذب ، والإخبار حال الجنّة على سبيل منع الخلوّ </w:t>
      </w:r>
      <w:r>
        <w:rPr>
          <w:rStyle w:val="FootnoteAnchor"/>
          <w:rtl w:val="true"/>
        </w:rPr>
        <w:footnoteReference w:id="1227"/>
      </w:r>
      <w:r>
        <w:rPr>
          <w:rFonts w:ascii="Amiri" w:hAnsi="Amiri" w:eastAsia="Amiri" w:cs="Amiri"/>
          <w:color w:val="111111"/>
          <w:sz w:val="28"/>
          <w:sz w:val="28"/>
          <w:szCs w:val="28"/>
          <w:rtl w:val="true"/>
          <w:lang w:bidi="ar-SA"/>
        </w:rPr>
        <w:t>كما هو ظاهر مفاد كلمة أم ، والهمزة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يكون المراد من الثاني غير الكذب ، لاقتضاء الترديد مغايرته معه وغير الصّدق لاعتقادهم عدمه ، ولعدم دلالة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ذلك ، فلا بدّ أن يكون هناك واسطة يحمل عليها قولهم ، لأنّهم عقلاء من أهل اللّسان ، وعارفون باللّغة ، وكون الخبر صادقا في نفس الأمر لا ينافي كونه واسطة بينهما على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أنّهم اعتقدوا أنّ هذا الخبر خبر ، وليس من قسم الصّدق ، ولا من قسم الكذب ، بل هو شيء ثالث ، وخطأهم في أنّه شيء ثالث ، لا ينفي صحّة إطلاقهم الخبر على شيء ثالث ، وإطلاقهم دليل على صحّة الإطلاق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الترديد بين الافتراء وعدم 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والافتراء هو الكذب عن عمد ، ولا عمد للمجنون ، فهذا ترديد بين نوعي الكذب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القصد </w:t>
      </w:r>
      <w:r>
        <w:rPr>
          <w:rStyle w:val="FootnoteAnchor"/>
          <w:rtl w:val="true"/>
        </w:rPr>
        <w:footnoteReference w:id="1229"/>
      </w:r>
      <w:r>
        <w:rPr>
          <w:rFonts w:ascii="Amiri" w:hAnsi="Amiri" w:eastAsia="Amiri" w:cs="Amiri"/>
          <w:color w:val="111111"/>
          <w:sz w:val="28"/>
          <w:sz w:val="28"/>
          <w:szCs w:val="28"/>
          <w:rtl w:val="true"/>
          <w:lang w:bidi="ar-SA"/>
        </w:rPr>
        <w:t xml:space="preserve">إمّا داخل في مفهوم الافتراء أو هو المتبادر من </w:t>
      </w:r>
    </w:p>
    <w:p>
      <w:pPr>
        <w:pStyle w:val="BookText"/>
        <w:rPr/>
      </w:pPr>
      <w:r>
        <w:rPr>
          <w:rFonts w:ascii="Amiri" w:hAnsi="Amiri" w:eastAsia="Amiri" w:cs="Amiri"/>
          <w:color w:val="111111"/>
          <w:sz w:val="28"/>
          <w:sz w:val="28"/>
          <w:szCs w:val="28"/>
          <w:rtl w:val="true"/>
          <w:lang w:bidi="ar-SA"/>
        </w:rPr>
        <w:t xml:space="preserve">الأفعال المنسوبة إلى ذوي الإرادات ، ولذلك ذكر في خيار المجلس المستفاد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 xml:space="preserve">، أنّ التفارق على غير الاختيار ، لا يوجب انقطاع الخيار ، بل لا يبعد إجراء ذلك في نفي الأفعال فيعتبر في عدم الافتراق أيضا القصد والاختيار </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عدم المدخليّة للقصد في الموضوع له ، ولا من جهة الاستعمال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لمّا دلّ على ما اخترناه من مذهب المشهور ، فنحمله هنا على إرادة القصد ولو كان مجازا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يجاب </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ترديد بين الكذب وما ليس بخبر ، فإنّ الكلام الذي لا قصد معه ليس بخبر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مدخلية القصد </w:t>
      </w:r>
      <w:r>
        <w:rPr>
          <w:rStyle w:val="FootnoteAnchor"/>
          <w:rtl w:val="true"/>
        </w:rPr>
        <w:footnoteReference w:id="1233"/>
      </w:r>
      <w:r>
        <w:rPr>
          <w:rFonts w:ascii="Amiri" w:hAnsi="Amiri" w:eastAsia="Amiri" w:cs="Amiri"/>
          <w:color w:val="111111"/>
          <w:sz w:val="28"/>
          <w:sz w:val="28"/>
          <w:szCs w:val="28"/>
          <w:rtl w:val="true"/>
          <w:lang w:bidi="ar-SA"/>
        </w:rPr>
        <w:t>في كون الكلام خبرا ممنوع ، إلّا أن يمنع كونه كلاما حينئذ وهو كما ترى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هذه الآية على فرض تسليم دلالتها ، فإنّما تدلّ على ثبوت الواسطة لا على تحقيق معنى الصدق والكذب ، فإنّ غاية ما ثبت من الآية إطلاق الكذب فيها على ما خالف الواقع والاعتقاد بزعمهم ، وأمّا انحصاره فيه ،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يثبت حقيقة الكذب منها فالصدق بالطريق الأولى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فرض تسليم إثبات </w:t>
      </w:r>
    </w:p>
    <w:p>
      <w:pPr>
        <w:pStyle w:val="BookText"/>
        <w:rPr/>
      </w:pPr>
      <w:r>
        <w:rPr>
          <w:rFonts w:ascii="Amiri" w:hAnsi="Amiri" w:eastAsia="Amiri" w:cs="Amiri"/>
          <w:color w:val="111111"/>
          <w:sz w:val="28"/>
          <w:sz w:val="28"/>
          <w:szCs w:val="28"/>
          <w:rtl w:val="true"/>
          <w:lang w:bidi="ar-SA"/>
        </w:rPr>
        <w:t>الواسطة فإنّما تثبت واسطة واحدة من الوسائط وهو الخبر لا عن شعور الغير المطابق للواقع كما هو معتقدهم على ما فهمه العضدي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البهائيّ رحمه‌الله </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الثابت بها ثلاث 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لا عن قصد وشعور ، ومع الشكّ في مطابقة الواقع ، ومع اعتقادها ، بأن يكون في زعمهم الفاسد أنّ الشكّ في الصدق لا يكون إلّا عن مجنون ، فكيف اعتقاد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 أنّ الكفّار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خبره صلى‌الله‌عليه‌وآله مخالف للواقع جزما ، فإن كان مع إخباره بثبوته يعتقد عدم المطابقة للواقع ، فهو كذب ، ولا ينافي طريقة العقل ، وإن كان يعتقد المطابقة للواقع أو يشكّ في المطابقة وعدمها ، فهو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شبيه بالمجنون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الشكّ في المطابقة وعدمها لا يصدر عن عاقل ، ولا ينبغي أن يصدر مثله إلّا عن المجنون ، فضلا عن اعتقاد المطابقة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يثبت إلّا واسطتين ، لأنّه لا يبقى حينئذ مجال لإدخال ما لا قصد فيه ولا شعور في الكلام ، لأنّ التشبيه بالمجنون إمّا من جهة خيالاته وأفكاره ، أو من جهة مطلق تكلّماته وأطواره </w:t>
      </w:r>
      <w:r>
        <w:rPr>
          <w:rStyle w:val="FootnoteAnchor"/>
          <w:rtl w:val="true"/>
        </w:rPr>
        <w:footnoteReference w:id="1236"/>
      </w:r>
      <w:r>
        <w:rPr>
          <w:rFonts w:ascii="Amiri" w:hAnsi="Amiri" w:eastAsia="Amiri" w:cs="Amiri"/>
          <w:color w:val="111111"/>
          <w:sz w:val="28"/>
          <w:sz w:val="28"/>
          <w:szCs w:val="28"/>
          <w:rtl w:val="true"/>
          <w:lang w:bidi="ar-SA"/>
        </w:rPr>
        <w:t xml:space="preserve">، ولا يمكن الجمع بينهما في التشبيه ، فإنّ خبره صلى‌الله‌عليه‌وآله أمر واحد وجزئيّ حقيقيّ موجود في الخارج لا يقبل إلّا أحد المحتملات </w:t>
      </w:r>
      <w:r>
        <w:rPr>
          <w:rStyle w:val="FootnoteAnchor"/>
          <w:rtl w:val="true"/>
        </w:rPr>
        <w:footnoteReference w:id="1237"/>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كونه لا عن شعور العياذ بالله ، أو عن اعتقاد المطابقة ، أو مع الشكّ ، ولا يجتمع أحد الاحتمالات مع الآخر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يقال أنّه يقول لا عن شعور كالمجنون ، أو يقال أنّه يشكّ كالمجنون ، أو يعتقد المطابقة </w:t>
      </w:r>
    </w:p>
    <w:p>
      <w:pPr>
        <w:pStyle w:val="BookText"/>
        <w:rPr/>
      </w:pPr>
      <w:r>
        <w:rPr>
          <w:rFonts w:ascii="Amiri" w:hAnsi="Amiri" w:eastAsia="Amiri" w:cs="Amiri"/>
          <w:color w:val="111111"/>
          <w:sz w:val="28"/>
          <w:sz w:val="28"/>
          <w:szCs w:val="28"/>
          <w:rtl w:val="true"/>
          <w:lang w:bidi="ar-SA"/>
        </w:rPr>
        <w:t xml:space="preserve">كالمجنون ، بل لا يمكن الجمع في الأخيرين أيضا إلّا من باب الاستلزام الفرضيّ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 أنّه لا يمكن الجمع في تشبيه الخبر بين ذي الاعتقاد ، ولا عن شعور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 أنّ الآية لا تثبت إلّا المخبر لا عن قصد وشعور ، لو اريد التشبيه في طور كلام المجنون وحاله ، أو المخبر عن اعتقاد مع عدم المطابقة للواقع ، لو اريد التشبيه بأفكار المجنون وخيالاته ، ولا يبعد ترجيح الأوّل لكونه آكد في سقوط الاعتبار صورة ومعنى ، ولمقابلته بالافتراء الذي هو الكذب عن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العضدي </w:t>
      </w:r>
      <w:r>
        <w:rPr>
          <w:rStyle w:val="FootnoteAnchor"/>
          <w:rtl w:val="true"/>
        </w:rPr>
        <w:footnoteReference w:id="1239"/>
      </w:r>
      <w:r>
        <w:rPr>
          <w:rFonts w:ascii="IRNazanin" w:hAnsi="IRNazanin" w:eastAsia="IRNazanin"/>
          <w:color w:val="111111"/>
          <w:sz w:val="28"/>
          <w:sz w:val="28"/>
          <w:szCs w:val="28"/>
          <w:rtl w:val="true"/>
          <w:lang w:bidi="fa-IR"/>
        </w:rPr>
        <w:t xml:space="preserve">أظهر </w:t>
      </w:r>
      <w:r>
        <w:rPr>
          <w:rStyle w:val="FootnoteAnchor"/>
          <w:rtl w:val="true"/>
        </w:rPr>
        <w:footnoteReference w:id="1240"/>
      </w:r>
      <w:r>
        <w:rPr>
          <w:rFonts w:ascii="Amiri" w:hAnsi="Amiri" w:eastAsia="Amiri" w:cs="Amiri"/>
          <w:color w:val="111111"/>
          <w:sz w:val="28"/>
          <w:sz w:val="28"/>
          <w:szCs w:val="28"/>
          <w:rtl w:val="true"/>
          <w:lang w:bidi="ar-SA"/>
        </w:rPr>
        <w:t xml:space="preserve">ووافقه الجماعة أيضا ، فلاحظ الشهيد الثاني رحمه‌الله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 xml:space="preserve">حيث جعل مذهب الجاحظ </w:t>
      </w:r>
    </w:p>
    <w:p>
      <w:pPr>
        <w:pStyle w:val="BookText"/>
        <w:rPr/>
      </w:pPr>
      <w:r>
        <w:rPr>
          <w:rFonts w:ascii="Amiri" w:hAnsi="Amiri" w:eastAsia="Amiri" w:cs="Amiri"/>
          <w:color w:val="111111"/>
          <w:sz w:val="28"/>
          <w:sz w:val="28"/>
          <w:szCs w:val="28"/>
          <w:rtl w:val="true"/>
          <w:lang w:bidi="ar-SA"/>
        </w:rPr>
        <w:t xml:space="preserve">ثلاثية </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بدون اعتقاد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المراد بالاعتقاد هو قابليّته ليدخل الشكّ أيضا ، ولذلك لم يلتفت الجماعة</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لي هنا كلاما طارفا لم يلتفت إليه من قبلي ، هداني إليه التأمّل فيما ذكره شيخنا البهائي رحمه‌الله من فروع 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زبدته</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يتفرّع على كون صدق الخبر وكذبه مطابقته للواقع وعدمها أم لا ، إنّ المدّعي لو قال بعد إقامة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شهودي ، فعلى المذهب المختار تسقط دعواه ، وكذا على مذهب الجاحظ ، وعلى مذهب النّظام لا تسقط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يصدق شهودي ، فإنّ دعواه على المختار تسقط دون المذهبين الأخيرين</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قال له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شهودك ، فهو إقرار على المذهبين </w:t>
      </w:r>
      <w:r>
        <w:rPr>
          <w:rStyle w:val="FootnoteAnchor"/>
          <w:rtl w:val="true"/>
        </w:rPr>
        <w:footnoteReference w:id="1246"/>
      </w:r>
      <w:r>
        <w:rPr>
          <w:rFonts w:ascii="IRNazanin" w:hAnsi="IRNazanin" w:eastAsia="IRNazanin"/>
          <w:color w:val="111111"/>
          <w:sz w:val="28"/>
          <w:sz w:val="28"/>
          <w:szCs w:val="28"/>
          <w:rtl w:val="true"/>
          <w:lang w:bidi="fa-IR"/>
        </w:rPr>
        <w:t>دون مذهب النّظام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يكذبوا ، فهو إقرار على المختار دون المذهبين الأخيرين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يتفرّع على هذا الخلاف أيضا ما لو قال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شهد فلان فهو صادق ، </w:t>
      </w:r>
    </w:p>
    <w:p>
      <w:pPr>
        <w:pStyle w:val="BookText"/>
        <w:rPr/>
      </w:pPr>
      <w:r>
        <w:rPr>
          <w:rFonts w:ascii="Amiri" w:hAnsi="Amiri" w:eastAsia="Amiri" w:cs="Amiri"/>
          <w:color w:val="111111"/>
          <w:sz w:val="28"/>
          <w:sz w:val="28"/>
          <w:szCs w:val="28"/>
          <w:rtl w:val="true"/>
          <w:lang w:bidi="ar-SA"/>
        </w:rPr>
        <w:t>فعلى المذهب المختار ومذهب الجاحظ ، هو إقرار كما هو مذكور في كتب الفروع ، لأنّه لو لم يكن الحقّ ثابتا لم يكن صادقا إن شهد ، وأمّا على مذهب النّظام فليس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رحمه‌الله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لي أنّ مناط الأقوال الثلاثة في جواز وصف الخبر بالصدق والكذب والحكم عليه بأنّه صدق أو كذب عند التحقيق ، هو اعتقاد مطابقة الواقع وعدمه ، فإنّ النّظام أيضا مراده من كون الصدق هو مطابقة الاعتقاد هو كون اعتقاده أنّ هذا الحكم ثابت في الواقع ، فالذي يصفه بالصدق هو ما يعتقد مطابقته للواقع ، وكذلك الجاحظ لا يصف به إلّا ما يعتقده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المشهور ، فلمّا لم يكن ظهور الواقع إلّا باعتقاد أنّه واقع ، فوصفهم بالصدق إنّما يكون بعد اعتقادهم المطابقة ، فالاعتقاد ممّا لا بدّ من ملاحظته في وصف الخبر بالصدق والكذب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 والكذب أمران نفس الأمريّان </w:t>
      </w:r>
      <w:r>
        <w:rPr>
          <w:rStyle w:val="FootnoteAnchor"/>
          <w:rtl w:val="true"/>
        </w:rPr>
        <w:footnoteReference w:id="1248"/>
      </w:r>
      <w:r>
        <w:rPr>
          <w:rFonts w:ascii="Amiri" w:hAnsi="Amiri" w:eastAsia="Amiri" w:cs="Amiri"/>
          <w:color w:val="111111"/>
          <w:sz w:val="28"/>
          <w:sz w:val="28"/>
          <w:szCs w:val="28"/>
          <w:rtl w:val="true"/>
          <w:lang w:bidi="ar-SA"/>
        </w:rPr>
        <w:t>، والخبر إنّما يتّصف بالصدق والكذب النفس الأمريّين لا ما يعتقد صدقه أو كذبه ، فلو كان شيء مطابقا للواقع واعتقد أحد عدمه وحكم بكذبه ، ثمّ ظهر له فساد اعتقاده ، فيحكم بأنّه كان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نذر </w:t>
      </w:r>
      <w:r>
        <w:rPr>
          <w:rStyle w:val="FootnoteAnchor"/>
          <w:rtl w:val="true"/>
        </w:rPr>
        <w:footnoteReference w:id="1249"/>
      </w:r>
      <w:r>
        <w:rPr>
          <w:rFonts w:ascii="Amiri" w:hAnsi="Amiri" w:eastAsia="Amiri" w:cs="Amiri"/>
          <w:color w:val="111111"/>
          <w:sz w:val="28"/>
          <w:sz w:val="28"/>
          <w:szCs w:val="28"/>
          <w:rtl w:val="true"/>
          <w:lang w:bidi="ar-SA"/>
        </w:rPr>
        <w:t>أحد أن يعطي بمن أخبر بصدق شيئا ، فأعطاه بشخص لم يعتقد في حقّه الصدق لكنّه كان في نفس الأمر صادقا ، فيبرّ نذره إذا ظهر له بعد ذلك انّه كان صادقا ، وبالعكس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اتّصافه بما هو كذلك في نفس الأمر إنّما هو في نفس الأمر ، لا عندنا ، والذي يثمر في الفروع هو ما عرفنا اتّصافه به في نفس الأمر واعتقدناه ، وبرّ النذر في الصّورة المفروضة وعدمه في عكسها ، ممنوع ، مع أنّه يجري ذلك على المذهبين الأخيرين أيضا ، فإنّه إذا تغيّر الاعتقاد ، فيحكم النّظام أيضا بخلاف المعتقد في ذلك الخبر ، وكذلك الجاحظ ، فالخبر الموافق للاعتقاد عند النّظام صدق ما دام كذلك ، وإذا تبدّل فيتّصف بالكذب ، بمعنى أنّ ذلك الخبر كذب رأسا ؛ لا أنّه صار كذبا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لكون الخبر صدقا في وقت ، كذبا في آخر ، في نفس الأمر ، بل إنّما ذلك من جهة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فلان ، أنّه فعل ما هو كتابة في نفس الأمر ، لا ما هو كتابة عنده ، فلا بدّ في الإسناد من ملاحظة المسند والمسند إليه ثمّ الإسناد ، فالكتابة أمر مستقلّ ملحوظ في ذاته قبل الإسناد ، غاية الأمر أنّه يتقيّد بإدراك لمدرك ضرورة </w:t>
      </w:r>
      <w:r>
        <w:rPr>
          <w:rStyle w:val="FootnoteAnchor"/>
          <w:rtl w:val="true"/>
        </w:rPr>
        <w:footnoteReference w:id="1250"/>
      </w:r>
      <w:r>
        <w:rPr>
          <w:rFonts w:ascii="Amiri" w:hAnsi="Amiri" w:eastAsia="Amiri" w:cs="Amiri"/>
          <w:color w:val="111111"/>
          <w:sz w:val="28"/>
          <w:sz w:val="28"/>
          <w:szCs w:val="28"/>
          <w:rtl w:val="true"/>
          <w:lang w:bidi="ar-SA"/>
        </w:rPr>
        <w:t>، يعني أنّ من يلاحظ نسبتها إلى فلان يعرفها ويعلم أنّها كتابته ثمّ يسندها إلى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وتأمّلت فيما ذكرنا ، تعلم أنّه لا محصّل للتفريعات التي ذكرها رحمه‌الله</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قول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شهودي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شهودي في الواقع لا في اعتقاد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قالوا قولا كاذبا في الواقع </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 xml:space="preserve">، على أيّ قول كان من الأقوال </w:t>
      </w:r>
    </w:p>
    <w:p>
      <w:pPr>
        <w:pStyle w:val="BookText"/>
        <w:rPr/>
      </w:pPr>
      <w:r>
        <w:rPr>
          <w:rFonts w:ascii="Amiri" w:hAnsi="Amiri" w:eastAsia="Amiri" w:cs="Amiri"/>
          <w:color w:val="111111"/>
          <w:sz w:val="28"/>
          <w:sz w:val="28"/>
          <w:szCs w:val="28"/>
          <w:rtl w:val="true"/>
          <w:lang w:bidi="ar-SA"/>
        </w:rPr>
        <w:t>الثلاثة ، وهو يستلزم بطلان حقّه على الأقوال الثلاثة ، فإنّ كلّ واحد منها يعتبر فيه اعتقاد مطابقة الواقع وعدمه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معنى قول المدّعي كذب شهودي ، هو أنّي أعتقد عدم مطابقته للواقع على ما بيّنا لك سابقا </w:t>
      </w:r>
      <w:r>
        <w:rPr>
          <w:rStyle w:val="FootnoteAnchor"/>
          <w:rtl w:val="true"/>
        </w:rPr>
        <w:footnoteReference w:id="1253"/>
      </w:r>
      <w:r>
        <w:rPr>
          <w:rFonts w:ascii="Amiri" w:hAnsi="Amiri" w:eastAsia="Amiri" w:cs="Amiri"/>
          <w:color w:val="111111"/>
          <w:sz w:val="28"/>
          <w:sz w:val="28"/>
          <w:szCs w:val="28"/>
          <w:rtl w:val="true"/>
          <w:lang w:bidi="ar-SA"/>
        </w:rPr>
        <w:t xml:space="preserve">، وهو إقرار ببطلان حقّه ، فإنّ الإقرار أيضا تابع للاعتقاد الواقع ، وكلّما دلّ عليه فهو يثبته وإن لم يقصده ، وليس معنى كذبوا ، أنّهم أخبروا من غير علم واعتقاد </w:t>
      </w:r>
      <w:r>
        <w:rPr>
          <w:rStyle w:val="FootnoteAnchor"/>
          <w:rtl w:val="true"/>
        </w:rPr>
        <w:footnoteReference w:id="1254"/>
      </w:r>
      <w:r>
        <w:rPr>
          <w:rFonts w:ascii="Amiri" w:hAnsi="Amiri" w:eastAsia="Amiri" w:cs="Amiri"/>
          <w:color w:val="111111"/>
          <w:sz w:val="28"/>
          <w:sz w:val="28"/>
          <w:szCs w:val="28"/>
          <w:rtl w:val="true"/>
          <w:lang w:bidi="ar-SA"/>
        </w:rPr>
        <w:t xml:space="preserve">، فإنّ هذا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في اعتقادهم ، بمعنى قالوا قولا مخالفا لمعتقدهم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صرّح بهذا المضمون فهو كما ذكره لا يستلزم سقوط الحقّ ، ولكن ليس هذا تفريعا على لفظ الكذب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كما أنّ نفس المخبر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على مذهب النّظام إنّ خبري غير موافق لاعتقادي ، فكذلك غيره ممّن وصف ذلك الخبر بالكذب ، على هذا المذهب لا بدّ أن يريد أنّه غير موافق لاعتقاده ، وحينئذ فهو إقرار بعدم ثبوته في الواقع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كما ذكروه هو كلام كان له خارج يطابقه أو لا يطابقه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بالخارج هو خارج المدلول وإن كان في الذّهن ، كما أشرنا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النّسبة الّتي هو خارج المدلول إمّا هو الّذي مكتوب في اللّوح المحفوظ ، أو ما يدركه المدرك ويزعمه أنّ هو ذلك المكتوب ، وهذا هو الاعتقاد وإن لم يكن مطابقا للمكتوب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فحقيقة مذهب المشهور في الصدق هو مطابقة مدلول الكلام والنّسبة الذّهنية الحاصلة منه لما هو مكتوب في اللّوح </w:t>
      </w:r>
    </w:p>
    <w:p>
      <w:pPr>
        <w:pStyle w:val="BookText"/>
        <w:rPr/>
      </w:pPr>
      <w:r>
        <w:rPr>
          <w:rFonts w:ascii="Amiri" w:hAnsi="Amiri" w:eastAsia="Amiri" w:cs="Amiri"/>
          <w:color w:val="111111"/>
          <w:sz w:val="28"/>
          <w:sz w:val="28"/>
          <w:szCs w:val="28"/>
          <w:rtl w:val="true"/>
          <w:lang w:bidi="ar-SA"/>
        </w:rPr>
        <w:t>المحفوظ من حيث هو مكتوب هناك ، وإن أخطأ الواصف به في فهم المطابقة واعتقاده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مذهب النظّام هو مطابقته لما يعتقده المدرك أنّه كذلك في اللّوح المحفوظ ، من حيث إنّ اعتقاده ذلك ، فوصف الخبر بالصدق والكذب على كلّ المذاهب يلاحظ بالنسبة إلى الخبر من حيث هو خبر ، لا من حيث صدوره عن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 والمفروض في اللّوح المحفوظ قيام زيد ، وكان اعتقاد المخبر عدم قيامه ، فالخارج عند المخبر عدم القيام ، يعني يعتقد أنّ ما في اللّوح المحفوظ هو عدم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 عند المخبر كذب ؛ لأنّه مخالف لمعتقده </w:t>
      </w:r>
      <w:r>
        <w:rPr>
          <w:rStyle w:val="FootnoteAnchor"/>
          <w:rtl w:val="true"/>
        </w:rPr>
        <w:footnoteReference w:id="1255"/>
      </w:r>
      <w:r>
        <w:rPr>
          <w:rFonts w:ascii="Amiri" w:hAnsi="Amiri" w:eastAsia="Amiri" w:cs="Amiri"/>
          <w:color w:val="111111"/>
          <w:sz w:val="28"/>
          <w:sz w:val="28"/>
          <w:szCs w:val="28"/>
          <w:rtl w:val="true"/>
          <w:lang w:bidi="ar-SA"/>
        </w:rPr>
        <w:t xml:space="preserve">من حيث إنّه مخالف لمعتقده </w:t>
      </w:r>
      <w:r>
        <w:rPr>
          <w:rStyle w:val="FootnoteAnchor"/>
          <w:rtl w:val="true"/>
        </w:rPr>
        <w:footnoteReference w:id="1256"/>
      </w:r>
      <w:r>
        <w:rPr>
          <w:rFonts w:ascii="Amiri" w:hAnsi="Amiri" w:eastAsia="Amiri" w:cs="Amiri"/>
          <w:color w:val="111111"/>
          <w:sz w:val="28"/>
          <w:sz w:val="28"/>
          <w:szCs w:val="28"/>
          <w:rtl w:val="true"/>
          <w:lang w:bidi="ar-SA"/>
        </w:rPr>
        <w:t>، وأمّا غير المخبر ممّن يسمع هذا الكلام ويعتقد قيام زيد ، فهو صدق عنده على مذهب النّظام أيضا لكونه موافقا لاعتقاده ، وهكذا ، فالخبر عند النّظّام أيضا لا بدّ أن يتّصف بالصدق والكذب مطلقا ، فإنّ الخبر هو نفس الكلام الموصوف ، لا الكلام مع اتّصافه بكونه صادرا عن المخبر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يتوهّم أنّ مذهب النظّام ، أنّ الصدق هو مطابقة اعتقاد المخبر فقط ، والكذب هو مخالفة اعتقاد المخبر فقط ، فذلك يستلزم أن يكون مذهبه عدم اتّصاف الخبر بالنسبة إلى معتقد غير المخبر بصدق ولا كذب ، وهو واه جدّا ، لأنّ الخبر هو نفس الكلام لا هو من حيث إنّه صادر عن المخبر ، ولا بدّ له من خارج اعتقادي </w:t>
      </w:r>
      <w:r>
        <w:rPr>
          <w:rStyle w:val="FootnoteAnchor"/>
          <w:rtl w:val="true"/>
        </w:rPr>
        <w:footnoteReference w:id="1257"/>
      </w:r>
      <w:r>
        <w:rPr>
          <w:rFonts w:ascii="Amiri" w:hAnsi="Amiri" w:eastAsia="Amiri" w:cs="Amiri"/>
          <w:color w:val="111111"/>
          <w:sz w:val="28"/>
          <w:sz w:val="28"/>
          <w:szCs w:val="28"/>
          <w:rtl w:val="true"/>
          <w:lang w:bidi="ar-SA"/>
        </w:rPr>
        <w:t xml:space="preserve">على مذهبه ، وهو يختلف بحسب الاعتقادات ، فلا بدّ أن يكون مراد النظّام من المخبر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الخبر ، هو مطابقته لاعتقاد المخبر ، هو مطلق من يلاحظ الخبر لا </w:t>
      </w:r>
    </w:p>
    <w:p>
      <w:pPr>
        <w:pStyle w:val="BookText"/>
        <w:rPr/>
      </w:pPr>
      <w:r>
        <w:rPr>
          <w:rFonts w:ascii="Amiri" w:hAnsi="Amiri" w:eastAsia="Amiri" w:cs="Amiri"/>
          <w:color w:val="111111"/>
          <w:sz w:val="28"/>
          <w:sz w:val="28"/>
          <w:szCs w:val="28"/>
          <w:rtl w:val="true"/>
          <w:lang w:bidi="ar-SA"/>
        </w:rPr>
        <w:t>نفس من تكلّم به وأخبر به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أوجب التعبير بهذه العبارة في مذهب النظّام وأوقع المتوهّم في الوهم هو الاستدلال بقوله تعالى إنّهم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لَكاذِبُونَ ، </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من حيث إنّ الواصف بالكذب هو الله تعالى ، مع أنّ علمه تعالى مخالف لما اعتقدوه ، فوصف الله تعالى هذا الخبر بالكذب لأجل محض كونه مخالفا لاعتقاد المخبرين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الاستدلال لا بدّ أن يكون بالنظر إلى اعتقاد المخبرين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اعتقادهم أنّهم موصوفون بالكذب عند أنفسهم وفي اعتقادهم ، وبالنظر إلى ملاحظة مخالفته لمعتقدهم ، لا أنّه كذب عند غيرهم أيضا ممّن لم يعتقد ذلك ، وإلّا فيلزم أن ينحصر اتّصاف الخبر بكونه صدقا أو كذبا بالنظر إلى ملاحظة حال المخبر فقط ، ولم يكن بالذّات متّصفا بصدق ولا كذب ، فتأمّل حتّى لا تتوهّم أنّ ما ذكرناه هو ما ذكروه </w:t>
      </w:r>
      <w:r>
        <w:rPr>
          <w:rStyle w:val="FootnoteAnchor"/>
          <w:rtl w:val="true"/>
        </w:rPr>
        <w:footnoteReference w:id="1259"/>
      </w:r>
      <w:r>
        <w:rPr>
          <w:rFonts w:ascii="Amiri" w:hAnsi="Amiri" w:eastAsia="Amiri" w:cs="Amiri"/>
          <w:color w:val="111111"/>
          <w:sz w:val="28"/>
          <w:sz w:val="28"/>
          <w:szCs w:val="28"/>
          <w:rtl w:val="true"/>
          <w:lang w:bidi="ar-SA"/>
        </w:rPr>
        <w:t xml:space="preserve">في الجواب عن الاستدلال بالآية بعد تسليم رجوع الكذب إلى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لَرَسُولُ اللهِ ، </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بأنّ المراد إنّهم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زعمهم ، فإنّه معنى آخر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 أنّهم يزعمون ويعتقدون أنّ هذا كذب لمخالفته للواقع </w:t>
      </w:r>
      <w:r>
        <w:rPr>
          <w:rStyle w:val="FootnoteAnchor"/>
          <w:rtl w:val="true"/>
        </w:rPr>
        <w:footnoteReference w:id="1261"/>
      </w:r>
      <w:r>
        <w:rPr>
          <w:rFonts w:ascii="Amiri" w:hAnsi="Amiri" w:eastAsia="Amiri" w:cs="Amiri"/>
          <w:color w:val="111111"/>
          <w:sz w:val="28"/>
          <w:sz w:val="28"/>
          <w:szCs w:val="28"/>
          <w:rtl w:val="true"/>
          <w:lang w:bidi="ar-SA"/>
        </w:rPr>
        <w:t xml:space="preserve">، لا إنّهم كاذبون </w:t>
      </w:r>
      <w:r>
        <w:rPr>
          <w:rStyle w:val="FootnoteAnchor"/>
          <w:rtl w:val="true"/>
        </w:rPr>
        <w:footnoteReference w:id="1262"/>
      </w:r>
      <w:r>
        <w:rPr>
          <w:rFonts w:ascii="IRNazanin" w:hAnsi="IRNazanin" w:eastAsia="IRNazanin"/>
          <w:color w:val="111111"/>
          <w:sz w:val="28"/>
          <w:sz w:val="28"/>
          <w:szCs w:val="28"/>
          <w:rtl w:val="true"/>
          <w:lang w:bidi="fa-IR"/>
        </w:rPr>
        <w:t>لأجل مخالفته لمعتقدهم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والحاصل ، أنّ مذهب النظّام لا بدّ أن ؛ يكون أنّ الصدق والكذب هما مطابقة الخبر لاعتقاد من يطّلع على الخبر ويلاحظه ، سواء كان نفس المخبر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بالآية بتقريب أنّ الله تعالى أطلق الكذب على مثل ذلك ، فإنّ ما شهدوا به كذب لكونه مخالفا لاعتقادهم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رجوع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هذا الخبر أوّلا ، ومنع كونه لأجل مخالفته لمعتقدهم </w:t>
      </w:r>
      <w:r>
        <w:rPr>
          <w:rStyle w:val="FootnoteAnchor"/>
          <w:rtl w:val="true"/>
        </w:rPr>
        <w:footnoteReference w:id="1263"/>
      </w:r>
      <w:r>
        <w:rPr>
          <w:rFonts w:ascii="Amiri" w:hAnsi="Amiri" w:eastAsia="Amiri" w:cs="Amiri"/>
          <w:color w:val="111111"/>
          <w:sz w:val="28"/>
          <w:sz w:val="28"/>
          <w:szCs w:val="28"/>
          <w:rtl w:val="true"/>
          <w:lang w:bidi="ar-SA"/>
        </w:rPr>
        <w:t>من حيث إنّه مخالف لمعتقدهم ، بل لأجل أنّه مخالف للواقع بحسب معتقدهم ، من حيث إنّه مخالف للواقع في معتقدهم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ذكرنا يظهر جواب آخر عن استدلال النظّام غير ما ذكرنا سابقا ، وهو أنّ ذلك حينئذ تقييد لإطلاق الآية وخلاف ظاهرها ، فلا بدّ من حملها على أحد الوجوه المتقدّمة لئلّا يلزم ذلك ، وإن كان ولا بدّ من التقييد ، فتقيّده بما ذكروه في جوابه </w:t>
      </w:r>
      <w:r>
        <w:rPr>
          <w:rStyle w:val="FootnoteAnchor"/>
          <w:rtl w:val="true"/>
        </w:rPr>
        <w:footnoteReference w:id="1264"/>
      </w:r>
      <w:r>
        <w:rPr>
          <w:rFonts w:ascii="Amiri" w:hAnsi="Amiri" w:eastAsia="Amiri" w:cs="Amiri"/>
          <w:color w:val="111111"/>
          <w:sz w:val="28"/>
          <w:sz w:val="28"/>
          <w:szCs w:val="28"/>
          <w:rtl w:val="true"/>
          <w:lang w:bidi="ar-SA"/>
        </w:rPr>
        <w:t>على النهج الذي قرّرناه هاهنا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بالتأمّل فيما ذكرنا تقدر على معرفة بطلان سائر الفروع التي ذكرها رحمه‌الله </w:t>
      </w:r>
      <w:r>
        <w:rPr>
          <w:rStyle w:val="FootnoteAnchor"/>
          <w:rtl w:val="true"/>
        </w:rPr>
        <w:footnoteReference w:id="1265"/>
      </w:r>
      <w:r>
        <w:rPr>
          <w:rFonts w:ascii="Amiri" w:hAnsi="Amiri" w:eastAsia="Amiri" w:cs="Amiri"/>
          <w:color w:val="111111"/>
          <w:sz w:val="28"/>
          <w:sz w:val="28"/>
          <w:szCs w:val="28"/>
          <w:rtl w:val="true"/>
          <w:lang w:bidi="ar-SA"/>
        </w:rPr>
        <w:t xml:space="preserve">، ووافقه الشهيد الثاني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Style w:val="FootnoteAnchor"/>
          <w:rtl w:val="true"/>
        </w:rPr>
        <w:footnoteReference w:id="1266"/>
      </w:r>
      <w:r>
        <w:rPr>
          <w:rFonts w:ascii="Amiri" w:hAnsi="Amiri" w:eastAsia="Amiri" w:cs="Amiri"/>
          <w:color w:val="111111"/>
          <w:sz w:val="28"/>
          <w:sz w:val="28"/>
          <w:szCs w:val="28"/>
          <w:rtl w:val="true"/>
          <w:lang w:bidi="ar-SA"/>
        </w:rPr>
        <w:t xml:space="preserve">في ذكر الفرع الأخير ، لكنّه رحمه‌الله لم ينقل فيه مذهب النظّام ، بل اكتفى بنقل مذهب المشهور ومذهب الجاحظ ، كالعلّامة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 xml:space="preserve">، ثمّ قال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 فمن فروع القاعدة ما </w:t>
      </w:r>
    </w:p>
    <w:p>
      <w:p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شهد شاهدان بأنّ عليّ كذا ؛ فهما صادقان ، فإنّه </w:t>
      </w:r>
      <w:r>
        <w:rPr>
          <w:rStyle w:val="FootnoteAnchor"/>
          <w:rtl w:val="true"/>
        </w:rPr>
        <w:footnoteReference w:id="1269"/>
      </w:r>
      <w:r>
        <w:rPr>
          <w:rFonts w:ascii="Amiri" w:hAnsi="Amiri" w:eastAsia="Amiri" w:cs="Amiri"/>
          <w:color w:val="111111"/>
          <w:sz w:val="28"/>
          <w:sz w:val="28"/>
          <w:szCs w:val="28"/>
          <w:rtl w:val="true"/>
          <w:lang w:bidi="ar-SA"/>
        </w:rPr>
        <w:t xml:space="preserve">يلزمه الآن على القولين معا ، لأنّا قرّرنا أنّ الصدق هو المطابق للواقع ، وإذا كان مطابقا على تقدير الشهادة ؛ لزم أن يكون ذلك عليه ، لأنّه يصدق كلّما لم يكن ذلك عليه </w:t>
      </w:r>
      <w:r>
        <w:rPr>
          <w:rStyle w:val="FootnoteAnchor"/>
          <w:rtl w:val="true"/>
        </w:rPr>
        <w:footnoteReference w:id="1270"/>
      </w:r>
      <w:r>
        <w:rPr>
          <w:rFonts w:ascii="Amiri" w:hAnsi="Amiri" w:eastAsia="Amiri" w:cs="Amiri"/>
          <w:color w:val="111111"/>
          <w:sz w:val="28"/>
          <w:sz w:val="28"/>
          <w:szCs w:val="28"/>
          <w:rtl w:val="true"/>
          <w:lang w:bidi="ar-SA"/>
        </w:rPr>
        <w:t xml:space="preserve">على تقدير الشهادة لم يكونا صادقين ، لكنّه قد حكم بصدقهما </w:t>
      </w:r>
      <w:r>
        <w:rPr>
          <w:rStyle w:val="FootnoteAnchor"/>
          <w:rtl w:val="true"/>
        </w:rPr>
        <w:footnoteReference w:id="1271"/>
      </w:r>
      <w:r>
        <w:rPr>
          <w:rFonts w:ascii="Amiri" w:hAnsi="Amiri" w:eastAsia="Amiri" w:cs="Amiri"/>
          <w:color w:val="111111"/>
          <w:sz w:val="28"/>
          <w:sz w:val="28"/>
          <w:szCs w:val="28"/>
          <w:rtl w:val="true"/>
          <w:lang w:bidi="ar-SA"/>
        </w:rPr>
        <w:t>على تقديرها ، فيكون ذلك عليه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شهد شاهد عليّ ، إلى آخره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أنّه يثبت الحقّ على المذهبين دون مذهب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مرّ ، بل هاهنا أوضح لظهور أنّ مراد القائل ليس مجرّد أنّ ما يخبره الشاهد هو مطابق لاعتقاده فقط ، وأنّ هذا الاحتمال في غاية البعد من هذا الإطلاق في هذا المثال ، وإن كان القائل على مذهب النظّام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نفس تفريع المسألة على معنى الصدق على 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نظر آخر لا دخل له بما نحن فيه ، وهو منع استلزام ذلك ثبوت الحقّ ، بل الحقّ خلافه ؛ وفاقا للمتأخّرين ، وتفصيله في كتب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العضديّ قال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المسألة لفظية لا يجدي الإطناب فيها كثير نفع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أراد من كون المسألة لفظية هو كون الخلاف في تفسير اللّفظ لا </w:t>
      </w:r>
    </w:p>
    <w:p>
      <w:pPr>
        <w:pStyle w:val="BookText"/>
        <w:rPr/>
      </w:pPr>
      <w:r>
        <w:rPr>
          <w:rFonts w:ascii="Amiri" w:hAnsi="Amiri" w:eastAsia="Amiri" w:cs="Amiri"/>
          <w:color w:val="111111"/>
          <w:sz w:val="28"/>
          <w:sz w:val="28"/>
          <w:szCs w:val="28"/>
          <w:rtl w:val="true"/>
          <w:lang w:bidi="ar-SA"/>
        </w:rPr>
        <w:t>المعنى المشهور للنزاع اللّفظي كما يظهر من التفتازاني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أن يكون مراده من عدم النفع هو ما ذكرنا لا ما ذكره التفتازاني ، فإنّه قال في شرح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لفظية أي لغوية لا يتعلّق بعلم الاصول كثير تعلّق ، إذ المقصود تحقيق المعنى الذي وضع لفظ الصدق والكذب بإزائه ، وليس المراد أنّه نزاع لفظي يتعلّق بالاصطلاح على ما يشعر به كلام الآمدي </w:t>
      </w:r>
      <w:r>
        <w:rPr>
          <w:rStyle w:val="FootnoteAnchor"/>
          <w:rtl w:val="true"/>
        </w:rPr>
        <w:footnoteReference w:id="1274"/>
      </w:r>
      <w:r>
        <w:rPr>
          <w:rFonts w:ascii="Amiri" w:hAnsi="Amiri" w:eastAsia="Amiri" w:cs="Amiri"/>
          <w:color w:val="111111"/>
          <w:sz w:val="28"/>
          <w:sz w:val="28"/>
          <w:szCs w:val="28"/>
          <w:rtl w:val="true"/>
          <w:lang w:bidi="ar-SA"/>
        </w:rPr>
        <w:t>، لأنّه لا قائل بنقل اللّفظين عن معناهما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ذكره تأمّل ، إذ كون المسألة لغوية لا يوجب عدم تعلّقها بعلم الأصول ، ولا يوجب عدم النفع بسبب كونه غير متعلّق بالأصول </w:t>
      </w:r>
      <w:r>
        <w:rPr>
          <w:rStyle w:val="FootnoteAnchor"/>
          <w:rtl w:val="true"/>
        </w:rPr>
        <w:footnoteReference w:id="1276"/>
      </w:r>
      <w:r>
        <w:rPr>
          <w:rFonts w:ascii="Amiri" w:hAnsi="Amiri" w:eastAsia="Amiri" w:cs="Amiri"/>
          <w:color w:val="111111"/>
          <w:sz w:val="28"/>
          <w:sz w:val="28"/>
          <w:szCs w:val="28"/>
          <w:rtl w:val="true"/>
          <w:lang w:bidi="ar-SA"/>
        </w:rPr>
        <w:t xml:space="preserve">، ولا ريب أنّ كثيرا من المسائل الأصولية من المسائل اللّغوية </w:t>
      </w:r>
      <w:r>
        <w:rPr>
          <w:rStyle w:val="FootnoteAnchor"/>
          <w:rtl w:val="true"/>
        </w:rPr>
        <w:footnoteReference w:id="1277"/>
      </w:r>
      <w:r>
        <w:rPr>
          <w:rFonts w:ascii="Amiri" w:hAnsi="Amiri" w:eastAsia="Amiri" w:cs="Amiri"/>
          <w:color w:val="111111"/>
          <w:sz w:val="28"/>
          <w:sz w:val="28"/>
          <w:szCs w:val="28"/>
          <w:rtl w:val="true"/>
          <w:lang w:bidi="ar-SA"/>
        </w:rPr>
        <w:t xml:space="preserve">، كالنزاع في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أو لا ، وكذا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للحرمة أم لا ، وأنّ الجمع المحلّى باللّام يفيد العموم أم لا ، وكذا المفرد المحلّى ، وهكذا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هناك فرق ، وهو أنّ ما يبحث عنه في علم الأصول من هذه المسائل ، هو ما كان بمنزلة القاعدة لاستخراج المسائل الفرعية ، كالنّزاع في </w:t>
      </w:r>
    </w:p>
    <w:p>
      <w:pPr>
        <w:pStyle w:val="BookText"/>
        <w:rPr/>
      </w:pPr>
      <w:r>
        <w:rPr>
          <w:rFonts w:ascii="Amiri" w:hAnsi="Amiri" w:eastAsia="Amiri" w:cs="Amiri"/>
          <w:color w:val="111111"/>
          <w:sz w:val="28"/>
          <w:sz w:val="28"/>
          <w:szCs w:val="28"/>
          <w:rtl w:val="true"/>
          <w:lang w:bidi="ar-SA"/>
        </w:rPr>
        <w:t xml:space="preserve">الأوضاع الهيئيّة كصيغة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والمشتقّ والجمع المحلّى ، وأمثال ذلك ، مركّبا كان أو مفردا ، ومثل أنّ الضمير المتعقّب للعام هل يخصّصه أم لا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ومثل أنّ الضمير الذي سبقه مضاف ومضاف إليه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ألف درهم إلّا نصفه ، هل يرجع إلى الأقرب </w:t>
      </w:r>
      <w:r>
        <w:rPr>
          <w:rStyle w:val="FootnoteAnchor"/>
          <w:rtl w:val="true"/>
        </w:rPr>
        <w:footnoteReference w:id="1279"/>
      </w:r>
      <w:r>
        <w:rPr>
          <w:rFonts w:ascii="IRNazanin" w:hAnsi="IRNazanin" w:eastAsia="IRNazanin"/>
          <w:color w:val="111111"/>
          <w:sz w:val="28"/>
          <w:sz w:val="28"/>
          <w:szCs w:val="28"/>
          <w:rtl w:val="true"/>
          <w:lang w:bidi="fa-IR"/>
        </w:rPr>
        <w:t xml:space="preserve">أو الأبعد </w:t>
      </w:r>
      <w:r>
        <w:rPr>
          <w:rStyle w:val="FootnoteAnchor"/>
          <w:rtl w:val="true"/>
        </w:rPr>
        <w:footnoteReference w:id="1280"/>
      </w:r>
      <w:r>
        <w:rPr>
          <w:rFonts w:ascii="Amiri" w:hAnsi="Amiri" w:eastAsia="Amiri" w:cs="Amiri"/>
          <w:color w:val="111111"/>
          <w:sz w:val="28"/>
          <w:sz w:val="28"/>
          <w:szCs w:val="28"/>
          <w:rtl w:val="true"/>
          <w:lang w:bidi="ar-SA"/>
        </w:rPr>
        <w:t xml:space="preserve">مع إمكانهما ، فيتفرّع عليه استثناء نصف الدّرهم أو الخمس مائة ، بل وبعض الأوضاع الماديّة أيضا من جهة العموم والخصوص وغيرهما </w:t>
      </w:r>
      <w:r>
        <w:rPr>
          <w:rStyle w:val="FootnoteAnchor"/>
          <w:rtl w:val="true"/>
        </w:rPr>
        <w:footnoteReference w:id="1281"/>
      </w:r>
      <w:r>
        <w:rPr>
          <w:rFonts w:ascii="Amiri" w:hAnsi="Amiri" w:eastAsia="Amiri" w:cs="Amiri"/>
          <w:color w:val="111111"/>
          <w:sz w:val="28"/>
          <w:sz w:val="28"/>
          <w:szCs w:val="28"/>
          <w:rtl w:val="true"/>
          <w:lang w:bidi="ar-SA"/>
        </w:rPr>
        <w:t xml:space="preserve">، كالنزاع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للعموم أم لا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وأنّهما لذوي العقول أو لغيرهم ، بل في أصل منسبك اللّفظ فيما حصل فيه تغيير الاصطلاح ، كالنزاع في أنّ الصلاة والصوم معناهما الأركان المخصوصة أم لا ، ممّا ادّعي فيها ثبوت الحقيقة الشرعية وغيرها ، بل وكثير من القواعد المذكورة في علم العربية ، مثل معاني الحروف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ما يتعلّق بمعرفة حال استخراج الأحكام الشرعية بأن ينازع في أنّ اللّفظ هل يفيد هذا الحكم ، أم هذا الحكم كصيغة الأمر والنّهي أو هل يفيد عموم الحكم أو خصوصه ، وهل يفيد إخراجه عن الحكم أم لا ، كألفاظ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يتعلّق بالموضوعات التي اخترعها الشارع ، فهل تصرّف الشارع في أوضاع الألفاظ ليحمل على معانيها التي اصطلحها أم لا ،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يبحث في علم الأصول عن سائر الأوضاع المادية </w:t>
      </w:r>
      <w:r>
        <w:rPr>
          <w:rStyle w:val="FootnoteAnchor"/>
          <w:rtl w:val="true"/>
        </w:rPr>
        <w:footnoteReference w:id="1282"/>
      </w:r>
      <w:r>
        <w:rPr>
          <w:rFonts w:ascii="Amiri" w:hAnsi="Amiri" w:eastAsia="Amiri" w:cs="Amiri"/>
          <w:color w:val="111111"/>
          <w:sz w:val="28"/>
          <w:sz w:val="28"/>
          <w:szCs w:val="28"/>
          <w:rtl w:val="true"/>
          <w:lang w:bidi="ar-SA"/>
        </w:rPr>
        <w:t xml:space="preserve">، مثل أنّ الصّعيد هو التراب أو وجه الأرض ، وهل الإنفحة </w:t>
      </w:r>
      <w:r>
        <w:rPr>
          <w:rStyle w:val="FootnoteAnchor"/>
          <w:rtl w:val="true"/>
        </w:rPr>
        <w:footnoteReference w:id="1283"/>
      </w:r>
      <w:r>
        <w:rPr>
          <w:rFonts w:ascii="Amiri" w:hAnsi="Amiri" w:eastAsia="Amiri" w:cs="Amiri"/>
          <w:color w:val="111111"/>
          <w:sz w:val="28"/>
          <w:sz w:val="28"/>
          <w:szCs w:val="28"/>
          <w:rtl w:val="true"/>
          <w:lang w:bidi="ar-SA"/>
        </w:rPr>
        <w:t>هو الكرش أو الشيء الأصفر الذي ينجمد فيه اللّباء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الصدق والكذب من قبيل الصّعيد والإنفحة ، لا من قبيل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 ولا من باب الصّلاة والصّوم وأمثالهما لعدم تجدّد اصطلاح فيهما ، كما أشار إليه التفتازاني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نرى أنّ الاصوليين يبحثون عن معنى الخبر والإنشاء والأمر والنّهي وأمثالها لما يترتّب عليها من الثمرات ، وذلك لأجل احتمال تجدّد الاصطلاح أو دعوى ثبوته وتغاير العرف واللّغة فيها ، ولمّا كان معرفة أمثال المذكورات ممّا يتوقّف عليه معرفة الأحكام الشرعية وطريق استنباطها ، ولذلك يبحث عنها في علم الأصول ، فكذلك ما يتوقّف معرفة المذكورات عليها ، فإذا كان لفظ مستعمل في تعريف المذكورات ، وكان مختلفا فيه في اللّغة ؛ فلا يتمّ معرفة المذكورات إلّا بتحقيق معنى ذلك اللّفظ ، فلفظ الصدق والكذب ممّا يتوقّف عليه معرفة الخبر ، ولا يتمّ البحث عن حال الخبر ولا يتميّز حقيقته إلّا بمعرفتهما ، فليس حالهما مثل حال الصّعيد والإنفحة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 أنّ البحث في هذين اللّفظين من هذه الجهة لا من حيث دعوى تغيير الاصطلاح كما نقل عن الآمدي ، ولا أنّه محض الكلام في المعنى اللّغوي حتّى لا يكون له تعلّق بمباحث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فبقي الكلام في أنّ البحث في تفسير اللّفظين والخلاف في معناهما هل هو نزاع لفظيّ بالمعنى المشهور أو نزاع حقيقي؟ وقد عرفت الوجه ، وأنّ الظاهر أنّه ليس بلفظيّ ، لكن لا ثمرة فيه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كلام العضديّ لمّا كان في آخر المبحث قابلا لما ذكرنا لأنّه ذكر المذاهب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يحسم النزاع </w:t>
      </w:r>
      <w:r>
        <w:rPr>
          <w:rStyle w:val="FootnoteAnchor"/>
          <w:rtl w:val="true"/>
        </w:rPr>
        <w:footnoteReference w:id="1284"/>
      </w:r>
      <w:r>
        <w:rPr>
          <w:rFonts w:ascii="Amiri" w:hAnsi="Amiri" w:eastAsia="Amiri" w:cs="Amiri"/>
          <w:color w:val="111111"/>
          <w:sz w:val="28"/>
          <w:sz w:val="28"/>
          <w:szCs w:val="28"/>
          <w:rtl w:val="true"/>
          <w:lang w:bidi="ar-SA"/>
        </w:rPr>
        <w:t xml:space="preserve">الإجماع على أنّ اليهوديّ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حقّ ، حكمنا بصدقه ، وإذا قال خلافه حكمنا بكذبه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لفظية لا يجدي الإطناب فيها كثير نفع ، فيمكن تنزيل ما ذكره من كون المسألة لفظية ، إلى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كلام غيره ، فلا يمكن تنزيله على ذلك ، بل مرادهم أنّ النزاع في ثبوت الواسطة لفظيّ ، منهم السيّد عميد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الظاهر من ابن الحاجب </w:t>
      </w:r>
      <w:r>
        <w:rPr>
          <w:rStyle w:val="FootnoteAnchor"/>
          <w:rtl w:val="true"/>
        </w:rPr>
        <w:footnoteReference w:id="1285"/>
      </w:r>
      <w:r>
        <w:rPr>
          <w:rFonts w:ascii="Amiri" w:hAnsi="Amiri" w:eastAsia="Amiri" w:cs="Amiri"/>
          <w:color w:val="111111"/>
          <w:sz w:val="28"/>
          <w:sz w:val="28"/>
          <w:szCs w:val="28"/>
          <w:rtl w:val="true"/>
          <w:lang w:bidi="ar-SA"/>
        </w:rPr>
        <w:t>، حيث عقد المسألة لبيان حصر الخبر في القسمين ، ونقل القول بالواسطة عن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لفظيّة ، ومرجع الضمير المسألة المعقودة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ونقله الفاضل الجواد </w:t>
      </w:r>
      <w:r>
        <w:rPr>
          <w:rStyle w:val="FootnoteAnchor"/>
          <w:rtl w:val="true"/>
        </w:rPr>
        <w:footnoteReference w:id="128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وتنظّر فيه ، قال بعد نقل قول الجاحظ بإثبات الواسطة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النزاع في هذه المسألة كاللّفظيّ ، فإنّا </w:t>
      </w:r>
    </w:p>
    <w:p>
      <w:pPr>
        <w:pStyle w:val="BookText"/>
        <w:rPr/>
      </w:pPr>
      <w:r>
        <w:rPr>
          <w:rFonts w:ascii="Amiri" w:hAnsi="Amiri" w:eastAsia="Amiri" w:cs="Amiri"/>
          <w:color w:val="111111"/>
          <w:sz w:val="28"/>
          <w:sz w:val="28"/>
          <w:szCs w:val="28"/>
          <w:rtl w:val="true"/>
          <w:lang w:bidi="ar-SA"/>
        </w:rPr>
        <w:t xml:space="preserve">نقطع أنّ كلّ خبر فإمّا مطابق للمخبر عنه ، أو لا ، فإن اكتفى في الصدق بالمطابقة كيف كان والكذب بعدم المطابقة كيف كان ، وجب القطع بأنّه لا واسطة ، وإن اعتبر العلم بالمطابقة أيضا في الصدق والعلم بالعدم في الكذب ، يثبت الواسطة بالضّرورة ، وهو الخبر الذي لا يعلم فيه المطابقة </w:t>
      </w:r>
      <w:r>
        <w:rPr>
          <w:rStyle w:val="FootnoteAnchor"/>
          <w:rtl w:val="true"/>
        </w:rPr>
        <w:footnoteReference w:id="1287"/>
      </w:r>
      <w:r>
        <w:rPr>
          <w:rFonts w:ascii="Amiri" w:hAnsi="Amiri" w:eastAsia="Amiri" w:cs="Amiri"/>
          <w:color w:val="111111"/>
          <w:sz w:val="28"/>
          <w:sz w:val="28"/>
          <w:szCs w:val="28"/>
          <w:rtl w:val="true"/>
          <w:lang w:bidi="ar-SA"/>
        </w:rPr>
        <w:t>، 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يعلم وجهه بأدنى ملاحظة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 أنّ النزاع في إثبات الواسطة بعينه هو النزاع في معنى الصدق والكذب وليس شيئا على حدة حتّى يتفرّع عليه ويصير النزاع لفظيا </w:t>
      </w:r>
      <w:r>
        <w:rPr>
          <w:rStyle w:val="FootnoteAnchor"/>
          <w:rtl w:val="true"/>
        </w:rPr>
        <w:footnoteReference w:id="1288"/>
      </w:r>
      <w:r>
        <w:rPr>
          <w:rFonts w:ascii="Amiri" w:hAnsi="Amiri" w:eastAsia="Amiri" w:cs="Amiri"/>
          <w:color w:val="111111"/>
          <w:sz w:val="28"/>
          <w:sz w:val="28"/>
          <w:szCs w:val="28"/>
          <w:rtl w:val="true"/>
          <w:lang w:bidi="ar-SA"/>
        </w:rPr>
        <w:t xml:space="preserve">، فلذلك عدل العضدي عمّا هو ظاهر عبارة ابن الحاجب ، وفسّر اللّفظي </w:t>
      </w:r>
      <w:r>
        <w:rPr>
          <w:rStyle w:val="FootnoteAnchor"/>
          <w:rtl w:val="true"/>
        </w:rPr>
        <w:footnoteReference w:id="1289"/>
      </w:r>
      <w:r>
        <w:rPr>
          <w:rFonts w:ascii="Amiri" w:hAnsi="Amiri" w:eastAsia="Amiri" w:cs="Amiri"/>
          <w:color w:val="111111"/>
          <w:sz w:val="28"/>
          <w:sz w:val="28"/>
          <w:szCs w:val="28"/>
          <w:rtl w:val="true"/>
          <w:lang w:bidi="ar-SA"/>
        </w:rPr>
        <w:t xml:space="preserve">بما هو خلاف المشهور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فيها كثير نفع ، إذ النزاع اللّفظي المصطلح لا نفع فيه أصلا ، لا إنّه قليل النفع ، فأخذ بمجامع المسألة وتوابعها ولوازمها ، ونظر إلى مآل المنازعات ، وجعله نفس الخلاف في معنى الصّدق والكذب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لغويّ قليل الفائدة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الإطناب فيها كثير نفع ، صفة تقييديّة لا توضيحيّة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الفروع التي ذكرها شيخنا البهائي رحمه‌الله كما ذكره ، لكان فيه نفع كثير </w:t>
      </w:r>
      <w:r>
        <w:rPr>
          <w:rStyle w:val="FootnoteAnchor"/>
          <w:rtl w:val="true"/>
        </w:rPr>
        <w:footnoteReference w:id="1290"/>
      </w:r>
      <w:r>
        <w:rPr>
          <w:rFonts w:ascii="Amiri" w:hAnsi="Amiri" w:eastAsia="Amiri" w:cs="Amiri"/>
          <w:color w:val="111111"/>
          <w:sz w:val="28"/>
          <w:sz w:val="28"/>
          <w:szCs w:val="28"/>
          <w:rtl w:val="true"/>
          <w:lang w:bidi="ar-SA"/>
        </w:rPr>
        <w:t>، فتأمّل في أطراف هذا الكلام ومعانيه وتعمّق النظر في غمار مقاصده ومبانيه ولا تنظر إلى تفرّدي به كأكثر مقاصد الكتاب ، ولا تلحظ إليه بعين الحقارة وإليّ بعين العتاب ، ثمّ بعد ذلك فإمّا قبولا وإمّا إصلاحا وإمّا عفوا ، والله الموفّق للصواب</w:t>
      </w:r>
      <w:r>
        <w:rPr>
          <w:rFonts w:eastAsia="Amiri" w:cs="Amiri" w:ascii="Amiri" w:hAnsi="Amiri"/>
          <w:color w:val="111111"/>
          <w:sz w:val="28"/>
          <w:szCs w:val="28"/>
          <w:rtl w:val="true"/>
          <w:lang w:bidi="ar-SA"/>
        </w:rPr>
        <w:t xml:space="preserve">. </w:t>
      </w:r>
      <w:bookmarkStart w:id="165" w:name="pg14071_149265"/>
    </w:p>
    <w:p>
      <w:pPr>
        <w:pStyle w:val="Heading5"/>
        <w:numPr>
          <w:ilvl w:val="4"/>
          <w:numId w:val="1"/>
        </w:numPr>
        <w:rPr/>
      </w:pPr>
      <w:bookmarkStart w:id="166" w:name="__RefHeading___Toc495111_1738255347"/>
      <w:bookmarkStart w:id="167" w:name="_Toc61"/>
      <w:bookmarkEnd w:id="165"/>
      <w:bookmarkEnd w:id="166"/>
      <w:r>
        <w:rPr>
          <w:rtl w:val="true"/>
        </w:rPr>
        <w:t xml:space="preserve">تنبيهان </w:t>
      </w:r>
      <w:r>
        <w:rPr>
          <w:rtl w:val="true"/>
        </w:rPr>
        <w:t>:</w:t>
      </w:r>
      <w:bookmarkEnd w:id="16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الاتّصاف بالصدق والكذب هو ما يفهم من الكلام ظاهرا لا ما هو المراد منه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حمارا ، وأراد منه البليد من دون نصب قرينة ، فهو يتّصف بالكذب ، وإن لم يكن المراد مخالفا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رأى زيدا واعتقد أنّه عمرو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 فهو صادق ، لأنّ المفهوم من اللّفظ مطابق للواقع ، بل والاعتقاد أيضا </w:t>
      </w:r>
      <w:r>
        <w:rPr>
          <w:rStyle w:val="FootnoteAnchor"/>
          <w:rtl w:val="true"/>
        </w:rPr>
        <w:footnoteReference w:id="1291"/>
      </w:r>
      <w:r>
        <w:rPr>
          <w:rFonts w:ascii="Amiri" w:hAnsi="Amiri" w:eastAsia="Amiri" w:cs="Amiri"/>
          <w:color w:val="111111"/>
          <w:sz w:val="28"/>
          <w:sz w:val="28"/>
          <w:szCs w:val="28"/>
          <w:rtl w:val="true"/>
          <w:lang w:bidi="ar-SA"/>
        </w:rPr>
        <w:t>، وإن لم يكن معتقده في شخص الرّجل موافقا للواقع ، فهو على مذهب الجاحظ أيضا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مطابقة الواقع هو مطابقته واقعا ، ولكن يكفي في الكشف عن ذلك اعتقاد المطابقة وإن كان مخالفا لنفس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ما أشرنا اليه في العدالة ، فإنّ اعتقاد كونه عدلا في نفس الأمر ، يكفي في اتّصافه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ذلك الاتّصاف دائر مدار عدم ظهور الفساد ، ثمّ يتبدّل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الصّدق والكذب من خواصّ النسبة الخبريّة دون التقييديّة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الفاضل ، وغلام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بعدم الفرق بينهما في ذلك ، لأنّ النسبة التقييدية أيضا إمّا مطابق للواقع أو غير مطابق للواقع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الإنسان ، صادق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الفرس ، كاذب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الفاضل ، محتمل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على ما ذكره بعض المحقّقين </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الذهنية في المركّبات </w:t>
      </w:r>
    </w:p>
    <w:p>
      <w:pPr>
        <w:pStyle w:val="BookText"/>
        <w:rPr/>
      </w:pPr>
      <w:r>
        <w:rPr>
          <w:rFonts w:ascii="Amiri" w:hAnsi="Amiri" w:eastAsia="Amiri" w:cs="Amiri"/>
          <w:color w:val="111111"/>
          <w:sz w:val="28"/>
          <w:sz w:val="28"/>
          <w:szCs w:val="28"/>
          <w:rtl w:val="true"/>
          <w:lang w:bidi="ar-SA"/>
        </w:rPr>
        <w:t xml:space="preserve">الخبرية تشعر </w:t>
      </w:r>
      <w:r>
        <w:rPr>
          <w:rStyle w:val="FootnoteAnchor"/>
          <w:rtl w:val="true"/>
        </w:rPr>
        <w:footnoteReference w:id="1293"/>
      </w:r>
      <w:r>
        <w:rPr>
          <w:rFonts w:ascii="Amiri" w:hAnsi="Amiri" w:eastAsia="Amiri" w:cs="Amiri"/>
          <w:color w:val="111111"/>
          <w:sz w:val="28"/>
          <w:sz w:val="28"/>
          <w:szCs w:val="28"/>
          <w:rtl w:val="true"/>
          <w:lang w:bidi="ar-SA"/>
        </w:rPr>
        <w:t>من حيث هي هي بوقوع نسبة اخرى خارجة عنها ، ولذلك احتملت عند العقل مطابقتها أو لا مطابقتها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النسبة الذّهنية في المركّبات التقييديّة فلا إشعار لها من حيث هي هي ، بوقوع نسبة اخرى تطابقها أو لا تطابقها ، بل إنّما أشعرت بذلك من حيث إنّ فيها إشارة إلى نسبة اخرى 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 إنّك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فاضل ، فقد اعتبرت بينهما نسبة ذهنية على وجه يشعر بذاتها بوقوع نسبة اخرى خارجة عنها ، وهي أنّ الفضل ثابت له في نفس الأمر ، لكن تلك النسبة الذهنية لا تستلزم </w:t>
      </w:r>
      <w:r>
        <w:rPr>
          <w:rStyle w:val="FootnoteAnchor"/>
          <w:rtl w:val="true"/>
        </w:rPr>
        <w:footnoteReference w:id="1294"/>
      </w:r>
      <w:r>
        <w:rPr>
          <w:rFonts w:ascii="Amiri" w:hAnsi="Amiri" w:eastAsia="Amiri" w:cs="Amiri"/>
          <w:color w:val="111111"/>
          <w:sz w:val="28"/>
          <w:sz w:val="28"/>
          <w:szCs w:val="28"/>
          <w:rtl w:val="true"/>
          <w:lang w:bidi="ar-SA"/>
        </w:rPr>
        <w:t>تلك النسبة الخارجية استلزاما عقليّا ، فإن كانت النسبة الخارجية المشعر بها واقعة ، كانت الأولى صادقة ، وإلّا فكاذبة ، وإذا لاحظ العقل تلك النسبة الذهنية من حيث هي هي ، جوّز معها كلا الأمرين على السّواء ، وهو معنى الاحتمال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الفاضل ، فقد اعتبرت بينهما نسبة ذهنية على وجه لا يشعر من حيث هي هي ؛ بأنّ الفضل ثابت له في الواقع ، بل من حيث إنّ فيها إشارة إلى 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فاضل ، إذ المتبادر إلى الأفهام أن لا يوصف شيء إلّا بما هو ثابت له في الواقع ، فالنسبة الخبرية يشعر من حيث هي هي بما يوصف باعتباره بالمطابقة والّلامطابقة ، أي الصدق والكذب ، فهي من حيث هي هي محتملة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التقييديّة فإنّها تشير إلى نسبة خبرية ، والإنشائية تستلزم نسبا خبرية </w:t>
      </w:r>
      <w:r>
        <w:rPr>
          <w:rStyle w:val="FootnoteAnchor"/>
          <w:rtl w:val="true"/>
        </w:rPr>
        <w:footnoteReference w:id="129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فهما بذلك الاعتبار يحتملان الصدق والكذب ، وأمّا بحسب مفهومهما ، فلا تصحّ ، إنّ الحقّ هو المشهور من كون الاحتمال من خواصّ الخبر ، انتهى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مرادهم بالاختصاص هو الإطلاق العرفيّ حقيقة ، يعني أنّهم لا يصفون بالصدق والكذب حقيقة إلّا أنّ النسبة الخبريّة المقصودة بالذّات ، فإطلاقهما على غيرهما مجاز</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على ذلك </w:t>
      </w:r>
      <w:r>
        <w:rPr>
          <w:rStyle w:val="FootnoteAnchor"/>
          <w:rtl w:val="true"/>
        </w:rPr>
        <w:footnoteReference w:id="1297"/>
      </w:r>
      <w:r>
        <w:rPr>
          <w:rFonts w:ascii="Amiri" w:hAnsi="Amiri" w:eastAsia="Amiri" w:cs="Amiri"/>
          <w:color w:val="111111"/>
          <w:sz w:val="28"/>
          <w:sz w:val="28"/>
          <w:szCs w:val="28"/>
          <w:rtl w:val="true"/>
          <w:lang w:bidi="ar-SA"/>
        </w:rPr>
        <w:t xml:space="preserve">، الأحكام المتعلّقة بالصدق والكذب ، فمن نذر لمن قال صدقا درهما ، وقال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الفاضل ، لا يبرّ النذر بإعطائه وإن وافق فضله للواقع ، كما يقتضيه أصل الحقيقة</w:t>
      </w:r>
      <w:r>
        <w:rPr>
          <w:rFonts w:eastAsia="Amiri" w:cs="Amiri" w:ascii="Amiri" w:hAnsi="Amiri"/>
          <w:color w:val="111111"/>
          <w:sz w:val="28"/>
          <w:szCs w:val="28"/>
          <w:rtl w:val="true"/>
          <w:lang w:bidi="ar-SA"/>
        </w:rPr>
        <w:t xml:space="preserve">. </w:t>
      </w:r>
      <w:bookmarkStart w:id="168" w:name="pg14071_149271"/>
    </w:p>
    <w:p>
      <w:pPr>
        <w:pStyle w:val="Heading5"/>
        <w:numPr>
          <w:ilvl w:val="4"/>
          <w:numId w:val="1"/>
        </w:numPr>
        <w:rPr/>
      </w:pPr>
      <w:bookmarkStart w:id="169" w:name="__RefHeading___Toc495113_1738255347"/>
      <w:bookmarkStart w:id="170" w:name="_Toc62"/>
      <w:bookmarkEnd w:id="168"/>
      <w:bookmarkEnd w:id="169"/>
      <w:r>
        <w:rPr>
          <w:rtl w:val="true"/>
        </w:rPr>
        <w:t>قانون</w:t>
      </w:r>
      <w:bookmarkEnd w:id="170"/>
    </w:p>
    <w:p>
      <w:pPr>
        <w:pStyle w:val="BookText"/>
        <w:rPr/>
      </w:pPr>
      <w:r>
        <w:rPr>
          <w:rFonts w:ascii="Amiri" w:hAnsi="Amiri" w:eastAsia="Amiri" w:cs="Amiri"/>
          <w:color w:val="111111"/>
          <w:sz w:val="28"/>
          <w:sz w:val="28"/>
          <w:szCs w:val="28"/>
          <w:rtl w:val="true"/>
          <w:lang w:bidi="ar-SA"/>
        </w:rPr>
        <w:t xml:space="preserve">الخبر ينقسم إلى ما هو ما معلوم الصدق ضرورة أو نظرا ، أو معلوم الكذب </w:t>
      </w:r>
      <w:r>
        <w:rPr>
          <w:rStyle w:val="FootnoteAnchor"/>
          <w:rtl w:val="true"/>
        </w:rPr>
        <w:footnoteReference w:id="1298"/>
      </w:r>
      <w:r>
        <w:rPr>
          <w:rFonts w:ascii="Amiri" w:hAnsi="Amiri" w:eastAsia="Amiri" w:cs="Amiri"/>
          <w:color w:val="111111"/>
          <w:sz w:val="28"/>
          <w:sz w:val="28"/>
          <w:szCs w:val="28"/>
          <w:rtl w:val="true"/>
          <w:lang w:bidi="ar-SA"/>
        </w:rPr>
        <w:t>، وما لا يعلم صدقه وكذبه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يظنّ صدقه أو كذبه ، أو يتساويان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أقسام ستّة</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فالأوّل </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ضروري بنفسه كبعض المتواترات </w:t>
      </w:r>
      <w:r>
        <w:rPr>
          <w:rStyle w:val="FootnoteAnchor"/>
          <w:rtl w:val="true"/>
        </w:rPr>
        <w:footnoteReference w:id="1301"/>
      </w:r>
      <w:r>
        <w:rPr>
          <w:rFonts w:ascii="Amiri" w:hAnsi="Amiri" w:eastAsia="Amiri" w:cs="Amiri"/>
          <w:color w:val="111111"/>
          <w:sz w:val="28"/>
          <w:sz w:val="28"/>
          <w:szCs w:val="28"/>
          <w:rtl w:val="true"/>
          <w:lang w:bidi="ar-SA"/>
        </w:rPr>
        <w:t xml:space="preserve">أو بغيره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نصف الاثنين ، فإنّ ضروريّته ليست من مقتضى الخبر من حيث إنّه هذا الخبر ، بل لمطابقة الخبر لما هو كذلك في نفس الأمر ضرورة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خبر الله تعالى والمعصومين عليهم‌السلام ، والخبر الموافق للنظر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الذي علم مخالفته للواقع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خبر العدل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خبر الكذوب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خبر مجهول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ينقسم الخبر باعتبار آخر إلى متواتر وآحاد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المتواتر ، فعرّفه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خبر جماعة يفيد بنفسه القطع بصدقه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وذكروا أنّ التقييد بنفسه ، ليخرج خبر جماعة علم صدقهم لا بنفس الخبر ، بل إمّا بالقرائن الزّائدة على ما لا ينفكّ الخبر عنه عادة من الأمور الخارجية ، كما سيجيء في الخبر المحفوف بالقرائن ، وإمّا بغير القرائن كالعلم بمخبره ضرورة أو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ومرادهم بالقرائن التي لا ينفكّ عنها الخبر عادة ، هو ما يتعلّق بحال المخبر ، ككونه موسوما بالصدق وعدمه ، والسّامع ، ككونه خالي الذهن وعدمه ، والمخبر عنه ، ككونه قريب الوقوع وعدمه ، ونفس الخبر ، كالهيئات المقارنة له الدالّة على الوقوع وعدمه ، فقد يختلف الحال باختلاف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ما ذكروه بأنّهم اشترطوا في التواتر تعدّد المخبرين وكثرتهم إلى حدّ يؤمن تواطؤهم على الكذب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مقتضى ذلك أن يكون للكثرة مدخلية في حصول العلم بحيث لو لم تكن لم يحصل العلم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التقييد بنفسه احتراز عمّا لو حصل العلم من القرائن الخارجية عن لوازم الخبر من الأمور المتقدّمة ، يقتضي أنّه إذا حصل العلم بسبب خبر جماعة </w:t>
      </w:r>
    </w:p>
    <w:p>
      <w:pPr>
        <w:pStyle w:val="BookText"/>
        <w:rPr/>
      </w:pPr>
      <w:r>
        <w:rPr>
          <w:rFonts w:ascii="Amiri" w:hAnsi="Amiri" w:eastAsia="Amiri" w:cs="Amiri"/>
          <w:color w:val="111111"/>
          <w:sz w:val="28"/>
          <w:sz w:val="28"/>
          <w:szCs w:val="28"/>
          <w:rtl w:val="true"/>
          <w:lang w:bidi="ar-SA"/>
        </w:rPr>
        <w:t xml:space="preserve">خاصّة من حيث خصوصيّات الخبر يكون متواترا مطلقا </w:t>
      </w:r>
      <w:r>
        <w:rPr>
          <w:rStyle w:val="FootnoteAnchor"/>
          <w:rtl w:val="true"/>
        </w:rPr>
        <w:footnoteReference w:id="1304"/>
      </w:r>
      <w:r>
        <w:rPr>
          <w:rFonts w:ascii="Amiri" w:hAnsi="Amiri" w:eastAsia="Amiri" w:cs="Amiri"/>
          <w:color w:val="111111"/>
          <w:sz w:val="28"/>
          <w:sz w:val="28"/>
          <w:szCs w:val="28"/>
          <w:rtl w:val="true"/>
          <w:lang w:bidi="ar-SA"/>
        </w:rPr>
        <w:t>، سيّما مع ملاحظة ما يذكرونه في نفي تعيين العدد ، وأنّ المدار بما يحصل منه العلم ، وهو يختلف باختلاف المواقع ، فلا يقتضي اعتبار ما ذكر ؛ اعتبار الكثرة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 لو أخبر ثلاثة بواقعة وحصل العلم بها من جهة خصوص الواقعة وملاحظة صدق المخبرين وخلوّ ذهن السّامع من الشبهة ، يلزم أن يكون هذا متواترا ، مع أنّ الظاهر أنّهم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اشتراط الكثرة أمر زائد على اعتبار كون المخبرين جماعة ، فالمعتبر هو الجماعة الكثيرة لا مطلق الجماعة ، فالتعريف على ما ذكروه غير مطّرد </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نمنع من مدخليّته حال المخبرين والسّامعين ونفس الخبر في حصول العلم ، فلا بدّ أن نعتبرها في حصول العلم بالكثرة </w:t>
      </w:r>
      <w:r>
        <w:rPr>
          <w:rStyle w:val="FootnoteAnchor"/>
          <w:rtl w:val="true"/>
        </w:rPr>
        <w:footnoteReference w:id="1306"/>
      </w:r>
      <w:r>
        <w:rPr>
          <w:rFonts w:ascii="Amiri" w:hAnsi="Amiri" w:eastAsia="Amiri" w:cs="Amiri"/>
          <w:color w:val="111111"/>
          <w:sz w:val="28"/>
          <w:sz w:val="28"/>
          <w:szCs w:val="28"/>
          <w:rtl w:val="true"/>
          <w:lang w:bidi="ar-SA"/>
        </w:rPr>
        <w:t>، فالأولى أن يقال أنّه خبر جماعة يؤمن تواطؤهم على الكذب عادة ، وإن كان للوازم الخبر مدخلية في إفادة ذلك الكثرة العلم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الحقّ إمكان تحقّق الخبر المتواتر وحصول العلم به ، وقد خالف في ذلك السمنيّة والبراهمة ، وهما طائفتان من أهل الهند أولاهما عبدة الأوثان ، قائلة بالتناسخ </w:t>
      </w:r>
      <w:r>
        <w:rPr>
          <w:rStyle w:val="FootnoteAnchor"/>
          <w:rtl w:val="true"/>
        </w:rPr>
        <w:footnoteReference w:id="1307"/>
      </w:r>
      <w:r>
        <w:rPr>
          <w:rFonts w:ascii="Amiri" w:hAnsi="Amiri" w:eastAsia="Amiri" w:cs="Amiri"/>
          <w:color w:val="111111"/>
          <w:sz w:val="28"/>
          <w:sz w:val="28"/>
          <w:szCs w:val="28"/>
          <w:rtl w:val="true"/>
          <w:lang w:bidi="ar-SA"/>
        </w:rPr>
        <w:t>، والثانية من الحكماء على زعمهم ، وكلاهما نافيتان للأديان والنبوّات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وبعضهم خصّ المنع بما لو كان الخبر عمّا مضى ، لا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بوجود البلدان النائية كالهند والصين ، والأمم الخالية كقوم فرعون وقوم موسى عليه‌السلام ضرورة من دون تشكيك ، كالجزم بالمشاهدات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وللسّمنية شبه واهية ، مثل أنّهم قالوا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كاجتماع الخلق الكثير على أكل طعام واحد ، وهو محال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مدفوع بوقوعه </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 ، لوجود الدّاعي فيما نحن فيه دون ما 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حصل العلم به ، لزم اجتماع النقيضين لو تواتر نقيضه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الفرض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العلم به ، لحصل بما نقله اليهود والنصارى عن نبيّهم ، بأنّه لا نبيّ بعده ، فيبطل دين محمّد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تحقّق التواتر فيما ذكروه ، لاشتراط تساوي الوسائط في إفادة العلم بالكثرة ، وبخت نصّر قد استأصل اليهود فلم يبق منهم عدد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النصارى في أوّل الأمر لم يكونوا عدد التواتر ، مع أنّ عدم العلم بتساوي الطبقات يكفي في المنع ، ولا يهمّنا إثبات العدم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هاهنا دقيقة لا بدّ أن ينبّه عليها ، وهو أنّه قد يشتبه ما يحصل العلم فيه بسبب التسامع والتضافر وعدم وجود المخالف بالتواتر ، فمثل علمنا بالهند والصين ورستم وحاتم ، ليس من جهة التواتر ، لأنّا لم نسمع إلّا من أهل عصرنا ، وهم لم يرووا لنا عن سلفهم ذلك أصلا ، فضلا عن عدد يحصل به التواتر ،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وإن لم يستلزم عدم حصول التواتر في نفس الأمر ، إلّا أنّ علمنا لم يحصل من جهته ، بل الظاهر أنّه من جهة أنّ أهل العصر قاطبة مجمعون على ذلك ، إمّا بالتصريح أو بظهور أنّ سكوتهم مبنيّ على عدم بطلان هذا النقل ، فكثرة تداول ما ذكر على الألسنة وعدم وجود مخالف في ذلك العصر ، ولا نقل عمّن سلف في غيره ؛ تفيد القطع بصحّته ، وذلك نظير الإجماع على المسألة ، وليس ذلك من باب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وجود البلاد النائية والأمم الخالية لنا من هذا الباب ؛ لا من باب التواتر </w:t>
      </w:r>
      <w:r>
        <w:rPr>
          <w:rStyle w:val="FootnoteAnchor"/>
          <w:rtl w:val="true"/>
        </w:rPr>
        <w:footnoteReference w:id="1309"/>
      </w:r>
      <w:r>
        <w:rPr>
          <w:rFonts w:ascii="Amiri" w:hAnsi="Amiri" w:eastAsia="Amiri" w:cs="Amiri"/>
          <w:color w:val="111111"/>
          <w:sz w:val="28"/>
          <w:sz w:val="28"/>
          <w:szCs w:val="28"/>
          <w:rtl w:val="true"/>
          <w:lang w:bidi="ar-SA"/>
        </w:rPr>
        <w:t>، بل الذي يحصل لنا من باب التواتر في هذا العصر ليس من باب تلك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المناسب لهذا العصر هو نقل زلزلة وقعت في بلدة ، فتكاثر الواردون والمشاهدون لذلك ، وتضافروا في الإخبار حتّى حصل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 فاجتماع اليهود والنصارى على الخبر أو على ملّتهم ليس من إحدى القبيلتين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التواتر فلعدم العلم بتساوي الطبقات ، بل العلم بالعدم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 فلوجود المخالفة من المسلمين وغيرهم ، فلا تغفل ، فإنّ أكثر الأمثلة التي يذكرون في هذا الباب </w:t>
      </w:r>
      <w:r>
        <w:rPr>
          <w:rStyle w:val="FootnoteAnchor"/>
          <w:rtl w:val="true"/>
        </w:rPr>
        <w:footnoteReference w:id="1310"/>
      </w:r>
      <w:r>
        <w:rPr>
          <w:rFonts w:ascii="Amiri" w:hAnsi="Amiri" w:eastAsia="Amiri" w:cs="Amiri"/>
          <w:color w:val="111111"/>
          <w:sz w:val="28"/>
          <w:sz w:val="28"/>
          <w:szCs w:val="28"/>
          <w:rtl w:val="true"/>
          <w:lang w:bidi="ar-SA"/>
        </w:rPr>
        <w:t xml:space="preserve">من باب الثاني لا الأوّل </w:t>
      </w:r>
      <w:r>
        <w:rPr>
          <w:rStyle w:val="FootnoteAnchor"/>
          <w:rtl w:val="true"/>
        </w:rPr>
        <w:footnoteReference w:id="1311"/>
      </w:r>
      <w:r>
        <w:rPr>
          <w:rFonts w:ascii="Amiri" w:hAnsi="Amiri" w:eastAsia="Amiri" w:cs="Amiri"/>
          <w:color w:val="111111"/>
          <w:sz w:val="28"/>
          <w:sz w:val="28"/>
          <w:szCs w:val="28"/>
          <w:rtl w:val="true"/>
          <w:lang w:bidi="ar-SA"/>
        </w:rPr>
        <w:t>وكم من فرق بينهما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يجوز على كلّ واحد من الآحاد ، فيجوز على الجميع لأنّه عبارة عن الآحاد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اتّحاد حكم المجموع مع الآحاد ، فإنّ العسكر يفتح البلاد ويظفر ولا يتمشّى ذلك من كلّ واحد ، والعشرة من حكمها أنّ الواحد جزئها بخلاف الواحد </w:t>
      </w:r>
      <w:r>
        <w:rPr>
          <w:rStyle w:val="FootnoteAnchor"/>
          <w:rtl w:val="true"/>
        </w:rPr>
        <w:footnoteReference w:id="1312"/>
      </w:r>
      <w:r>
        <w:rPr>
          <w:rFonts w:ascii="Amiri" w:hAnsi="Amiri" w:eastAsia="Amiri" w:cs="Amiri"/>
          <w:color w:val="111111"/>
          <w:sz w:val="28"/>
          <w:sz w:val="28"/>
          <w:szCs w:val="28"/>
          <w:rtl w:val="true"/>
          <w:lang w:bidi="ar-SA"/>
        </w:rPr>
        <w:t>، فلا يلزم من حصول العلم من إخبار الجميع بسبب التعاضد والتّقوي حصوله من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غير ذلك أيضا من الشبه الواهية الظاهرة الدفع ، مع أنّها تشكيكات في مقابلة الضرورة فلا يستحقّ الجواب ، كالشبّه السّوفسطائية المنكرين للحسيّات ، فإنّ غاية مراتب الجواب ، الضّرورة ، وهم ينكرونها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ولهم </w:t>
      </w:r>
      <w:r>
        <w:rPr>
          <w:rStyle w:val="FootnoteAnchor"/>
          <w:rtl w:val="true"/>
        </w:rPr>
        <w:footnoteReference w:id="1313"/>
      </w:r>
      <w:r>
        <w:rPr>
          <w:rFonts w:ascii="Amiri" w:hAnsi="Amiri" w:eastAsia="Amiri" w:cs="Amiri"/>
          <w:color w:val="111111"/>
          <w:sz w:val="28"/>
          <w:sz w:val="28"/>
          <w:szCs w:val="28"/>
          <w:rtl w:val="true"/>
          <w:lang w:bidi="ar-SA"/>
        </w:rPr>
        <w:t xml:space="preserve">شبهتان اخريان إنّما تردان على من قال بأنّ العلم الحاصل من التواتر ضروريّ كما هو المشهور ، وهو أنّه لو حصل العلم به بالضّرورة لما فرّقنا بينه وبين سائر الضروريات ، واللّازم باطل ، لأنّا نفرّق بين وجود الإسكندر وكون الواحد نصف الاثنين ، وأنّه لو كان ضروريا لما اختلف فيه ، ونحن لكم مخالفون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أنّهما لا يردان إلّا على القول بكون العلم به ضروريا لا مطلقا ، أنّه 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إنّما هو من جهة تفاوت الضّروريات في حصول العلم من جهة كثرة المؤانسة ببعضها دون بعض</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الضرورة لا تستلزم عدم المخالف كما نشاهد في السّوفسطائية ، وإنّما هو من جهة بهت </w:t>
      </w:r>
      <w:r>
        <w:rPr>
          <w:rStyle w:val="FootnoteAnchor"/>
          <w:rtl w:val="true"/>
        </w:rPr>
        <w:footnoteReference w:id="1315"/>
      </w:r>
      <w:r>
        <w:rPr>
          <w:rFonts w:ascii="IRNazanin" w:hAnsi="IRNazanin" w:eastAsia="IRNazanin"/>
          <w:color w:val="111111"/>
          <w:sz w:val="28"/>
          <w:sz w:val="28"/>
          <w:szCs w:val="28"/>
          <w:rtl w:val="true"/>
          <w:lang w:bidi="fa-IR"/>
        </w:rPr>
        <w:t>وعناد</w:t>
      </w:r>
      <w:r>
        <w:rPr>
          <w:rFonts w:eastAsia="IRNazanin" w:cs="IRNazanin"/>
          <w:color w:val="111111"/>
          <w:sz w:val="28"/>
          <w:szCs w:val="28"/>
          <w:rtl w:val="true"/>
          <w:lang w:bidi="fa-IR"/>
        </w:rPr>
        <w:t xml:space="preserve">. </w:t>
      </w:r>
      <w:bookmarkStart w:id="171" w:name="pg14071_149283"/>
    </w:p>
    <w:p>
      <w:pPr>
        <w:pStyle w:val="Heading5"/>
        <w:numPr>
          <w:ilvl w:val="4"/>
          <w:numId w:val="1"/>
        </w:numPr>
        <w:rPr/>
      </w:pPr>
      <w:bookmarkStart w:id="172" w:name="__RefHeading___Toc495115_1738255347"/>
      <w:bookmarkStart w:id="173" w:name="_Toc63"/>
      <w:bookmarkEnd w:id="171"/>
      <w:bookmarkEnd w:id="172"/>
      <w:r>
        <w:rPr>
          <w:rtl w:val="true"/>
        </w:rPr>
        <w:t>تنبيهات</w:t>
      </w:r>
      <w:bookmarkEnd w:id="173"/>
    </w:p>
    <w:p>
      <w:pPr>
        <w:pStyle w:val="Heading6"/>
        <w:numPr>
          <w:ilvl w:val="5"/>
          <w:numId w:val="1"/>
        </w:numPr>
        <w:rPr/>
      </w:pPr>
      <w:bookmarkStart w:id="174" w:name="__RefHeading___Toc495117_1738255347"/>
      <w:bookmarkStart w:id="175" w:name="_Toc64"/>
      <w:bookmarkEnd w:id="174"/>
      <w:r>
        <w:rPr>
          <w:rtl w:val="true"/>
        </w:rPr>
        <w:t xml:space="preserve">الأوّل </w:t>
      </w:r>
      <w:r>
        <w:rPr>
          <w:rtl w:val="true"/>
        </w:rPr>
        <w:t>:</w:t>
      </w:r>
      <w:bookmarkEnd w:id="17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اختلفوا في كيفيّة العلم الحاصل بالتواتر ، فالمشهور أنّه ضروريّ </w:t>
      </w:r>
      <w:r>
        <w:rPr>
          <w:rStyle w:val="FootnoteAnchor"/>
          <w:rtl w:val="true"/>
        </w:rPr>
        <w:footnoteReference w:id="1316"/>
      </w:r>
      <w:r>
        <w:rPr>
          <w:rFonts w:ascii="Amiri" w:hAnsi="Amiri" w:eastAsia="Amiri" w:cs="Amiri"/>
          <w:color w:val="111111"/>
          <w:sz w:val="28"/>
          <w:sz w:val="28"/>
          <w:szCs w:val="28"/>
          <w:rtl w:val="true"/>
          <w:lang w:bidi="ar-SA"/>
        </w:rPr>
        <w:t xml:space="preserve">، وقال الكعبي </w:t>
      </w:r>
      <w:r>
        <w:rPr>
          <w:rStyle w:val="FootnoteAnchor"/>
          <w:rtl w:val="true"/>
        </w:rPr>
        <w:footnoteReference w:id="1317"/>
      </w:r>
      <w:r>
        <w:rPr>
          <w:rFonts w:ascii="Amiri" w:hAnsi="Amiri" w:eastAsia="Amiri" w:cs="Amiri"/>
          <w:color w:val="111111"/>
          <w:sz w:val="28"/>
          <w:sz w:val="28"/>
          <w:szCs w:val="28"/>
          <w:rtl w:val="true"/>
          <w:lang w:bidi="ar-SA"/>
        </w:rPr>
        <w:t xml:space="preserve">وأبو الحسين </w:t>
      </w:r>
      <w:r>
        <w:rPr>
          <w:rStyle w:val="FootnoteAnchor"/>
          <w:rtl w:val="true"/>
        </w:rPr>
        <w:footnoteReference w:id="1318"/>
      </w:r>
      <w:r>
        <w:rPr>
          <w:rFonts w:ascii="Amiri" w:hAnsi="Amiri" w:eastAsia="Amiri" w:cs="Amiri"/>
          <w:color w:val="111111"/>
          <w:sz w:val="28"/>
          <w:sz w:val="28"/>
          <w:szCs w:val="28"/>
          <w:rtl w:val="true"/>
          <w:lang w:bidi="ar-SA"/>
        </w:rPr>
        <w:t xml:space="preserve">والجويني </w:t>
      </w:r>
      <w:r>
        <w:rPr>
          <w:rStyle w:val="FootnoteAnchor"/>
          <w:rtl w:val="true"/>
        </w:rPr>
        <w:footnoteReference w:id="1319"/>
      </w:r>
      <w:r>
        <w:rPr>
          <w:rFonts w:ascii="IRNazanin" w:hAnsi="IRNazanin" w:eastAsia="IRNazanin"/>
          <w:color w:val="111111"/>
          <w:sz w:val="28"/>
          <w:sz w:val="28"/>
          <w:szCs w:val="28"/>
          <w:rtl w:val="true"/>
          <w:lang w:bidi="fa-IR"/>
        </w:rPr>
        <w:t xml:space="preserve">وإمام </w:t>
      </w:r>
    </w:p>
    <w:p>
      <w:pPr>
        <w:pStyle w:val="BookText"/>
        <w:rPr/>
      </w:pPr>
      <w:r>
        <w:rPr>
          <w:rFonts w:ascii="Amiri" w:hAnsi="Amiri" w:eastAsia="Amiri" w:cs="Amiri"/>
          <w:color w:val="111111"/>
          <w:sz w:val="28"/>
          <w:sz w:val="28"/>
          <w:szCs w:val="28"/>
          <w:rtl w:val="true"/>
          <w:lang w:bidi="ar-SA"/>
        </w:rPr>
        <w:t xml:space="preserve">الحرمين </w:t>
      </w:r>
      <w:r>
        <w:rPr>
          <w:rStyle w:val="FootnoteAnchor"/>
          <w:rtl w:val="true"/>
        </w:rPr>
        <w:footnoteReference w:id="1320"/>
      </w:r>
      <w:r>
        <w:rPr>
          <w:rFonts w:ascii="Amiri" w:hAnsi="Amiri" w:eastAsia="Amiri" w:cs="Amiri"/>
          <w:color w:val="111111"/>
          <w:sz w:val="28"/>
          <w:sz w:val="28"/>
          <w:szCs w:val="28"/>
          <w:rtl w:val="true"/>
          <w:lang w:bidi="ar-SA"/>
        </w:rPr>
        <w:t xml:space="preserve">إنّه نظري </w:t>
      </w:r>
      <w:r>
        <w:rPr>
          <w:rStyle w:val="FootnoteAnchor"/>
          <w:rtl w:val="true"/>
        </w:rPr>
        <w:footnoteReference w:id="1321"/>
      </w:r>
      <w:r>
        <w:rPr>
          <w:rFonts w:ascii="Amiri" w:hAnsi="Amiri" w:eastAsia="Amiri" w:cs="Amiri"/>
          <w:color w:val="111111"/>
          <w:sz w:val="28"/>
          <w:sz w:val="28"/>
          <w:szCs w:val="28"/>
          <w:rtl w:val="true"/>
          <w:lang w:bidi="ar-SA"/>
        </w:rPr>
        <w:t xml:space="preserve">، وعن الغزّالي </w:t>
      </w:r>
      <w:r>
        <w:rPr>
          <w:rStyle w:val="FootnoteAnchor"/>
          <w:rtl w:val="true"/>
        </w:rPr>
        <w:footnoteReference w:id="1322"/>
      </w:r>
      <w:r>
        <w:rPr>
          <w:rFonts w:ascii="Amiri" w:hAnsi="Amiri" w:eastAsia="Amiri" w:cs="Amiri"/>
          <w:color w:val="111111"/>
          <w:sz w:val="28"/>
          <w:sz w:val="28"/>
          <w:szCs w:val="28"/>
          <w:rtl w:val="true"/>
          <w:lang w:bidi="ar-SA"/>
        </w:rPr>
        <w:t xml:space="preserve">الميل إلى الواسطة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السيّد رحمه‌الله إلى التوقّف في موضع </w:t>
      </w:r>
      <w:r>
        <w:rPr>
          <w:rStyle w:val="FootnoteAnchor"/>
          <w:rtl w:val="true"/>
        </w:rPr>
        <w:footnoteReference w:id="1324"/>
      </w:r>
      <w:r>
        <w:rPr>
          <w:rFonts w:ascii="Amiri" w:hAnsi="Amiri" w:eastAsia="Amiri" w:cs="Amiri"/>
          <w:color w:val="111111"/>
          <w:sz w:val="28"/>
          <w:sz w:val="28"/>
          <w:szCs w:val="28"/>
          <w:rtl w:val="true"/>
          <w:lang w:bidi="ar-SA"/>
        </w:rPr>
        <w:t xml:space="preserve">، وإلى التفصيل في موضع آخر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وارتضاه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Style w:val="FootnoteAnchor"/>
          <w:rtl w:val="true"/>
        </w:rPr>
        <w:footnoteReference w:id="1326"/>
      </w:r>
      <w:r>
        <w:rPr>
          <w:rFonts w:ascii="Amiri" w:hAnsi="Amiri" w:eastAsia="Amiri" w:cs="Amiri"/>
          <w:color w:val="111111"/>
          <w:sz w:val="28"/>
          <w:sz w:val="28"/>
          <w:szCs w:val="28"/>
          <w:rtl w:val="true"/>
          <w:lang w:bidi="ar-SA"/>
        </w:rPr>
        <w:t>، والأقرب عندي القول بالتفصيل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نظريا لتوقّف على توسّط المقدّمتين </w:t>
      </w:r>
      <w:r>
        <w:rPr>
          <w:rStyle w:val="FootnoteAnchor"/>
          <w:rtl w:val="true"/>
        </w:rPr>
        <w:footnoteReference w:id="1327"/>
      </w:r>
      <w:r>
        <w:rPr>
          <w:rFonts w:ascii="Amiri" w:hAnsi="Amiri" w:eastAsia="Amiri" w:cs="Amiri"/>
          <w:color w:val="111111"/>
          <w:sz w:val="28"/>
          <w:sz w:val="28"/>
          <w:szCs w:val="28"/>
          <w:rtl w:val="true"/>
          <w:lang w:bidi="ar-SA"/>
        </w:rPr>
        <w:t>، واللّازم منتف لأنّا نعلم علما قطعيّا بالمتواترات ، مثل وجود مكّة وهند وغيرهما مع انتفاء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لو كان نظريّا لما حصل لمن لا قدرة له على النظر كالعوامّ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يلزم أن لا يعلمه من ترك النظر قصدا إذ كلّ علم نظري ، فإنّ العالم به يجد نفسه أوّلا شاكّا ثمّ طالبا ، ونحن لا نجد أنفسنا طالبين لوجود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نمنع عدم الاحتياج إلى توسّط المقدّمتين في المتواترات مطلقا ، نعم يتمّ فيما حصل القطع من جهة التواتر اضطرارا ، فإنّ المتواترات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بعد حصول مبادئها اضطرارا وبدون الكسب ، كالمشاهدات وضروريات الدّين ووجود مكّة وهند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مسبوق بالكسب ، كالمسائل العلميّة التي لا بدّ أن يحصل التتبّع فيها من جهة ملاحظة الكتب وملاقاة أهل العلم والاستماع منهم اصولية كانت أو فروعيّة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التتبّع واستماع الخبر يتدرّج في حصول الرّجحان في النظر إلى حيث يشرف المتتبّع على حصول العلم ، فيلاحظ حينئذ المقدّمات من كون هذه الأخبار مسموعة ومنوطة بالحسّ ، وأنّ هؤلاء الجماعة الكثيرين لا يتواطئون على الكذب ، ثمّ يحصل له القطع بمضمونها ، فهذا متواتر نظري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علامات النظريّ ، أنّ بعد حصول العلم أيضا إذا ذهل عن المقدّمتين قد يتزلزل القطع ويحتاج إلى مراجعة المقدّمات ، وهو ممّا يحصل في كثير من المتواترات ، بخلاف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فالضروريّ وإن كان أيضا لا ينفكّ عن المقدّمات ، لكنّها لا تحتاج إلى المراجعة إليها والاعتماد عليها ما دام ضروريا ، فإن كان مراد المشهور هو ذلك </w:t>
      </w:r>
      <w:r>
        <w:rPr>
          <w:rStyle w:val="FootnoteAnchor"/>
          <w:rtl w:val="true"/>
        </w:rPr>
        <w:footnoteReference w:id="1328"/>
      </w:r>
      <w:r>
        <w:rPr>
          <w:rFonts w:ascii="Amiri" w:hAnsi="Amiri" w:eastAsia="Amiri" w:cs="Amiri"/>
          <w:color w:val="111111"/>
          <w:sz w:val="28"/>
          <w:sz w:val="28"/>
          <w:szCs w:val="28"/>
          <w:rtl w:val="true"/>
          <w:lang w:bidi="ar-SA"/>
        </w:rPr>
        <w:t xml:space="preserve">فمرحبا بالوفاق ، وإن كان مرادهم أنّ كلّ متواتر لا يحتاج </w:t>
      </w:r>
    </w:p>
    <w:p>
      <w:pPr>
        <w:pStyle w:val="BookText"/>
        <w:rPr/>
      </w:pPr>
      <w:r>
        <w:rPr>
          <w:rFonts w:ascii="Amiri" w:hAnsi="Amiri" w:eastAsia="Amiri" w:cs="Amiri"/>
          <w:color w:val="111111"/>
          <w:sz w:val="28"/>
          <w:sz w:val="28"/>
          <w:szCs w:val="28"/>
          <w:rtl w:val="true"/>
          <w:lang w:bidi="ar-SA"/>
        </w:rPr>
        <w:t>إلى النظر مطلقا ، فهو 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ما ذكرنا ينظر كلام سيّدنا المرتضى رحمه‌الله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البلدان والوقائع </w:t>
      </w:r>
      <w:r>
        <w:rPr>
          <w:rStyle w:val="FootnoteAnchor"/>
          <w:rtl w:val="true"/>
        </w:rPr>
        <w:footnoteReference w:id="1329"/>
      </w:r>
      <w:r>
        <w:rPr>
          <w:rFonts w:ascii="Amiri" w:hAnsi="Amiri" w:eastAsia="Amiri" w:cs="Amiri"/>
          <w:color w:val="111111"/>
          <w:sz w:val="28"/>
          <w:sz w:val="28"/>
          <w:szCs w:val="28"/>
          <w:rtl w:val="true"/>
          <w:lang w:bidi="ar-SA"/>
        </w:rPr>
        <w:t xml:space="preserve">والملوك وهجرة النبيّ صلى‌الله‌عليه‌وآله ومغازيه وما يجري هذا المجرى ، يجوز أن يكون العلم بها ضرورة من فعل الله تعالى ، ويجوز أن تكون مكتسبة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مكتسبا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عدا ذلك مثل العلم بمعجزات النبيّ صلى‌الله‌عليه‌وآله ، وكثير من أحكام الشريعة والنصّ الحاصل على الأئمّة عليهم‌السلام ، فنقطع على أنّه مستدلّ عليه </w:t>
      </w:r>
      <w:r>
        <w:rPr>
          <w:rStyle w:val="FootnoteAnchor"/>
          <w:rtl w:val="true"/>
        </w:rPr>
        <w:footnoteReference w:id="1330"/>
      </w:r>
      <w:r>
        <w:rPr>
          <w:rFonts w:ascii="Amiri" w:hAnsi="Amiri" w:eastAsia="Amiri" w:cs="Amiri"/>
          <w:color w:val="111111"/>
          <w:sz w:val="28"/>
          <w:sz w:val="28"/>
          <w:szCs w:val="28"/>
          <w:rtl w:val="true"/>
          <w:lang w:bidi="ar-SA"/>
        </w:rPr>
        <w:t xml:space="preserve">، وهذا هو التفصيل </w:t>
      </w:r>
      <w:r>
        <w:rPr>
          <w:rStyle w:val="FootnoteAnchor"/>
          <w:rtl w:val="true"/>
        </w:rPr>
        <w:footnoteReference w:id="1331"/>
      </w:r>
      <w:r>
        <w:rPr>
          <w:rFonts w:ascii="Amiri" w:hAnsi="Amiri" w:eastAsia="Amiri" w:cs="Amiri"/>
          <w:color w:val="111111"/>
          <w:sz w:val="28"/>
          <w:sz w:val="28"/>
          <w:szCs w:val="28"/>
          <w:rtl w:val="true"/>
          <w:lang w:bidi="ar-SA"/>
        </w:rPr>
        <w:t xml:space="preserve">الذي أشرنا إليه وارتضاه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القول بالتوقّف المنسوب إليه أيضا إنّما هو في القسم الأوّل من الضّروريّات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التوقّف الشكّ والتأمّل في أنّ العلم هل يحصل بجعل الله تعالى اضطرارا من دون اختيار العبد بعد حصول المقدّمات ، أو يحصل من جهة كسب العبد والتأمّل في المقدّمات من كون المخبرين عددا يمتنع كذبهم ، وأنّهم أخبروا عن حسّ ، وإن لم يكن متفطّنا بها حين حصول العلم ، إذ يصدق حينئذ أنّ العلم ناشئ عن الكسب وإن لم يتفطّن بالمكتسب عنه حين العلم ، إذ لا فرق بين المعلومات الموصلة إلى المطلوب التي كانت حاصلة بالعلم الإجمالي أو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w:t>
      </w:r>
    </w:p>
    <w:p>
      <w:pPr>
        <w:pStyle w:val="BookText"/>
        <w:rPr/>
      </w:pPr>
      <w:r>
        <w:rPr>
          <w:rFonts w:ascii="Amiri" w:hAnsi="Amiri" w:eastAsia="Amiri" w:cs="Amiri"/>
          <w:color w:val="111111"/>
          <w:sz w:val="28"/>
          <w:sz w:val="28"/>
          <w:szCs w:val="28"/>
          <w:rtl w:val="true"/>
          <w:lang w:bidi="ar-SA"/>
        </w:rPr>
        <w:t>أسّس أساسا وأصّل أصلا وقاعدة يتفرّع عليه فروع كثيرة ، فقد اكتسب في ذلك ، فكلّما ترتّب عنده نتيجة على ما أصّله بسبب علمه به إجمالا ، يصدق أنّه من كسبيّاته ، وإن احتمل أيضا أن يكون مع ذلك إلقاء العلم في روعه بفعل الله تعالى ، ومجرى عادته عقيب إخبار هذا القدر من المخبرين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Style w:val="FootnoteAnchor"/>
          <w:rtl w:val="true"/>
        </w:rPr>
        <w:footnoteReference w:id="1333"/>
      </w:r>
      <w:r>
        <w:rPr>
          <w:rFonts w:ascii="Amiri" w:hAnsi="Amiri" w:eastAsia="Amiri" w:cs="Amiri"/>
          <w:color w:val="111111"/>
          <w:sz w:val="28"/>
          <w:sz w:val="28"/>
          <w:szCs w:val="28"/>
          <w:rtl w:val="true"/>
          <w:lang w:bidi="ar-SA"/>
        </w:rPr>
        <w:t>، ظهر أنّ المتواتر بعد العلم بالتواتر أيضا يمكن أن يكون نظريا ، فضلا عن ابتداء الأمر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الدّليل الثاني </w:t>
      </w:r>
      <w:r>
        <w:rPr>
          <w:rStyle w:val="FootnoteAnchor"/>
          <w:rtl w:val="true"/>
        </w:rPr>
        <w:footnoteReference w:id="1334"/>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العوامّ والصبيان أيضا لهم معلومات نظرية بالضّرورة ، وأنّهم يستفيدون ذلك من المقدّمات ، ويترتّب في نظرهم مقدّمات الدّليل ويحصل لهم النتيجة ، لكنّهم لا يتفطّنون بها من حيث هي كذلك ، والمقدّمات العادية لا إشكال فيها ولا دقّة ؛ بحيث لم تحصل للعوامّ والصبيان ، بل مدار العالم وأساس عيش بني آدم غالبا على المقدّمات العادية التي يفهمها أكثر العقلاء ، وإلّا فلا نجد أحدا من غير العلماء والأزكياء يعلم ضرّه من نفعه وخيره من شرّه ، مع أنّ ذلك مبتن على قاعدة إدراك الحسن والقبح العقليّ ولزوم الاجتناب عن المضارّ وحسن ارتكاب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والنظريّ هو ما كان العلم به موقوفا على المقدّمتين </w:t>
      </w:r>
      <w:r>
        <w:rPr>
          <w:rStyle w:val="FootnoteAnchor"/>
          <w:rtl w:val="true"/>
        </w:rPr>
        <w:footnoteReference w:id="1335"/>
      </w:r>
      <w:r>
        <w:rPr>
          <w:rFonts w:ascii="IRNazanin" w:hAnsi="IRNazanin" w:eastAsia="IRNazanin"/>
          <w:color w:val="111111"/>
          <w:sz w:val="28"/>
          <w:sz w:val="28"/>
          <w:szCs w:val="28"/>
          <w:rtl w:val="true"/>
          <w:lang w:bidi="fa-IR"/>
        </w:rPr>
        <w:t xml:space="preserve">، لا بالعلم بهما </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ممّا ذكرنا ، الجواب عن الدّليل الثالث </w:t>
      </w:r>
      <w:r>
        <w:rPr>
          <w:rStyle w:val="FootnoteAnchor"/>
          <w:rtl w:val="true"/>
        </w:rPr>
        <w:footnoteReference w:id="1337"/>
      </w:r>
      <w:r>
        <w:rPr>
          <w:rFonts w:ascii="Amiri" w:hAnsi="Amiri" w:eastAsia="Amiri" w:cs="Amiri"/>
          <w:color w:val="111111"/>
          <w:sz w:val="28"/>
          <w:sz w:val="28"/>
          <w:szCs w:val="28"/>
          <w:rtl w:val="true"/>
          <w:lang w:bidi="ar-SA"/>
        </w:rPr>
        <w:t>، فلا نعيد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 القائلون بكونه نظريا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ضروريا لما احتاج إلى توسّط المقدّمتين ، والتالي باطل لأنّه يتوقّف على العلم بأنّ المخبر عنه محسوس ، وأنّ هذه الجماعة لا يتواطئون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التوقّف على ذلك ، إذ العلم بالصدق ضروري حاصل بالعادة ، ووجود صورة الترتيب للمقدّمتين لا يستلزم الاحتياج إليه ، على أنّ مثل ذلك موجود في كلّ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أعظم من الجزء ، يمكن أن يقال لأنّ الكلّ مشتمل على جزء آخر غيره ، وما هو كذلك فهو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من بيان التفصيل </w:t>
      </w:r>
      <w:r>
        <w:rPr>
          <w:rStyle w:val="FootnoteAnchor"/>
          <w:rtl w:val="true"/>
        </w:rPr>
        <w:footnoteReference w:id="1338"/>
      </w:r>
      <w:r>
        <w:rPr>
          <w:rFonts w:ascii="Amiri" w:hAnsi="Amiri" w:eastAsia="Amiri" w:cs="Amiri"/>
          <w:color w:val="111111"/>
          <w:sz w:val="28"/>
          <w:sz w:val="28"/>
          <w:szCs w:val="28"/>
          <w:rtl w:val="true"/>
          <w:lang w:bidi="ar-SA"/>
        </w:rPr>
        <w:t>يعرف حقيقة الحال ، وأنّ الحقّ هو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مذهب الغزّالي فالذي نقل عنه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الحاصل بالتواتر ضروري ، بمعنى أنّه لا يحتاج إلى الشعور به بتوسّط واسطة مفضية إليه ، مع أنّ الواسطة حاضرة في الذّهن ، وليس ضروريا بمعنى أنّه حاصل من غير واسطة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لا يكون معدوما ، فإنّه لا بدّ فيه من حصول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مع كثرتهم واختلاف أحوالهم لا يجمعهم على الكذب جامع</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اتّفقوا على الإخبار عن الواقعة ، لكنّه لا يفتقر إلى ترتيب المقدّمتين بلفظ منظوم ، ولا إلى الشّعور بتوسّطهما وإفضائهما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التفتازاني </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حاصل كلامه أنّه ليس أوّليا </w:t>
      </w:r>
      <w:r>
        <w:rPr>
          <w:rStyle w:val="FootnoteAnchor"/>
          <w:rtl w:val="true"/>
        </w:rPr>
        <w:footnoteReference w:id="1341"/>
      </w:r>
      <w:r>
        <w:rPr>
          <w:rFonts w:ascii="Amiri" w:hAnsi="Amiri" w:eastAsia="Amiri" w:cs="Amiri"/>
          <w:color w:val="111111"/>
          <w:sz w:val="28"/>
          <w:sz w:val="28"/>
          <w:szCs w:val="28"/>
          <w:rtl w:val="true"/>
          <w:lang w:bidi="ar-SA"/>
        </w:rPr>
        <w:t xml:space="preserve">ولا كسبيا ، بل من قبيل القضايا التي قياساتها معها ،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نصف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التأمّل فيما ذكرنا تعرف أنّه ليس من هذا القبيل ، وأنّ الحقّ ما ذكرنا من التفصيل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ما ذكره الغزالي نوع من النظري لا واسطة ، ولذلك نسب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 xml:space="preserve">القول بالنظرية إليه ، ولعلّ مراده الغزالي ، أنّه من باب نظريات العوامّ ، فإنّهم وإن استفادوها من المقدّمتين ، لكنّهم لم يتفطّنوا بهما ، بكيفيّتهما المترتّبة في نفس الأمر ، فكأنّ الغزالي قسّم النظري إلى قسمين بالنسبة إلى الناظرين ، وهو في الحقيقة تقسيم للناظرين لا للنظري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والعامّيّ كلاهما مساويان في النظر فيما نحن فيه ؛ دون سائر النظريات</w:t>
      </w:r>
      <w:r>
        <w:rPr>
          <w:rFonts w:eastAsia="Amiri" w:cs="Amiri" w:ascii="Amiri" w:hAnsi="Amiri"/>
          <w:color w:val="111111"/>
          <w:sz w:val="28"/>
          <w:szCs w:val="28"/>
          <w:rtl w:val="true"/>
          <w:lang w:bidi="ar-SA"/>
        </w:rPr>
        <w:t xml:space="preserve">. </w:t>
      </w:r>
      <w:bookmarkStart w:id="176" w:name="pg14071_149296"/>
    </w:p>
    <w:p>
      <w:pPr>
        <w:pStyle w:val="Heading6"/>
        <w:numPr>
          <w:ilvl w:val="5"/>
          <w:numId w:val="1"/>
        </w:numPr>
        <w:rPr/>
      </w:pPr>
      <w:bookmarkStart w:id="177" w:name="__RefHeading___Toc495119_1738255347"/>
      <w:bookmarkStart w:id="178" w:name="_Toc65"/>
      <w:bookmarkEnd w:id="176"/>
      <w:bookmarkEnd w:id="177"/>
      <w:r>
        <w:rPr>
          <w:rtl w:val="true"/>
        </w:rPr>
        <w:t xml:space="preserve">الثاني </w:t>
      </w:r>
      <w:r>
        <w:rPr>
          <w:rtl w:val="true"/>
        </w:rPr>
        <w:t>:</w:t>
      </w:r>
      <w:bookmarkEnd w:id="178"/>
    </w:p>
    <w:p>
      <w:pPr>
        <w:pStyle w:val="BookText"/>
        <w:rPr/>
      </w:pPr>
      <w:r>
        <w:rPr>
          <w:rFonts w:ascii="Amiri" w:hAnsi="Amiri" w:eastAsia="Amiri" w:cs="Amiri"/>
          <w:color w:val="111111"/>
          <w:sz w:val="28"/>
          <w:sz w:val="28"/>
          <w:szCs w:val="28"/>
          <w:rtl w:val="true"/>
          <w:lang w:bidi="ar-SA"/>
        </w:rPr>
        <w:t xml:space="preserve">إنّهم بعد ما عرّفوا المتواتر بما نقلنا عنهم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المعنى يتحقّق بأمور ، فيشترط في تحقّق هذا الخبر الذي يفيد العلم بنفسه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يتعلّق بالمخبرين ، ومنها ما يتعلّق بالسّامع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كون المخبرين بالغين في الكثرة حدّا يمتنع معه في العادة تواطؤهم على الكذب ، وكون علمهم مستندا إلى الحسّ ، فإنّه في مثل حدوث العالم لا يفيد قطعا ، واستواء الطرفين والواسطة </w:t>
      </w:r>
      <w:r>
        <w:rPr>
          <w:rStyle w:val="FootnoteAnchor"/>
          <w:rtl w:val="true"/>
        </w:rPr>
        <w:footnoteReference w:id="1343"/>
      </w:r>
      <w:r>
        <w:rPr>
          <w:rFonts w:ascii="Amiri" w:hAnsi="Amiri" w:eastAsia="Amiri" w:cs="Amiri"/>
          <w:color w:val="111111"/>
          <w:sz w:val="28"/>
          <w:sz w:val="28"/>
          <w:szCs w:val="28"/>
          <w:rtl w:val="true"/>
          <w:lang w:bidi="ar-SA"/>
        </w:rPr>
        <w:t>، بمعنى أن يبلغ كلّ واحد من الطبقات حدّ الكثرة المذكورة ، وذلك فيما لو حصل هناك أكثر من طبقة ، وإلّا فلا واسطة ولا تعدّد في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زاد بعضهم اشتراط كون إخبارهم عن علم ، ولا دليل عليه </w:t>
      </w:r>
      <w:r>
        <w:rPr>
          <w:rStyle w:val="FootnoteAnchor"/>
          <w:rtl w:val="true"/>
        </w:rPr>
        <w:footnoteReference w:id="1344"/>
      </w:r>
      <w:r>
        <w:rPr>
          <w:rFonts w:ascii="Amiri" w:hAnsi="Amiri" w:eastAsia="Amiri" w:cs="Amiri"/>
          <w:color w:val="111111"/>
          <w:sz w:val="28"/>
          <w:sz w:val="28"/>
          <w:szCs w:val="28"/>
          <w:rtl w:val="true"/>
          <w:lang w:bidi="ar-SA"/>
        </w:rPr>
        <w:t>، بل يكفي حصول العلم من اجتماعهم وإن كان بعضهم ظانّين ، مع كون الباقين عالمين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المذكورة التي اشترطوا هنا إن كانت مأخوذة في ماهيّة المتواتر ، فالتعريف مختلّ لعدم دلالته على ذلك ، إذ مع ملاحظة مدخليّة لوازم الخبر في حصول العلم وعدم ضرره في الحدّ ، فلا حاجة إلى الكثرة ، فإذا حصل العلم بخبر ثلاثة بسبب صدقهم وصلاحهم وثقتهم سيّما مع انضمام حال نفس الخبر ، فيحصل العلم ويصدق الحدّ على ذلك ، فيكفي ذلك في تحقّق التواتر ، وإن لم تكن مأخوذة في ماهيّته ، فما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حصول التواتر وتحقّقه </w:t>
      </w:r>
    </w:p>
    <w:p>
      <w:pPr>
        <w:pStyle w:val="BookText"/>
        <w:rPr/>
      </w:pPr>
      <w:r>
        <w:rPr>
          <w:rFonts w:ascii="Amiri" w:hAnsi="Amiri" w:eastAsia="Amiri" w:cs="Amiri"/>
          <w:color w:val="111111"/>
          <w:sz w:val="28"/>
          <w:sz w:val="28"/>
          <w:szCs w:val="28"/>
          <w:rtl w:val="true"/>
          <w:lang w:bidi="ar-SA"/>
        </w:rPr>
        <w:t>كون المخبرين في الكثرة إلى هذا الحدّ ، إذ ذلك من مقوّمات الماهيّة عندهم ، وإلّا فلا معنى لكون ذلك شرطا لحصول العلم بالمتواتر بعد ما أخذوا إفادة العلم بنفسه في تعريفه ، فإنّ ما يفيد العلم بنفسه لا يتوقّف حصول العلم بسببه على شرط آخر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قولهم </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حصول التواتر كون المخبرين في الكثرة إلى هذا الحدّ ، إمّا أن يراد به اعتبار الكثرة المطلقة باعتبار الجعل والاصطلاح في التواتر ، فما معنى تقييده بكونهم حدّا يمتنع تواطؤهم على الكذب ، وما وجه تخلية التعريف عن لفظ الكثرة ، إذ المراد كثرة الجماعة لا الكثرة مطلقا </w:t>
      </w:r>
      <w:r>
        <w:rPr>
          <w:rStyle w:val="FootnoteAnchor"/>
          <w:rtl w:val="true"/>
        </w:rPr>
        <w:footnoteReference w:id="1346"/>
      </w:r>
      <w:r>
        <w:rPr>
          <w:rFonts w:ascii="Amiri" w:hAnsi="Amiri" w:eastAsia="Amiri" w:cs="Amiri"/>
          <w:color w:val="111111"/>
          <w:sz w:val="28"/>
          <w:sz w:val="28"/>
          <w:szCs w:val="28"/>
          <w:rtl w:val="true"/>
          <w:lang w:bidi="ar-SA"/>
        </w:rPr>
        <w:t>حتّى تشتمل الثلاثة ، مع أنّه ممّا يناقش في صدقه في الثلاثة أيضا ، فلا يحسن أن يقال أنّ الثلاثة أيضا كثير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يراد به الكثرة المقيّدة بما ذكر ، وحينئذ </w:t>
      </w:r>
      <w:r>
        <w:rPr>
          <w:rStyle w:val="FootnoteAnchor"/>
          <w:rtl w:val="true"/>
        </w:rPr>
        <w:footnoteReference w:id="1347"/>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من امتناع تواطؤهم على الكذب عادة من جهة نفس الكثرة مع قطع النظر عن لوازم الخبر وعن كلّ شيء ، فمع أنّهم لا يقولون به ، لا يلائم تخصيصهم الاحتراز بما كان العلم من جهة القرائن الخارجة عن لوازم الخبر ، بل لا بدّ أن يحترزوا من القرائن اللّازمة للمخبر أيضا ، فالمتواتر حينئذ هو ما كان إفادته العلم من جهة الكثرة ؛ لا غير ، مع أنّه ليس لذلك معيار معيّن ، بل يختلف باختلاف لوازم الخبر جزما ، ولذلك لم يعيّن </w:t>
      </w:r>
    </w:p>
    <w:p>
      <w:pPr>
        <w:pStyle w:val="BookText"/>
        <w:rPr/>
      </w:pPr>
      <w:r>
        <w:rPr>
          <w:rFonts w:ascii="IRNazanin" w:hAnsi="IRNazanin" w:eastAsia="IRNazanin"/>
          <w:color w:val="111111"/>
          <w:sz w:val="28"/>
          <w:sz w:val="28"/>
          <w:szCs w:val="28"/>
          <w:rtl w:val="true"/>
          <w:lang w:bidi="fa-IR"/>
        </w:rPr>
        <w:t>الجمهور للمتواتر عددا خاصّا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اريد امتناع تواطئهم على الكذب بملاحظة خصوصيات المواضع وتفاوت لوازم الخبر ، فيرجع هذا إلى أنّ هذا الشرط لمحض إدراج قيد الكثرة ، إذ امتناع تواطئهم على الكذب بحسب لوازم الخبر ، كان مستفادا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بنفسه العلم ، فيرجع الكلام فيه إلى البحث الأوّل </w:t>
      </w:r>
      <w:r>
        <w:rPr>
          <w:rStyle w:val="FootnoteAnchor"/>
          <w:rtl w:val="true"/>
        </w:rPr>
        <w:footnoteReference w:id="1348"/>
      </w:r>
      <w:r>
        <w:rPr>
          <w:rFonts w:ascii="Amiri" w:hAnsi="Amiri" w:eastAsia="Amiri" w:cs="Amiri"/>
          <w:color w:val="111111"/>
          <w:sz w:val="28"/>
          <w:sz w:val="28"/>
          <w:szCs w:val="28"/>
          <w:rtl w:val="true"/>
          <w:lang w:bidi="ar-SA"/>
        </w:rPr>
        <w:t xml:space="preserve">، وهو أنّ التعريف مختلّ للزوم إدراج قيد الكثرة فيه ، وأنّ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 لا يغني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كلماتهم هنا في غاية الاختلاف ، فالأولى في التعريف ما ذكرنا سابقا </w:t>
      </w:r>
      <w:r>
        <w:rPr>
          <w:rStyle w:val="FootnoteAnchor"/>
          <w:rtl w:val="true"/>
        </w:rPr>
        <w:footnoteReference w:id="1349"/>
      </w:r>
      <w:r>
        <w:rPr>
          <w:rFonts w:ascii="Amiri" w:hAnsi="Amiri" w:eastAsia="Amiri" w:cs="Amiri"/>
          <w:color w:val="111111"/>
          <w:sz w:val="28"/>
          <w:sz w:val="28"/>
          <w:szCs w:val="28"/>
          <w:rtl w:val="true"/>
          <w:lang w:bidi="ar-SA"/>
        </w:rPr>
        <w:t xml:space="preserve">، والذي يحضرني من كلام القوم ما يوافق ما اخترته ، التعريف الذي اختاره السيّد عميد الدين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الاصطلاح عبارة عن خبر أقوام </w:t>
      </w:r>
      <w:r>
        <w:rPr>
          <w:rStyle w:val="FootnoteAnchor"/>
          <w:rtl w:val="true"/>
        </w:rPr>
        <w:footnoteReference w:id="1350"/>
      </w:r>
      <w:r>
        <w:rPr>
          <w:rFonts w:ascii="Amiri" w:hAnsi="Amiri" w:eastAsia="Amiri" w:cs="Amiri"/>
          <w:color w:val="111111"/>
          <w:sz w:val="28"/>
          <w:sz w:val="28"/>
          <w:szCs w:val="28"/>
          <w:rtl w:val="true"/>
          <w:lang w:bidi="ar-SA"/>
        </w:rPr>
        <w:t>بلغوا في الكثرة إلى حيث حصل العلم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كون السّامع غير عالم بما أخبر به لاستحالة تحصيل الحاصل ، وأن لا يكون قد سبق بشبهة أو تقليد إلى اعتقاد نفي موجب الخبر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الشرط ممّا اختصّ به سيّدنا المرتضى ، ووافقه المحقّقون ممّن تأخّر عنه </w:t>
      </w:r>
      <w:r>
        <w:rPr>
          <w:rStyle w:val="FootnoteAnchor"/>
          <w:rtl w:val="true"/>
        </w:rPr>
        <w:footnoteReference w:id="1352"/>
      </w:r>
      <w:r>
        <w:rPr>
          <w:rFonts w:ascii="Amiri" w:hAnsi="Amiri" w:eastAsia="Amiri" w:cs="Amiri"/>
          <w:color w:val="111111"/>
          <w:sz w:val="28"/>
          <w:sz w:val="28"/>
          <w:szCs w:val="28"/>
          <w:rtl w:val="true"/>
          <w:lang w:bidi="ar-SA"/>
        </w:rPr>
        <w:t xml:space="preserve">، وهو شرط وجيه </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يجاب عن كلّ من خالف الإسلام ومذهب الإماميّة في إنكارهم حصول العلم بما تواتر من معجزات النبيّ صلى‌الله‌عليه‌وآله والنصّ على </w:t>
      </w:r>
      <w:bookmarkStart w:id="179" w:name="pg14071_149302"/>
    </w:p>
    <w:p>
      <w:pPr>
        <w:pStyle w:val="BookText"/>
        <w:rPr/>
      </w:pPr>
      <w:bookmarkEnd w:id="179"/>
      <w:r>
        <w:rPr>
          <w:rFonts w:ascii="Amiri" w:hAnsi="Amiri" w:eastAsia="Amiri" w:cs="Amiri"/>
          <w:color w:val="111111"/>
          <w:sz w:val="28"/>
          <w:sz w:val="28"/>
          <w:szCs w:val="28"/>
          <w:rtl w:val="true"/>
          <w:lang w:bidi="ar-SA"/>
        </w:rPr>
        <w:t xml:space="preserve">الوصيّ ، وكذلك كلّ من أشرب قلبه حبّ خلاف ما اقتضاه المتواتر ، لا يمكن حصول العلم له إلّا </w:t>
      </w:r>
      <w:r>
        <w:rPr>
          <w:rStyle w:val="FootnoteAnchor"/>
          <w:rtl w:val="true"/>
        </w:rPr>
        <w:footnoteReference w:id="1354"/>
      </w:r>
      <w:r>
        <w:rPr>
          <w:rFonts w:ascii="Amiri" w:hAnsi="Amiri" w:eastAsia="Amiri" w:cs="Amiri"/>
          <w:color w:val="111111"/>
          <w:sz w:val="28"/>
          <w:sz w:val="28"/>
          <w:szCs w:val="28"/>
          <w:rtl w:val="true"/>
          <w:lang w:bidi="ar-SA"/>
        </w:rPr>
        <w:t>مع تخليته عمّا شغله عن ذلك إلّا نادرا</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495121_1738255347"/>
      <w:bookmarkStart w:id="181" w:name="_Toc66"/>
      <w:bookmarkEnd w:id="180"/>
      <w:r>
        <w:rPr>
          <w:rtl w:val="true"/>
        </w:rPr>
        <w:t xml:space="preserve">الثالث </w:t>
      </w:r>
      <w:r>
        <w:rPr>
          <w:rtl w:val="true"/>
        </w:rPr>
        <w:t>:</w:t>
      </w:r>
      <w:bookmarkEnd w:id="181"/>
    </w:p>
    <w:p>
      <w:pPr>
        <w:pStyle w:val="BookText"/>
        <w:rPr/>
      </w:pPr>
      <w:r>
        <w:rPr>
          <w:rFonts w:ascii="Amiri" w:hAnsi="Amiri" w:eastAsia="Amiri" w:cs="Amiri"/>
          <w:color w:val="111111"/>
          <w:sz w:val="28"/>
          <w:sz w:val="28"/>
          <w:szCs w:val="28"/>
          <w:rtl w:val="true"/>
          <w:lang w:bidi="ar-SA"/>
        </w:rPr>
        <w:t xml:space="preserve">اختلفوا في أقل عدد التواتر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فيه عدد ، وهو مختار الأكثرين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فالمعيار هو ما حصل العلم بسبب كثرتهم ، وهو يختلف باختلاف الموارد ، فربّ عدد يوجب القطع في موضع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الخمسة </w:t>
      </w:r>
      <w:r>
        <w:rPr>
          <w:rStyle w:val="FootnoteAnchor"/>
          <w:rtl w:val="true"/>
        </w:rPr>
        <w:footnoteReference w:id="1356"/>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وقد خصهم بذلك لحصول العلم بخبرهم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w:t>
      </w:r>
      <w:r>
        <w:rPr>
          <w:rStyle w:val="FootnoteAnchor"/>
          <w:rtl w:val="true"/>
        </w:rPr>
        <w:footnoteReference w:id="1358"/>
      </w:r>
      <w:r>
        <w:rPr>
          <w:rFonts w:ascii="Amiri" w:hAnsi="Amiri" w:eastAsia="Amiri" w:cs="Amiri"/>
          <w:color w:val="111111"/>
          <w:sz w:val="28"/>
          <w:sz w:val="28"/>
          <w:szCs w:val="28"/>
          <w:rtl w:val="true"/>
          <w:lang w:bidi="ar-SA"/>
        </w:rPr>
        <w:t xml:space="preserve">، وقيل غير ذلك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وحججهم ركيكة واهية </w:t>
      </w:r>
      <w:r>
        <w:rPr>
          <w:rStyle w:val="FootnoteAnchor"/>
          <w:rtl w:val="true"/>
        </w:rPr>
        <w:footnoteReference w:id="1360"/>
      </w:r>
      <w:r>
        <w:rPr>
          <w:rFonts w:ascii="Amiri" w:hAnsi="Amiri" w:eastAsia="Amiri" w:cs="Amiri"/>
          <w:color w:val="111111"/>
          <w:sz w:val="28"/>
          <w:sz w:val="28"/>
          <w:szCs w:val="28"/>
          <w:rtl w:val="true"/>
          <w:lang w:bidi="ar-SA"/>
        </w:rPr>
        <w:t xml:space="preserve">لا يليق بالذكر ، فلا نطيل بذكرها وذكر ما فيها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اشترط بعض الناس هنا شروطا أخر لا دليل عليها ، وفسادها أوضح من أن يحتاج إلى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شرط الإسلام والعدالة </w:t>
      </w:r>
      <w:r>
        <w:rPr>
          <w:rStyle w:val="FootnoteAnchor"/>
          <w:rtl w:val="true"/>
        </w:rPr>
        <w:footnoteReference w:id="1362"/>
      </w:r>
      <w:r>
        <w:rPr>
          <w:rFonts w:ascii="Amiri" w:hAnsi="Amiri" w:eastAsia="Amiri" w:cs="Amiri"/>
          <w:color w:val="111111"/>
          <w:sz w:val="28"/>
          <w:sz w:val="28"/>
          <w:szCs w:val="28"/>
          <w:rtl w:val="true"/>
          <w:lang w:bidi="ar-SA"/>
        </w:rPr>
        <w:t xml:space="preserve">، ومنهم من اشتراط أن لا يحويهم بلد </w:t>
      </w:r>
      <w:r>
        <w:rPr>
          <w:rStyle w:val="FootnoteAnchor"/>
          <w:rtl w:val="true"/>
        </w:rPr>
        <w:footnoteReference w:id="1363"/>
      </w:r>
      <w:r>
        <w:rPr>
          <w:rFonts w:ascii="Amiri" w:hAnsi="Amiri" w:eastAsia="Amiri" w:cs="Amiri"/>
          <w:color w:val="111111"/>
          <w:sz w:val="28"/>
          <w:sz w:val="28"/>
          <w:szCs w:val="28"/>
          <w:rtl w:val="true"/>
          <w:lang w:bidi="ar-SA"/>
        </w:rPr>
        <w:t xml:space="preserve">ليمتنع تواطئهم ، ومنهم من اشترط اختلاف النسب ، ومنهم من اشترط غير ذلك </w:t>
      </w:r>
      <w:r>
        <w:rPr>
          <w:rStyle w:val="FootnoteAnchor"/>
          <w:rtl w:val="true"/>
        </w:rPr>
        <w:footnoteReference w:id="1364"/>
      </w:r>
      <w:r>
        <w:rPr>
          <w:rFonts w:ascii="Amiri" w:hAnsi="Amiri" w:eastAsia="Amiri" w:cs="Amiri"/>
          <w:color w:val="111111"/>
          <w:sz w:val="28"/>
          <w:sz w:val="28"/>
          <w:szCs w:val="28"/>
          <w:rtl w:val="true"/>
          <w:lang w:bidi="ar-SA"/>
        </w:rPr>
        <w:t>والكلّ باطل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ونسب بعضهم </w:t>
      </w:r>
      <w:r>
        <w:rPr>
          <w:rStyle w:val="FootnoteAnchor"/>
          <w:rtl w:val="true"/>
        </w:rPr>
        <w:footnoteReference w:id="1365"/>
      </w:r>
      <w:r>
        <w:rPr>
          <w:rFonts w:ascii="Amiri" w:hAnsi="Amiri" w:eastAsia="Amiri" w:cs="Amiri"/>
          <w:color w:val="111111"/>
          <w:sz w:val="28"/>
          <w:sz w:val="28"/>
          <w:szCs w:val="28"/>
          <w:rtl w:val="true"/>
          <w:lang w:bidi="ar-SA"/>
        </w:rPr>
        <w:t>إلى الشيعة اشتراط دخول المعصوم عليه‌السلام فيهم ، وهو افتراء أو اشتباه بالإجماع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تكثّرت الأخبار في الوقائع واختلفت ، لكن اشتمل كلّ منها على معنى مشترك بينها بالتضمّن أو الالتزام ، وحصل العلم بذلك القدر المشترك بسبب كثرة الأخبار ، فيسمّى ذلك متواترا بالمعنى </w:t>
      </w:r>
      <w:r>
        <w:rPr>
          <w:rStyle w:val="FootnoteAnchor"/>
          <w:rtl w:val="true"/>
        </w:rPr>
        <w:footnoteReference w:id="1366"/>
      </w:r>
      <w:r>
        <w:rPr>
          <w:rFonts w:ascii="Amiri" w:hAnsi="Amiri" w:eastAsia="Amiri" w:cs="Amiri"/>
          <w:color w:val="111111"/>
          <w:sz w:val="28"/>
          <w:sz w:val="28"/>
          <w:szCs w:val="28"/>
          <w:rtl w:val="true"/>
          <w:lang w:bidi="ar-SA"/>
        </w:rPr>
        <w:t xml:space="preserve">، وقد مثّلوا بذلك بشجاعة عليّ عليه الصلاة والسلام ، وجود حاتم ، فقد روي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فعل في غزوة بدر كذا ، وفي أحد كذا ، وفي خيبر كذا ، وهكذا ، وكذلك عن حاتم أنّه أعطى فلانا كذا وفلانا كذا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واحد من الحكايات الأوّل يستلزم شجاعته عليه‌السلام ، وكلّ واحد من الحكايات الأخر يتضمّن جود حاتم ، لأنّ الجود المطلق جزء الجود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مسامحة ، لأنّ الجود صفة للنفس وليس من جملة الأفعال حتّى تتضمّنه ، بل هو مبدأها وعلّتها ، فذلك أيضا من باب الاستلزام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أنّ التواتر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يتواتر الأخبار باللفظ الواحد ، سواء كان ذلك اللفظ تمام الحديث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 xml:space="preserve">، على تقدير تواتره كما ادّعوه ، أو بعضه كلفظ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 لوجود تفاوت في سائر الألفاظ الواردة في تلك الأخبار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يتواتر بلفظين مترادفين أو ألفاظ مترادفة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الهرّ طاهر ، </w:t>
      </w:r>
    </w:p>
    <w:p>
      <w:pPr>
        <w:pStyle w:val="BookText"/>
        <w:rPr/>
      </w:pPr>
      <w:r>
        <w:rPr>
          <w:rFonts w:ascii="Amiri" w:hAnsi="Amiri" w:eastAsia="Amiri" w:cs="Amiri"/>
          <w:color w:val="111111"/>
          <w:sz w:val="28"/>
          <w:sz w:val="28"/>
          <w:szCs w:val="28"/>
          <w:rtl w:val="true"/>
          <w:lang w:bidi="ar-SA"/>
        </w:rPr>
        <w:t>والسنّور طاهر ، أو الهرّ نظيف والسنّور طاهر ، وهكذا ، فيكون اختلاف الأخبار باختلاف الألفاظ المترادفة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يتواتر الأخبار بدلالتها على معنى مستقلّ وإن كان دلالة بعضها بالمفهوم والأخرى بالمنطوق ، وإن اختلف ألفاظها أيضا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الماء القليل بملاقاة النجاسة الحاصلة من مثل أن يرد في بعض الأخبار أنّ الماء القليل ينجس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الأنقص من الكرّ يتنجّس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 xml:space="preserve">، بل ويتمّ ذلك على وجه فيما كان النجاسة في تلك الأخبار مختلفة كما في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تشرب سؤر الكلب إلّا أن يكون حوضا كبيرا يستسقى منه الماء</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حين سئل عن التوضّي في ماء دخله الدّجاجة التي وطأت العذرة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 الماء كثيرا قدر كرّ</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المطلوب بالنسبة إلى الماء القليل وهو انفعاله أمر مستقلّ مقصود بالذّات ، لا أنّه قدر مشترك منتزع من أمور ، فإنّ الحكم لمفهوم الماء القليل لا لخصوصيات أفراده التي يشترك فيها هذا المفهوم ، وذلك أيضا أعمّ من أن يكون الأخبار منحصرة في بيان هذا المطلب المستقلّ أو مشتملة على بيان مطلب آخر أيضا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يتواتر الأخبار بدلالة تضمّنية على شيء مع اختلافها ، بأن يكون ذلك المدلول التضمّني قدرا مشتركا بين تلك الآحاد ، مثل أن يخبر أحد أنّ زيدا </w:t>
      </w:r>
    </w:p>
    <w:p>
      <w:pPr>
        <w:pStyle w:val="BookText"/>
        <w:rPr/>
      </w:pPr>
      <w:r>
        <w:rPr>
          <w:rFonts w:ascii="Amiri" w:hAnsi="Amiri" w:eastAsia="Amiri" w:cs="Amiri"/>
          <w:color w:val="111111"/>
          <w:sz w:val="28"/>
          <w:sz w:val="28"/>
          <w:szCs w:val="28"/>
          <w:rtl w:val="true"/>
          <w:lang w:bidi="ar-SA"/>
        </w:rPr>
        <w:t>اليوم ضرب عمروا ، وآخر أنّه ضرب بكرا ، وآخر أنّه ضرب خالدا ، وهكذا إلى أن يحصل حدّ التواتر مع فرض الواقعة واحدا ، فإنّه يحصل العلم بوقوع الضرب من زيد وإن لم يحصل العلم بالمضروب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اختلفوا في كيفيّات الضّروب </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ورود الأخبار فيما تحرم عنه الزّوجة من الميراث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حرمانها في الجملة يقينيّ لكن الخلاف فيما تحرم عنه ، فالقدر المشترك هو مطلق الحرمان الموجود في ضمن كلّ واحد من الحرمانات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يتواتر الأخبار بدلالة التزامية بكون ذلك المدلول الالتزامي قدرا مشتركا بينهما ، مثل أن ينهينا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عن التوضّي عن مطلق الماء القليل إذا لاقاه العذرة ، وعن الشرب عنه إذا ولغ فيه الكلب ، وعن الاغتسال عنه إذا لاقاه الميتة ، وهكذا ، فإنّ النّهي عن الوضوء في عرف الشارع يدلّ بالالتزام على النجاسة ، وهكذا الشرب والاغتسال ، فإنّه يحصل العلم بنجاسة الماء القليل بذلك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يتكاثر الأخبار بذكر أشياء تكون ملزومات للازم ، يكون ذلك اللّازم منشأ لظهور تلك الأشياء </w:t>
      </w:r>
      <w:r>
        <w:rPr>
          <w:rStyle w:val="FootnoteAnchor"/>
          <w:rtl w:val="true"/>
        </w:rPr>
        <w:footnoteReference w:id="1374"/>
      </w:r>
      <w:r>
        <w:rPr>
          <w:rFonts w:ascii="Amiri" w:hAnsi="Amiri" w:eastAsia="Amiri" w:cs="Amiri"/>
          <w:color w:val="111111"/>
          <w:sz w:val="28"/>
          <w:sz w:val="28"/>
          <w:szCs w:val="28"/>
          <w:rtl w:val="true"/>
          <w:lang w:bidi="ar-SA"/>
        </w:rPr>
        <w:t xml:space="preserve">، مثل الأخبار الواردة في غزوات عليّ عليه‌السلام ، </w:t>
      </w:r>
    </w:p>
    <w:p>
      <w:pPr>
        <w:pStyle w:val="BookText"/>
        <w:rPr/>
      </w:pPr>
      <w:r>
        <w:rPr>
          <w:rFonts w:ascii="Amiri" w:hAnsi="Amiri" w:eastAsia="Amiri" w:cs="Amiri"/>
          <w:color w:val="111111"/>
          <w:sz w:val="28"/>
          <w:sz w:val="28"/>
          <w:szCs w:val="28"/>
          <w:rtl w:val="true"/>
          <w:lang w:bidi="ar-SA"/>
        </w:rPr>
        <w:t xml:space="preserve">وما ورد في عطايا حاتم ، وذلك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تلك الوقائع بحيث تدلّ بالالتزام على الشجاعة والسّخاوة مثل أن يذكر غزوة خيبر بالتفصيل الذي وقع ، فإنّه لا يمكن صدورها بهذا التفصيل والتطويل والمقام الطويل والكرّارية من دون الفرار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عن شجاع بطل قوي بالغ أعلى درجة الشّجاعة ، وهكذا غزوته عليه‌السلام في أحد وفي الأحزاب وغيرها ، فباجتماع هذه الدّلالات يحصل العلم بثبوت أصل الشجاعة التي هي منشأ لهذه الآثار ، وهكذا عطايا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وسابقه أنّ الدلالة في الأوّل مقصودة جزما ، والأخبار مسوقة لبيان ذلك الحكم الالتزامي ، بخلاف ما نحن فيه ، فإنّه قد لا يكون بيان الشّجاعة مقصودا أصلا ؛ وإن دلّ عليها تبعا ، فحصول العلم فيما نحن فيه ، من ملاحظة كلّ واحد من الأخبار ثمّ تلاحق كلّ منها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تلك الوقائع لا بحيث تدلّ على الشّجاعة ،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فلانا قتل في حرب كذا رجلا ،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في حرب آخر رجلا ، وهكذا ، فبعد ملاحظة المجموع ؛ يحصل العلم بأنّ مثل ذلك الاجتماع ناشئ عن ملكة نفسانية هي الشّجاعة ، وليس ذلك بمحض الاتّفاق ، أو مع الجبن أو لأجل القصاص ونحو ذلك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قصّة الجود والقدر المشترك الحاصل من تلك الوقائع على النهج السّابق </w:t>
      </w:r>
      <w:r>
        <w:rPr>
          <w:rStyle w:val="FootnoteAnchor"/>
          <w:rtl w:val="true"/>
        </w:rPr>
        <w:footnoteReference w:id="1375"/>
      </w:r>
      <w:r>
        <w:rPr>
          <w:rFonts w:ascii="Amiri" w:hAnsi="Amiri" w:eastAsia="Amiri" w:cs="Amiri"/>
          <w:color w:val="111111"/>
          <w:sz w:val="28"/>
          <w:sz w:val="28"/>
          <w:szCs w:val="28"/>
          <w:rtl w:val="true"/>
          <w:lang w:bidi="ar-SA"/>
        </w:rPr>
        <w:t xml:space="preserve">هو كلّي القتل والإعطاء وهو لا يفيد الشّجاعة ولا الجود ، ولكنّ الحاصل من ملاحظة المجموع من حيث المجموع هو الملكتان ، ولعلّ من جعل </w:t>
      </w:r>
    </w:p>
    <w:p>
      <w:pPr>
        <w:pStyle w:val="BookText"/>
        <w:rPr/>
      </w:pPr>
      <w:r>
        <w:rPr>
          <w:rFonts w:ascii="Amiri" w:hAnsi="Amiri" w:eastAsia="Amiri" w:cs="Amiri"/>
          <w:color w:val="111111"/>
          <w:sz w:val="28"/>
          <w:sz w:val="28"/>
          <w:szCs w:val="28"/>
          <w:rtl w:val="true"/>
          <w:lang w:bidi="ar-SA"/>
        </w:rPr>
        <w:t xml:space="preserve">الجود من باب الدلالة التضمّنية ، غفل عن هذا واختلط عليه الفرق بين الجود والعطاء ، ولعلّ كلام العضدي ناظر إلى هذا الوجه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قال في الحاشية اعلم أنّ المصنف استظهر من كلامه إرادة الوجه الثاني من وجهي السادس ولكن الظاهر عندي أنّ مراده اوّل وجهي السادس او انّ مراده هو الوجه الخامس ، وان مراده كونه من باب الاستلزام بأحد الوجهين واطلاقه التضمن حينئذ مسامحة ، ومراده الاستلزام فنفاه من أحاد الوقائع واثبته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مراده من السّخاوة والشّجاعة الفعل الدال عليهما لا الملكتين ، فحينئذ يكون من الوجه الرابع ولفظ التضمن المنفي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ذكرناه من حمله على أحد الوجوه الثلاثة فمعنى كلامه انّ كل واحدة من الوقائع لا تدل على الشجاعة مثلا أي تحققها بل القدر المشترك الحاصل من الجزئيّات هو ذلك أي الشجاعة المحقّقة ، والشجاعة المحققة هو المتواتر لا لأن آحادها صدق قطعا أي ليس بحيث يكون كل واقعة صدقا وإنّما يثبت الصدق وقطعيّته ذلك الخبر المتواتر بسبب العادة من حيث ملاحظة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تكلف فيه كما ترى ؛ بخلاف ما استظهره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البساتين في شرح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على بن احمد التبريزي القراجه داغي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الواقعة الواحدة لا تتضمّن السّخاوة ولا الشّجاعة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القدر المشترك الحاصل من الجزئيّات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ذلك وهو المتواتر ، لا لأنّ آحادها صدق قطعا ، بل بالعادة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فرض المقام خاليا عن وجه يدلّ على الشجاعة بالالتزام ، ومع هذا الفرض فالأمر كما ذكره من عدم دلالة كلّ واحد من الوقائع على الشّجاعة </w:t>
      </w:r>
    </w:p>
    <w:p>
      <w:pPr>
        <w:pStyle w:val="BookText"/>
        <w:rPr/>
      </w:pPr>
      <w:r>
        <w:rPr>
          <w:rFonts w:ascii="Amiri" w:hAnsi="Amiri" w:eastAsia="Amiri" w:cs="Amiri"/>
          <w:color w:val="111111"/>
          <w:sz w:val="28"/>
          <w:sz w:val="28"/>
          <w:szCs w:val="28"/>
          <w:rtl w:val="true"/>
          <w:lang w:bidi="ar-SA"/>
        </w:rPr>
        <w:t xml:space="preserve">والسخاوة ،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القدر المشترك الحاصل من الجزئيات ، يعني الحاصل من ملاحظة مجموع الجزئيات ، لا كلّ واحد منها هو الشّجاعة والسّخاوة لإفادتها بكثرتها الملكة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آحادها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المتواتر في سائر الأقسام لا ينفكّ عن صدق الآحاد بناء على المشهور في معنى الصّدق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جهة الدلالة الالتزامية الحاصلة مع كلّ منها أو التضمّنية الحاصلة مع كلّ منها كما في الصّورتين السّابقتين </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ذلك </w:t>
      </w:r>
      <w:r>
        <w:rPr>
          <w:rStyle w:val="FootnoteAnchor"/>
          <w:rtl w:val="true"/>
        </w:rPr>
        <w:footnoteReference w:id="1378"/>
      </w:r>
      <w:r>
        <w:rPr>
          <w:rFonts w:ascii="Amiri" w:hAnsi="Amiri" w:eastAsia="Amiri" w:cs="Amiri"/>
          <w:color w:val="111111"/>
          <w:sz w:val="28"/>
          <w:sz w:val="28"/>
          <w:szCs w:val="28"/>
          <w:rtl w:val="true"/>
          <w:lang w:bidi="ar-SA"/>
        </w:rPr>
        <w:t>فلا يستلزم صدق واحد من الوقائع فضلا عن جميعها ، ولكن بالعادة يحصل العلم بالقدر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هو قدر مشترك في كونه لازما لها ، وهو الشّجاعة والسّخاوة من سماع تلك الواقعات ، وإن لم يحكم العقل بصدق واحد من الواقعات بعنوان القطع ، إذ لا مشترك بينها في الدلالة حينئذ ، والقدر المشترك إنّما يحصل من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ويظهر من العضدي في هذا المقام أنّه حصر المتواتر المعنوي في الوجه الثاني </w:t>
      </w:r>
      <w:r>
        <w:rPr>
          <w:rStyle w:val="FootnoteAnchor"/>
          <w:rtl w:val="true"/>
        </w:rPr>
        <w:footnoteReference w:id="1379"/>
      </w:r>
      <w:r>
        <w:rPr>
          <w:rFonts w:ascii="Amiri" w:hAnsi="Amiri" w:eastAsia="Amiri" w:cs="Amiri"/>
          <w:color w:val="111111"/>
          <w:sz w:val="28"/>
          <w:sz w:val="28"/>
          <w:szCs w:val="28"/>
          <w:rtl w:val="true"/>
          <w:lang w:bidi="ar-SA"/>
        </w:rPr>
        <w:t>من الوجهين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ومقتضاه انّه يحصل بمجموع الآحاد الدّلالة على القدر المشترك بعنوان القطع ، لا أنّ الدلالة كانت حاصلة في كلّ واحد من الآحاد ولكن القطع حصل بمجموعها ، </w:t>
      </w:r>
    </w:p>
    <w:p>
      <w:pPr>
        <w:pStyle w:val="BookText"/>
        <w:rPr/>
      </w:pPr>
      <w:r>
        <w:rPr>
          <w:rFonts w:ascii="Amiri" w:hAnsi="Amiri" w:eastAsia="Amiri" w:cs="Amiri"/>
          <w:color w:val="111111"/>
          <w:sz w:val="28"/>
          <w:sz w:val="28"/>
          <w:szCs w:val="28"/>
          <w:rtl w:val="true"/>
          <w:lang w:bidi="ar-SA"/>
        </w:rPr>
        <w:t xml:space="preserve">وإلّا فكان اللّازم عليه أن ينبّه على أنّ ذلك مناقشة في المثال ، مع أنّ المثال الذي </w:t>
      </w:r>
      <w:r>
        <w:rPr>
          <w:rStyle w:val="FootnoteAnchor"/>
          <w:rtl w:val="true"/>
        </w:rPr>
        <w:footnoteReference w:id="1380"/>
      </w:r>
      <w:r>
        <w:rPr>
          <w:rFonts w:ascii="Amiri" w:hAnsi="Amiri" w:eastAsia="Amiri" w:cs="Amiri"/>
          <w:color w:val="111111"/>
          <w:sz w:val="28"/>
          <w:sz w:val="28"/>
          <w:szCs w:val="28"/>
          <w:rtl w:val="true"/>
          <w:lang w:bidi="ar-SA"/>
        </w:rPr>
        <w:t>ذكروه قابل لكلا الوجهين كما عرفت ، وإدخال الوجه الأوّل تحت المتواتر اللّفظي وكذا بعض ما تقدّمه من الأقسام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هذا فجميع أقسام المتواتر يجمعها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على آحاد الأخبار على شيء يوجب كثرتها مع دلالتها على ذلك الشيء ، القطع بحصول ذلك الشيء ، وذلك هو ما عدا الوجه الثاني من القسم السّادس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من مجموع آحاد متكثّرة الدلالة على شيء وكانت مقطوعا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يمثّل للوجه الثاني بالأخبار التي وردت في نجاسة الماء القليل بالخصوصيات المعيّنة من جهة النجاسة ومن جهة الماء معا ، فإنّ بملاحظة مجموعها يمكن دعوى القطع بأنّها تدلّ على نجاسة مطلق الماء القليل ، بل الظاهر أنّ الحكم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الحكم بالنجاسات المخصوصة كان واردا </w:t>
      </w:r>
      <w:r>
        <w:rPr>
          <w:rStyle w:val="FootnoteAnchor"/>
          <w:rtl w:val="true"/>
        </w:rPr>
        <w:footnoteReference w:id="1381"/>
      </w:r>
      <w:r>
        <w:rPr>
          <w:rFonts w:ascii="Amiri" w:hAnsi="Amiri" w:eastAsia="Amiri" w:cs="Amiri"/>
          <w:color w:val="111111"/>
          <w:sz w:val="28"/>
          <w:sz w:val="28"/>
          <w:szCs w:val="28"/>
          <w:rtl w:val="true"/>
          <w:lang w:bidi="ar-SA"/>
        </w:rPr>
        <w:t>في مطلق الماء القليل كما هو مضمون بعض الأخبار ، فإنّ عموم الموضوع لا ينفع مع خصوص الحكم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 فاعلم أنّ ما ذكروه في تعريف التواتر من اشتراط كونه منوطا بالحسّ </w:t>
      </w:r>
      <w:r>
        <w:rPr>
          <w:rStyle w:val="FootnoteAnchor"/>
          <w:rtl w:val="true"/>
        </w:rPr>
        <w:footnoteReference w:id="1382"/>
      </w:r>
      <w:r>
        <w:rPr>
          <w:rFonts w:ascii="Amiri" w:hAnsi="Amiri" w:eastAsia="Amiri" w:cs="Amiri"/>
          <w:color w:val="111111"/>
          <w:sz w:val="28"/>
          <w:sz w:val="28"/>
          <w:szCs w:val="28"/>
          <w:rtl w:val="true"/>
          <w:lang w:bidi="ar-SA"/>
        </w:rPr>
        <w:t xml:space="preserve">، فإن أرادوا إدراج المشترك المعنوي في التعريف ، فلا بدّ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المتواتر هو ما يكون نقل المخبرين منوطا بالحسّ </w:t>
      </w:r>
      <w:r>
        <w:rPr>
          <w:rStyle w:val="FootnoteAnchor"/>
          <w:rtl w:val="true"/>
        </w:rPr>
        <w:footnoteReference w:id="1383"/>
      </w:r>
      <w:r>
        <w:rPr>
          <w:rFonts w:ascii="Amiri" w:hAnsi="Amiri" w:eastAsia="Amiri" w:cs="Amiri"/>
          <w:color w:val="111111"/>
          <w:sz w:val="28"/>
          <w:sz w:val="28"/>
          <w:szCs w:val="28"/>
          <w:rtl w:val="true"/>
          <w:lang w:bidi="ar-SA"/>
        </w:rPr>
        <w:t xml:space="preserve">وموجبا بنفسه العلم بذلك </w:t>
      </w:r>
    </w:p>
    <w:p>
      <w:pPr>
        <w:pStyle w:val="BookText"/>
        <w:rPr/>
      </w:pPr>
      <w:r>
        <w:rPr>
          <w:rFonts w:ascii="IRNazanin" w:hAnsi="IRNazanin" w:eastAsia="IRNazanin"/>
          <w:color w:val="111111"/>
          <w:sz w:val="28"/>
          <w:sz w:val="28"/>
          <w:szCs w:val="28"/>
          <w:rtl w:val="true"/>
          <w:lang w:bidi="fa-IR"/>
        </w:rPr>
        <w:t xml:space="preserve">المحسوس </w:t>
      </w:r>
      <w:r>
        <w:rPr>
          <w:rStyle w:val="FootnoteAnchor"/>
          <w:rtl w:val="true"/>
        </w:rPr>
        <w:footnoteReference w:id="1384"/>
      </w:r>
      <w:r>
        <w:rPr>
          <w:rFonts w:ascii="Amiri" w:hAnsi="Amiri" w:eastAsia="Amiri" w:cs="Amiri"/>
          <w:color w:val="111111"/>
          <w:sz w:val="28"/>
          <w:sz w:val="28"/>
          <w:szCs w:val="28"/>
          <w:rtl w:val="true"/>
          <w:lang w:bidi="ar-SA"/>
        </w:rPr>
        <w:t xml:space="preserve">أو بالقدر المشترك </w:t>
      </w:r>
      <w:r>
        <w:rPr>
          <w:rStyle w:val="FootnoteAnchor"/>
          <w:rtl w:val="true"/>
        </w:rPr>
        <w:footnoteReference w:id="1385"/>
      </w:r>
      <w:r>
        <w:rPr>
          <w:rFonts w:ascii="Amiri" w:hAnsi="Amiri" w:eastAsia="Amiri" w:cs="Amiri"/>
          <w:color w:val="111111"/>
          <w:sz w:val="28"/>
          <w:sz w:val="28"/>
          <w:szCs w:val="28"/>
          <w:rtl w:val="true"/>
          <w:lang w:bidi="ar-SA"/>
        </w:rPr>
        <w:t>بين الآحاد الموجود في ضمنها الذي هو غير محسوس في نفسه ، وإن عرض له المحسوسيّة بسبب وجوده في ضمن الفرد أو يلازمه ، سواء كان فهم اللزوم من جهة كلّ واحد من الآحاد أو من مجموعها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يندفع الإشكال الذي أورده المحقّق البهائي رحمه‌الله على الإجماع المنقول بالخبر المتواتر كما أشرنا سابقا ، فيكون هذا القسم من الخبر المتواتر ، والإجماع المتواتر من قبيل أصل الإجماع ، وفهم اتّفاق آراء الكلّ ومطابقة آرائهم لأقوالهم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هناك الأقوال محسوسة ومطابقة الآراء مدركة بالعقل ، فكذلك في الإجماع المتواتر ، والخبر المتواتر معنى بالمعنى الأخير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في الوجه الأوّل من الوجهين </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بحصول فرد محسوس من الأفراد مع العلم بمقارنتها مع لازمها الذي دلّ عليه كلّ واحد من الآحاد ، يحصل للسّامع وكذلك فيما قبله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bookmarkStart w:id="182" w:name="pg14071_149321"/>
    </w:p>
    <w:p>
      <w:pPr>
        <w:pStyle w:val="Heading5"/>
        <w:numPr>
          <w:ilvl w:val="4"/>
          <w:numId w:val="1"/>
        </w:numPr>
        <w:rPr/>
      </w:pPr>
      <w:bookmarkStart w:id="183" w:name="__RefHeading___Toc495123_1738255347"/>
      <w:bookmarkStart w:id="184" w:name="_Toc67"/>
      <w:bookmarkEnd w:id="182"/>
      <w:bookmarkEnd w:id="183"/>
      <w:r>
        <w:rPr>
          <w:rtl w:val="true"/>
        </w:rPr>
        <w:t>قانون</w:t>
      </w:r>
      <w:bookmarkEnd w:id="184"/>
    </w:p>
    <w:p>
      <w:pPr>
        <w:pStyle w:val="BookText"/>
        <w:rPr/>
      </w:pPr>
      <w:r>
        <w:rPr>
          <w:rFonts w:ascii="Amiri" w:hAnsi="Amiri" w:eastAsia="Amiri" w:cs="Amiri"/>
          <w:color w:val="111111"/>
          <w:sz w:val="28"/>
          <w:sz w:val="28"/>
          <w:szCs w:val="28"/>
          <w:rtl w:val="true"/>
          <w:lang w:bidi="ar-SA"/>
        </w:rPr>
        <w:t xml:space="preserve">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ينته إلى حدّ التواتر ، كثرت رواته أم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الظنّ ، ويبطل عكسه بخبر لا يفيد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نقلته على ثلاثة ، كذا ذكره ابن الحاجب </w:t>
      </w:r>
      <w:r>
        <w:rPr>
          <w:rStyle w:val="FootnoteAnchor"/>
          <w:rtl w:val="true"/>
        </w:rPr>
        <w:footnoteReference w:id="1389"/>
      </w:r>
      <w:r>
        <w:rPr>
          <w:rFonts w:ascii="Amiri" w:hAnsi="Amiri" w:eastAsia="Amiri" w:cs="Amiri"/>
          <w:color w:val="111111"/>
          <w:sz w:val="28"/>
          <w:sz w:val="28"/>
          <w:szCs w:val="28"/>
          <w:rtl w:val="true"/>
          <w:lang w:bidi="ar-SA"/>
        </w:rPr>
        <w:t>، وقرّره العضدي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التفتازاني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خبر لا يفيد العلم بنفسه سواء لم يفد العلم أصلا أو أفاد بالقرائن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واسطة بين الخبر المتواتر وخبر الواحد ، فالمستفيض نوع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أنّهم عرّفوا المتواتر بأنّه خبر جماعة يفيد بنفسه العلم ، واحترزوا بالتقييد بنفسه عمّا لو حصل العلم من القرائن الخارجة عمّا لا ينفكّ الخبر عنه عادة ؛ كشقّ الثوب والصّراخ والجنازة في المثال الآتي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مدخليّة القرائن الدّاخلة في حصول العلم لا تضرّ بكونه متواترا وإن كان للكثرة أيضا مدخلية في حصول العلم ، فإذا كان خبر الواحد بقرينة المقابلة هو ما لم ينته إلى حدّ التواتر ، يعني لم يكن ممّا حصل العلم به من جهة الكثرة ، فيكون له فردان ، فرد لا يثبت به العلم أصلا ، وفرد لا يثبت به العلم من جهة الكثرة ، وإن حصل من جهة القرائن الدّاخلة أو الخارجة ، إذ لم يقم دليل على امتناع حصول العلم بخبر الواحد بملاحظة القرائن الداخلة كما سنذكره ، أو الخارجة كما هو مختار الأكثر ، فعلى هذا ، فللخبر الواحد أقسام كثيرة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القطع من جهة القرائن الدّاخلة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القطع من جهة القرائن الخارجة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يفيده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فالمستفيض يمكن دخوله في كلّ من القسمين </w:t>
      </w:r>
      <w:r>
        <w:rPr>
          <w:rStyle w:val="FootnoteAnchor"/>
          <w:rtl w:val="true"/>
        </w:rPr>
        <w:footnoteReference w:id="1390"/>
      </w:r>
      <w:r>
        <w:rPr>
          <w:rFonts w:ascii="Amiri" w:hAnsi="Amiri" w:eastAsia="Amiri" w:cs="Amiri"/>
          <w:color w:val="111111"/>
          <w:sz w:val="28"/>
          <w:sz w:val="28"/>
          <w:szCs w:val="28"/>
          <w:rtl w:val="true"/>
          <w:lang w:bidi="ar-SA"/>
        </w:rPr>
        <w:t>؛ فيكون قسما ثالثا ، ولا مانع من تداخل الأقسام وهذا هو ظاهر ابن الحاجب والعضدي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يبلغ الكثرة إلى حيث يكون له في العرف والعادة مدخليّة في الامتناع من التواطؤ على الكذب مثل الثلاثة والأربعة والخمسة وإن حصل العلم من جهة القرائن الدّاخلة ، فهو مستفيض قطعي ، وإن زاد على المذكورات بحيث يمتنع التواطؤ على الكذب بمثل هذا العدد في بعض الأوقات ، ولكن لم يحصل فيما نحن فيه ، فهذا مستفيض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إلحاق الأوّل بالمتواتر ، على وجه مرّ الإشارة إليه من القول بكون خبر الثلاثة إن كان قطعيّا متواترا ، وإلحاق الثاني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جعلهما قسمين من خبر الواحد على ما بيّنا من جعل خبر الواحد أعمّ من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كلام القوم هنا غير محرّر ، ويرجع النزاع إلى أنّ خبر الواحد الخالي عن القرائن الزّائدة هل يفيد العلم أم لا؟ وعلى الأوّل فهل هو مطّرد أم لا؟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فهل يفيد العلم مع القرائن الزّائدة أم لا؟ فهناك أقوال أربعة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واعلم أنّ القول بإفادة العلم مع قطع النظر عن القرائن الداخلة والخارجة في خبر غير العدل لم يعهد من أحد منهم ، وكذلك اشتراط العدالة في الخبر المحفوف بالقرائن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نزاعهم في غير المحفوف بالقرائن الخارجية مخصوص بخبر العدل ، وفيه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فلنقدّم الكلام في خبر العدل الخالي عن القرائن الخارجية ، فالمشهور عدم إفادته العلم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أحد من العامّة إلى أنّه يفيد العلم مطّردا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قوم إلى أنّه يفيده غير مطّرد ، وهذا أظهر ، لأنّا كثيرا ما نجد بالوجدان حصول العلم من خبر العدل الواحد بملاحظة القرائن اللّازمة للخبر التي لا ينفكّ عنها عادة ، وإن لم يكن هناك قرينة خارجة ، إذ قد عرفت أنّ اعتبار القرائن الدّاخلة لم يخرج عن تعريف الخبر الواحد ، ولكن ذلك لا يطّرد كما هو مشاهد بالوجدان ، بل لا يبعد القول بحصول ذلك في خبر غير العدل أيضا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استدلّ به القائل بالاطّراد في خبر العدل من أنّه لو لم يفد العلم لما وجب </w:t>
      </w:r>
    </w:p>
    <w:p>
      <w:pPr>
        <w:pStyle w:val="BookText"/>
        <w:rPr/>
      </w:pPr>
      <w:r>
        <w:rPr>
          <w:rFonts w:ascii="Amiri" w:hAnsi="Amiri" w:eastAsia="Amiri" w:cs="Amiri"/>
          <w:color w:val="111111"/>
          <w:sz w:val="28"/>
          <w:sz w:val="28"/>
          <w:szCs w:val="28"/>
          <w:rtl w:val="true"/>
          <w:lang w:bidi="ar-SA"/>
        </w:rPr>
        <w:t xml:space="preserve">العمل به ، بل لم يجز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 xml:space="preserve">. ) </w:t>
      </w:r>
      <w:r>
        <w:rPr>
          <w:rStyle w:val="FootnoteAnchor"/>
          <w:rtl w:val="true"/>
        </w:rPr>
        <w:footnoteReference w:id="1393"/>
      </w:r>
      <w:r>
        <w:rPr>
          <w:rFonts w:ascii="Amiri" w:hAnsi="Amiri" w:eastAsia="Amiri" w:cs="Amiri"/>
          <w:color w:val="111111"/>
          <w:sz w:val="28"/>
          <w:sz w:val="28"/>
          <w:szCs w:val="28"/>
          <w:rtl w:val="true"/>
          <w:lang w:bidi="ar-SA"/>
        </w:rPr>
        <w:t>والتالي باطل للإجماع ، فالمقدّم مثله ، فهو باطل ، لأنّ الإجماع إنّما هو الباعث على العمل بالظنّ وهو قاطع ، ولمنع تعلّق النّهي بالعمل بالظنّ في الفروع ، وإنّما هو في الأصول كما مرّ وسيجيء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الجمهور بوجوه ثلاثة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حصل بلا قرينة ، يعني خارجية ، لكان عاديّا ، إذ لا علّية عندنا </w:t>
      </w:r>
      <w:r>
        <w:rPr>
          <w:rStyle w:val="FootnoteAnchor"/>
          <w:rtl w:val="true"/>
        </w:rPr>
        <w:footnoteReference w:id="1395"/>
      </w:r>
      <w:r>
        <w:rPr>
          <w:rFonts w:ascii="Amiri" w:hAnsi="Amiri" w:eastAsia="Amiri" w:cs="Amiri"/>
          <w:color w:val="111111"/>
          <w:sz w:val="28"/>
          <w:sz w:val="28"/>
          <w:szCs w:val="28"/>
          <w:rtl w:val="true"/>
          <w:lang w:bidi="ar-SA"/>
        </w:rPr>
        <w:t>ولا ترتّب إلّا بإجراء الله عادته بخلق شيء عقيب شيء آخر ، ولو كان عاديّا لاطّرد كالخبر المتواتر ، وانتفاء اللّازم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حصل العلم به لأدّى إلى تناقض المعلومين إذا أخبر عدلان بأمرين متناقضين ، فإنّ ذلك جائز بالضّرورة ، بل واقع ، واللّازم باطل ، لأنّ المعلومين واقعان في الواقع ، وإلّا لكان العلم جهلا ، فيلزم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العلم به ؛ لوجب القطع بتخطئة من يخالفه بالاجتهاد ، وهو خلاف الإجماع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بطلان التالي إن أراد أنّه لا يفيد القطع إذا فرض صورة اخرى مثله ، إذ نحن نقول في الصورة التي فرضنا كون خبر الواحد مفيدا للعلم من جهة القرائن الداخلة ، أنّه إذا فرض مثل هذا الخبر في موضع آخر لم يتفاوت فيه </w:t>
      </w:r>
    </w:p>
    <w:p>
      <w:pPr>
        <w:pStyle w:val="BookText"/>
        <w:rPr/>
      </w:pPr>
      <w:r>
        <w:rPr>
          <w:rFonts w:ascii="Amiri" w:hAnsi="Amiri" w:eastAsia="Amiri" w:cs="Amiri"/>
          <w:color w:val="111111"/>
          <w:sz w:val="28"/>
          <w:sz w:val="28"/>
          <w:szCs w:val="28"/>
          <w:rtl w:val="true"/>
          <w:lang w:bidi="ar-SA"/>
        </w:rPr>
        <w:t xml:space="preserve">القرائن المذكورة أيضا ، يفيد العلم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أراد من عدم الاطّراد عدم الإفادة في مثل ذلك الموضوع أيضا ، فهو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في جميع أفراد خبر الواحد ، فلا يضرّنا كالمتواتر ، فإنّه أيضا يختلف باختلاف الموارد كما صرّحوا به ، فكلّ ما أرادوا من الاطّراد وجريان العادة في المتواتر ، فنريد نظيره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على هذا الدليل </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دعوى الملازمة لغو ، إذ لو كان عقليّا لثبت الاطّراد بالطريق الأولى ، وإرادة نفي كون ذلك على سبيل الاتّفاق من ذلك ، يأباه التعليل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علّيّة ولا 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الدّليل من الأشاعرة ، وهم لمّا جعلوا عدم العلّية والترتّب العقلي مفروغا عنه ، فغرضهم أنّ الأمر هنا منحصر في كون الترتّب عاديا وكونه بسبب جريان عادة الله به ، ومقتضاه الدّوام ، فلا يكون من باب محض الاتّفاق ، ولا ينافيه التعليل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عليّة ولا 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الحصر بالنسبة إلى محض الاتّفاق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إنّما ينهض على القائل بالاطّراد ، ونحن لا نقول به في كلّ خبر عدل ، فنمنع لزوم حصول العلم بالمتناقضين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الفرض غير متحقّق كما مرّ نظيره في شبه السومناتيّة في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انّ أحدا ادّعى حصول العلم بخبر بسبب القرائن الداخلة ، وآخر بنقيضه ، ظهر أنّ أحدهما أخطأ في دعوى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ادّعى أوّلا حصول العلم بخبر ، ثمّ ظهر له العلم بنقيضه بخبر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جائز بالضّرورة ، بل واقع إن أراد مجرّد صدور خبر عدلين في طرفي النقيض ، فهو كذلك ، لكنّا لا نقول بحصول العلم منهما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أراد حصول العلم </w:t>
      </w:r>
      <w:r>
        <w:rPr>
          <w:rStyle w:val="FootnoteAnchor"/>
          <w:rtl w:val="true"/>
        </w:rPr>
        <w:footnoteReference w:id="1399"/>
      </w:r>
      <w:r>
        <w:rPr>
          <w:rFonts w:ascii="Amiri" w:hAnsi="Amiri" w:eastAsia="Amiri" w:cs="Amiri"/>
          <w:color w:val="111111"/>
          <w:sz w:val="28"/>
          <w:sz w:val="28"/>
          <w:szCs w:val="28"/>
          <w:rtl w:val="true"/>
          <w:lang w:bidi="ar-SA"/>
        </w:rPr>
        <w:t>بشيء لأحد من خبر بسبب القرائن الداخلة ، ولآخر بنقيضه ، فهو جائز الوقوع ، لكنّ ذلك كاشف عن الخطأ في دعوى العلم ، ونظيره في البراهين غير محصور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ما لو حصل العلم به </w:t>
      </w:r>
      <w:r>
        <w:rPr>
          <w:rStyle w:val="FootnoteAnchor"/>
          <w:rtl w:val="true"/>
        </w:rPr>
        <w:footnoteReference w:id="1400"/>
      </w:r>
      <w:r>
        <w:rPr>
          <w:rFonts w:ascii="Amiri" w:hAnsi="Amiri" w:eastAsia="Amiri" w:cs="Amiri"/>
          <w:color w:val="111111"/>
          <w:sz w:val="28"/>
          <w:sz w:val="28"/>
          <w:szCs w:val="28"/>
          <w:rtl w:val="true"/>
          <w:lang w:bidi="ar-SA"/>
        </w:rPr>
        <w:t>للمخالف بالاجتهاد أيضا ، فلا ريب أنّ المخالف له مخطئ جزما ، ودعوى الإجماع على خلافه باطل قطعا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ما لو لم يحصل العلم به </w:t>
      </w:r>
      <w:r>
        <w:rPr>
          <w:rStyle w:val="FootnoteAnchor"/>
          <w:rtl w:val="true"/>
        </w:rPr>
        <w:footnoteReference w:id="1401"/>
      </w:r>
      <w:r>
        <w:rPr>
          <w:rFonts w:ascii="Amiri" w:hAnsi="Amiri" w:eastAsia="Amiri" w:cs="Amiri"/>
          <w:color w:val="111111"/>
          <w:sz w:val="28"/>
          <w:sz w:val="28"/>
          <w:szCs w:val="28"/>
          <w:rtl w:val="true"/>
          <w:lang w:bidi="ar-SA"/>
        </w:rPr>
        <w:t xml:space="preserve">للمخالف ، فهو كما ذكره من جواز المخالفة ، ولا غائلة فيه ، إذ ربّما </w:t>
      </w:r>
      <w:r>
        <w:rPr>
          <w:rStyle w:val="FootnoteAnchor"/>
          <w:rtl w:val="true"/>
        </w:rPr>
        <w:footnoteReference w:id="1402"/>
      </w:r>
      <w:r>
        <w:rPr>
          <w:rFonts w:ascii="Amiri" w:hAnsi="Amiri" w:eastAsia="Amiri" w:cs="Amiri"/>
          <w:color w:val="111111"/>
          <w:sz w:val="28"/>
          <w:sz w:val="28"/>
          <w:szCs w:val="28"/>
          <w:rtl w:val="true"/>
          <w:lang w:bidi="ar-SA"/>
        </w:rPr>
        <w:t xml:space="preserve">يحصل لأحد العلم بشيء ولا يحصل لآخر ، </w:t>
      </w:r>
    </w:p>
    <w:p>
      <w:pPr>
        <w:pStyle w:val="BookText"/>
        <w:rPr/>
      </w:pPr>
      <w:r>
        <w:rPr>
          <w:rFonts w:ascii="Amiri" w:hAnsi="Amiri" w:eastAsia="Amiri" w:cs="Amiri"/>
          <w:color w:val="111111"/>
          <w:sz w:val="28"/>
          <w:sz w:val="28"/>
          <w:szCs w:val="28"/>
          <w:rtl w:val="true"/>
          <w:lang w:bidi="ar-SA"/>
        </w:rPr>
        <w:t>وكلّ مكلّف بما 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الدليلين الأخيرين في مقابل من يقول بالاطّراد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الخبر المحفوف بالقرائن الخارجة ، فالأظهر فيه أنّه قد يفيد القطع ، وذهب قوم إلى المنع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أخبر ملك بموت ولد له مشرف على الموت ، وانضمّ إليه القرائن من صراخ وجنازة وخروج المخدّرات على حالة منكرة غير معتادة من دون موت مثله ، وكذلك الملك وأكابر مملكته ، فإنّه يحصل بذلك العلم بصحّة الخبر ويعلم به موت الولد وجدانا ضروريا لا يعتريه شكّ وريب ، بل وقد يحصل من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 عليه من الشّكوك ومنع العلم ، إذ لعلّه غشي عليه فأفاق أو مات ولد آخر له فجأة واعتقده المخبر أنّه المشرف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احتمالات عقلية لا تنافي العلوم العادية ، مع أنّا نفرض الواقعة بحيث لا يبقى هذه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العلم لعلّه من جهة القرائن من دون مدخليّة الخبر ، كالعلم بخجل ووجل الوجل ، وارتضاع الطفل اللّبن من الثدي ونحوها ، فإنّ القرينة قد تستقلّ بإفادة العلم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حصل بالخبر بضميمة القرائن ، إذ لو لا الخبر لجوّز موت شخص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 أنّ إمكان حصول العلم بديهيّ لا يقبل 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المنكرون بالوجوه الثلاثة المتقدّمة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عنها يظهر ممّا ذكرنا ثمّة ، فلا نعيدها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بعضهم ذكر أنّ الخبر المحفوف بالقرائن القطعيّة لم يقع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حصوله للحاضرين المستمعين من الصّحابة والتابعين والمقاربين عهد الأئمّة عليهم‌السلام ممّا لا يمكن إنكاره ، وكذلك المحفوف بالقرائن الداخلة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أمثال زماننا ، فلم نقف عليه في أخبارنا ، وما ذكره بعض أصحابنا كالشيخ رحمه‌الله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استبصاره</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من القرائن المفيدة للقطع مثل موافقة الكتاب والسنّة والإجماع والعقل ، فهو ليس ممّا يفيد القطع ، إذ غاية الأمر موافقة الخبر لأحد المذكورات ، وهو لا يفيد قطعيّة صدوره ولا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كون مضمونه قطعيّا بسبب أخذ من تلك القرائن ، فهو الخبر المقرون بالقرينة الدالّة على صحّة مضمون الخبر ، لا صحّة نفس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المسألة إنّما هو الثاني لا الأوّل ، فأخبارنا اليوم كلّها ظنّية إلّا ما ندر ، ومخالفة الأخباريين في ذلك ودعواهم قطعيّتها ممّا لا يصغى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نتكلّم في ذلك بعض الكلام في باب الاجتهاد والتقليد</w:t>
      </w:r>
      <w:r>
        <w:rPr>
          <w:rFonts w:eastAsia="Amiri" w:cs="Amiri" w:ascii="Amiri" w:hAnsi="Amiri"/>
          <w:color w:val="111111"/>
          <w:sz w:val="28"/>
          <w:szCs w:val="28"/>
          <w:rtl w:val="true"/>
          <w:lang w:bidi="ar-SA"/>
        </w:rPr>
        <w:t xml:space="preserve">. </w:t>
      </w:r>
      <w:bookmarkStart w:id="185" w:name="pg14071_149337"/>
    </w:p>
    <w:p>
      <w:pPr>
        <w:pStyle w:val="Heading5"/>
        <w:numPr>
          <w:ilvl w:val="4"/>
          <w:numId w:val="1"/>
        </w:numPr>
        <w:rPr/>
      </w:pPr>
      <w:bookmarkStart w:id="186" w:name="__RefHeading___Toc495125_1738255347"/>
      <w:bookmarkStart w:id="187" w:name="_Toc68"/>
      <w:bookmarkEnd w:id="185"/>
      <w:bookmarkEnd w:id="186"/>
      <w:r>
        <w:rPr>
          <w:rtl w:val="true"/>
        </w:rPr>
        <w:t>قانون</w:t>
      </w:r>
      <w:bookmarkEnd w:id="187"/>
    </w:p>
    <w:p>
      <w:pPr>
        <w:pStyle w:val="Heading6"/>
        <w:numPr>
          <w:ilvl w:val="5"/>
          <w:numId w:val="1"/>
        </w:numPr>
        <w:rPr/>
      </w:pPr>
      <w:bookmarkStart w:id="188" w:name="__RefHeading___Toc495127_1738255347"/>
      <w:bookmarkStart w:id="189" w:name="_Toc69"/>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 xml:space="preserve">اختلفوا في حجّية خبر الواحد العاري عن القرائن المفيدة للعلم بصدق نفسه وبصدق مضمونه </w:t>
      </w:r>
      <w:r>
        <w:rPr>
          <w:rStyle w:val="FootnoteAnchor"/>
          <w:rtl w:val="true"/>
        </w:rPr>
        <w:footnoteReference w:id="1406"/>
      </w:r>
      <w:r>
        <w:rPr>
          <w:rFonts w:ascii="Amiri" w:hAnsi="Amiri" w:eastAsia="Amiri" w:cs="Amiri"/>
          <w:color w:val="111111"/>
          <w:sz w:val="28"/>
          <w:sz w:val="28"/>
          <w:szCs w:val="28"/>
          <w:rtl w:val="true"/>
          <w:lang w:bidi="ar-SA"/>
        </w:rPr>
        <w:t>وإن كان نصّا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قيّدنا بذلك لأنّه قد يكون مضمونه قطعيّا باعتبار موافقته لدليل قطعيّ ، ولم يتعرّضوا هنا للخلاف فيه لعدم فائدة مهمّة في الخلاف من حيث حجّيته في نفسه مع ثبوت قطعيّة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هو بنفسه قطعيّا لكن يكون مضمونه ظنّيا ، باعتبار كون دلالته ظاهرا لا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وخلافهم في هذا المقام أيضا ليس فيه ، بل النزاع في جواز العمل به هو النزاع في جواز العمل بالظنّ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الذي كان صدقه قطعيّا بنفسه وبمضمونه ؛ فخروجه عن البحث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فانحصر البحث فيما لم يحصل العلم به من حيث السند والمضمون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 أنّه يجوز التعبّد به عقلا </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يلزم من تجويز العمل به محال أو </w:t>
      </w:r>
    </w:p>
    <w:p>
      <w:pPr>
        <w:pStyle w:val="BookText"/>
        <w:rPr/>
      </w:pPr>
      <w:r>
        <w:rPr>
          <w:rFonts w:ascii="Amiri" w:hAnsi="Amiri" w:eastAsia="Amiri" w:cs="Amiri"/>
          <w:color w:val="111111"/>
          <w:sz w:val="28"/>
          <w:sz w:val="28"/>
          <w:szCs w:val="28"/>
          <w:rtl w:val="true"/>
          <w:lang w:bidi="ar-SA"/>
        </w:rPr>
        <w:t xml:space="preserve">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من أصحابنا ، إلّا ما نقل عن ابن قبّة </w:t>
      </w:r>
      <w:r>
        <w:rPr>
          <w:rStyle w:val="FootnoteAnchor"/>
          <w:rtl w:val="true"/>
        </w:rPr>
        <w:footnoteReference w:id="1408"/>
      </w:r>
      <w:r>
        <w:rPr>
          <w:rFonts w:ascii="Amiri" w:hAnsi="Amiri" w:eastAsia="Amiri" w:cs="Amiri"/>
          <w:color w:val="111111"/>
          <w:sz w:val="28"/>
          <w:sz w:val="28"/>
          <w:szCs w:val="28"/>
          <w:rtl w:val="true"/>
          <w:lang w:bidi="ar-SA"/>
        </w:rPr>
        <w:t xml:space="preserve">، وتبعه جماعة من الناس </w:t>
      </w:r>
      <w:r>
        <w:rPr>
          <w:rStyle w:val="FootnoteAnchor"/>
          <w:rtl w:val="true"/>
        </w:rPr>
        <w:footnoteReference w:id="1409"/>
      </w:r>
      <w:r>
        <w:rPr>
          <w:rFonts w:ascii="Amiri" w:hAnsi="Amiri" w:eastAsia="Amiri" w:cs="Amiri"/>
          <w:color w:val="111111"/>
          <w:sz w:val="28"/>
          <w:sz w:val="28"/>
          <w:szCs w:val="28"/>
          <w:rtl w:val="true"/>
          <w:lang w:bidi="ar-SA"/>
        </w:rPr>
        <w:t>تمسّكا بأنّه يؤدّي إلى تحليل الحرام وتحريم الحلال ، وأنّه لو أجاز التعبّد به في الأخبار عن المعصوم عليه‌السلام لجاز عن الله تعالى أيضا ، لجامع كون المخبر عادلا في الصّورتين ، 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الاستدلال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للمحرّمات مثلا قبحا ذاتيّا ، وكذا الواجبات </w:t>
      </w:r>
      <w:r>
        <w:rPr>
          <w:rStyle w:val="FootnoteAnchor"/>
          <w:rtl w:val="true"/>
        </w:rPr>
        <w:footnoteReference w:id="1410"/>
      </w:r>
      <w:r>
        <w:rPr>
          <w:rFonts w:ascii="Amiri" w:hAnsi="Amiri" w:eastAsia="Amiri" w:cs="Amiri"/>
          <w:color w:val="111111"/>
          <w:sz w:val="28"/>
          <w:sz w:val="28"/>
          <w:szCs w:val="28"/>
          <w:rtl w:val="true"/>
          <w:lang w:bidi="ar-SA"/>
        </w:rPr>
        <w:t>، وربّما يحرم شيء لكونه سمّا أو موجبا لفساد في العقل أو الجسم كالخمر والميتة الموجبتين للقساوة وظلمة القلب ، وتلك خاصيّتهما ، ولا تزول بالجهل ، فإذا جوّز العمل بخبر الواحد المفيد للظنّ ، فلا يؤمن عن الوقوع في تلك المفسدة ، فتجويز العمل به ، مظنّة الوقوع في المهلكة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نرى بالعيان أنّ الشارع الحكيم جوّز لنا أخذ اللّحم من </w:t>
      </w:r>
      <w:r>
        <w:rPr>
          <w:rStyle w:val="FootnoteAnchor"/>
          <w:rtl w:val="true"/>
        </w:rPr>
        <w:footnoteReference w:id="1411"/>
      </w:r>
      <w:r>
        <w:rPr>
          <w:rFonts w:ascii="Amiri" w:hAnsi="Amiri" w:eastAsia="Amiri" w:cs="Amiri"/>
          <w:color w:val="111111"/>
          <w:sz w:val="28"/>
          <w:sz w:val="28"/>
          <w:szCs w:val="28"/>
          <w:rtl w:val="true"/>
          <w:lang w:bidi="ar-SA"/>
        </w:rPr>
        <w:t>أسواق المسلمين ، وحكم بالحلّ وإن لم نعلم كونه مذكّى ، وكذلك رفع المؤاخذة عن الجاهل والناسي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من ذلك أنّه تدارك هذا النقص من شيء آخر من الشرائع من الأعمال الشاقّة والمجاهدات الصّعبة وسائر التكليفات ، فلا مانع من أن يجوز العمل بالظنّ الحاصل من خبر الواحد ، وإن كان في نفس الأمر </w:t>
      </w:r>
      <w:r>
        <w:rPr>
          <w:rStyle w:val="FootnoteAnchor"/>
          <w:rtl w:val="true"/>
        </w:rPr>
        <w:footnoteReference w:id="1412"/>
      </w:r>
      <w:bookmarkStart w:id="190" w:name="pg14071_149341"/>
    </w:p>
    <w:p>
      <w:pPr>
        <w:pStyle w:val="BookText"/>
        <w:rPr/>
      </w:pPr>
      <w:bookmarkEnd w:id="190"/>
      <w:r>
        <w:rPr>
          <w:rFonts w:ascii="Amiri" w:hAnsi="Amiri" w:eastAsia="Amiri" w:cs="Amiri"/>
          <w:color w:val="111111"/>
          <w:sz w:val="28"/>
          <w:sz w:val="28"/>
          <w:szCs w:val="28"/>
          <w:rtl w:val="true"/>
          <w:lang w:bidi="ar-SA"/>
        </w:rPr>
        <w:t>موجبا لارتكاب الحرام وترك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جواز العمل به شرعا ، والمراد بهذا الجواز هو المعنى العامّ الشامل للوجوب ، بل المراد الوجوب ، لأنّه إذا جاز العمل به شرعا ، فلا بدّ أن يجب أن يعمل على مقتضاه بعنوان الوجوب في الواجب ، وبعنوان الاستحباب في المستحبّ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جواز العمل به بالمعنى المذكور كما هو مختار جمهور المتأخّرين </w:t>
      </w:r>
      <w:r>
        <w:rPr>
          <w:rStyle w:val="FootnoteAnchor"/>
          <w:rtl w:val="true"/>
        </w:rPr>
        <w:footnoteReference w:id="1413"/>
      </w:r>
      <w:r>
        <w:rPr>
          <w:rFonts w:ascii="Amiri" w:hAnsi="Amiri" w:eastAsia="Amiri" w:cs="Amiri"/>
          <w:color w:val="111111"/>
          <w:sz w:val="28"/>
          <w:sz w:val="28"/>
          <w:szCs w:val="28"/>
          <w:rtl w:val="true"/>
          <w:lang w:bidi="ar-SA"/>
        </w:rPr>
        <w:t>، خلافا لجماعة من قدمائنا كالسيّد وابن زهرة وابن البرّاج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أنّه يدلّ على ذلك ، السّمع والعقل كلاهما ، كما سيجيء ، خلافا لجماعة </w:t>
      </w:r>
      <w:r>
        <w:rPr>
          <w:rStyle w:val="FootnoteAnchor"/>
          <w:rtl w:val="true"/>
        </w:rPr>
        <w:footnoteReference w:id="1414"/>
      </w:r>
      <w:r>
        <w:rPr>
          <w:rFonts w:ascii="Amiri" w:hAnsi="Amiri" w:eastAsia="Amiri" w:cs="Amiri"/>
          <w:color w:val="111111"/>
          <w:sz w:val="28"/>
          <w:sz w:val="28"/>
          <w:szCs w:val="28"/>
          <w:rtl w:val="true"/>
          <w:lang w:bidi="ar-SA"/>
        </w:rPr>
        <w:t>حيث أنكروا دلالة العقل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لنا وجوه </w:t>
      </w:r>
      <w:r>
        <w:rPr>
          <w:rFonts w:eastAsia="IRNazanin" w:cs="IRNazanin"/>
          <w:color w:val="111111"/>
          <w:sz w:val="28"/>
          <w:szCs w:val="28"/>
          <w:rtl w:val="true"/>
          <w:lang w:bidi="fa-IR"/>
        </w:rPr>
        <w:t>:</w:t>
      </w:r>
    </w:p>
    <w:p>
      <w:pPr>
        <w:pStyle w:val="Heading6"/>
        <w:numPr>
          <w:ilvl w:val="5"/>
          <w:numId w:val="1"/>
        </w:numPr>
        <w:rPr/>
      </w:pPr>
      <w:bookmarkStart w:id="191" w:name="__RefHeading___Toc495129_1738255347"/>
      <w:bookmarkStart w:id="192" w:name="_Toc70"/>
      <w:bookmarkEnd w:id="191"/>
      <w:r>
        <w:rPr>
          <w:rtl w:val="true"/>
        </w:rPr>
        <w:t xml:space="preserve">الأوّل </w:t>
      </w:r>
      <w:r>
        <w:rPr>
          <w:rtl w:val="true"/>
        </w:rPr>
        <w:t>:</w:t>
      </w:r>
      <w:bookmarkEnd w:id="19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علّق وجوب التبيّن على مجيء الفاسق ، فينتفي عند انتفائه ، عملا بمفهوم الشّرط ، وإذا لم يجب التبيّن عند مجيء غير الفاسق ، فإمّا أن يجب القبول وهو المطلوب ، أو الردّ وهو باطل ، لأنّه يقتضي كونه أسوأ حالا من الفاسق ، وهو واضح الفساد </w:t>
      </w:r>
      <w:r>
        <w:rPr>
          <w:rStyle w:val="FootnoteAnchor"/>
          <w:rtl w:val="true"/>
        </w:rPr>
        <w:footnoteReference w:id="1416"/>
      </w:r>
      <w:r>
        <w:rPr>
          <w:rFonts w:ascii="Amiri" w:hAnsi="Amiri" w:eastAsia="Amiri" w:cs="Amiri"/>
          <w:color w:val="111111"/>
          <w:sz w:val="28"/>
          <w:sz w:val="28"/>
          <w:szCs w:val="28"/>
          <w:rtl w:val="true"/>
          <w:lang w:bidi="ar-SA"/>
        </w:rPr>
        <w:t xml:space="preserve">، هكذا ذكره كثير من الاصوليين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1418"/>
      </w:r>
      <w:r>
        <w:rPr>
          <w:rFonts w:ascii="Amiri" w:hAnsi="Amiri" w:eastAsia="Amiri" w:cs="Amiri"/>
          <w:color w:val="111111"/>
          <w:sz w:val="28"/>
          <w:sz w:val="28"/>
          <w:szCs w:val="28"/>
          <w:rtl w:val="true"/>
          <w:lang w:bidi="ar-SA"/>
        </w:rPr>
        <w:t xml:space="preserve">ليس من باب مفهوم الشرط ، لأنّ غاية ما يمكن توجيهه </w:t>
      </w:r>
      <w:r>
        <w:rPr>
          <w:rStyle w:val="FootnoteAnchor"/>
          <w:rtl w:val="true"/>
        </w:rPr>
        <w:footnoteReference w:id="1419"/>
      </w:r>
      <w:r>
        <w:rPr>
          <w:rFonts w:ascii="Amiri" w:hAnsi="Amiri" w:eastAsia="Amiri" w:cs="Amiri"/>
          <w:color w:val="111111"/>
          <w:sz w:val="28"/>
          <w:sz w:val="28"/>
          <w:szCs w:val="28"/>
          <w:rtl w:val="true"/>
          <w:lang w:bidi="ar-SA"/>
        </w:rPr>
        <w:t xml:space="preserve">على ذلك أن يكون المعنى إن جاءكم خبر الفاسق فتبيّنوا ، ومفهومه </w:t>
      </w:r>
      <w:r>
        <w:rPr>
          <w:rStyle w:val="FootnoteAnchor"/>
          <w:rtl w:val="true"/>
        </w:rPr>
        <w:footnoteReference w:id="1420"/>
      </w:r>
      <w:r>
        <w:rPr>
          <w:rFonts w:ascii="Amiri" w:hAnsi="Amiri" w:eastAsia="Amiri" w:cs="Amiri"/>
          <w:color w:val="111111"/>
          <w:sz w:val="28"/>
          <w:sz w:val="28"/>
          <w:szCs w:val="28"/>
          <w:rtl w:val="true"/>
          <w:lang w:bidi="ar-SA"/>
        </w:rPr>
        <w:t>إن لم يجئكم خبر الفاسق فلا يجب التبيّن ، سواء لم يجئكم خبر أصلا أو جاءكم خبر عدل ، فالمطلوب داخل في المفهوم وإن لم يكن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إن جاءكم الفاسق بالخبر ، ومفهومه إن لم يجئ الفاسق بالخبر ، لا إن لم يجئ خبر الفاسق</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بالتبيّن والتثبّت طلب ظهور حال خبر الفاسق والثبات والقرار حتّى يظهر حال خبر الفاسق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تبيّنوا 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فالمفهوم يقتضي عدم وجوب تبيّن حال خبر الفاسق ، لا خبر العادل ، للزوم وحدة الموضوع </w:t>
      </w:r>
    </w:p>
    <w:p>
      <w:pPr>
        <w:pStyle w:val="BookText"/>
        <w:rPr/>
      </w:pPr>
      <w:r>
        <w:rPr>
          <w:rFonts w:ascii="Amiri" w:hAnsi="Amiri" w:eastAsia="Amiri" w:cs="Amiri"/>
          <w:color w:val="111111"/>
          <w:sz w:val="28"/>
          <w:sz w:val="28"/>
          <w:szCs w:val="28"/>
          <w:rtl w:val="true"/>
          <w:lang w:bidi="ar-SA"/>
        </w:rPr>
        <w:t xml:space="preserve">في المفهوم والمنطوق </w:t>
      </w:r>
      <w:r>
        <w:rPr>
          <w:rStyle w:val="FootnoteAnchor"/>
          <w:rtl w:val="true"/>
        </w:rPr>
        <w:footnoteReference w:id="1421"/>
      </w:r>
      <w:r>
        <w:rPr>
          <w:rFonts w:ascii="Amiri" w:hAnsi="Amiri" w:eastAsia="Amiri" w:cs="Amiri"/>
          <w:color w:val="111111"/>
          <w:sz w:val="28"/>
          <w:sz w:val="28"/>
          <w:szCs w:val="28"/>
          <w:rtl w:val="true"/>
          <w:lang w:bidi="ar-SA"/>
        </w:rPr>
        <w:t>في الشرط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لمّا كان مقدّم المفهوم إن لم يجئكم خبر الفاسق ، بحيث يشمل عدم خبر أصلا أو مجيء خبر عادل ، وتاليه لا يجب تبيّن خبر الفاسق بحيث يشمل ما لو لم يكن هناك خبر أصلا أو كان ولكن كان خبر العادل ، فيندرج فيه خبر العادل ، ولكن لا يدلّ على عدم وجوب تبيّنه ، مع أنّ ذلك خروج عن حقائق الكلام وترك للعرف والعادة بمجرّد احتمال كون السّالبة منتفية الموضوع ، ولا ريب أنّه مجاز لا يصار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وقسمة المنطقيين السّالبة إلى الموجود الموضوع والمنتفي الموضوع ، لا توجب كونه معنى حقيقيّا لها أو عرفيا ، والكتاب والسنّة إنّما وردا على مصطلح أهل اللّغة والعرف لا مصطلح أهل الميزان ، فالاعتماد على مفهوم الوصف ، فإنّا </w:t>
      </w:r>
      <w:r>
        <w:rPr>
          <w:rStyle w:val="FootnoteAnchor"/>
          <w:rtl w:val="true"/>
        </w:rPr>
        <w:footnoteReference w:id="1422"/>
      </w:r>
      <w:r>
        <w:rPr>
          <w:rFonts w:ascii="Amiri" w:hAnsi="Amiri" w:eastAsia="Amiri" w:cs="Amiri"/>
          <w:color w:val="111111"/>
          <w:sz w:val="28"/>
          <w:sz w:val="28"/>
          <w:szCs w:val="28"/>
          <w:rtl w:val="true"/>
          <w:lang w:bidi="ar-SA"/>
        </w:rPr>
        <w:t xml:space="preserve">وإن لم نقل بحجيّته في نفسه لكنّه قد يصير حجّة بانضمام قرينة المقام </w:t>
      </w:r>
      <w:r>
        <w:rPr>
          <w:rStyle w:val="FootnoteAnchor"/>
          <w:rtl w:val="true"/>
        </w:rPr>
        <w:footnoteReference w:id="1423"/>
      </w:r>
      <w:r>
        <w:rPr>
          <w:rFonts w:ascii="Amiri" w:hAnsi="Amiri" w:eastAsia="Amiri" w:cs="Amiri"/>
          <w:color w:val="111111"/>
          <w:sz w:val="28"/>
          <w:sz w:val="28"/>
          <w:szCs w:val="28"/>
          <w:rtl w:val="true"/>
          <w:lang w:bidi="ar-SA"/>
        </w:rPr>
        <w:t>كما أشرنا إليه في مباحث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إمكان تصوير مفهوم الشرط في هذا الكلام ، فلا يخفى أنّ حجّية مثل هذا المفهوم الوصفيّ أوضح من حجّية هذا الفرد من المفهوم الشرطي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جعل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المنبئ فاسقا فتبيّنوا ، لصار ذلك من باب مفهوم الشرط ، وهو خلاف الظاهر ، وكيف كان ؛ فيتّجه الاستدلال بالآية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والخدشة في الاستدلال بأنّ المفهوم نفي وجوب التبيّن وهو لا يدلّ إلّا على جواز العمل ، والمقصود إثبات الوجوب لا وجه لها ، لما أشرنا إليه من معنى الجواز ، </w:t>
      </w:r>
    </w:p>
    <w:p>
      <w:pPr>
        <w:pStyle w:val="BookText"/>
        <w:rPr/>
      </w:pPr>
      <w:r>
        <w:rPr>
          <w:rFonts w:ascii="Amiri" w:hAnsi="Amiri" w:eastAsia="Amiri" w:cs="Amiri"/>
          <w:color w:val="111111"/>
          <w:sz w:val="28"/>
          <w:sz w:val="28"/>
          <w:szCs w:val="28"/>
          <w:rtl w:val="true"/>
          <w:lang w:bidi="ar-SA"/>
        </w:rPr>
        <w:t>ولعدم القائل بالفصل ، فمن قال بالجواز ، قال بالوجوب ، وسيجيء 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الاستدلال إنّما ينهض على من جوّز العمل بالمفاهيم </w:t>
      </w:r>
      <w:r>
        <w:rPr>
          <w:rStyle w:val="FootnoteAnchor"/>
          <w:rtl w:val="true"/>
        </w:rPr>
        <w:footnoteReference w:id="1424"/>
      </w:r>
      <w:r>
        <w:rPr>
          <w:rFonts w:ascii="IRNazanin" w:hAnsi="IRNazanin" w:eastAsia="IRNazanin"/>
          <w:color w:val="111111"/>
          <w:sz w:val="28"/>
          <w:sz w:val="28"/>
          <w:szCs w:val="28"/>
          <w:rtl w:val="true"/>
          <w:lang w:bidi="fa-IR"/>
        </w:rPr>
        <w:t xml:space="preserve">، وبالظنّ الحاصل من الظّواهر </w:t>
      </w:r>
      <w:r>
        <w:rPr>
          <w:rStyle w:val="FootnoteAnchor"/>
          <w:rtl w:val="true"/>
        </w:rPr>
        <w:footnoteReference w:id="1425"/>
      </w:r>
      <w:r>
        <w:rPr>
          <w:rFonts w:ascii="Amiri" w:hAnsi="Amiri" w:eastAsia="Amiri" w:cs="Amiri"/>
          <w:color w:val="111111"/>
          <w:sz w:val="28"/>
          <w:sz w:val="28"/>
          <w:szCs w:val="28"/>
          <w:rtl w:val="true"/>
          <w:lang w:bidi="ar-SA"/>
        </w:rPr>
        <w:t xml:space="preserve">في مسائل الاصول ، وقد عرفت في المباحث السّالفة </w:t>
      </w:r>
      <w:r>
        <w:rPr>
          <w:rStyle w:val="FootnoteAnchor"/>
          <w:rtl w:val="true"/>
        </w:rPr>
        <w:footnoteReference w:id="1426"/>
      </w:r>
      <w:r>
        <w:rPr>
          <w:rFonts w:ascii="Amiri" w:hAnsi="Amiri" w:eastAsia="Amiri" w:cs="Amiri"/>
          <w:color w:val="111111"/>
          <w:sz w:val="28"/>
          <w:sz w:val="28"/>
          <w:szCs w:val="28"/>
          <w:rtl w:val="true"/>
          <w:lang w:bidi="ar-SA"/>
        </w:rPr>
        <w:t>التحقيق فيهما وستعرف في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أيضا </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سبب نزول الآية ، أنّ رسول الله صلى‌الله‌عليه‌وآله بعث وليد بن عقبة </w:t>
      </w:r>
      <w:r>
        <w:rPr>
          <w:rStyle w:val="FootnoteAnchor"/>
          <w:rtl w:val="true"/>
        </w:rPr>
        <w:footnoteReference w:id="1428"/>
      </w:r>
      <w:r>
        <w:rPr>
          <w:rFonts w:ascii="Amiri" w:hAnsi="Amiri" w:eastAsia="Amiri" w:cs="Amiri"/>
          <w:color w:val="111111"/>
          <w:sz w:val="28"/>
          <w:sz w:val="28"/>
          <w:szCs w:val="28"/>
          <w:rtl w:val="true"/>
          <w:lang w:bidi="ar-SA"/>
        </w:rPr>
        <w:t xml:space="preserve">بن أبي معيط إلى بني المصطلق </w:t>
      </w:r>
      <w:r>
        <w:rPr>
          <w:rStyle w:val="FootnoteAnchor"/>
          <w:rtl w:val="true"/>
        </w:rPr>
        <w:footnoteReference w:id="1429"/>
      </w:r>
      <w:r>
        <w:rPr>
          <w:rFonts w:ascii="Amiri" w:hAnsi="Amiri" w:eastAsia="Amiri" w:cs="Amiri"/>
          <w:color w:val="111111"/>
          <w:sz w:val="28"/>
          <w:sz w:val="28"/>
          <w:szCs w:val="28"/>
          <w:rtl w:val="true"/>
          <w:lang w:bidi="ar-SA"/>
        </w:rPr>
        <w:t>مصّدّقا ، فلمّا قرب إلى ديارهم ركبوا مستقبلين فحسبهم مقاتليه فرجع وأخبر رسول الله صلى‌الله‌عليه‌وآله بأنّهم ارتدّوا ،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التعليل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تصيبوا إلى آخره ، إنّما يجري فيه وفي مثله ، لا مطلق الخبر ، والمقصود إثبات حجّية مطلق الخبر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بما حقّقنا سابقا من أنّ العبرة بعموم اللفظ ، ولفظ فاسق ، وبنبإ ، </w:t>
      </w:r>
    </w:p>
    <w:p>
      <w:pPr>
        <w:pStyle w:val="BookText"/>
        <w:rPr/>
      </w:pPr>
      <w:r>
        <w:rPr>
          <w:rFonts w:ascii="Amiri" w:hAnsi="Amiri" w:eastAsia="Amiri" w:cs="Amiri"/>
          <w:color w:val="111111"/>
          <w:sz w:val="28"/>
          <w:sz w:val="28"/>
          <w:szCs w:val="28"/>
          <w:rtl w:val="true"/>
          <w:lang w:bidi="ar-SA"/>
        </w:rPr>
        <w:t>ينزّلان على العموم كما لا يخفى ، إذ لو كان المراد الخصوص ، لناسب العهد والتعريف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لبيان أنّ خبر الفاسق معرّض لمثل هذه المفسدة العظمى ؛ لا أنّه كذلك مطلقا وفي جميع الأفراد ، وذلك لا يوجب اختصاص التبيّن بمثل هذه الواقعة ، مع أنّ ذلك أيضا يفيد المطلق ، إذ مفهومه يقتضي عدم التثبّت في مثل هذه الواقعة وغيرها لخبر العادل ، عملا بالعلّة المنصوصة في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أيضا </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بخبر العدل لا يصحّ في مورد نزول الآية ، لعدم جواز العمل بخبر العدل الواحد في الارتداد ، فلا يدلّ على حجّية خبر العدل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 فالنكتة في ذكر الفاسق ؛ التنبيه على فسق الوليد وتعييره عليه ، وإلّا فكان يكفي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أحد ، ونحوه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جواز العمل بخبر العدل في الردّة لا يضرّ بحجّية المفهوم لإمكان التخصيص ، يعني إخراج المورد عن عامّ المفهوم بدليل خارجي ، والمناسب للتعيير حينئذ هو التعريف والعهد ، فالعدول عنه بعد ترك ذكر مثل أحد ونحوه يدلّ على أنّ ذلك من جهة اعتبار المفهوم ، مع أنّ عدم قبول خبر العدل الواحد في الرّدّة إنّما هو إذا لم ينضمّ إليه آخر ، بخلاف خبر الفاسق ، فإنّه لا يقبل أصلا ، فكأنّه اريد إن جاءكم فاسق بخبر ، وإن كان خبر غير الارتداد </w:t>
      </w:r>
      <w:r>
        <w:rPr>
          <w:rStyle w:val="FootnoteAnchor"/>
          <w:rtl w:val="true"/>
        </w:rPr>
        <w:footnoteReference w:id="1431"/>
      </w:r>
      <w:r>
        <w:rPr>
          <w:rFonts w:ascii="Amiri" w:hAnsi="Amiri" w:eastAsia="Amiri" w:cs="Amiri"/>
          <w:color w:val="111111"/>
          <w:sz w:val="28"/>
          <w:sz w:val="28"/>
          <w:szCs w:val="28"/>
          <w:rtl w:val="true"/>
          <w:lang w:bidi="ar-SA"/>
        </w:rPr>
        <w:t>فلا تقبلوه أصلا ، لا منضمّا ولا منفردا إلّا مع التثبّت ، بخلاف خبر العدل ، فإنّه يقبل في الجملة ، أمّا في غير الردّة ؛ فمطلقا ، وأمّا في الرّدّة ؛ فمع انضمام الغير</w:t>
      </w:r>
      <w:r>
        <w:rPr>
          <w:rFonts w:eastAsia="Amiri" w:cs="Amiri" w:ascii="Amiri" w:hAnsi="Amiri"/>
          <w:color w:val="111111"/>
          <w:sz w:val="28"/>
          <w:szCs w:val="28"/>
          <w:rtl w:val="true"/>
          <w:lang w:bidi="ar-SA"/>
        </w:rPr>
        <w:t xml:space="preserve">. </w:t>
      </w:r>
      <w:bookmarkStart w:id="193" w:name="pg14071_149351"/>
    </w:p>
    <w:p>
      <w:pPr>
        <w:pStyle w:val="Heading6"/>
        <w:numPr>
          <w:ilvl w:val="5"/>
          <w:numId w:val="1"/>
        </w:numPr>
        <w:rPr/>
      </w:pPr>
      <w:bookmarkStart w:id="194" w:name="__RefHeading___Toc495131_1738255347"/>
      <w:bookmarkStart w:id="195" w:name="_Toc71"/>
      <w:bookmarkEnd w:id="193"/>
      <w:bookmarkEnd w:id="194"/>
      <w:r>
        <w:rPr>
          <w:rtl w:val="true"/>
        </w:rPr>
        <w:t xml:space="preserve">الثاني </w:t>
      </w:r>
      <w:r>
        <w:rPr>
          <w:rtl w:val="true"/>
        </w:rPr>
        <w:t>:</w:t>
      </w:r>
      <w:bookmarkEnd w:id="195"/>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وجه الدلالة أنّه تعالى أوجب الحذر عند إنذار الطوائف للأقوام ، وهو يتحقّق بإنذار كلّ طائفة من الطوائف لقومهم ، ولمّا لم يدلّ لفظ الفرقة على كونهم عدد التواتر ، فلفظ الطائفة أولى بعدم الدّلالة ، بل الظاهر أنّ الفرقة يطلق على الثّلاثة فيصدق الطائفة على الاثنين ، بل الواحد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ضمير الجمع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لِيَتَفَقَّهُوا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شموله للواحد أيضا ، لأنّه عبارة عن الطوائف ، ولا يلزم من ذلك لزوم اعتبار الإنذار من جميع الطوائف ، لصدق حصوله بإنذار كلّ واحد منهم ، كلّ واحد من الأقوام ، ثمّ يصدق حصوله بملاحظة كلّ واحد منهم بالنسبة إلى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فالمقصود بيان حجّية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حجّية مجرّد خبر رجل واحد ، مع أنّه لا قائل بالفرق في جانب المنع</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دلالة الآية على وجوب الحذر ، فلأنّ التهديد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يدلّ على وجوب النفر ، وتعليل النفر بالتفقّه يدلّ على وجوبه ، وكذا تعليله بالإنذار ، ومن المستبعد جدّا وجوب الإنذار وعدم وجوب إطاعة المستمع ، بل المتبادر وجوب الإطاعة للمنذرين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والمشهور في وجه الدّلالة ، أنّ كلمة لعلّ للترجّي ، وهو ممتنع على الله تعالى فلا بدّ من إخراجها عن ظاهرها ، وأقرب مجازاتها الطلب الذي هو في معنى الأمر الظاهر في الوجوب ، وهو فاسد لما بيّناه في مبحث الأمر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أقرب مجازاتها مطلق الطلب ، ونحمله على الوجوب لأنّه لا معنى لندب الحذر وجوازه ، فإنّه إن حصل المقتضي له فيجب ، وإلّا فلا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ندب الحذر لا معنى له إذا كان المقتضي موجودا قطعا أو ظنّا ، وأمّا مع احتمال وجود المقتضي ، فربّما كان الحذر مندوبا كالحذر عن الطهارة بالماء المشمّس مخافة حصول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لا معنى لاستحباب الحذر هنا بمعنى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الحذر عمّا أنذر به بخبر الواحد </w:t>
      </w:r>
      <w:r>
        <w:rPr>
          <w:rStyle w:val="FootnoteAnchor"/>
          <w:rtl w:val="true"/>
        </w:rPr>
        <w:footnoteReference w:id="1437"/>
      </w:r>
      <w:r>
        <w:rPr>
          <w:rFonts w:ascii="Amiri" w:hAnsi="Amiri" w:eastAsia="Amiri" w:cs="Amiri"/>
          <w:color w:val="111111"/>
          <w:sz w:val="28"/>
          <w:sz w:val="28"/>
          <w:szCs w:val="28"/>
          <w:rtl w:val="true"/>
          <w:lang w:bidi="ar-SA"/>
        </w:rPr>
        <w:t xml:space="preserve">بمعنى العمل بمدلوله مطلقا ، فإنّه قد يكون خبر الواحد دالّا على الوجوب ، ولا معنى لاستحباب الحذر عن ترك العمل بهذا الخبر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يعمل بهذا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يصحّ حمل الطلب على القدر المشترك بينهما ، بمعنى أنّه يجب العمل بخبر الطائفة إذا حصل منه القطع ، ويستحبّ إذا حصل منه الظنّ ، فإنّ معناه حينئذ استحباب الحذر عن الإنذار الظنّي الحاصل على سبيل الإيجاب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 أنّ القول باستحباب العمل بخبر الواحد المفيد للوجوب مع بقاء الوجوب على معناه الحقيقي ، ممّا لا يتصوّر له معنى محصّل ، فإنّ استحباب </w:t>
      </w:r>
    </w:p>
    <w:p>
      <w:pPr>
        <w:pStyle w:val="BookText"/>
        <w:rPr/>
      </w:pPr>
      <w:r>
        <w:rPr>
          <w:rFonts w:ascii="Amiri" w:hAnsi="Amiri" w:eastAsia="Amiri" w:cs="Amiri"/>
          <w:color w:val="111111"/>
          <w:sz w:val="28"/>
          <w:sz w:val="28"/>
          <w:szCs w:val="28"/>
          <w:rtl w:val="true"/>
          <w:lang w:bidi="ar-SA"/>
        </w:rPr>
        <w:t xml:space="preserve">الواجب لا يتصوّر إلّا في أفضل فردي الواجب التخييري ، والمفروض أنّه لا يتصوّر له فرد آخر حينئذ سوى العمل بمقتضى الأصل ، فإنّ الكلام في العمل بخبر الواحد من حيث هو ، لا إذا كان معارضا لظاهر الآية أو الإجماع أو غيرهما ، والتخيير بين العمل بالأصل والعمل بخبر الواحد لا معنى له ، لأنّه إمّا يعتبر مفهوم الأصل في مقابل مفهوم خبر الواحد كليين </w:t>
      </w:r>
      <w:r>
        <w:rPr>
          <w:rStyle w:val="FootnoteAnchor"/>
          <w:rtl w:val="true"/>
        </w:rPr>
        <w:footnoteReference w:id="1438"/>
      </w:r>
      <w:r>
        <w:rPr>
          <w:rFonts w:ascii="Amiri" w:hAnsi="Amiri" w:eastAsia="Amiri" w:cs="Amiri"/>
          <w:color w:val="111111"/>
          <w:sz w:val="28"/>
          <w:sz w:val="28"/>
          <w:szCs w:val="28"/>
          <w:rtl w:val="true"/>
          <w:lang w:bidi="ar-SA"/>
        </w:rPr>
        <w:t xml:space="preserve">، فيقال إنّ المكلّف مختار بين أن يعمل على مقتضى الأصل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في المسألة بالخصوص من الشّارع ، لأنّ الأصل عدم الحكم الشّرعي ، وبين أن يعمل على مقتضى خبر الواحد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المسألة حكم من الشّارع ، فيرجع هذا إلى التخيير بين الإذعان بثبوت الحكم وعدم ثبوته ، ولكن يستحبّ الإذعان </w:t>
      </w:r>
      <w:r>
        <w:rPr>
          <w:rStyle w:val="FootnoteAnchor"/>
          <w:rtl w:val="true"/>
        </w:rPr>
        <w:footnoteReference w:id="1439"/>
      </w:r>
      <w:r>
        <w:rPr>
          <w:rFonts w:ascii="Amiri" w:hAnsi="Amiri" w:eastAsia="Amiri" w:cs="Amiri"/>
          <w:color w:val="111111"/>
          <w:sz w:val="28"/>
          <w:sz w:val="28"/>
          <w:szCs w:val="28"/>
          <w:rtl w:val="true"/>
          <w:lang w:bidi="ar-SA"/>
        </w:rPr>
        <w:t>بثبوت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يعتبر الأصل الخاصّ في مقابل الخبر الخاصّ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براءة الذمّة عن مقتضى الوجوب الذي هو مدلول هذا الخبر الخاصّ مثلا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مخيّر بين أن يعلم ذمّته بريئة عن هذا التكليف ، وبين أن يعلم ذمّته مشغولة بمقتضى مدلول الخبر ، وعلى أيّ الفرضين لا يصلح جواز اعتقاد الوجوب الذي هو مدلول الخبر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يتوهّم أنّ هذا </w:t>
      </w:r>
      <w:r>
        <w:rPr>
          <w:rStyle w:val="FootnoteAnchor"/>
          <w:rtl w:val="true"/>
        </w:rPr>
        <w:footnoteReference w:id="1440"/>
      </w:r>
      <w:r>
        <w:rPr>
          <w:rFonts w:ascii="Amiri" w:hAnsi="Amiri" w:eastAsia="Amiri" w:cs="Amiri"/>
          <w:color w:val="111111"/>
          <w:sz w:val="28"/>
          <w:sz w:val="28"/>
          <w:szCs w:val="28"/>
          <w:rtl w:val="true"/>
          <w:lang w:bidi="ar-SA"/>
        </w:rPr>
        <w:t>من باب التخيير في الرّجوع إلى المجتهدين المخالفين في الرأي أو إلى الخبرين المتعارضين المتساويين من جهة الترجيح ، فهو باطل ، لأنّ التخيير في هاتين الصّورتين إنّما هو في حال الاضطرار وإرشاد بطريقة العمل في صورة جهالة الحكم ، وعدم وجود ما يفيد القطع بالحكم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ريب أنّه لا يعلم في هاتين الصّورتين كون خصوص أحد الحكمين من الشارع </w:t>
      </w:r>
      <w:r>
        <w:rPr>
          <w:rStyle w:val="FootnoteAnchor"/>
          <w:rtl w:val="true"/>
        </w:rPr>
        <w:footnoteReference w:id="1441"/>
      </w:r>
      <w:r>
        <w:rPr>
          <w:rFonts w:ascii="Amiri" w:hAnsi="Amiri" w:eastAsia="Amiri" w:cs="Amiri"/>
          <w:color w:val="111111"/>
          <w:sz w:val="28"/>
          <w:sz w:val="28"/>
          <w:szCs w:val="28"/>
          <w:rtl w:val="true"/>
          <w:lang w:bidi="ar-SA"/>
        </w:rPr>
        <w:t>، بل يحتمل أن يكون كلّ منهما حقّا ، ولكن لمّا لم يتعيّن ، ولا سبيل إلى العلم ، فرخّص لنا الشّارع حينئذ إلى الأخذ بأيّهما شئنا ، من باب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نحن فيه ، فليس كذلك ، إذ هو إنشاء الحكم الأوّلي حين حضور الشّارع ، والأصل الثابت بالعقل والشّرع متيقّن الثبوت من الشّرع جزما ، وليس من باب الأحكام الاضطرارية في حال عدم التمكّن ، فالتخيير فيما نحن فيه من باب التخيير بين خصال الكفّارة المصرّح به في الكتاب والسنّة ، لا من باب التخيير الذي دلّنا عليه الإلجاء والاضطرار حين جهالة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التخيير قد يتصوّر بين جواز العمل بالأصل ، وجواز العمل بخبر الواحد ، وقد يتصوّر بين الأصل وخبر الواحد ، والأوّل إنّما هو من باب المسائل الأصولية المبحوث عنها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يمكن </w:t>
      </w:r>
      <w:r>
        <w:rPr>
          <w:rStyle w:val="FootnoteAnchor"/>
          <w:rtl w:val="true"/>
        </w:rPr>
        <w:footnoteReference w:id="1442"/>
      </w:r>
      <w:r>
        <w:rPr>
          <w:rFonts w:ascii="Amiri" w:hAnsi="Amiri" w:eastAsia="Amiri" w:cs="Amiri"/>
          <w:color w:val="111111"/>
          <w:sz w:val="28"/>
          <w:sz w:val="28"/>
          <w:szCs w:val="28"/>
          <w:rtl w:val="true"/>
          <w:lang w:bidi="ar-SA"/>
        </w:rPr>
        <w:t xml:space="preserve">أن يستدلّ عليه برجحان الحذر المستفاد من الآية على ما بنى عليه المأوّل </w:t>
      </w:r>
      <w:r>
        <w:rPr>
          <w:rStyle w:val="FootnoteAnchor"/>
          <w:rtl w:val="true"/>
        </w:rPr>
        <w:footnoteReference w:id="1443"/>
      </w:r>
      <w:r>
        <w:rPr>
          <w:rFonts w:ascii="Amiri" w:hAnsi="Amiri" w:eastAsia="Amiri" w:cs="Amiri"/>
          <w:color w:val="111111"/>
          <w:sz w:val="28"/>
          <w:sz w:val="28"/>
          <w:szCs w:val="28"/>
          <w:rtl w:val="true"/>
          <w:lang w:bidi="ar-SA"/>
        </w:rPr>
        <w:t xml:space="preserve">، إنّما هو من باب المسائل الفقهية </w:t>
      </w:r>
      <w:r>
        <w:rPr>
          <w:rStyle w:val="FootnoteAnchor"/>
          <w:rtl w:val="true"/>
        </w:rPr>
        <w:footnoteReference w:id="1444"/>
      </w:r>
      <w:r>
        <w:rPr>
          <w:rFonts w:ascii="Amiri" w:hAnsi="Amiri" w:eastAsia="Amiri" w:cs="Amiri"/>
          <w:color w:val="111111"/>
          <w:sz w:val="28"/>
          <w:sz w:val="28"/>
          <w:szCs w:val="28"/>
          <w:rtl w:val="true"/>
          <w:lang w:bidi="ar-SA"/>
        </w:rPr>
        <w:t xml:space="preserve">المستنبطة من آحاد أخبار الآحاد و ، حمله على الاستحباب إنّما يصحّ إذا قطع النظر عن دلالتها على </w:t>
      </w:r>
    </w:p>
    <w:p>
      <w:pPr>
        <w:pStyle w:val="BookText"/>
        <w:rPr/>
      </w:pPr>
      <w:r>
        <w:rPr>
          <w:rFonts w:ascii="Amiri" w:hAnsi="Amiri" w:eastAsia="Amiri" w:cs="Amiri"/>
          <w:color w:val="111111"/>
          <w:sz w:val="28"/>
          <w:sz w:val="28"/>
          <w:szCs w:val="28"/>
          <w:rtl w:val="true"/>
          <w:lang w:bidi="ar-SA"/>
        </w:rPr>
        <w:t>الوجوب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عارض خبر الواحد للأصل ، فيجوز العمل بكلّ منهما ، لكن يستحبّ اختيار العمل بخبر الواحد ، فهو في معنى التخيير في المطلوب بخبر الواحد بين الإتيان به وعدمه وهو صريح في نفي الوجوب ، ولا يجامع إتيانه على سبيل الوجوب كما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إخراج للخبر عن المدلول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التخيير بين الاعتقاد بجواز العمل بالأصل ، وبين الاعتقاد بجواز العمل بخبر الواحد عند عدم دليل آخر رافع للأصل الذي هو من المسائل الأصولية ، فهو غلط ، إذ لا يتوهّم فيه تعارض وتناقض حتّى يستلزم التخيير وأرجحيّة أحدهما ، فإنّ الاعتقاد بجواز العمل بالأصل قبل العثور على الدليل ، لا ينافي الاعتقاد بجواز العمل بخبر الواحد في الصورة المفروضة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445"/>
      </w:r>
      <w:r>
        <w:rPr>
          <w:rFonts w:ascii="Amiri" w:hAnsi="Amiri" w:eastAsia="Amiri" w:cs="Amiri"/>
          <w:color w:val="111111"/>
          <w:sz w:val="28"/>
          <w:sz w:val="28"/>
          <w:szCs w:val="28"/>
          <w:rtl w:val="true"/>
          <w:lang w:bidi="ar-SA"/>
        </w:rPr>
        <w:t>، ولكن اعتقاد جواز العمل بخبر الواحد لا ينافي استحباب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التكليف في الجملة ، ولزوم الامتثال بالتكاليف ، فكلّ ما يجوز استخراج الحكم منه فيتمكّن من العمل به فيحصل مقدّمة الواجب ، فيجب الإتيان به ، فلا معنى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يقدر على استنباطه من الأصل فهو مخيّر بينهما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أنّ الأصل إنّما يصحّ العمل به قبل إمكان معرفة الحكم ، وبعد الإمكان فلا يجوز ، لهذا اشترط الأصوليون في جواز العمل بأصل البراءة الاستقراء والتتبّع ، بل أوجبوا ذلك في العامّ مع أنّه أولى بعدم الوجوب </w:t>
      </w:r>
      <w:r>
        <w:rPr>
          <w:rStyle w:val="FootnoteAnchor"/>
          <w:rtl w:val="true"/>
        </w:rPr>
        <w:footnoteReference w:id="1446"/>
      </w:r>
      <w:r>
        <w:rPr>
          <w:rFonts w:ascii="Amiri" w:hAnsi="Amiri" w:eastAsia="Amiri" w:cs="Amiri"/>
          <w:color w:val="111111"/>
          <w:sz w:val="28"/>
          <w:sz w:val="28"/>
          <w:szCs w:val="28"/>
          <w:rtl w:val="true"/>
          <w:lang w:bidi="ar-SA"/>
        </w:rPr>
        <w:t xml:space="preserve">، فكيف </w:t>
      </w:r>
    </w:p>
    <w:p>
      <w:pPr>
        <w:pStyle w:val="BookText"/>
        <w:rPr/>
      </w:pPr>
      <w:r>
        <w:rPr>
          <w:rFonts w:ascii="Amiri" w:hAnsi="Amiri" w:eastAsia="Amiri" w:cs="Amiri"/>
          <w:color w:val="111111"/>
          <w:sz w:val="28"/>
          <w:sz w:val="28"/>
          <w:szCs w:val="28"/>
          <w:rtl w:val="true"/>
          <w:lang w:bidi="ar-SA"/>
        </w:rPr>
        <w:t>يقال بالاستحباب مع أنّه لا دليل على الاستحباب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تأويل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اخترناه وأثبتناه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جعلها من باب اللّام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لِيَكُونَ لَهُمْ عَدُوًّا وَحَزَناً</w:t>
      </w:r>
      <w:r>
        <w:rPr>
          <w:rFonts w:eastAsia="Amiri" w:cs="Amiri" w:ascii="Amiri" w:hAnsi="Amiri"/>
          <w:color w:val="111111"/>
          <w:sz w:val="28"/>
          <w:szCs w:val="28"/>
          <w:rtl w:val="true"/>
          <w:lang w:bidi="ar-SA"/>
        </w:rPr>
        <w:t xml:space="preserve">)(. ) </w:t>
      </w:r>
      <w:r>
        <w:rPr>
          <w:rStyle w:val="FootnoteAnchor"/>
          <w:rtl w:val="true"/>
        </w:rPr>
        <w:footnoteReference w:id="1447"/>
      </w:r>
      <w:r>
        <w:rPr>
          <w:rFonts w:ascii="Amiri" w:hAnsi="Amiri" w:eastAsia="Amiri" w:cs="Amiri"/>
          <w:color w:val="111111"/>
          <w:sz w:val="28"/>
          <w:sz w:val="28"/>
          <w:szCs w:val="28"/>
          <w:rtl w:val="true"/>
          <w:lang w:bidi="ar-SA"/>
        </w:rPr>
        <w:t xml:space="preserve">بأن يكون استعارة تبعيّة </w:t>
      </w:r>
      <w:r>
        <w:rPr>
          <w:rStyle w:val="FootnoteAnchor"/>
          <w:rtl w:val="true"/>
        </w:rPr>
        <w:footnoteReference w:id="1448"/>
      </w:r>
      <w:r>
        <w:rPr>
          <w:rFonts w:ascii="Amiri" w:hAnsi="Amiri" w:eastAsia="Amiri" w:cs="Amiri"/>
          <w:color w:val="111111"/>
          <w:sz w:val="28"/>
          <w:sz w:val="28"/>
          <w:szCs w:val="28"/>
          <w:rtl w:val="true"/>
          <w:lang w:bidi="ar-SA"/>
        </w:rPr>
        <w:t xml:space="preserve">فيشبه حصول الخوف والإطاعة مرّة وعدمه اخرى ، إمّا من جهة تفاوت الإنذارات بالقطع والظنّ ، أو المخبرين بالصدق والكذب ، أو المستمعين بالإطاعة وعدمها بالترجّي ، لأنّ المترجّى قد يحصل وقد لا يحصل ، واستعير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يجعل حكاية عن حال المنذرين ، فإنّهم مترجّون لحصول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يدلّ إلّا على وجوب الحذر عند الإنذار وهو التخويف ، فهو أخصّ من المدّعى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بالفصل ، وبأنّه يثبت بذلك غيره بطريق الأولى ، إذ إثبات الحرمة والوجوب أصعب من الكراهة والاستحباب للمسامحة في دليلهما دون الأوّلين ، ولموافقتهما للأصل وكمال مباينة الأوّلين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اعترض على الاستدلال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الآية الوجوب الكفائي على كلّ فرقة ، ولا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مخصّص بالدّليل ، والأولى أن يقال أنّ المراد بالفرقة في الآية الجماعة العظيمة التي تحتاج إلى منذر مستقلّ ، مثل بني حرب أو بني أسد ونحوهما ، لا محض ما يصدق عليه الفرقة لغة ، فيصحّ الوجوب الكفائي في الكلّ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حمل التفقّه على التفقّه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بعيد </w:t>
      </w:r>
      <w:r>
        <w:rPr>
          <w:rStyle w:val="FootnoteAnchor"/>
          <w:rtl w:val="true"/>
        </w:rPr>
        <w:footnoteReference w:id="1451"/>
      </w:r>
      <w:r>
        <w:rPr>
          <w:rFonts w:ascii="Amiri" w:hAnsi="Amiri" w:eastAsia="Amiri" w:cs="Amiri"/>
          <w:color w:val="111111"/>
          <w:sz w:val="28"/>
          <w:sz w:val="28"/>
          <w:szCs w:val="28"/>
          <w:rtl w:val="true"/>
          <w:lang w:bidi="ar-SA"/>
        </w:rPr>
        <w:t>لأنّ المفهوم منه في العرف هو الفروع ، مع أنّه أهمّ بالتهديد على ترك النفر فيه ، لاستقلال العقل فيه غالبا دون الفروع ، مع أنّ الخطاب متعلّق بالمؤمنين واتّصافهم بكونهم مؤمنين لا يكون إلّا بعد كونهم عالمين بما يعتبر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التفقّه ظاهر في الاجتهاد ومعرفة الأحكام ، فلا يدلّ الآية إلّا على لزوم عمل المقلّد بفتوى المجتهد ، وهو خارج عن المبحث ، وهو 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ثبوت كونه حقيقة في ذلك في عرف الشّارع ، بل هو اصطلاح جديد ، فيحمل على معناه اللّغوي وهو مطلق الفهم ، وهو صادق على سماع الخبر ونقله مع أنّه مستلزم لتخصيص القوم بالمقلّدين ، وهو أيضا مجاز</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يمكن أن يدّعى أنّ المتبادر من الفهم والإنذار هو الفتوى لا نقل الخبر ، فتأمّل</w:t>
      </w:r>
      <w:r>
        <w:rPr>
          <w:rFonts w:eastAsia="Amiri" w:cs="Amiri" w:ascii="Amiri" w:hAnsi="Amiri"/>
          <w:color w:val="111111"/>
          <w:sz w:val="28"/>
          <w:szCs w:val="28"/>
          <w:rtl w:val="true"/>
          <w:lang w:bidi="ar-SA"/>
        </w:rPr>
        <w:t xml:space="preserve">. </w:t>
      </w:r>
      <w:bookmarkStart w:id="196" w:name="pg14071_149364"/>
    </w:p>
    <w:p>
      <w:pPr>
        <w:pStyle w:val="BookText"/>
        <w:rPr/>
      </w:pPr>
      <w:bookmarkEnd w:id="196"/>
      <w:r>
        <w:rPr>
          <w:rFonts w:ascii="Amiri" w:hAnsi="Amiri" w:eastAsia="Amiri" w:cs="Amiri"/>
          <w:color w:val="111111"/>
          <w:sz w:val="28"/>
          <w:sz w:val="28"/>
          <w:szCs w:val="28"/>
          <w:rtl w:val="true"/>
          <w:lang w:bidi="ar-SA"/>
        </w:rPr>
        <w:t xml:space="preserve">هذا كلّه مبنيّ على المشهور </w:t>
      </w:r>
      <w:r>
        <w:rPr>
          <w:rStyle w:val="FootnoteAnchor"/>
          <w:rtl w:val="true"/>
        </w:rPr>
        <w:footnoteReference w:id="1453"/>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التفسير الآخر ، وهو أن يكون المراد بالطوائف المجاهدين ، وأن يكون التفقّه واجبا على المتخلّفين ، فيمكن توجيه الاستدلال أيضا بملاحظة ما سبق كما لا يخفى</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495133_1738255347"/>
      <w:bookmarkStart w:id="198" w:name="_Toc72"/>
      <w:bookmarkEnd w:id="197"/>
      <w:r>
        <w:rPr>
          <w:rtl w:val="true"/>
        </w:rPr>
        <w:t xml:space="preserve">الثالث </w:t>
      </w:r>
      <w:r>
        <w:rPr>
          <w:rtl w:val="true"/>
        </w:rPr>
        <w:t>:</w:t>
      </w:r>
      <w:bookmarkEnd w:id="19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المنقول عن النبيّ صلى‌الله‌عليه‌وآله والأئمّة عليهم‌السلام أيضا من الهدى ، ويظهر وجه الاستدلال ممّا بيّنّا سابقا من التبادر ، فإنّ الظاهر من وجوب إظهاره أنّه يجب على السّامع الامتثال به ، فتأمّل</w:t>
      </w:r>
      <w:r>
        <w:rPr>
          <w:rFonts w:eastAsia="Amiri" w:cs="Amiri" w:ascii="Amiri" w:hAnsi="Amiri"/>
          <w:color w:val="111111"/>
          <w:sz w:val="28"/>
          <w:szCs w:val="28"/>
          <w:rtl w:val="true"/>
          <w:lang w:bidi="ar-SA"/>
        </w:rPr>
        <w:t xml:space="preserve">. </w:t>
      </w:r>
      <w:bookmarkStart w:id="199" w:name="pg14071_149366"/>
    </w:p>
    <w:p>
      <w:pPr>
        <w:pStyle w:val="Heading6"/>
        <w:numPr>
          <w:ilvl w:val="5"/>
          <w:numId w:val="1"/>
        </w:numPr>
        <w:rPr/>
      </w:pPr>
      <w:bookmarkStart w:id="200" w:name="__RefHeading___Toc495135_1738255347"/>
      <w:bookmarkStart w:id="201" w:name="_Toc73"/>
      <w:bookmarkEnd w:id="199"/>
      <w:bookmarkEnd w:id="200"/>
      <w:r>
        <w:rPr>
          <w:rtl w:val="true"/>
        </w:rPr>
        <w:t xml:space="preserve">الرابع </w:t>
      </w:r>
      <w:r>
        <w:rPr>
          <w:rtl w:val="true"/>
        </w:rPr>
        <w:t>:</w:t>
      </w:r>
      <w:bookmarkEnd w:id="201"/>
    </w:p>
    <w:p>
      <w:pPr>
        <w:pStyle w:val="BookText"/>
        <w:rPr/>
      </w:pPr>
      <w:r>
        <w:rPr>
          <w:rFonts w:ascii="Amiri" w:hAnsi="Amiri" w:eastAsia="Amiri" w:cs="Amiri"/>
          <w:color w:val="111111"/>
          <w:sz w:val="28"/>
          <w:sz w:val="28"/>
          <w:szCs w:val="28"/>
          <w:rtl w:val="true"/>
          <w:lang w:bidi="ar-SA"/>
        </w:rPr>
        <w:t>اشتهار العمل بخبر الواحد في زمان رسول الله صلى‌الله‌عليه‌وآله ، وعمل الصّحابة عليه من غير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الخاصّة والعامّة وقائع كثيرة ذكروا فيها عمل الصحابة به يحصل من مجموعها العلم باتّفاقهم الكاشف عن رضاه عليه‌السلام ، بل كان عليه‌السلام يأمر به ويجوّزه ، حيث كان يرسل الرّسل والولاة إلى القبائل والأطراف لتعليم الأحكام بدون اعتبار عدد التّواتر ، وكذلك أصحاب الأئمّة عليهم‌السلام ومن يليهم من أصحابنا القدماء ، كان طريقتهم رواية أخبار الآحاد وتدوينها وضبطها والتعرّض لحال رجالها وتوثيقها وتضعيفها وتقرير الأئمّة عليهم‌السلام على ذلك ، بل أمرهم بالعمل بها كما يستفاد من تتبّع أخبار كثيرة لا نطيل بذكرها ، فليراجعها من أرادها في مظانّها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وعن علي بن حنظلة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الرجال منّا على قدر رواياتهم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نزلت بكم حادثة لا تعلمون حكمها في ما ورد عنّا فانظروا الى ما رووه عن علي فاعملوا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آبان بن عثمان انّ أبا عبد الله عليه‌السلام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ابان بن تغلب روى عني رواية كثيرة فما رواه لك عني فاروه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بصير أنّ أبا عبد الله عليه‌السلام قال له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زرارة ونظرائه لظننت أنّ أحاديث أبي ستذهب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من الواضح الجليّ الذي لا يقبل الإنكار أنّ كلّ واحد من أصحاب الأئمّة عليهم‌السلام</w:t>
      </w:r>
    </w:p>
    <w:p>
      <w:pPr>
        <w:pStyle w:val="BookText"/>
        <w:rPr/>
      </w:pPr>
      <w:r>
        <w:rPr>
          <w:rFonts w:ascii="Amiri" w:hAnsi="Amiri" w:eastAsia="Amiri" w:cs="Amiri"/>
          <w:color w:val="111111"/>
          <w:sz w:val="28"/>
          <w:sz w:val="28"/>
          <w:szCs w:val="28"/>
          <w:rtl w:val="true"/>
          <w:lang w:bidi="ar-SA"/>
        </w:rPr>
        <w:t>المتردّدين عندهم السائلين عنهم ، كانوا يأخذون الخبر وينقلون إلى غيرهم للعمل ، ولم يكن يحصل بخبر كلّ واحد منهم العلم للسّامع ، ومع ذلك كان أئمّتهم عليهم‌السلام مطّلعين على طريقتهم ويقرّرونهم على ذلك ، واحتمال أنّ كلّ ذلك كان من القرائن المفيدة للعلم ؛ ممّا يأباه العقل السليم والفهم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فحصل من جميع ما ذكرنا ، أنّ إطباقهم على هذه الطريقة من غير نكير منهم ، إجماع منهم على الجواز ، فيدلّ عليه الإجماع وتقرير المعصوم عليه‌السلام بل أمره </w:t>
      </w:r>
      <w:r>
        <w:rPr>
          <w:rStyle w:val="FootnoteAnchor"/>
          <w:rtl w:val="true"/>
        </w:rPr>
        <w:footnoteReference w:id="1456"/>
      </w:r>
      <w:r>
        <w:rPr>
          <w:rFonts w:ascii="Amiri" w:hAnsi="Amiri" w:eastAsia="Amiri" w:cs="Amiri"/>
          <w:color w:val="111111"/>
          <w:sz w:val="28"/>
          <w:sz w:val="28"/>
          <w:szCs w:val="28"/>
          <w:rtl w:val="true"/>
          <w:lang w:bidi="ar-SA"/>
        </w:rPr>
        <w:t xml:space="preserve">، وصرّح بالإجماع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Style w:val="FootnoteAnchor"/>
          <w:rtl w:val="true"/>
        </w:rPr>
        <w:footnoteReference w:id="145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اخترته من المذهب فهو أنّ خبر الواحد إذا كان من طريق أصحابنا القائلين بالإمامة ، وكان ذلك مرويّا عن النبيّ صلى‌الله‌عليه‌وآله أو أحد من الأئمّة عليهم‌السلام وكان ممّن لا يطعن في روايته ويكون سديدا في نقله ولم تكن هناك قرينة تدلّ على صحّة ما تضمّنه الخبر ، لأنّه إذا كان هناك قرينة تدلّ على ذلك كان الاعتبار بالقرينة ، وكان ذلك موجبا للعلم ، ونحن نذكر القرائن فيما بعد ، جاز العمل به</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ذلك </w:t>
      </w:r>
      <w:r>
        <w:rPr>
          <w:rStyle w:val="FootnoteAnchor"/>
          <w:rtl w:val="true"/>
        </w:rPr>
        <w:footnoteReference w:id="1459"/>
      </w:r>
      <w:r>
        <w:rPr>
          <w:rFonts w:ascii="Amiri" w:hAnsi="Amiri" w:eastAsia="Amiri" w:cs="Amiri"/>
          <w:color w:val="111111"/>
          <w:sz w:val="28"/>
          <w:sz w:val="28"/>
          <w:szCs w:val="28"/>
          <w:rtl w:val="true"/>
          <w:lang w:bidi="ar-SA"/>
        </w:rPr>
        <w:t xml:space="preserve">إجماع الفرقة المحقّة ، فإنّي وجدتها مجمعة على العمل بهذه الأخبار التي أوردوها في تصانيفهم ودوّنوها في أصولهم ، لا يتناكرون </w:t>
      </w:r>
    </w:p>
    <w:p>
      <w:pPr>
        <w:pStyle w:val="BookText"/>
        <w:rPr/>
      </w:pPr>
      <w:r>
        <w:rPr>
          <w:rFonts w:ascii="Amiri" w:hAnsi="Amiri" w:eastAsia="Amiri" w:cs="Amiri"/>
          <w:color w:val="111111"/>
          <w:sz w:val="28"/>
          <w:sz w:val="28"/>
          <w:szCs w:val="28"/>
          <w:rtl w:val="true"/>
          <w:lang w:bidi="ar-SA"/>
        </w:rPr>
        <w:t xml:space="preserve">ذلك ولا يتدافعونه ، حتّى أنّ واحدا منهم إذا أفتى بشيء لا يعرفونه 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 ، فإذا أحالهم على كتاب معروف أو أصل مشهور ، وكان رواية ثقة لا ينكرون حديثه ، سكتوا وسلّموا الأمر في ذلك وقبلوا قوله ، هذه عادتهم وسجيّتهم من عهد النبيّ صلى‌الله‌عليه‌وآله ومن بعده من الأئمّة عليهم‌السلام إلى زمان الصّادق جعفر بن محمّد عليهما‌السلام الذي انتشر عنه العلم ، فكثرت الرّواية من جهته ، فلو لا أنّ العمل بهذه الأخبار كان جائزا ، لما أجمعوا على ذلك ولا أنكروه ، لأنّ إجماعهم لا يكون إلّا عن معصوم عليه‌السلام لا يجوز عليه الغلط والسّهو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يكشف عن ذلك </w:t>
      </w:r>
      <w:r>
        <w:rPr>
          <w:rStyle w:val="FootnoteAnchor"/>
          <w:rtl w:val="true"/>
        </w:rPr>
        <w:footnoteReference w:id="1460"/>
      </w:r>
      <w:r>
        <w:rPr>
          <w:rFonts w:ascii="Amiri" w:hAnsi="Amiri" w:eastAsia="Amiri" w:cs="Amiri"/>
          <w:color w:val="111111"/>
          <w:sz w:val="28"/>
          <w:sz w:val="28"/>
          <w:szCs w:val="28"/>
          <w:rtl w:val="true"/>
          <w:lang w:bidi="ar-SA"/>
        </w:rPr>
        <w:t>أنّه لمّا كان العمل بالقياس محظورا في الشّريعة عندهم ، لم يعملوا به أصلا ، وإذا شذّ واحد منهم وعمل به في بعض المسائل أو استعمله على وجه المحاجّة لخصمه ، وإن لم يعلم اعتقاده ، تركوا قوله وأنكروا عليه وتبرّءوا من قوله ، حتّى انّهم يتركون تصانيف من وصفناه ورواياته لما كان عاملا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العمل بخبر الواحد يجري هذا المجرى ، لوجب فيه أيضا مثل ذلك ، وقد علمنا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461"/>
      </w:r>
      <w:r>
        <w:rPr>
          <w:rFonts w:ascii="IRNazanin" w:hAnsi="IRNazanin" w:eastAsia="IRNazanin"/>
          <w:color w:val="111111"/>
          <w:sz w:val="28"/>
          <w:sz w:val="28"/>
          <w:szCs w:val="28"/>
          <w:rtl w:val="true"/>
          <w:lang w:bidi="fa-IR"/>
        </w:rPr>
        <w:t>ما أردت نقله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الإمامية فالأخباريّون منهم لم يعوّلوا في أصول الدّين وفروعه </w:t>
      </w:r>
      <w:r>
        <w:rPr>
          <w:rStyle w:val="FootnoteAnchor"/>
          <w:rtl w:val="true"/>
        </w:rPr>
        <w:footnoteReference w:id="1462"/>
      </w:r>
      <w:r>
        <w:rPr>
          <w:rFonts w:ascii="Amiri" w:hAnsi="Amiri" w:eastAsia="Amiri" w:cs="Amiri"/>
          <w:color w:val="111111"/>
          <w:sz w:val="28"/>
          <w:sz w:val="28"/>
          <w:szCs w:val="28"/>
          <w:rtl w:val="true"/>
          <w:lang w:bidi="ar-SA"/>
        </w:rPr>
        <w:t>إلّا على أخبار الآحاد المرويّة عن الأئمّة عليهم‌السلام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والأصوليون منهم كأبي جعفر الطوسي رحمه‌الله وغيره وافقوا على قبول خبر الواحد ولم </w:t>
      </w:r>
    </w:p>
    <w:p>
      <w:pPr>
        <w:pStyle w:val="BookText"/>
        <w:rPr/>
      </w:pPr>
      <w:r>
        <w:rPr>
          <w:rFonts w:ascii="Amiri" w:hAnsi="Amiri" w:eastAsia="Amiri" w:cs="Amiri"/>
          <w:color w:val="111111"/>
          <w:sz w:val="28"/>
          <w:sz w:val="28"/>
          <w:szCs w:val="28"/>
          <w:rtl w:val="true"/>
          <w:lang w:bidi="ar-SA"/>
        </w:rPr>
        <w:t xml:space="preserve">ينكره سوى المرتضى رحمه‌الله وأتباعه لشبهة حصلت لهم ، انتهى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منه رحمه‌الله أنّ المخالف إنّما هو السيّد ومن تبعه من بعده ، ويظهر دعوى الإجماع أيضا من المحقّق رحمه‌الله على ما نقل عنه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 من تتبّع سيرة العلماء وتتبّع أحوال أصحاب الرسول صلى‌الله‌عليه‌وآله والأئمّة عليهم‌السلام ولاحظ الأخبار الدالّة على رخصتهم في العمل بكتب أصحابهم والرجوع إليهم والأخبار الواردة في بيان علاج الأخبار المتخالفة ، سيّما مع ملاحظة أنّ ذلك </w:t>
      </w:r>
      <w:r>
        <w:rPr>
          <w:rStyle w:val="FootnoteAnchor"/>
          <w:rtl w:val="true"/>
        </w:rPr>
        <w:footnoteReference w:id="1465"/>
      </w:r>
      <w:r>
        <w:rPr>
          <w:rFonts w:ascii="Amiri" w:hAnsi="Amiri" w:eastAsia="Amiri" w:cs="Amiri"/>
          <w:color w:val="111111"/>
          <w:sz w:val="28"/>
          <w:sz w:val="28"/>
          <w:szCs w:val="28"/>
          <w:rtl w:val="true"/>
          <w:lang w:bidi="ar-SA"/>
        </w:rPr>
        <w:t xml:space="preserve">هو طريقة العرف والعادة وجميع أرباب العقول ، بل مدار العالم وأساس عيش بني آدم غالبا كان على ذلك ، يظهر له </w:t>
      </w:r>
      <w:r>
        <w:rPr>
          <w:rStyle w:val="FootnoteAnchor"/>
          <w:rtl w:val="true"/>
        </w:rPr>
        <w:footnoteReference w:id="1466"/>
      </w:r>
      <w:r>
        <w:rPr>
          <w:rFonts w:ascii="Amiri" w:hAnsi="Amiri" w:eastAsia="Amiri" w:cs="Amiri"/>
          <w:color w:val="111111"/>
          <w:sz w:val="28"/>
          <w:sz w:val="28"/>
          <w:szCs w:val="28"/>
          <w:rtl w:val="true"/>
          <w:lang w:bidi="ar-SA"/>
        </w:rPr>
        <w:t>العلم بجواز العمل بخبر الواحد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يستبعد من أنّه لو كان العمل بخبر الواحد جائزا وواقعا في زمان الأئمّة عليهم‌السلام لم يختف على مثل السيّد رحمه‌الله مع قربه بزمانهم عليهم‌السلام وكمال فطانته واطّلاعه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مدفوع باستبعاد أنّه لو كان وجوب الاقتصار باليقين الحاصل من مثل الأخبار المتواترة أو المحفوفة بالقرينة ونحوها ثابتا ، وكان المنع من العمل بخبر الواحد طريقة الأئمّة عليهم‌السلام ومذهبا لهم ، لصار شائعا من باب حرمة القياس ، ولم يختف على مثل الشيخ رحمه‌الله حتّى ادّعى إجماعهم على جواز العمل ، بل التحقيق أنّ الاشتباه إنّما حصل للسيّد رحمه‌الله ومن تبعه لما بيّنا ولما سنبيّنه إن شاء الله تعالى</w:t>
      </w:r>
      <w:r>
        <w:rPr>
          <w:rFonts w:eastAsia="Amiri" w:cs="Amiri" w:ascii="Amiri" w:hAnsi="Amiri"/>
          <w:color w:val="111111"/>
          <w:sz w:val="28"/>
          <w:szCs w:val="28"/>
          <w:rtl w:val="true"/>
          <w:lang w:bidi="ar-SA"/>
        </w:rPr>
        <w:t xml:space="preserve">. </w:t>
      </w:r>
      <w:bookmarkStart w:id="202" w:name="pg14071_149373"/>
    </w:p>
    <w:p>
      <w:pPr>
        <w:pStyle w:val="Heading6"/>
        <w:numPr>
          <w:ilvl w:val="5"/>
          <w:numId w:val="1"/>
        </w:numPr>
        <w:rPr/>
      </w:pPr>
      <w:bookmarkStart w:id="203" w:name="__RefHeading___Toc495137_1738255347"/>
      <w:bookmarkStart w:id="204" w:name="_Toc74"/>
      <w:bookmarkEnd w:id="202"/>
      <w:bookmarkEnd w:id="203"/>
      <w:r>
        <w:rPr>
          <w:rtl w:val="true"/>
        </w:rPr>
        <w:t xml:space="preserve">الخامس </w:t>
      </w:r>
      <w:r>
        <w:rPr>
          <w:rtl w:val="true"/>
        </w:rPr>
        <w:t>:</w:t>
      </w:r>
      <w:bookmarkEnd w:id="204"/>
    </w:p>
    <w:p>
      <w:pPr>
        <w:pStyle w:val="BookText"/>
        <w:rPr/>
      </w:pPr>
      <w:r>
        <w:rPr>
          <w:rFonts w:ascii="IRNazanin" w:hAnsi="IRNazanin" w:eastAsia="IRNazanin"/>
          <w:color w:val="111111"/>
          <w:sz w:val="28"/>
          <w:sz w:val="28"/>
          <w:szCs w:val="28"/>
          <w:rtl w:val="true"/>
          <w:lang w:bidi="fa-IR"/>
        </w:rPr>
        <w:t xml:space="preserve">الخامس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الدالّة على حجّية ظنّ المجتهد في حال غيبة الإمام عليه‌السلام من أمثال زماننا المتباعدة عن زمان 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ما تقدّم من الأدلّة إنّما يدلّ على حجّية المراد بخبر الواحد ، فإنّه هو المتبادر من النبأ والإنذار ، وهو المستفاد من الإجماع الذي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حجّية ما يفهم من لفظ الخبر ، والظنّ الحاصل من جهة دلالته ، وأنّ هذا المظنون هو المراد أو غيره ، مع تفاوت ذلك بسبب أفهام النّاظرين والمعاصرين للأئمّة عليهم‌السلام والمتباعدين ، فهو يحتاج إلى دليل آخر من إجماع على حجّية أمثال هذه الظّنون أو غيره من الأدلّة التي تدلّ على حجّية ظنّ المجتهد في أمثال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الأدلّة دلالتها على حجّية خبر الواحد ليس من حيث إنّه خبر الواحد ، ولا تشمل جميع الأزمان والأوقات ، بل هي إنّما تتمّ في أمثال زماننا وتدلّ على حجّية مطلق الظنّ ، وهي حقيقة أدلّة على جواز عمل المجتهد بالظنّ إلّا ما أخرجه الدّليل ، في مقابل قول من لا يجوّز العمل إلّا باليقين </w:t>
      </w:r>
      <w:r>
        <w:rPr>
          <w:rStyle w:val="FootnoteAnchor"/>
          <w:rtl w:val="true"/>
        </w:rPr>
        <w:footnoteReference w:id="1468"/>
      </w:r>
      <w:r>
        <w:rPr>
          <w:rFonts w:ascii="Amiri" w:hAnsi="Amiri" w:eastAsia="Amiri" w:cs="Amiri"/>
          <w:color w:val="111111"/>
          <w:sz w:val="28"/>
          <w:sz w:val="28"/>
          <w:szCs w:val="28"/>
          <w:rtl w:val="true"/>
          <w:lang w:bidi="ar-SA"/>
        </w:rPr>
        <w:t>أو بالظنّ الذي ثبت فيه الرّخصة من الشّارع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أشهر وأظهر </w:t>
      </w:r>
      <w:r>
        <w:rPr>
          <w:rStyle w:val="FootnoteAnchor"/>
          <w:rtl w:val="true"/>
        </w:rPr>
        <w:footnoteReference w:id="1469"/>
      </w:r>
      <w:r>
        <w:rPr>
          <w:rFonts w:ascii="Amiri" w:hAnsi="Amiri" w:eastAsia="Amiri" w:cs="Amiri"/>
          <w:color w:val="111111"/>
          <w:sz w:val="28"/>
          <w:sz w:val="28"/>
          <w:szCs w:val="28"/>
          <w:rtl w:val="true"/>
          <w:lang w:bidi="ar-SA"/>
        </w:rPr>
        <w:t>، بل الظاهر من طريقة الفقهاء هو الأوّل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وجه نزاعهم في خبر الواحد واستدلالهم على حدّه ، إنّما هو لأجل إثبات </w:t>
      </w:r>
    </w:p>
    <w:p>
      <w:pPr>
        <w:pStyle w:val="BookText"/>
        <w:rPr/>
      </w:pPr>
      <w:r>
        <w:rPr>
          <w:rFonts w:ascii="Amiri" w:hAnsi="Amiri" w:eastAsia="Amiri" w:cs="Amiri"/>
          <w:color w:val="111111"/>
          <w:sz w:val="28"/>
          <w:sz w:val="28"/>
          <w:szCs w:val="28"/>
          <w:rtl w:val="true"/>
          <w:lang w:bidi="ar-SA"/>
        </w:rPr>
        <w:t>حجيّته بذاته من قبل الشّارع ليتمّ حجّيّته في زمان إمكان العلم أيضا أو لأجل دفع توهّم حرمة العمل به ؛ خصوصا كالقياس ، لأجل ما ادّعاه السيّد رحمه‌الله من الإجماع على الحرمة ، كما سيجيء ، وإلّا فهذه الأدلّة على جواز العمل بالظنّ عند الاضطرار يكفيهم في جواز العمل بخبر الواحد ، وكذلك استدلالهم في حجّية ظواهر الكتاب لدفع ما توهّمه الأخباريّون من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فقس سائر المقاسات </w:t>
      </w:r>
      <w:r>
        <w:rPr>
          <w:rStyle w:val="FootnoteAnchor"/>
          <w:rtl w:val="true"/>
        </w:rPr>
        <w:footnoteReference w:id="1470"/>
      </w:r>
      <w:r>
        <w:rPr>
          <w:rFonts w:ascii="Amiri" w:hAnsi="Amiri" w:eastAsia="Amiri" w:cs="Amiri"/>
          <w:color w:val="111111"/>
          <w:sz w:val="28"/>
          <w:sz w:val="28"/>
          <w:szCs w:val="28"/>
          <w:rtl w:val="true"/>
          <w:lang w:bidi="ar-SA"/>
        </w:rPr>
        <w:t>التي استدلّوا على حجّيتها بالخصوص من القياس المنصوص العلّة ومفهوم الموافقة واستصحاب حال الشّرع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على ذلك من وجوه ، وأنت إذا تأمّلتها تقدر على استنباط حجّية خبر الواحد منها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العلم القطعيّ في الأحكام الشرعية منسدّ في أمثال زماننا في غير الضّروريات غالبا ، ولا ريب أنّا مشاركون لأهل زمان المعصومين عليهم‌السلام في التكاليف ، وليس في غير ما علم ضرورة أو إجماعا أو حكم به العقل القاطع ما يدلّ على الحكم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الكتاب بنفسه لا يفيد إلّا الظنّ ، وكذلك أصل البراءة ، والضّرورة والإجماع ، والعقل القاطع لا يثبت بها </w:t>
      </w:r>
      <w:r>
        <w:rPr>
          <w:rStyle w:val="FootnoteAnchor"/>
          <w:rtl w:val="true"/>
        </w:rPr>
        <w:footnoteReference w:id="1472"/>
      </w:r>
      <w:r>
        <w:rPr>
          <w:rFonts w:ascii="Amiri" w:hAnsi="Amiri" w:eastAsia="Amiri" w:cs="Amiri"/>
          <w:color w:val="111111"/>
          <w:sz w:val="28"/>
          <w:sz w:val="28"/>
          <w:szCs w:val="28"/>
          <w:rtl w:val="true"/>
          <w:lang w:bidi="ar-SA"/>
        </w:rPr>
        <w:t>شيء ينفعنا في الفقه غالبا ، بل هي إنّما تثبت بعض الأحكام إجمالا ولا يحصل منها التفصيلات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فينحصر الامتثال في العمل بالظنّ ، وإلّا لزم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ويندرج في ذلك الظنّ الحاصل من الخبر الواحد ، فإنّه لا فارق بين أفراد الظنّ من حيث هو ، فإذا </w:t>
      </w:r>
    </w:p>
    <w:p>
      <w:pPr>
        <w:pStyle w:val="BookText"/>
        <w:rPr/>
      </w:pPr>
      <w:r>
        <w:rPr>
          <w:rFonts w:ascii="Amiri" w:hAnsi="Amiri" w:eastAsia="Amiri" w:cs="Amiri"/>
          <w:color w:val="111111"/>
          <w:sz w:val="28"/>
          <w:sz w:val="28"/>
          <w:szCs w:val="28"/>
          <w:rtl w:val="true"/>
          <w:lang w:bidi="ar-SA"/>
        </w:rPr>
        <w:t xml:space="preserve">حصل منه ظنّ أقوى من غيره فيجب متابعته ، بل لا معنى حينئذ لكونه أقوى ، بل الظنّ إنّما هو من جهته </w:t>
      </w:r>
      <w:r>
        <w:rPr>
          <w:rStyle w:val="FootnoteAnchor"/>
          <w:rtl w:val="true"/>
        </w:rPr>
        <w:footnoteReference w:id="1473"/>
      </w:r>
      <w:r>
        <w:rPr>
          <w:rFonts w:ascii="Amiri" w:hAnsi="Amiri" w:eastAsia="Amiri" w:cs="Amiri"/>
          <w:color w:val="111111"/>
          <w:sz w:val="28"/>
          <w:sz w:val="28"/>
          <w:szCs w:val="28"/>
          <w:rtl w:val="true"/>
          <w:lang w:bidi="ar-SA"/>
        </w:rPr>
        <w:t xml:space="preserve">وملاحظة القوّة والضعف إنّما هو بملاحظة كلّ منهما على حدة ، لا مجتمعا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w:t>
      </w:r>
      <w:r>
        <w:rPr>
          <w:rStyle w:val="FootnoteAnchor"/>
          <w:rtl w:val="true"/>
        </w:rPr>
        <w:footnoteReference w:id="1475"/>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انسداد باب العلم لا يوجب العمل بالظنّ من حيث إنّه ظنّ ، لأنّه يجوز أن يعتبر الشارع ظنونا مخصوصة بخصوصها ، لا من حيث إنّها ظنّ كظاهر الكتاب وأصل البراءة لا لأنّهما ظنّ ، بل للإجماع على حجّيتهما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ظواهر الكتاب من حيث الخصوص بعد تسليم معلوميته مطلقا ، لا يثبت إلّا أقلّ قليل من الأحكام ، كما لا يخفى على المطّلع ، والإجماع على أصالة البراءة فيما ورد في خلافه خبر الواحد ، أوّل الكلام ، إن لم ندّع الإجماع على خلافه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w:t>
      </w:r>
      <w:r>
        <w:rPr>
          <w:rStyle w:val="FootnoteAnchor"/>
          <w:rtl w:val="true"/>
        </w:rPr>
        <w:footnoteReference w:id="1476"/>
      </w:r>
      <w:r>
        <w:rPr>
          <w:rFonts w:ascii="Amiri" w:hAnsi="Amiri" w:eastAsia="Amiri" w:cs="Amiri"/>
          <w:color w:val="111111"/>
          <w:sz w:val="28"/>
          <w:sz w:val="28"/>
          <w:szCs w:val="28"/>
          <w:rtl w:val="true"/>
          <w:lang w:bidi="ar-SA"/>
        </w:rPr>
        <w:t xml:space="preserve">على هذا الدليل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انسداد باب العلم بالأحكام الشرعية غالبا لا يوجب جواز العمل بالظنّ فيها حتّى يتّجه ما ذكره ، لجواز أن لا يجوز العمل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حكم حصل العلم به من ضرورة أو إجماع ، نحكم به ، وما لم يحصل العلم به نحكم فيه بأصالة البراءة ، لا لكونها مفيدة للظنّ ولا للإجماع على وجوب التمسّك بها </w:t>
      </w:r>
      <w:r>
        <w:rPr>
          <w:rStyle w:val="FootnoteAnchor"/>
          <w:rtl w:val="true"/>
        </w:rPr>
        <w:footnoteReference w:id="1477"/>
      </w:r>
      <w:r>
        <w:rPr>
          <w:rFonts w:ascii="Amiri" w:hAnsi="Amiri" w:eastAsia="Amiri" w:cs="Amiri"/>
          <w:color w:val="111111"/>
          <w:sz w:val="28"/>
          <w:sz w:val="28"/>
          <w:szCs w:val="28"/>
          <w:rtl w:val="true"/>
          <w:lang w:bidi="ar-SA"/>
        </w:rPr>
        <w:t>، بل لأنّ العقل يحكم بأنّه لا يثبت تكليف علينا إلّا بالعلم به أو بظنّ يقوم على اعتباره دليل يفيد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انتفى الأمران فيه ، يحكم العقل </w:t>
      </w:r>
    </w:p>
    <w:p>
      <w:pPr>
        <w:pStyle w:val="BookText"/>
        <w:rPr/>
      </w:pPr>
      <w:r>
        <w:rPr>
          <w:rFonts w:ascii="Amiri" w:hAnsi="Amiri" w:eastAsia="Amiri" w:cs="Amiri"/>
          <w:color w:val="111111"/>
          <w:sz w:val="28"/>
          <w:sz w:val="28"/>
          <w:szCs w:val="28"/>
          <w:rtl w:val="true"/>
          <w:lang w:bidi="ar-SA"/>
        </w:rPr>
        <w:t xml:space="preserve">ببراءة الذمّة عنه ، وعدم جواز العقاب على تركه ، لا لأنّ الأصل المذكور يفيد ظنّا بمقتضاها حتّى يعارض بالظنّ الحاصل من أخبار الآحاد </w:t>
      </w:r>
      <w:r>
        <w:rPr>
          <w:rStyle w:val="FootnoteAnchor"/>
          <w:rtl w:val="true"/>
        </w:rPr>
        <w:footnoteReference w:id="1478"/>
      </w:r>
      <w:r>
        <w:rPr>
          <w:rFonts w:ascii="Amiri" w:hAnsi="Amiri" w:eastAsia="Amiri" w:cs="Amiri"/>
          <w:color w:val="111111"/>
          <w:sz w:val="28"/>
          <w:sz w:val="28"/>
          <w:szCs w:val="28"/>
          <w:rtl w:val="true"/>
          <w:lang w:bidi="ar-SA"/>
        </w:rPr>
        <w:t xml:space="preserve">بخلافها ، بلّ لما ذكرنا من حكم العقل بعدم لزوم شيء علينا ما لم يحصل العلم لنا به ، ولا يكفي الظنّ به </w:t>
      </w:r>
      <w:r>
        <w:rPr>
          <w:rStyle w:val="FootnoteAnchor"/>
          <w:rtl w:val="true"/>
        </w:rPr>
        <w:footnoteReference w:id="1479"/>
      </w:r>
      <w:r>
        <w:rPr>
          <w:rFonts w:ascii="Amiri" w:hAnsi="Amiri" w:eastAsia="Amiri" w:cs="Amiri"/>
          <w:color w:val="111111"/>
          <w:sz w:val="28"/>
          <w:sz w:val="28"/>
          <w:szCs w:val="28"/>
          <w:rtl w:val="true"/>
          <w:lang w:bidi="ar-SA"/>
        </w:rPr>
        <w:t>، ويؤكّد ذلك ما ورد من النّهي عن اتّباع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ففيما لم يحصل العلم به على أحد الوجهين </w:t>
      </w:r>
      <w:r>
        <w:rPr>
          <w:rStyle w:val="FootnoteAnchor"/>
          <w:rtl w:val="true"/>
        </w:rPr>
        <w:footnoteReference w:id="1480"/>
      </w:r>
      <w:r>
        <w:rPr>
          <w:rFonts w:ascii="Amiri" w:hAnsi="Amiri" w:eastAsia="Amiri" w:cs="Amiri"/>
          <w:color w:val="111111"/>
          <w:sz w:val="28"/>
          <w:sz w:val="28"/>
          <w:szCs w:val="28"/>
          <w:rtl w:val="true"/>
          <w:lang w:bidi="ar-SA"/>
        </w:rPr>
        <w:t xml:space="preserve">وكان لنا مندوحة عنه كغسل الجمعة مثلا ، فالخطب سهل ، إذ نحكم بجواز تركه بمقتضى الأصل المذكور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فيما لم تكن مندوحة عنه كالجهر بالتسمية والإخفات بها في الصّلوات الإخفاتية التي قال بوجوب كلّ منهما قوم ، ولا يمكن لنا ترك التسمية ، فلا محيد لنا عن الإتيان بأحدهما ، فنحكم بالتخيير فيهما لثبوت وجوب أصل التسمية ، وعدم ثبوت خصوص الجهر أو الإخفات ، فلا حرج لنا في فعل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 فلا يتمّ الدّليل المذكور لأنّا لا نعمل بالظنّ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Style w:val="FootnoteAnchor"/>
          <w:rtl w:val="true"/>
        </w:rPr>
        <w:footnoteReference w:id="1482"/>
      </w:r>
      <w:r>
        <w:rPr>
          <w:rFonts w:ascii="IRNazanin" w:hAnsi="IRNazanin" w:eastAsia="IRNazanin"/>
          <w:color w:val="111111"/>
          <w:sz w:val="28"/>
          <w:sz w:val="28"/>
          <w:szCs w:val="28"/>
          <w:rtl w:val="true"/>
          <w:lang w:bidi="fa-IR"/>
        </w:rPr>
        <w:t xml:space="preserve">نظر من وجوه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يحصل العلم به نحكم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منه عدم حصول العلم الإجمالي أيضا ، فهو كذلك ، لكنّه خلاف المفروض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أراد منه عدم حصول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العلم التفصيلي لا يوجب البراءة مع ثبوت التكليف بالمجمل سيّما مع التمكّن بالإتيان به ، بأن يأتي بالمحتملات </w:t>
      </w:r>
      <w:r>
        <w:rPr>
          <w:rStyle w:val="FootnoteAnchor"/>
          <w:rtl w:val="true"/>
        </w:rPr>
        <w:footnoteReference w:id="1483"/>
      </w:r>
      <w:r>
        <w:rPr>
          <w:rFonts w:ascii="Amiri" w:hAnsi="Amiri" w:eastAsia="Amiri" w:cs="Amiri"/>
          <w:color w:val="111111"/>
          <w:sz w:val="28"/>
          <w:sz w:val="28"/>
          <w:szCs w:val="28"/>
          <w:rtl w:val="true"/>
          <w:lang w:bidi="ar-SA"/>
        </w:rPr>
        <w:t>بحسب القدرة والاستطاعة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العلم الإجمالي بالتكليف بغير الضّروريات في أمثال زماننا ، بل إنّما تكليفنا هو العمل بالضّروريات واليقينيات</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بغير الضّروريات 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نعلم بالضّرورة أنّ في الصلاة واجبات كثيرة علينا غير ما علم منها ضرورة ، مثل وجوبها أو مطلق مسمّى الركوع والسجود أيضا ، مع أنّا لا يمكننا معرفة تلك التفصيلات إلّا بالظّنون ، وأيضا الضّروريات أمور إجمالية غالبا لا يمكن الامتثال بها إلّا بما يفصّلها ، فالحكم بين المسلمين وقطع الدّعاوي ثبت وجوبه مثلا بالضّرورة أو بالإجماع ، لكن معرفة كيفية ذلك يحتاج إلى الظّنون التي يشتمل عليها كتب الفقهاء </w:t>
      </w:r>
      <w:r>
        <w:rPr>
          <w:rStyle w:val="FootnoteAnchor"/>
          <w:rtl w:val="true"/>
        </w:rPr>
        <w:footnoteReference w:id="1484"/>
      </w:r>
      <w:r>
        <w:rPr>
          <w:rFonts w:ascii="Amiri" w:hAnsi="Amiri" w:eastAsia="Amiri" w:cs="Amiri"/>
          <w:color w:val="111111"/>
          <w:sz w:val="28"/>
          <w:sz w:val="28"/>
          <w:szCs w:val="28"/>
          <w:rtl w:val="true"/>
          <w:lang w:bidi="ar-SA"/>
        </w:rPr>
        <w:t xml:space="preserve">غاية الأمر حصول القطع في كيفيته ، بأنّ البيّنة على المدّعي واليمين على من أنكر ، لكن معرفة حقيقة المدّعي والمنكر والتمييز بينهما ، ومعرفة معنى البيّنة أنّه رجل أو امرأة أو واحد أو متعدّد ، أو يشترط فيه العدالة أم لا ، وأنّ العدالة أيّ شيء وبأيّ شيء تثبت ، وأنّ الحكم أيّ شيء </w:t>
      </w:r>
      <w:r>
        <w:rPr>
          <w:rStyle w:val="FootnoteAnchor"/>
          <w:rtl w:val="true"/>
        </w:rPr>
        <w:footnoteReference w:id="1485"/>
      </w:r>
      <w:r>
        <w:rPr>
          <w:rFonts w:ascii="Amiri" w:hAnsi="Amiri" w:eastAsia="Amiri" w:cs="Amiri"/>
          <w:color w:val="111111"/>
          <w:sz w:val="28"/>
          <w:sz w:val="28"/>
          <w:szCs w:val="28"/>
          <w:rtl w:val="true"/>
          <w:lang w:bidi="ar-SA"/>
        </w:rPr>
        <w:t xml:space="preserve">، إلى غير ذلك ممّا لا يحصل للفقيه إلّا باستعمال الظّنون ، كما لا يخفى على من ارتبط بالفقه قليلا فضلا عن المتدرّب فيه ، وهكذا جميع أبواب الفقه من العبادات والمعاملات والأحكام ، فمن قال إنّه يمكن </w:t>
      </w:r>
    </w:p>
    <w:p>
      <w:pPr>
        <w:pStyle w:val="BookText"/>
        <w:rPr/>
      </w:pPr>
      <w:r>
        <w:rPr>
          <w:rFonts w:ascii="Amiri" w:hAnsi="Amiri" w:eastAsia="Amiri" w:cs="Amiri"/>
          <w:color w:val="111111"/>
          <w:sz w:val="28"/>
          <w:sz w:val="28"/>
          <w:szCs w:val="28"/>
          <w:rtl w:val="true"/>
          <w:lang w:bidi="ar-SA"/>
        </w:rPr>
        <w:t>الاعتماد على ما علم ضرورة أو بالإجماع في تحصيل الفقه ، فقد تغافل ، ولعلّه هنا في مقام المجادلة والتدقيق في نفس الدّليل ، وأنت خبير بأنّه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العقل يحكم بأنّه لا يثبت تكليف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أوّل الكلام ، لأنّ حكم العقل إمّا أن يريد به الحكم القطعي أو الظنّي ، فإن كان الأوّل ، فدعوى كون مقتضى أصل البراءة قطعيّا ، أوّل الكلام ، كما لا يخفى على من لاحظ أدلّة المثبتين </w:t>
      </w:r>
      <w:r>
        <w:rPr>
          <w:rStyle w:val="FootnoteAnchor"/>
          <w:rtl w:val="true"/>
        </w:rPr>
        <w:footnoteReference w:id="1486"/>
      </w:r>
      <w:r>
        <w:rPr>
          <w:rFonts w:ascii="Amiri" w:hAnsi="Amiri" w:eastAsia="Amiri" w:cs="Amiri"/>
          <w:color w:val="111111"/>
          <w:sz w:val="28"/>
          <w:sz w:val="28"/>
          <w:szCs w:val="28"/>
          <w:rtl w:val="true"/>
          <w:lang w:bidi="ar-SA"/>
        </w:rPr>
        <w:t xml:space="preserve">والنافين </w:t>
      </w:r>
      <w:r>
        <w:rPr>
          <w:rStyle w:val="FootnoteAnchor"/>
          <w:rtl w:val="true"/>
        </w:rPr>
        <w:footnoteReference w:id="1487"/>
      </w:r>
      <w:r>
        <w:rPr>
          <w:rFonts w:ascii="IRNazanin" w:hAnsi="IRNazanin" w:eastAsia="IRNazanin"/>
          <w:color w:val="111111"/>
          <w:sz w:val="28"/>
          <w:sz w:val="28"/>
          <w:szCs w:val="28"/>
          <w:rtl w:val="true"/>
          <w:lang w:bidi="fa-IR"/>
        </w:rPr>
        <w:t>من العقل والنقل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سلّمنا كونه قطعيّا في الجملة ، لكنّ المسلّم إنّما هو قبل ورود الشرع ، وأمّا بعد ورود الشرع ، فالعلم بأنّ فيه أحكاما إجمالية بعنوان اليقين يثبّطنا عن الحكم </w:t>
      </w:r>
      <w:r>
        <w:rPr>
          <w:rStyle w:val="FootnoteAnchor"/>
          <w:rtl w:val="true"/>
        </w:rPr>
        <w:footnoteReference w:id="1488"/>
      </w:r>
      <w:r>
        <w:rPr>
          <w:rFonts w:ascii="Amiri" w:hAnsi="Amiri" w:eastAsia="Amiri" w:cs="Amiri"/>
          <w:color w:val="111111"/>
          <w:sz w:val="28"/>
          <w:sz w:val="28"/>
          <w:szCs w:val="28"/>
          <w:rtl w:val="true"/>
          <w:lang w:bidi="ar-SA"/>
        </w:rPr>
        <w:t>بالعدم قطعا ، كما لا يخفى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ذلك أيضا ، ولكن لا نسلّم حصول القطع بعد ورود مثل الخبر الواحد الصّحيح في خلافه </w:t>
      </w:r>
      <w:r>
        <w:rPr>
          <w:rStyle w:val="FootnoteAnchor"/>
          <w:rtl w:val="true"/>
        </w:rPr>
        <w:footnoteReference w:id="1489"/>
      </w:r>
      <w:r>
        <w:rPr>
          <w:rFonts w:ascii="Amiri" w:hAnsi="Amiri" w:eastAsia="Amiri" w:cs="Amiri"/>
          <w:color w:val="111111"/>
          <w:sz w:val="28"/>
          <w:sz w:val="28"/>
          <w:szCs w:val="28"/>
          <w:rtl w:val="true"/>
          <w:lang w:bidi="ar-SA"/>
        </w:rPr>
        <w:t xml:space="preserve">وإن أراد الحكم الظنّي كما يشعر به </w:t>
      </w:r>
      <w:r>
        <w:rPr>
          <w:rStyle w:val="FootnoteAnchor"/>
          <w:rtl w:val="true"/>
        </w:rPr>
        <w:footnoteReference w:id="1490"/>
      </w:r>
      <w:r>
        <w:rPr>
          <w:rFonts w:ascii="Amiri" w:hAnsi="Amiri" w:eastAsia="Amiri" w:cs="Amiri"/>
          <w:color w:val="111111"/>
          <w:sz w:val="28"/>
          <w:sz w:val="28"/>
          <w:szCs w:val="28"/>
          <w:rtl w:val="true"/>
          <w:lang w:bidi="ar-SA"/>
        </w:rPr>
        <w:t>كلامه أيضا ، سواء كان بسبب كونه بذاته مفيدا للظنّ أو من جهة استصحاب الحالة السّابقة ، فهو أيضا ظنّ مستفاد من ظواهر الآيات والأخبار التي لم يثبت حجّيتها بالخصوص ، مع أنّه ممنوع بعد ورود الشّرع ، ثمّ بعد ورود الخبر الواحد إذا حصل من خبر الواحد ظنّ أقوى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عمومات لا تفيد إلّا الظنّ وإن كان سندها قطعيّا ، بل هي ظاهرة في غير الفروع ، وشمول عموم ما دلّ على حجّية ظاهر القرآن لما نحن فيه ،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كان هو الإجماع ، ففيما نحن فيه أوّل الكلام وإن كان غيره ، فهو ليس إلّا الظّنون الحاصلة من الأخبار ، وإن فرض التواتر في تلك الأخبار ، فقد مرّ الكلام في الاستدلال بها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نحكم بجواز تركه بمقتضى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ينطبق على مدّعاه ، إذ المفروض أنّ رجحان غسل الجمعة يقينيّ ، ولكنّه مردّد بين الوجوب والاستحباب ،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الحكم بجواز الترك وأصل البراءة إن أراد نفي الوجوب مع عدم الحكم بالاستحباب ، فهو لا يلائم ما ثبت يقينا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إثبات الاستحباب ، فهو ليس إلّا معنى ترجيح أحاديث الاستحباب على أحاديث الوجوب بسبب الاعتضاد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بسبب الأصل </w:t>
      </w:r>
      <w:r>
        <w:rPr>
          <w:rStyle w:val="FootnoteAnchor"/>
          <w:rtl w:val="true"/>
        </w:rPr>
        <w:footnoteReference w:id="1492"/>
      </w:r>
      <w:r>
        <w:rPr>
          <w:rFonts w:ascii="IRNazanin" w:hAnsi="IRNazanin" w:eastAsia="IRNazanin"/>
          <w:color w:val="111111"/>
          <w:sz w:val="28"/>
          <w:sz w:val="28"/>
          <w:szCs w:val="28"/>
          <w:rtl w:val="true"/>
          <w:lang w:bidi="fa-IR"/>
        </w:rPr>
        <w:t xml:space="preserve">، انّ الرّجحان الثابت بالإجماع </w:t>
      </w:r>
      <w:r>
        <w:rPr>
          <w:rStyle w:val="FootnoteAnchor"/>
          <w:rtl w:val="true"/>
        </w:rPr>
        <w:footnoteReference w:id="1493"/>
      </w:r>
      <w:r>
        <w:rPr>
          <w:rFonts w:ascii="Amiri" w:hAnsi="Amiri" w:eastAsia="Amiri" w:cs="Amiri"/>
          <w:color w:val="111111"/>
          <w:sz w:val="28"/>
          <w:sz w:val="28"/>
          <w:szCs w:val="28"/>
          <w:rtl w:val="true"/>
          <w:lang w:bidi="ar-SA"/>
        </w:rPr>
        <w:t>والضّرورة لا بدّ أن يكون هو الرّجحان الاستحبابي دون الوجوبي ، فهو لا يتمّ إلّا بترجيح أصل البراءة على الاحتياط ، وهو موقوف على حجّية هذا الظنّ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الجنس لا بقاء له بدون الفصل ، والثابت من الشّرع أحد الأمرين ، </w:t>
      </w:r>
    </w:p>
    <w:p>
      <w:pPr>
        <w:pStyle w:val="BookText"/>
        <w:rPr/>
      </w:pPr>
      <w:r>
        <w:rPr>
          <w:rFonts w:ascii="Amiri" w:hAnsi="Amiri" w:eastAsia="Amiri" w:cs="Amiri"/>
          <w:color w:val="111111"/>
          <w:sz w:val="28"/>
          <w:sz w:val="28"/>
          <w:szCs w:val="28"/>
          <w:rtl w:val="true"/>
          <w:lang w:bidi="ar-SA"/>
        </w:rPr>
        <w:t>وأصل البراءة لا ينفي إلّا المنع عن الترك ، وعلى فرض أن يكون الرّجحان الثابت بالإجماع هو الحاصل في ضمن الوجوب فقط في نفس الأمر ، فمع نفي المنع من الترك بأصل البراءة ، لا يبقى رجحان أصلا لانتفاء الجنس بانتفاء فصله ، وأصل البراءة من المنع عن الترك لا يوجب كون الثابت بالإجماع في نفس الأمر هو الاستحباب ، فكيف يحكم بالاستحباب؟</w:t>
      </w:r>
    </w:p>
    <w:p>
      <w:pPr>
        <w:pStyle w:val="BookText"/>
        <w:rPr/>
      </w:pPr>
      <w:r>
        <w:rPr>
          <w:rFonts w:ascii="Amiri" w:hAnsi="Amiri" w:eastAsia="Amiri" w:cs="Amiri"/>
          <w:color w:val="111111"/>
          <w:sz w:val="28"/>
          <w:sz w:val="28"/>
          <w:szCs w:val="28"/>
          <w:rtl w:val="true"/>
          <w:lang w:bidi="ar-SA"/>
        </w:rPr>
        <w:t xml:space="preserve">نعم ، يصحّ ترجيح الحديث الدالّ على الاستحباب ، على الحديث الدالّ على الوجوب ، بسبب اعتضاده بأصل البراءة ، وهذا ليس مراده ، وإنّما المناسب لما رامه </w:t>
      </w:r>
      <w:r>
        <w:rPr>
          <w:rStyle w:val="FootnoteAnchor"/>
          <w:rtl w:val="true"/>
        </w:rPr>
        <w:footnoteReference w:id="1494"/>
      </w:r>
      <w:r>
        <w:rPr>
          <w:rFonts w:ascii="Amiri" w:hAnsi="Amiri" w:eastAsia="Amiri" w:cs="Amiri"/>
          <w:color w:val="111111"/>
          <w:sz w:val="28"/>
          <w:sz w:val="28"/>
          <w:szCs w:val="28"/>
          <w:rtl w:val="true"/>
          <w:lang w:bidi="ar-SA"/>
        </w:rPr>
        <w:t>من المثال هو أن يقال في نجاسة عرق الجنب من الحرام مثلا ، أنّ خبر الواحد الوارد في ذلك أو الإجماع المنقول الدالّ على ذلك لا حجّة فيه ، والأصل براءة الذمّة عن وجوب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فالجواب </w:t>
      </w:r>
      <w:r>
        <w:rPr>
          <w:rStyle w:val="FootnoteAnchor"/>
          <w:rtl w:val="true"/>
        </w:rPr>
        <w:footnoteReference w:id="1495"/>
      </w:r>
      <w:r>
        <w:rPr>
          <w:rFonts w:ascii="Amiri" w:hAnsi="Amiri" w:eastAsia="Amiri" w:cs="Amiri"/>
          <w:color w:val="111111"/>
          <w:sz w:val="28"/>
          <w:sz w:val="28"/>
          <w:szCs w:val="28"/>
          <w:rtl w:val="true"/>
          <w:lang w:bidi="ar-SA"/>
        </w:rPr>
        <w:t>عن ذلك يظهر ممّا قدّمنا ، من منع حصول الجزم أو الظنّ بأصل البراءة مع ورود الخبر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 ظهر أنّ حكم غسل الجمعة نظير الجهر بالتسمية والإخفات على ما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الكلام فيما كان خبر الواحد الظنّي في مقابل أصل البراءة وفي غسل الجمعة ، الحكم بمطلق الرّجحان القطعيّ الحاصل من الإجماع ، والنوعين من الأخبار الواردة فيه في مقابل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لم تكن 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أراد أنّ هذا التخيير الذي هو في معنى أصل البراءة في مقابل الدّليل الظنّي </w:t>
      </w:r>
    </w:p>
    <w:p>
      <w:pPr>
        <w:pStyle w:val="BookText"/>
        <w:rPr/>
      </w:pPr>
      <w:r>
        <w:rPr>
          <w:rFonts w:ascii="Amiri" w:hAnsi="Amiri" w:eastAsia="Amiri" w:cs="Amiri"/>
          <w:color w:val="111111"/>
          <w:sz w:val="28"/>
          <w:sz w:val="28"/>
          <w:szCs w:val="28"/>
          <w:rtl w:val="true"/>
          <w:lang w:bidi="ar-SA"/>
        </w:rPr>
        <w:t xml:space="preserve">وهو مقدّم ، فهو فاسد ، إذ بعد ملاحظة تعارض دليلي القولين لا شيء في مقابل أصل البراءة حتّى يقال أنّه ظنّيّ ولا نعمل به ، بل يرجع الكلام فيه ، إلى مثل جريان أصل البراءة فيما لا نصّ فيه ومقابله حينئذ هو أدلّة التوقّف والاحتياط وهو لا يقول به </w:t>
      </w:r>
      <w:r>
        <w:rPr>
          <w:rStyle w:val="FootnoteAnchor"/>
          <w:rtl w:val="true"/>
        </w:rPr>
        <w:footnoteReference w:id="1496"/>
      </w:r>
      <w:r>
        <w:rPr>
          <w:rFonts w:ascii="Amiri" w:hAnsi="Amiri" w:eastAsia="Amiri" w:cs="Amiri"/>
          <w:color w:val="111111"/>
          <w:sz w:val="28"/>
          <w:sz w:val="28"/>
          <w:szCs w:val="28"/>
          <w:rtl w:val="true"/>
          <w:lang w:bidi="ar-SA"/>
        </w:rPr>
        <w:t>، والمستدلّ أيضا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 هذا التخيير إنّما هو في العمل بأيّهما اختار من القولين ، وعلى فرض اختيار كلّ منهما يصير واجبا عليه ، فلا معنى لأصل البراءة حينئذ ، نظير التخيير بين الرّجوع إلى المجتهدين كما مرّ ، فإنّ المفروض أنّ القول منحصر في وجوب الجهر أو وجوب الإخفات ، وأنّ أحدهما ثابت في نفس الأمر جزما ، لا أنّ الأصل عدم وجوب شيء ، والدّليل الظنّي دلّ على وجوب أحدهما فينفيه أصل البراءة ، فبعد ثبوت التخيير أيضا يثبت حكم جزما ، والتخيير في الرجوع إلى الدليلين أو القولين غير التخيير في اختيار أحد المدلولين </w:t>
      </w:r>
      <w:r>
        <w:rPr>
          <w:rStyle w:val="FootnoteAnchor"/>
          <w:rtl w:val="true"/>
        </w:rPr>
        <w:footnoteReference w:id="1497"/>
      </w:r>
      <w:r>
        <w:rPr>
          <w:rFonts w:ascii="Amiri" w:hAnsi="Amiri" w:eastAsia="Amiri" w:cs="Amiri"/>
          <w:color w:val="111111"/>
          <w:sz w:val="28"/>
          <w:sz w:val="28"/>
          <w:szCs w:val="28"/>
          <w:rtl w:val="true"/>
          <w:lang w:bidi="ar-SA"/>
        </w:rPr>
        <w:t xml:space="preserve">ليكون تخييرا في أصل المسألة كما مرّ الإشارة إليه </w:t>
      </w:r>
      <w:r>
        <w:rPr>
          <w:rStyle w:val="FootnoteAnchor"/>
          <w:rtl w:val="true"/>
        </w:rPr>
        <w:footnoteReference w:id="1498"/>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 ظهر أنّه لا مناص </w:t>
      </w:r>
      <w:r>
        <w:rPr>
          <w:rStyle w:val="FootnoteAnchor"/>
          <w:rtl w:val="true"/>
        </w:rPr>
        <w:footnoteReference w:id="1499"/>
      </w:r>
      <w:r>
        <w:rPr>
          <w:rFonts w:ascii="Amiri" w:hAnsi="Amiri" w:eastAsia="Amiri" w:cs="Amiri"/>
          <w:color w:val="111111"/>
          <w:sz w:val="28"/>
          <w:sz w:val="28"/>
          <w:szCs w:val="28"/>
          <w:rtl w:val="true"/>
          <w:lang w:bidi="ar-SA"/>
        </w:rPr>
        <w:t xml:space="preserve">عن العمل بالظنّ ، وأنّه حجّة إلّا ما صرّح الشارع بحرمته وثبت حرمته من جانبه مثل القياس والاستحسان ونحوهما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والعبرة بقوّة الظنّ والمعيار هو الرّجحان في النظر ، فإذا حصل الظنّ بمدلول خبر </w:t>
      </w:r>
    </w:p>
    <w:p>
      <w:pPr>
        <w:pStyle w:val="BookText"/>
        <w:rPr/>
      </w:pPr>
      <w:r>
        <w:rPr>
          <w:rFonts w:ascii="Amiri" w:hAnsi="Amiri" w:eastAsia="Amiri" w:cs="Amiri"/>
          <w:color w:val="111111"/>
          <w:sz w:val="28"/>
          <w:sz w:val="28"/>
          <w:szCs w:val="28"/>
          <w:rtl w:val="true"/>
          <w:lang w:bidi="ar-SA"/>
        </w:rPr>
        <w:t xml:space="preserve">الواحد أكثر ممّا دلّ عليه أصل البراءة وغيره ، فيقدّم عليه ، وذلك ليس من قبيل ما نصّ الشّارع باعتباره من الظّنون ، كشهادة العدلين وغيرها ، فإنّه قد يحصل الظنّ بشاهد واحد أكثر من شاهدين ولا يعتبر ذلك ، لأنّ الشّارع جعل الشّاهدين من حيث إنّهما شاهدان مناطا للحكم ، لا من حيث الظنّ الحاصل بهما ، كالفتوى والإقرار وغيرهما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يجب العمل بالظنّ لزم ترجيح المرجوح على الرّاجح وهو بديهيّ البطلان ، ذكره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الترجيح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المرجوح بمعنى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المرجوح عبارة عن القول بأنّ الموهوم حكم الله </w:t>
      </w:r>
      <w:r>
        <w:rPr>
          <w:rStyle w:val="FootnoteAnchor"/>
          <w:rtl w:val="true"/>
        </w:rPr>
        <w:footnoteReference w:id="1503"/>
      </w:r>
      <w:r>
        <w:rPr>
          <w:rFonts w:ascii="Amiri" w:hAnsi="Amiri" w:eastAsia="Amiri" w:cs="Amiri"/>
          <w:color w:val="111111"/>
          <w:sz w:val="28"/>
          <w:sz w:val="28"/>
          <w:szCs w:val="28"/>
          <w:rtl w:val="true"/>
          <w:lang w:bidi="ar-SA"/>
        </w:rPr>
        <w:t xml:space="preserve">أو العمل بمقتضاه ، والرّاجح عبارة عن القول بأنّ المظنون حكم الله تعالى أو العمل بمقتضاه ، ومبدأ الاشتقاق في لفظ الرّاجح والمرجوح هو الرّجحان ، بمعنى استحقاق فاعله المدح أو الذمّ ، لا بمعنى كون الشيء ذا المصلحة الدّاعية إلى الفعل كما هو المصطلح في لفظ المرجّح والمرجوح في تركيب الترجيح بلا مرجّح ، وترجيح المرجوح المصطلحين عند </w:t>
      </w:r>
    </w:p>
    <w:p>
      <w:pPr>
        <w:pStyle w:val="BookText"/>
        <w:rPr/>
      </w:pPr>
      <w:r>
        <w:rPr>
          <w:rFonts w:ascii="Amiri" w:hAnsi="Amiri" w:eastAsia="Amiri" w:cs="Amiri"/>
          <w:color w:val="111111"/>
          <w:sz w:val="28"/>
          <w:sz w:val="28"/>
          <w:szCs w:val="28"/>
          <w:rtl w:val="true"/>
          <w:lang w:bidi="ar-SA"/>
        </w:rPr>
        <w:t>نزاعهم في أنّ الترجيح بلا مرجّح محال وخلافه ، وكذا ترجيح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المراد أنّ الفتوى والعمل بالموهوم مرجوح عند العقل ، والفتوى والعمل بالرّاجح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أنّ الأوّل يشبه الكذب ، بل هو هو ، بخلاف الثاني ، ولا يجوز ترك الحسن واختيار القبيح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يتمّ إذا ثبت وجوب الإفتاء والعمل ، ولا دليل عليه من العقل ولا من النقل ، إذ العقل إنّما يدلّ على أنّه لو وجب الإفتاء أو العمل ، يجب اختيار الرّاجح ، وثبوت وجوب الإفتاء لا يحكم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فلأنّه لا دليل على وجوب الإفتاء عند عدم القطع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الذي ادّعوه على وجوب الإفتاء على المفتي فيما نحن فيه ، ممنوع ، إذ الأخباريون الّذين يعتبر فتواهم في انعقاد الإجماع مخالفون في ذلك ، ويقولون بوجوب التوقّف أو الاحتياط عند فقد ما يفيد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الإيراد في جانب المقابل من الإيراد المتقدّم في الدّليل الأوّل وكما أنّه إفراط ، فهذا تفريط ، وإذ قد أبطلنا العمل بأصل البراءة ثمّة ، فبطلان التوقّف والاحتياط هنا أولى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فإنّا نقول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العمل بالمقطوع به </w:t>
      </w:r>
      <w:r>
        <w:rPr>
          <w:rStyle w:val="FootnoteAnchor"/>
          <w:rtl w:val="true"/>
        </w:rPr>
        <w:footnoteReference w:id="1505"/>
      </w:r>
      <w:r>
        <w:rPr>
          <w:rFonts w:ascii="Amiri" w:hAnsi="Amiri" w:eastAsia="Amiri" w:cs="Amiri"/>
          <w:color w:val="111111"/>
          <w:sz w:val="28"/>
          <w:sz w:val="28"/>
          <w:szCs w:val="28"/>
          <w:rtl w:val="true"/>
          <w:lang w:bidi="ar-SA"/>
        </w:rPr>
        <w:t xml:space="preserve">في الفرعيّات أوّل الكلام وما دلّ </w:t>
      </w:r>
    </w:p>
    <w:p>
      <w:pPr>
        <w:pStyle w:val="BookText"/>
        <w:rPr/>
      </w:pPr>
      <w:r>
        <w:rPr>
          <w:rFonts w:ascii="Amiri" w:hAnsi="Amiri" w:eastAsia="Amiri" w:cs="Amiri"/>
          <w:color w:val="111111"/>
          <w:sz w:val="28"/>
          <w:sz w:val="28"/>
          <w:szCs w:val="28"/>
          <w:rtl w:val="true"/>
          <w:lang w:bidi="ar-SA"/>
        </w:rPr>
        <w:t>عليه من ظواهر الآيات ، مع أنّ ظواهرها ليست بحجّة عند الأخباريين ، ليست إلّا ظنونا ، مع أنّ الظاهر منها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 لكنّها مخصوصة بحال الإمكان ، ودعواهم أنّ الأخبار قطعيّة وأنّهم يعملون بالقطع ، في غاية الوهن ، فإنّ عيان وجوه الاختلال في متنها وسندها ودلالتها وتعارضها الموجبة لعدم الوثوق بها فضلا عن حصول اليقين منها ، يغني عن البيان ، وقد أشرنا إليه سابقا ، وسنشير مع أنّه لا دليل على حجّيتها </w:t>
      </w:r>
      <w:r>
        <w:rPr>
          <w:rStyle w:val="FootnoteAnchor"/>
          <w:rtl w:val="true"/>
        </w:rPr>
        <w:footnoteReference w:id="1506"/>
      </w:r>
      <w:r>
        <w:rPr>
          <w:rFonts w:ascii="Amiri" w:hAnsi="Amiri" w:eastAsia="Amiri" w:cs="Amiri"/>
          <w:color w:val="111111"/>
          <w:sz w:val="28"/>
          <w:sz w:val="28"/>
          <w:szCs w:val="28"/>
          <w:rtl w:val="true"/>
          <w:lang w:bidi="ar-SA"/>
        </w:rPr>
        <w:t xml:space="preserve">، إذ الآيتان </w:t>
      </w:r>
      <w:r>
        <w:rPr>
          <w:rStyle w:val="FootnoteAnchor"/>
          <w:rtl w:val="true"/>
        </w:rPr>
        <w:footnoteReference w:id="1507"/>
      </w:r>
      <w:r>
        <w:rPr>
          <w:rFonts w:ascii="Amiri" w:hAnsi="Amiri" w:eastAsia="Amiri" w:cs="Amiri"/>
          <w:color w:val="111111"/>
          <w:sz w:val="28"/>
          <w:sz w:val="28"/>
          <w:szCs w:val="28"/>
          <w:rtl w:val="true"/>
          <w:lang w:bidi="ar-SA"/>
        </w:rPr>
        <w:t xml:space="preserve">على فرض تسليم دلالتهما فهما من ظواهر القرآن وقد عرفت حالها ، مع أنّ آية النفر ظاهرة في التفقّه ، وآية النبأ معلّلة بما علّل </w:t>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إذا وجد ظنّ أقوى من الظنّ الحاصل من خبر الواحد ، لا يجري العلّة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فهو لم يثبت على حجّيتها مطلقا وفي جميع الأحوال والأزمان خصوصا فيما كان هناك ظنّ أقوى منه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الإجماع على جواز العمل بها في زمن الصّحابة والتابعين يكفي في ثبوته مطلقا لعدم القول بالفصل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نعلم الإجماع على عدم القول بالفصل ، بل بعضهم منعوا عن ثبوت الإجماع إلّا في الصدر الأوّل </w:t>
      </w:r>
      <w:r>
        <w:rPr>
          <w:rStyle w:val="FootnoteAnchor"/>
          <w:rtl w:val="true"/>
        </w:rPr>
        <w:footnoteReference w:id="1510"/>
      </w:r>
      <w:r>
        <w:rPr>
          <w:rFonts w:ascii="Amiri" w:hAnsi="Amiri" w:eastAsia="Amiri" w:cs="Amiri"/>
          <w:color w:val="111111"/>
          <w:sz w:val="28"/>
          <w:sz w:val="28"/>
          <w:szCs w:val="28"/>
          <w:rtl w:val="true"/>
          <w:lang w:bidi="ar-SA"/>
        </w:rPr>
        <w:t>فيفرّق بين الزّمانين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الاعتماد على الإجماع المركّب ، إنّما هو إذا لم يعلم مستند المجمعين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علمنا أنّ مستند المجمعين من جانب القول بالحجّية هو الآيتان والإجماع ، وقد عرفت حال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فلم يثبت إلّا في الصدر الأوّل </w:t>
      </w:r>
      <w:r>
        <w:rPr>
          <w:rStyle w:val="FootnoteAnchor"/>
          <w:rtl w:val="true"/>
        </w:rPr>
        <w:footnoteReference w:id="1511"/>
      </w:r>
      <w:r>
        <w:rPr>
          <w:rFonts w:ascii="Amiri" w:hAnsi="Amiri" w:eastAsia="Amiri" w:cs="Amiri"/>
          <w:color w:val="111111"/>
          <w:sz w:val="28"/>
          <w:sz w:val="28"/>
          <w:szCs w:val="28"/>
          <w:rtl w:val="true"/>
          <w:lang w:bidi="ar-SA"/>
        </w:rPr>
        <w:t xml:space="preserve">، ولا معنى حينئذ للتمسّك بعدم القول بالفصل لأحد شطري الإجماع </w:t>
      </w:r>
      <w:r>
        <w:rPr>
          <w:rStyle w:val="FootnoteAnchor"/>
          <w:rtl w:val="true"/>
        </w:rPr>
        <w:footnoteReference w:id="1512"/>
      </w:r>
      <w:r>
        <w:rPr>
          <w:rFonts w:ascii="Amiri" w:hAnsi="Amiri" w:eastAsia="Amiri" w:cs="Amiri"/>
          <w:color w:val="111111"/>
          <w:sz w:val="28"/>
          <w:sz w:val="28"/>
          <w:szCs w:val="28"/>
          <w:rtl w:val="true"/>
          <w:lang w:bidi="ar-SA"/>
        </w:rPr>
        <w:t xml:space="preserve">المركّب ، إذ تحقّق ذلك الشّطر حينئذ إنّما هو بهذا الإجماع البسيط ، ولم يتحقّق إلّا في هذا القدر </w:t>
      </w:r>
      <w:r>
        <w:rPr>
          <w:rStyle w:val="FootnoteAnchor"/>
          <w:rtl w:val="true"/>
        </w:rPr>
        <w:footnoteReference w:id="1513"/>
      </w:r>
      <w:r>
        <w:rPr>
          <w:rFonts w:ascii="Amiri" w:hAnsi="Amiri" w:eastAsia="Amiri" w:cs="Amiri"/>
          <w:color w:val="111111"/>
          <w:sz w:val="28"/>
          <w:sz w:val="28"/>
          <w:szCs w:val="28"/>
          <w:rtl w:val="true"/>
          <w:lang w:bidi="ar-SA"/>
        </w:rPr>
        <w:t>، فليفهم ذلك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عدم إمكان القطع في الفقه في أمثال زماننا غالبا ، ممّا لا يجوز إنكاره في غير الضّروريات ، والضروريات لا تكفينا كما أشرنا </w:t>
      </w:r>
      <w:r>
        <w:rPr>
          <w:rStyle w:val="FootnoteAnchor"/>
          <w:rtl w:val="true"/>
        </w:rPr>
        <w:footnoteReference w:id="1514"/>
      </w:r>
      <w:r>
        <w:rPr>
          <w:rFonts w:ascii="Amiri" w:hAnsi="Amiri" w:eastAsia="Amiri" w:cs="Amiri"/>
          <w:color w:val="111111"/>
          <w:sz w:val="28"/>
          <w:sz w:val="28"/>
          <w:szCs w:val="28"/>
          <w:rtl w:val="true"/>
          <w:lang w:bidi="ar-SA"/>
        </w:rPr>
        <w:t xml:space="preserve">، وأيضا العمل بالتوقّف أو الفتوى بالتوقّف أيضا يحتاج إلى دليل يفيد القطع ، فإن تمسّكوا فيه بالأخبار الدالّة على ذلك عند عدم العلم ، فمع أنّ تلك الأخبار لا تفيد القطع كما بيّنا لعدم تواترها ، معارضة بما دلّ على أصالة البراءة ولزوم العسر والحرج ، ولو فرض ترجيح تلك الأخبار عليها ، فلا ريب أنّه ترجيح ظنّي أيضا ، مع أنّه قد لا يمكن الاحتياط في العمل ولا التوقّف ، كما لو دار المال بين شخصين ، ولا يقتضي </w:t>
      </w:r>
    </w:p>
    <w:p>
      <w:pPr>
        <w:pStyle w:val="BookText"/>
        <w:rPr/>
      </w:pPr>
      <w:r>
        <w:rPr>
          <w:rFonts w:ascii="Amiri" w:hAnsi="Amiri" w:eastAsia="Amiri" w:cs="Amiri"/>
          <w:color w:val="111111"/>
          <w:sz w:val="28"/>
          <w:sz w:val="28"/>
          <w:szCs w:val="28"/>
          <w:rtl w:val="true"/>
          <w:lang w:bidi="ar-SA"/>
        </w:rPr>
        <w:t xml:space="preserve">الاحتياط إعطاؤه بأحدهما دون الآخر </w:t>
      </w:r>
      <w:r>
        <w:rPr>
          <w:rStyle w:val="FootnoteAnchor"/>
          <w:rtl w:val="true"/>
        </w:rPr>
        <w:footnoteReference w:id="1515"/>
      </w:r>
      <w:r>
        <w:rPr>
          <w:rFonts w:ascii="Amiri" w:hAnsi="Amiri" w:eastAsia="Amiri" w:cs="Amiri"/>
          <w:color w:val="111111"/>
          <w:sz w:val="28"/>
          <w:sz w:val="28"/>
          <w:szCs w:val="28"/>
          <w:rtl w:val="true"/>
          <w:lang w:bidi="ar-SA"/>
        </w:rPr>
        <w:t>أو كان بين يتيمين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نتعرّض للمال في العمل ولا نحكم به لأحدهما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ابقاؤه قد يوجب التّلف فكيف تجترئ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يرضى عنك بذلك ، وأيّ شيء ذلك ، على أنّ دليل هذا العمل قطعيّ ، وأنّه لا يجوز العمل على مقتضى الظنّ الحاصل للمجتهد ، فترك الفتوى وترك العمل أيضا يحتاج إلى الدّليل ، فلعلّ الله يعذّبك على عدم الاعتناء ، وحرمة العمل بالظنّ لم يثبت من أدلّتها بحيث يوازي الضّرر المظنون في إتلاف مال اليتيم وتعطيل الأمر والتزام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 بمثال من جهة التقريب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بين أصحابنا أنّ لكلّ من أولاد الابن وأولاد البنت من مال جدّهما نصيب من يتقرّبان به ، فالثلثان لأولاد الابن والثلث لأولاد البنت ، خلافا للسيّد رحمه‌الله ومن تبعه ، حيث يجعلون الجميع مقام أولاد الجدّ فيقسّمون بينهم للذكر مثل حظّ الأنثيين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المشهور بعد اعتبار الفرق بين أولاد الابن وأولاد البنت يجعلون حصّة كلّ واحد من الفريقين بينهم للذكر مثل حظّ الأنثيين ولا دليل لهم ظاهرا إلّا الشّهرة ، فإن جعلنا الشّهرة حجّة فهو ، وإلّا فلا بدّ أن يوقف المال ويهلك الأيتام 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والتمسّك بالأخبار الواردة في أنّ كلّ رحم يرث نصيب من يتقرّب به لا يعطى إلّا أنّ لكلّ واحد من الفريقين نصيب والدهم ، ولا يعطى كيفية القسمة بينهم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بعموم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w:t>
      </w:r>
      <w:r>
        <w:rPr>
          <w:rStyle w:val="FootnoteAnchor"/>
          <w:rtl w:val="true"/>
        </w:rPr>
        <w:footnoteReference w:id="1516"/>
      </w:r>
      <w:r>
        <w:rPr>
          <w:rFonts w:ascii="Amiri" w:hAnsi="Amiri" w:eastAsia="Amiri" w:cs="Amiri"/>
          <w:color w:val="111111"/>
          <w:sz w:val="28"/>
          <w:sz w:val="28"/>
          <w:szCs w:val="28"/>
          <w:rtl w:val="true"/>
          <w:lang w:bidi="ar-SA"/>
        </w:rPr>
        <w:t xml:space="preserve">كما ذهب إليه السيّد ومن تبعه ، فمع أنّه يوجب الرجوع إلى قول السيّد في الأصل </w:t>
      </w:r>
      <w:r>
        <w:rPr>
          <w:rStyle w:val="FootnoteAnchor"/>
          <w:rtl w:val="true"/>
        </w:rPr>
        <w:footnoteReference w:id="1517"/>
      </w:r>
      <w:r>
        <w:rPr>
          <w:rFonts w:ascii="Amiri" w:hAnsi="Amiri" w:eastAsia="Amiri" w:cs="Amiri"/>
          <w:color w:val="111111"/>
          <w:sz w:val="28"/>
          <w:sz w:val="28"/>
          <w:szCs w:val="28"/>
          <w:rtl w:val="true"/>
          <w:lang w:bidi="ar-SA"/>
        </w:rPr>
        <w:t xml:space="preserve">، وأنّه في نفسه ممنوع </w:t>
      </w:r>
    </w:p>
    <w:p>
      <w:pPr>
        <w:pStyle w:val="BookText"/>
        <w:rPr/>
      </w:pPr>
      <w:r>
        <w:rPr>
          <w:rFonts w:ascii="Amiri" w:hAnsi="Amiri" w:eastAsia="Amiri" w:cs="Amiri"/>
          <w:color w:val="111111"/>
          <w:sz w:val="28"/>
          <w:sz w:val="28"/>
          <w:szCs w:val="28"/>
          <w:rtl w:val="true"/>
          <w:lang w:bidi="ar-SA"/>
        </w:rPr>
        <w:t>لكون الأولاد حقيقة في ولد الصّلب إنّما هو ظاهر آية ولا حجّة فيه عندهم ، فلا بدّ للأخباريين هنا من بيان دليل قطعيّ على جواز التوقّف والاحتياط وإرشادهم إيّانا سبيل الاحتياط إذا كان الفريقان كلاهما أيتاما صغارا فقارا لا حيلة لهم في المعيشة إلّا أخذ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من سلك سبيل الفقه واطّلع على أحكامه وعاشر الناس ولاحظ وقائعهم المختلفة ومقتضياتهم المتناقضة ، وتتبّع الأدلّة ومؤدّاها وتأمّل فيها حقّ التأمّل وميّزها حقّ التميّز ، وعرف الفرق بين زمان المعصوم عليه‌السلام وغير زمانه ، يعلم أنّ ما ذكره الأخباريّون محض كلام بلا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في مسألة قيام الشّهرة في أحد طرفي المسألة وخبر واحد في الطرف الآخر من دون عامل أو مع عامل نادر ، فعلى الأخباريّ أن يثبت أنّ أدلّة حجّية خبر الواحد تشمل مثل هذا المقام ، فلا يجوز العمل بالشّهرة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أقول </w:t>
      </w:r>
      <w:r>
        <w:rPr>
          <w:rStyle w:val="FootnoteAnchor"/>
          <w:rtl w:val="true"/>
        </w:rPr>
        <w:footnoteReference w:id="1518"/>
      </w:r>
      <w:r>
        <w:rPr>
          <w:rFonts w:ascii="Amiri" w:hAnsi="Amiri" w:eastAsia="Amiri" w:cs="Amiri"/>
          <w:color w:val="111111"/>
          <w:sz w:val="28"/>
          <w:sz w:val="28"/>
          <w:szCs w:val="28"/>
          <w:rtl w:val="true"/>
          <w:lang w:bidi="ar-SA"/>
        </w:rPr>
        <w:t>بنفي العمل ولا بوجوبه ، بل أتوقّف وأحتاط</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فيما لا يمكن ذلك فيه ، بل أقول لك هنا كلاما هو بمنزلة السرّ لمختار العاملين بالظّنون في أمثال ذلك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البصير لا بدّ أن يلاحظ مضارّ طرفي الفعل والترك في كلّ ما يريد ، ولا يقتصر على أحد الطرفين ، ولذلك أمثلة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عن مساورة عامّة الناس لكون غالبهم غير محترزين عن النجاسات ، فإنّ الاحتياط عن النجاسة حسن ، لكنّ الاجتناب عن كسر قلوب </w:t>
      </w:r>
    </w:p>
    <w:p>
      <w:pPr>
        <w:pStyle w:val="BookText"/>
        <w:rPr/>
      </w:pPr>
      <w:r>
        <w:rPr>
          <w:rFonts w:ascii="Amiri" w:hAnsi="Amiri" w:eastAsia="Amiri" w:cs="Amiri"/>
          <w:color w:val="111111"/>
          <w:sz w:val="28"/>
          <w:sz w:val="28"/>
          <w:szCs w:val="28"/>
          <w:rtl w:val="true"/>
          <w:lang w:bidi="ar-SA"/>
        </w:rPr>
        <w:t>المؤمنين وتضييق الأمر والمفاسد المترتّبة على ذلك ممّا ليس هنا مقام تعداده أيضا حسن ، بل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الاحتياط في الفتوى والعمل حسن ، لكنّ إقامة المعروف وإغاثة الملهوف ورفع المفاسد وقطع الدّعاوي بين الناس ، والإصلاح بينهم أيضا حسن ، بل أحسن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ورد عليك مسألة وتردّد أمرك بين أن تحكم فيها بما أدّى إليه ظنّك وأن تحتاط ، فكما تحتاط في الفتوى والعمل بالظنّ من جهة ما دلّك عليه من الآيات والأخبار الدالّة على حرمة العمل بالظنّ وبتذكّرها تثبط </w:t>
      </w:r>
      <w:r>
        <w:rPr>
          <w:rStyle w:val="FootnoteAnchor"/>
          <w:rtl w:val="true"/>
        </w:rPr>
        <w:footnoteReference w:id="1519"/>
      </w:r>
      <w:r>
        <w:rPr>
          <w:rFonts w:ascii="Amiri" w:hAnsi="Amiri" w:eastAsia="Amiri" w:cs="Amiri"/>
          <w:color w:val="111111"/>
          <w:sz w:val="28"/>
          <w:sz w:val="28"/>
          <w:szCs w:val="28"/>
          <w:rtl w:val="true"/>
          <w:lang w:bidi="ar-SA"/>
        </w:rPr>
        <w:t>عن الدّخول فيه ، فتذكّر حينئذ أيضا ما ورد عليك من الآيات والأخبار الدالّة على إقامة المعروف والإصلاح بين الناس ، وأنّه لا حرج في الدّين ولا عسر ولا ضيق ، وأنّ التسبيب لتلف الأموال والنفوس وتعطيل أحكام الشرع مذموم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وعليك أن تحتاط من أن يكون ذلك من جهة الوسواس وتسويل الشيطان ، فإنّ الشيطان قد يصير عالما صالحا متنسّكا لأجل تغرير الصّلحاء والعبّاد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إنّه يوسوس في أحكام النجاسات ونيّة العبادات إلى أن يجعل الإنسان متأذّيا عن طاعة الله ، ولا يتعرّض لحال أمر الإنسان في الاجتناب عن المحرّمات المالية وحقوق الناس وغيرها ، فترى الوسواسيين مجتنبين عن الطاهر اليقيني بسبب احتمال قربه بالنجس ، ولا يحتاطون أبدا من أكل لحوم السّوق ، مع ظهور أنّ أكثر الجزّارين ممّا لا يعتمد على دينهم وتقواهم ، بل ولا يدرون كثير منهم مسائل الذّبح والتذكية ، فلعلّه أكل لحم الميتة غالبا ، وكذلك لا يجتنبون عن أكل السّكر ، بل ولبس </w:t>
      </w:r>
    </w:p>
    <w:p>
      <w:pPr>
        <w:pStyle w:val="BookText"/>
        <w:rPr/>
      </w:pPr>
      <w:r>
        <w:rPr>
          <w:rFonts w:ascii="Amiri" w:hAnsi="Amiri" w:eastAsia="Amiri" w:cs="Amiri"/>
          <w:color w:val="111111"/>
          <w:sz w:val="28"/>
          <w:sz w:val="28"/>
          <w:szCs w:val="28"/>
          <w:rtl w:val="true"/>
          <w:lang w:bidi="ar-SA"/>
        </w:rPr>
        <w:t>منسوجات أهل الكفر ، مع أنّ الغالب أنّهم ملاقوها بالرّطوبة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عدم التنزّه عن النجاسة يوجب الهلاك ، فكذلك أكل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الكلام في فتوى القصاص ، فربّما يظهر لفقيه لزوم القصاص ويحتاط لأجل التحرّز عن الدّخول في أحكام الدّماء وينسى عمّا ذكره الله في كتابه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الْقِصاصِ حَياةٌ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النظر إلى حال أولياء الدّم ، مع ما بهم من الوجع والألم وأنّ تركه ربّما يوجب زيادة قتل النفوس وغير ذلك ، بل أقول لك أنّه ربّما يكون ظنّ أحدهم متاخما للعلم ، بل يصير إلى حدّ العلم العادي ولا يجترئ على فتوى القصاص ، فإن سألته عن ذلك يجيب بأنّه يخاف الله عن سوء الحساب ، وإن تتبّعت حاله لا تجد يقينه بالمعاد وعذاب جهنّم أكثر ممّا ظهر له من حقيقة الأمر ، فكيف يصير الفرع زائدا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لا بدّ من ملاحظة طرفي الإفراط والتفريط أعاذنا الله من الميل إلى الهوى ومتابعة النفس وإطاعة الشيطان ، ومع ذلك كلّه ، فلا تغترّ بما نهيتك عن التزام الاحتياط ويصير ذلك سببا للمسامحة في الدّين والمساهلة في الفتوى ، فإنّ ذلك أيضا من الموبقات المهلكة ومن أعظمها ، بل عليك بالاقتصاد وبذل الجهد والوسع ثمّ العمل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مخالفة ما ظنّه المجتهد حكم الله ، مظنّة للضرر ، ودفع الضرر المظنون واجب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أنّ مخالفة الظنّ مظنّة للضرر ، لأنّ علمنا بوجوب نصب الدّلالة من الشارع </w:t>
      </w:r>
      <w:r>
        <w:rPr>
          <w:rStyle w:val="FootnoteAnchor"/>
          <w:rtl w:val="true"/>
        </w:rPr>
        <w:footnoteReference w:id="1521"/>
      </w:r>
      <w:r>
        <w:rPr>
          <w:rFonts w:ascii="Amiri" w:hAnsi="Amiri" w:eastAsia="Amiri" w:cs="Amiri"/>
          <w:color w:val="111111"/>
          <w:sz w:val="28"/>
          <w:sz w:val="28"/>
          <w:szCs w:val="28"/>
          <w:rtl w:val="true"/>
          <w:lang w:bidi="ar-SA"/>
        </w:rPr>
        <w:t xml:space="preserve">على ما يتوجّه التكليف به ، يؤمننا الضّرر عند صدق المخبر ، مع أنّه </w:t>
      </w:r>
    </w:p>
    <w:p>
      <w:pPr>
        <w:pStyle w:val="BookText"/>
        <w:rPr/>
      </w:pPr>
      <w:r>
        <w:rPr>
          <w:rFonts w:ascii="Amiri" w:hAnsi="Amiri" w:eastAsia="Amiri" w:cs="Amiri"/>
          <w:color w:val="111111"/>
          <w:sz w:val="28"/>
          <w:sz w:val="28"/>
          <w:szCs w:val="28"/>
          <w:rtl w:val="true"/>
          <w:lang w:bidi="ar-SA"/>
        </w:rPr>
        <w:t>منقوض برواية الفاسق ، بل برواية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الظنّ يحصل عند خبره ، ولا يمكن أن يقال أنّه مخرج </w:t>
      </w:r>
      <w:r>
        <w:rPr>
          <w:rStyle w:val="FootnoteAnchor"/>
          <w:rtl w:val="true"/>
        </w:rPr>
        <w:footnoteReference w:id="1522"/>
      </w:r>
      <w:r>
        <w:rPr>
          <w:rFonts w:ascii="Amiri" w:hAnsi="Amiri" w:eastAsia="Amiri" w:cs="Amiri"/>
          <w:color w:val="111111"/>
          <w:sz w:val="28"/>
          <w:sz w:val="28"/>
          <w:szCs w:val="28"/>
          <w:rtl w:val="true"/>
          <w:lang w:bidi="ar-SA"/>
        </w:rPr>
        <w:t>بالإجماع ، لأنّ الدّليل العقلي لا يختلف العقلي لا يختلف بحسب مظانّه ، ولا بدّ أن يكون مطّردا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يمنع </w:t>
      </w:r>
      <w:r>
        <w:rPr>
          <w:rStyle w:val="FootnoteAnchor"/>
          <w:rtl w:val="true"/>
        </w:rPr>
        <w:footnoteReference w:id="1523"/>
      </w:r>
      <w:r>
        <w:rPr>
          <w:rFonts w:ascii="Amiri" w:hAnsi="Amiri" w:eastAsia="Amiri" w:cs="Amiri"/>
          <w:color w:val="111111"/>
          <w:sz w:val="28"/>
          <w:sz w:val="28"/>
          <w:szCs w:val="28"/>
          <w:rtl w:val="true"/>
          <w:lang w:bidi="ar-SA"/>
        </w:rPr>
        <w:t>وجوب دفع الضّرر المظنون ، بل هو أولى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التسليم فإنّما يسلم في العقليات الصّرفة المتعلّقة بأمر المعاش ، دون المسائل الشرعية المتعلّقة بالمعاد ، فإنّ العقل يستقلّ بمعرفة حكم العقليات دون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المستدلّ أنّه إذا علم بقاء التكليف ضرورة وانحصر طريق معرفة الحكم الشرعي في الظنّ ، فيجب متابعته ولا يجوز تركه </w:t>
      </w:r>
      <w:r>
        <w:rPr>
          <w:rStyle w:val="FootnoteAnchor"/>
          <w:rtl w:val="true"/>
        </w:rPr>
        <w:footnoteReference w:id="1524"/>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براءة الذمّة من هذا التكليف ، إذ ما ظنّه حراما أو واجبا ، فيظنّ أنّ الله تعالى يؤاخذه على مخالفته ، وظنّ المؤاخذة موجب لوجوب التحرّز عقلا ، ولا وجه لمنع ذلك</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w:t>
      </w:r>
      <w:r>
        <w:rPr>
          <w:rStyle w:val="FootnoteAnchor"/>
          <w:rtl w:val="true"/>
        </w:rPr>
        <w:footnoteReference w:id="1525"/>
      </w:r>
      <w:r>
        <w:rPr>
          <w:rFonts w:ascii="Amiri" w:hAnsi="Amiri" w:eastAsia="Amiri" w:cs="Amiri"/>
          <w:color w:val="111111"/>
          <w:sz w:val="28"/>
          <w:sz w:val="28"/>
          <w:szCs w:val="28"/>
          <w:rtl w:val="true"/>
          <w:lang w:bidi="ar-SA"/>
        </w:rPr>
        <w:t>من السّند فيه ، أنّ وجوب نصب الدّلالة القطعية بالخصوص على الشارع حينئذ ممنوع ، وهو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الإمامية تقول بوجوب اللّطف على الله تعالى ونصب الإمام عليه‌السلام لإجراء الأحكام والحدود ورفع المفاسد </w:t>
      </w:r>
    </w:p>
    <w:p>
      <w:pPr>
        <w:pStyle w:val="BookText"/>
        <w:rPr/>
      </w:pPr>
      <w:r>
        <w:rPr>
          <w:rFonts w:ascii="Amiri" w:hAnsi="Amiri" w:eastAsia="Amiri" w:cs="Amiri"/>
          <w:color w:val="111111"/>
          <w:sz w:val="28"/>
          <w:sz w:val="28"/>
          <w:szCs w:val="28"/>
          <w:rtl w:val="true"/>
          <w:lang w:bidi="ar-SA"/>
        </w:rPr>
        <w:t>والإصلاح بين الناس وإقامة المعروف ، ومع ذلك مخفيّ عن الأمّة وإن كان بسبب ظلم ظالميهم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المجتهد صار نائبا عنه بالعقل والنقل ، وكان اتّباعه واجبا كاتّباعه ، فكذلك ظنّ المجتهد بقولهم ودينهم وشرائعهم صار نائبا عن يقينه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كان يجب أن يكون الإمام عليه‌السلام عارفا بجميع الأحكام بحيث لو احتاجت الأمّة أعلمهم بها وإن لم تكن محتاجة بالفعل إليها ، فكذلك يجب للمجتهد الاستعداد لجميع الأحكام بقدر طاقته ليرفع احتياج الأمّة عند احتياجهم ، وإن لم يكن فعليّة الاجتهاد واجبا ، ولا ريب أنّه لا يمكن له تحصيل الكلّ باليقين ، فناب ظنّه مقام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يكن إثبات اليقين بحجّية أخبار الآحاد وظواهر الكتاب في زماننا لما أشرنا سابقا ، فغاية </w:t>
      </w:r>
      <w:r>
        <w:rPr>
          <w:rStyle w:val="FootnoteAnchor"/>
          <w:rtl w:val="true"/>
        </w:rPr>
        <w:footnoteReference w:id="1526"/>
      </w:r>
      <w:r>
        <w:rPr>
          <w:rFonts w:ascii="Amiri" w:hAnsi="Amiri" w:eastAsia="Amiri" w:cs="Amiri"/>
          <w:color w:val="111111"/>
          <w:sz w:val="28"/>
          <w:sz w:val="28"/>
          <w:szCs w:val="28"/>
          <w:rtl w:val="true"/>
          <w:lang w:bidi="ar-SA"/>
        </w:rPr>
        <w:t>الأمر حصول ظنّ بحجّيتها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على أصل البراءة قد عرفت حاله ، وكذلك التوقّف والاحتياط مع عدم دليل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فرض عدم حصول ظنّ للمجتهد في مسألة أصلا ، فيرجع فيه إلى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التقرير يرجع مآل هذا الدّليل إلى الدّليل الأوّل ، لأنّ مرجع الدّليل الأوّل إلى لزوم تكليف ما لا يطاق في معرفة الأحكام لو لم يعمل بظنّ المجتهد ، ومرجع هذا الدّليل إلى أنّ ترك العمل بالظنّ يوجب الظنّ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منقوض برواية الفاسق</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جواز العمل بخبر الفاسق إذا أفاد الظنّ ، أوّل الكلام ، إذ اشتراط </w:t>
      </w:r>
    </w:p>
    <w:p>
      <w:pPr>
        <w:pStyle w:val="BookText"/>
        <w:rPr/>
      </w:pPr>
      <w:r>
        <w:rPr>
          <w:rFonts w:ascii="Amiri" w:hAnsi="Amiri" w:eastAsia="Amiri" w:cs="Amiri"/>
          <w:color w:val="111111"/>
          <w:sz w:val="28"/>
          <w:sz w:val="28"/>
          <w:szCs w:val="28"/>
          <w:rtl w:val="true"/>
          <w:lang w:bidi="ar-SA"/>
        </w:rPr>
        <w:t xml:space="preserve">العدالة معركة للآراء ، والاستدلال بالآية غاية الظنّ ، ولم يحصل العلم بحجّية هذا الظنّ كما مرّ ، مع انّ الشيخ صرّح بجواز العمل بخبر المتحرّز عن الكذب وإن كان فاسقا بجوارحه ، ولا ريب أنّ ذلك من القرائن الدّاخلة لا القرائن الخارجة ، مع أنّ المشهور بينهم جواز العمل بالخبر الضّعيف المعتضد بعمل الأصحاب ، ولا ريب أنّ ذلك </w:t>
      </w:r>
      <w:r>
        <w:rPr>
          <w:rStyle w:val="FootnoteAnchor"/>
          <w:rtl w:val="true"/>
        </w:rPr>
        <w:footnoteReference w:id="1527"/>
      </w:r>
      <w:r>
        <w:rPr>
          <w:rFonts w:ascii="Amiri" w:hAnsi="Amiri" w:eastAsia="Amiri" w:cs="Amiri"/>
          <w:color w:val="111111"/>
          <w:sz w:val="28"/>
          <w:sz w:val="28"/>
          <w:szCs w:val="28"/>
          <w:rtl w:val="true"/>
          <w:lang w:bidi="ar-SA"/>
        </w:rPr>
        <w:t>لا يفيد إلّا الظنّ ، وغايته أن يثبت حجّية هذا الظنّ بما ورد من الأخذ بالمشهور بين الأصحاب ، وهو مع أنّه قد يعارض بغيره من المرجّحات ، ظنّ حاصل من خبر الواحد ، بل من الترجيح الحاصل بين مختلفاتها وقد عرفت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 أنّا إن لم نجوّز العمل بخبر الفاسق فإنّما هو لأجل عدم حصول الظنّ به أو لحصول الظنّ بعدمه ، لا لأنّه فاسق وإن حصل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يقال إذا أورد النقض بالقياس أيضا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على المجتهد العمل بمقتضى ما يؤدّيه إلى الظنّ بالحكم من الأدلّة التي تتداول </w:t>
      </w:r>
      <w:r>
        <w:rPr>
          <w:rStyle w:val="FootnoteAnchor"/>
          <w:rtl w:val="true"/>
        </w:rPr>
        <w:footnoteReference w:id="1528"/>
      </w:r>
      <w:r>
        <w:rPr>
          <w:rFonts w:ascii="Amiri" w:hAnsi="Amiri" w:eastAsia="Amiri" w:cs="Amiri"/>
          <w:color w:val="111111"/>
          <w:sz w:val="28"/>
          <w:sz w:val="28"/>
          <w:szCs w:val="28"/>
          <w:rtl w:val="true"/>
          <w:lang w:bidi="ar-SA"/>
        </w:rPr>
        <w:t xml:space="preserve">إلّا خبر الفاسق مثلا أو القياس مثلا ، وذلك إمّا لأنّهما لا يفيدان الظنّ </w:t>
      </w:r>
      <w:r>
        <w:rPr>
          <w:rStyle w:val="FootnoteAnchor"/>
          <w:rtl w:val="true"/>
        </w:rPr>
        <w:footnoteReference w:id="1529"/>
      </w:r>
      <w:r>
        <w:rPr>
          <w:rFonts w:ascii="Amiri" w:hAnsi="Amiri" w:eastAsia="Amiri" w:cs="Amiri"/>
          <w:color w:val="111111"/>
          <w:sz w:val="28"/>
          <w:sz w:val="28"/>
          <w:szCs w:val="28"/>
          <w:rtl w:val="true"/>
          <w:lang w:bidi="ar-SA"/>
        </w:rPr>
        <w:t xml:space="preserve">، وذلك هو علّة منع الشّارع عنهما أو لأنّهما مستثنيان من الأدلّة المفيدة للظنّ </w:t>
      </w:r>
      <w:r>
        <w:rPr>
          <w:rStyle w:val="FootnoteAnchor"/>
          <w:rtl w:val="true"/>
        </w:rPr>
        <w:footnoteReference w:id="1530"/>
      </w:r>
      <w:r>
        <w:rPr>
          <w:rFonts w:ascii="IRNazanin" w:hAnsi="IRNazanin" w:eastAsia="IRNazanin"/>
          <w:color w:val="111111"/>
          <w:sz w:val="28"/>
          <w:sz w:val="28"/>
          <w:szCs w:val="28"/>
          <w:rtl w:val="true"/>
          <w:lang w:bidi="fa-IR"/>
        </w:rPr>
        <w:t xml:space="preserve">، لا أنّ الظنّ الحاصل منهما مستثنى من مطلق الظنّ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يجري في الوجه الأوّل أيضا </w:t>
      </w:r>
      <w:r>
        <w:rPr>
          <w:rStyle w:val="FootnoteAnchor"/>
          <w:rtl w:val="true"/>
        </w:rPr>
        <w:footnoteReference w:id="1532"/>
      </w:r>
      <w:r>
        <w:rPr>
          <w:rFonts w:ascii="Amiri" w:hAnsi="Amiri" w:eastAsia="Amiri" w:cs="Amiri"/>
          <w:color w:val="111111"/>
          <w:sz w:val="28"/>
          <w:sz w:val="28"/>
          <w:szCs w:val="28"/>
          <w:rtl w:val="true"/>
          <w:lang w:bidi="ar-SA"/>
        </w:rPr>
        <w:t xml:space="preserve">، لأنّ تكليف ما لا يطاق إذا </w:t>
      </w:r>
    </w:p>
    <w:p>
      <w:pPr>
        <w:pStyle w:val="BookText"/>
        <w:rPr/>
      </w:pPr>
      <w:r>
        <w:rPr>
          <w:rFonts w:ascii="Amiri" w:hAnsi="Amiri" w:eastAsia="Amiri" w:cs="Amiri"/>
          <w:color w:val="111111"/>
          <w:sz w:val="28"/>
          <w:sz w:val="28"/>
          <w:szCs w:val="28"/>
          <w:rtl w:val="true"/>
          <w:lang w:bidi="ar-SA"/>
        </w:rPr>
        <w:t>اقتضى العمل بالظنّ بعد انسداد باب العلم ، فلا معنى لاستثناء الظنّ الحاصل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تكليف ما لا يطاق وانسداد باب العلم من جهة الأدلّة المقتضية للعلم أو الظنّ المعلوم الحجّية مع بقاء التكليف ، يوجب جواز العمل بما يفيد الظنّ ، يعني في نفسه ، ومع قطع النظر عمّا يفيد ظنّا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ما يدلّ على مراد الشارع ولو ظنّا ، ولكن لا من حيث إنّه يفيد الظنّ ، لا أنّه يوجب جواز العمل بالظنّ المطلق النفس الأمري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قابل للاستثناء </w:t>
      </w:r>
      <w:r>
        <w:rPr>
          <w:rStyle w:val="FootnoteAnchor"/>
          <w:rtl w:val="true"/>
        </w:rPr>
        <w:footnoteReference w:id="1533"/>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العمل بكلّ ما يفيد الظنّ بنفسه ويدلّ على مراد الشارع إلّا بالقياس ، وبعد وضع القياس من البين ، فإذا تعارض باقي الأدلّة المفيدة للظنّ فحينئذ يعتبر الظنّ النفس الأمريّ ويلاحظ القوّة والضعف ، بل لا يبقى حينئذ ظنّ ضعيف ، بل الأقوى يصير ظنّا والأضعف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مورد القياس لم يثبت انسداد باب العلم بالنسبة إلى مقتضاه ، فإنّا نعلم بالضّرورة من المذهب حرمة العمل على مؤدّى القياس ، فنعلم أنّ حكم الله غيره وإن لم نعلم أنّه أيّ شيء هو ، ففي تعيينه يرجع إلى سائر الأدلّة وإن كان مؤدّاها عين مؤدّاه ، فليتأمّل ، فإنّه يمكن منع دعوى بداهة حرمة القياس حتّى في موضع لا سبيل إلى الحكم إلّا به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يحصل الظنّ بشيء حين انسداد باب العلم حتّى بالقياس أيضا ، </w:t>
      </w:r>
    </w:p>
    <w:p>
      <w:pPr>
        <w:pStyle w:val="BookText"/>
        <w:rPr/>
      </w:pPr>
      <w:r>
        <w:rPr>
          <w:rFonts w:ascii="Amiri" w:hAnsi="Amiri" w:eastAsia="Amiri" w:cs="Amiri"/>
          <w:color w:val="111111"/>
          <w:sz w:val="28"/>
          <w:sz w:val="28"/>
          <w:szCs w:val="28"/>
          <w:rtl w:val="true"/>
          <w:lang w:bidi="ar-SA"/>
        </w:rPr>
        <w:t>فما المناص في العمل والتخلّص عن لزوم تكليف ما لا يطاق ، فإن عملت بأصل البراءة حينئذ ، فلم لم تعمل به أوّلا؟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المناص حينئذ هو المناص حين تعارض الأدلّة لمن لم يرجّح شيئا مع وجود الأدلّة المعلومة الحجّية ، فيتوقّف في الفتوى أو يبني على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الظّنون الغير المعلوم الحجّية ، إذا تعارضت أو فقدت ، فقد يتوقّف أو يعمل على أصالة البراءة ، وعدم جواز العمل بأصل البراءة أوّلا ، لأنّ الثابت من الأدلّة أنّ جواز العمل عليه موقوف على اليأس من الأدلّة بعد الفحص ، فكما يعتبر العمل عليه بعد اليأس من الأدلّة في الأدلّة الاختيارية ، فكذا الحال في الأدلّة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منع بقاء الحرمة عند انحصار العمل في مثل القياس مثلا أو غيره من الظّنون التي لم يثبت حرمتها بالخصوص أيضا ؛ يدفعه منع بقاء التكليف حينئذ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العمل بالقياس وغيره من الظّنون أيضا ، ليس بأقوى دلالة وأشمل أفرادا وأوقاتا ممّا دلّ على بقاء التكليف إلى آخر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فغاية الأمر عدم الوجوب </w:t>
      </w:r>
      <w:r>
        <w:rPr>
          <w:rStyle w:val="FootnoteAnchor"/>
          <w:rtl w:val="true"/>
        </w:rPr>
        <w:footnoteReference w:id="1534"/>
      </w:r>
      <w:r>
        <w:rPr>
          <w:rFonts w:ascii="Amiri" w:hAnsi="Amiri" w:eastAsia="Amiri" w:cs="Amiri"/>
          <w:color w:val="111111"/>
          <w:sz w:val="28"/>
          <w:sz w:val="28"/>
          <w:szCs w:val="28"/>
          <w:rtl w:val="true"/>
          <w:lang w:bidi="ar-SA"/>
        </w:rPr>
        <w:t>فما الدّليل على الحرمة؟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أجدّد المقال في هذا المجال ليظهر جليّة الحال ، وأقول غير آل جهدي في إقامة الدّليل على الظّنون وإثبات العلم في حجّية بعضها بالخصوص مميّزا إيّاها 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ولا شكّ أنّ الله بعث رسولا وأنزل كتابا وسنّن شرائع وأحكاما وأراد من عباده 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إبلاغ الأحكام إلى العباد على ما </w:t>
      </w:r>
    </w:p>
    <w:p>
      <w:pPr>
        <w:pStyle w:val="BookText"/>
        <w:rPr/>
      </w:pPr>
      <w:r>
        <w:rPr>
          <w:rFonts w:ascii="Amiri" w:hAnsi="Amiri" w:eastAsia="Amiri" w:cs="Amiri"/>
          <w:color w:val="111111"/>
          <w:sz w:val="28"/>
          <w:sz w:val="28"/>
          <w:szCs w:val="28"/>
          <w:rtl w:val="true"/>
          <w:lang w:bidi="ar-SA"/>
        </w:rPr>
        <w:t xml:space="preserve">هو وفق مجرى عادته تعالى ، إنّما هو بالنطق والكلام غالبا </w:t>
      </w:r>
      <w:r>
        <w:rPr>
          <w:rStyle w:val="FootnoteAnchor"/>
          <w:rtl w:val="true"/>
        </w:rPr>
        <w:footnoteReference w:id="1535"/>
      </w:r>
      <w:r>
        <w:rPr>
          <w:rFonts w:ascii="Amiri" w:hAnsi="Amiri" w:eastAsia="Amiri" w:cs="Amiri"/>
          <w:color w:val="111111"/>
          <w:sz w:val="28"/>
          <w:sz w:val="28"/>
          <w:szCs w:val="28"/>
          <w:rtl w:val="true"/>
          <w:lang w:bidi="ar-SA"/>
        </w:rPr>
        <w:t>، ونطقه تعالى مع عباده ليس إلّا بلسان رسوله ، إمّا بتلاوة كتابه عليهم ، أو بحكمه بنفسه وبيانه إيّاها بلسانه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حصل العلم بمراد الله تعالى للمخاطبين المشافهين من الكتاب أو سنّته صلى‌الله‌عليه‌وآله فلا كلام فيه ، وفي أنّه حجّة على العباد ويجب متابعتهم وحصول العلم من الخطاب ولو بضميمة المقام ، ممّا لا يداني إمكانه ريب 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حصل الظنّ به لهم من العمل على مقتضى الحقائق والمجازات بحمل الألفاظ على حقائقها عند عدم القرينة على خلافها ، والبناء على القرائن في الحمل على المعاني المجازية ، لأنّ ذلك كان طريقة العرف والعادة من لدن خلقة آدم عليه‌السلام إلى يومنا هذا ، وأنّهم كانوا يبنون المحاورات على ذلك ، يعلم ذلك بملاحظة أحوال العرف والعادة علما وجدانيّا ، فالشّارع اكتفى في المحاورات مع أصحابه بما حصل لهم الظنّ به في التكاليف أيضا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 مع أنّ المحقّق عند أصحابنا هو التخطئة ، وانّ حكم الله الواقعي واحد في نفس الأمر بالواقع ، أنّ عمدة العماد في التديّن والإيمان بالله هو أصل التوحيد وخلع الأنداد والأضداد ، والتسليم والانقياد وتوطين النفس على تحمّل المشاقّ الواردة من قبله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فالأحكام الفرعية وإن كانت من الأمور الحقيقيّة المتأصّلة الناشئة من المصالح النفس الأمرية </w:t>
      </w:r>
      <w:r>
        <w:rPr>
          <w:rStyle w:val="FootnoteAnchor"/>
          <w:rtl w:val="true"/>
        </w:rPr>
        <w:footnoteReference w:id="1536"/>
      </w:r>
      <w:r>
        <w:rPr>
          <w:rFonts w:ascii="Amiri" w:hAnsi="Amiri" w:eastAsia="Amiri" w:cs="Amiri"/>
          <w:color w:val="111111"/>
          <w:sz w:val="28"/>
          <w:sz w:val="28"/>
          <w:szCs w:val="28"/>
          <w:rtl w:val="true"/>
          <w:lang w:bidi="ar-SA"/>
        </w:rPr>
        <w:t xml:space="preserve">، لكن العمدة في تأسيسها هو الابتلاء والامتحان وتقوية الايمان بسبب الامتثال بها ، والتقرّب بها من جهة أنّه </w:t>
      </w:r>
    </w:p>
    <w:p>
      <w:pPr>
        <w:pStyle w:val="BookText"/>
        <w:rPr/>
      </w:pPr>
      <w:r>
        <w:rPr>
          <w:rFonts w:ascii="Amiri" w:hAnsi="Amiri" w:eastAsia="Amiri" w:cs="Amiri"/>
          <w:color w:val="111111"/>
          <w:sz w:val="28"/>
          <w:sz w:val="28"/>
          <w:szCs w:val="28"/>
          <w:rtl w:val="true"/>
          <w:lang w:bidi="ar-SA"/>
        </w:rPr>
        <w:t>إطاعة ، فإذا فهم المكلّف من خطاب الشّارع فهما علميّا بنفس الحكم ، وامتثل به ، فهو جامع للسّعادتين ، أعني الفوز بالمصلحة الخاصّة الكامنة فيه ، والفوز بالمصلحة العامّة التي هي نفس الانقياد والإطاعة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فهم فهما ظنّيا على مقتضى محاورة لسان القوم الذي أنزل الله الكتاب وبعث الرّسول عليه ، فهو وإن فقد المصلحة الخاصّة ، لكنّه أدرك المصلحة العامّة ، بل عوّض المصلحة الخاصّة أيضا ، لئلّا يخلو عمله عن الأجر وفاقا للعدل لحصول الانقياد بدونه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ملاحظة هذا السرّ يندفع ما يتوهّم أنّه كيف يجمع هذا مع القول بكون الأحكام ثابتة في نفس الأمر في كلّ شيء على نهج مستقرّ ثابت ، وأنّ التصويب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المقصود بالذّات من الخطاب وإن كان حصول نفس الحكم النفس الأمري ، لكن يظهر من جعل الشارع مناط تفهيمه النطق بالألفاظ التي جرى عادة الله بأنّها لا تفيد اليقين في الأغلب ، أنّه راض بهذا الظنّ ويكتفي به عمّا أراده في نفس الأمر ، لأنّه غير فاقد للمصلحة أيضا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الظنّ ممّا علم حجّيته ، وهذا هو الذي اتّفق العلماء على حجّيته من دون خلاف بينهم ، قائلين أنّ الظنّ في موضوعات الأحكام من مباحث الألفاظ وغيرها حجّة إجماعا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الكلام إذا نقل إلى غير المشافهين المشاركين لهم في التكليف بمقتضاه ، فإن كان نقله بمعناه ، بمعنى أنّ مراده الواقعي صار يقينيا لهم وعلموا أنّه أراد ذلك لا غير ، فلا كلام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نقله بلفظه ، بمعنى أنّه حصل لهم العلم بأنّ هذا هو لفظ الشّارع ، فالإشكال حينئذ في أنّ الظنّ الحاصل لهم من هذا اللفظ القطعي الصّدور ، حجّة عليهم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اللفظ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يحتمل أن يكون ممّا يقصد به بقاءه في الدّهر </w:t>
      </w:r>
      <w:r>
        <w:rPr>
          <w:rStyle w:val="FootnoteAnchor"/>
          <w:rtl w:val="true"/>
        </w:rPr>
        <w:footnoteReference w:id="1537"/>
      </w:r>
      <w:r>
        <w:rPr>
          <w:rFonts w:ascii="Amiri" w:hAnsi="Amiri" w:eastAsia="Amiri" w:cs="Amiri"/>
          <w:color w:val="111111"/>
          <w:sz w:val="28"/>
          <w:sz w:val="28"/>
          <w:szCs w:val="28"/>
          <w:rtl w:val="true"/>
          <w:lang w:bidi="ar-SA"/>
        </w:rPr>
        <w:t>والاستفادة منه ، كتأليفات المصنّفين ، وقسم لا يقصد به ذلك ، بل إنّما قصد به تفهيم المخاطبين وان كان غيرهم أيضا مشاركون لهم في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الكتاب العزيز ، فهو وإن كان يمكن أن يكون من القسم الأوّل </w:t>
      </w:r>
      <w:r>
        <w:rPr>
          <w:rStyle w:val="FootnoteAnchor"/>
          <w:rtl w:val="true"/>
        </w:rPr>
        <w:footnoteReference w:id="1538"/>
      </w:r>
      <w:r>
        <w:rPr>
          <w:rFonts w:ascii="Amiri" w:hAnsi="Amiri" w:eastAsia="Amiri" w:cs="Amiri"/>
          <w:color w:val="111111"/>
          <w:sz w:val="28"/>
          <w:sz w:val="28"/>
          <w:szCs w:val="28"/>
          <w:rtl w:val="true"/>
          <w:lang w:bidi="ar-SA"/>
        </w:rPr>
        <w:t xml:space="preserve">، وذلك لأنّا وإن لم نقل بعموم خطاب المشافهة للغائبين كما حقّقناه في محلّه ، لكنّا نقول بأنّ الله تعالى يريد من جميع الأمّة فهمه والتدبّر فيه والعمل على مقتضاه ، خلافا للأخباريين كما بيّناه سابقا ، فيكون هذا الظنّ أيضا حجّة بالخصوص ، لأنّ طريقة العرف والعادة في تأليف الكتب وإرسال المكاتيب والرسائل إلى البلاد البعيدة ، سيّما مع مخالفة الألسنة ومباينة الاصطلاحات تقتضي ذلك ، فإنّ المصنّفين وأهل المكاتيب والرسائل لا يريدون ممّن يبلغ إليه كتابهم إلّا العمل على مقتضاه بقدر فهمهم ووسعهم ، فالذي يجب على الله أن يكتفي عنّا بما نفهمه من كتابه إمّا يقينا أو ظنّا ، ولكن لم يثبت ذلك ثبوتا علميّا لاحتمال أن يكون الكتاب العزيز من باب القسم الثاني </w:t>
      </w:r>
      <w:r>
        <w:rPr>
          <w:rStyle w:val="FootnoteAnchor"/>
          <w:rtl w:val="true"/>
        </w:rPr>
        <w:footnoteReference w:id="1539"/>
      </w:r>
      <w:r>
        <w:rPr>
          <w:rFonts w:ascii="Amiri" w:hAnsi="Amiri" w:eastAsia="Amiri" w:cs="Amiri"/>
          <w:color w:val="111111"/>
          <w:sz w:val="28"/>
          <w:sz w:val="28"/>
          <w:szCs w:val="28"/>
          <w:rtl w:val="true"/>
          <w:lang w:bidi="ar-SA"/>
        </w:rPr>
        <w:t xml:space="preserve">سيّما الخطابات الشّفاهية منه </w:t>
      </w:r>
      <w:r>
        <w:rPr>
          <w:rStyle w:val="FootnoteAnchor"/>
          <w:rtl w:val="true"/>
        </w:rPr>
        <w:footnoteReference w:id="1540"/>
      </w:r>
      <w:r>
        <w:rPr>
          <w:rFonts w:ascii="Amiri" w:hAnsi="Amiri" w:eastAsia="Amiri" w:cs="Amiri"/>
          <w:color w:val="111111"/>
          <w:sz w:val="28"/>
          <w:sz w:val="28"/>
          <w:szCs w:val="28"/>
          <w:rtl w:val="true"/>
          <w:lang w:bidi="ar-SA"/>
        </w:rPr>
        <w:t>، وسيّما ما اشتمل على الأحكام الفرعية ، ولا ينافي ذلك تعلّق الغرض ببقائه أبد الدّهر أيضا لحصول الإعجاز وسائر الفوائد مع ذلك أيضا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الثّقلين وغيرها ممّا دلّ على العرض على كتاب الله تعالى ، </w:t>
      </w:r>
    </w:p>
    <w:p>
      <w:pPr>
        <w:pStyle w:val="BookText"/>
        <w:rPr/>
      </w:pPr>
      <w:r>
        <w:rPr>
          <w:rFonts w:ascii="Amiri" w:hAnsi="Amiri" w:eastAsia="Amiri" w:cs="Amiri"/>
          <w:color w:val="111111"/>
          <w:sz w:val="28"/>
          <w:sz w:val="28"/>
          <w:szCs w:val="28"/>
          <w:rtl w:val="true"/>
          <w:lang w:bidi="ar-SA"/>
        </w:rPr>
        <w:t>تفيد أنّ الكتاب 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الكلام إلى تلك الأخبار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بها فيما نحن فيه موقوف على أن يكون تلك الأخبار من قبيل القسم الأوّل ، لا من باب مجرّد الخطاب الشفاهي مع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قطع لنا بكونها ظنّي الدّلالة بالنسبة إلى المشافهين في هذا المعنى ، كما ذكرنا القدح من الأخباريين في دلالتها وإن كان خلاف الظاهر ، فإنّ غايتها الظنّ بكون جواز العمل بما يظنّ من جهة الكتاب جائزا لهم </w:t>
      </w:r>
      <w:r>
        <w:rPr>
          <w:rStyle w:val="FootnoteAnchor"/>
          <w:rtl w:val="true"/>
        </w:rPr>
        <w:footnoteReference w:id="1541"/>
      </w:r>
      <w:r>
        <w:rPr>
          <w:rFonts w:ascii="Amiri" w:hAnsi="Amiri" w:eastAsia="Amiri" w:cs="Amiri"/>
          <w:color w:val="111111"/>
          <w:sz w:val="28"/>
          <w:sz w:val="28"/>
          <w:szCs w:val="28"/>
          <w:rtl w:val="true"/>
          <w:lang w:bidi="ar-SA"/>
        </w:rPr>
        <w:t>ولا قاطع لحجّية هذا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تمسّكوا بها إذا فسّرها الأئمّة عليهم‌السلام </w:t>
      </w:r>
      <w:r>
        <w:rPr>
          <w:rStyle w:val="FootnoteAnchor"/>
          <w:rtl w:val="true"/>
        </w:rPr>
        <w:footnoteReference w:id="1542"/>
      </w:r>
      <w:r>
        <w:rPr>
          <w:rFonts w:ascii="Amiri" w:hAnsi="Amiri" w:eastAsia="Amiri" w:cs="Amiri"/>
          <w:color w:val="111111"/>
          <w:sz w:val="28"/>
          <w:sz w:val="28"/>
          <w:szCs w:val="28"/>
          <w:rtl w:val="true"/>
          <w:lang w:bidi="ar-SA"/>
        </w:rPr>
        <w:t>كما ذكره الأخباريون وإن كان خلاف الظاهر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سلّمنا أنّ تعاضد تلك الأخبار بعضها ببعض مع قرائن خارجية يفيد القطع بجواز العمل ، فذلك أيضا لا يفيد إلّا جواز العمل في الجملة </w:t>
      </w: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حصل ظنّ أقوى من ظاهر الكتاب من جهة خبر الواحد وغيره من الأدلّة التي لم يثبت حجّيتها بالخصوص ، فلا قطع ، لوجوب العمل على ظاهر الكتاب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السنّة المعلومة الصّدور عنه صلى‌الله‌عليه‌وآله فيحتمل ضعيفا أن تكون مثل المصنّفات والمكاتيب ، ولكنّ الأظهر أن يكون المراد منها تفهيم المخاطبين وبلوغ نفس الحكم إلى من سواهم بواسطة تبليغهم ، ومع ذلك فلا يعلم من حاله رضاه عليه‌السلام بما يفهمه الغير المشافهين حتّى يكون ظنّا معلوم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Style w:val="FootnoteAnchor"/>
          <w:rtl w:val="true"/>
        </w:rPr>
        <w:footnoteReference w:id="1544"/>
      </w:r>
      <w:r>
        <w:rPr>
          <w:rFonts w:ascii="Amiri" w:hAnsi="Amiri" w:eastAsia="Amiri" w:cs="Amiri"/>
          <w:color w:val="111111"/>
          <w:sz w:val="28"/>
          <w:sz w:val="28"/>
          <w:szCs w:val="28"/>
          <w:rtl w:val="true"/>
          <w:lang w:bidi="ar-SA"/>
        </w:rPr>
        <w:t>هو القدر الذي يمكن أن يقال أنّه الظنّ المعلوم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أصل البراءة فهو ليس من الظّنون التي علم حجّيتها ، بل هو من الأدلّة الظنّية كما أشرنا وسنشير إليه في محلّه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خبر الواحد فقد عرفت أنّه لا دليل على وجوب العمل به ، إذ أقوى أدلّته الإجماع وهو على فرض تسليمه لا يثبت إلّا حجّيته في الجملة وفي زمان خاص ، وفي نوع خاصّ </w:t>
      </w:r>
      <w:r>
        <w:rPr>
          <w:rStyle w:val="FootnoteAnchor"/>
          <w:rtl w:val="true"/>
        </w:rPr>
        <w:footnoteReference w:id="1545"/>
      </w:r>
      <w:r>
        <w:rPr>
          <w:rFonts w:ascii="Amiri" w:hAnsi="Amiri" w:eastAsia="Amiri" w:cs="Amiri"/>
          <w:color w:val="111111"/>
          <w:sz w:val="28"/>
          <w:sz w:val="28"/>
          <w:szCs w:val="28"/>
          <w:rtl w:val="true"/>
          <w:lang w:bidi="ar-SA"/>
        </w:rPr>
        <w:t>إذ حجّيته في الأعصار المتأخّرة عن زمن الصّحابة غير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القدر المسلّم منه خبر العادل ، والمسلّم منه العادل المعلوم العدالة ، والمسلّم منه ما لم يعارضه مثله أو لم يعارضه أضعف منه إذا كان معمولا به وهو مهجورا ولم يسنحه السّوانح </w:t>
      </w:r>
      <w:r>
        <w:rPr>
          <w:rStyle w:val="FootnoteAnchor"/>
          <w:rtl w:val="true"/>
        </w:rPr>
        <w:footnoteReference w:id="1546"/>
      </w:r>
      <w:r>
        <w:rPr>
          <w:rFonts w:ascii="Amiri" w:hAnsi="Amiri" w:eastAsia="Amiri" w:cs="Amiri"/>
          <w:color w:val="111111"/>
          <w:sz w:val="28"/>
          <w:sz w:val="28"/>
          <w:szCs w:val="28"/>
          <w:rtl w:val="true"/>
          <w:lang w:bidi="ar-SA"/>
        </w:rPr>
        <w:t xml:space="preserve">من المعارضات والإشكالات </w:t>
      </w:r>
      <w:r>
        <w:rPr>
          <w:rStyle w:val="FootnoteAnchor"/>
          <w:rtl w:val="true"/>
        </w:rPr>
        <w:footnoteReference w:id="1547"/>
      </w:r>
      <w:r>
        <w:rPr>
          <w:rFonts w:ascii="Amiri" w:hAnsi="Amiri" w:eastAsia="Amiri" w:cs="Amiri"/>
          <w:color w:val="111111"/>
          <w:sz w:val="28"/>
          <w:sz w:val="28"/>
          <w:szCs w:val="28"/>
          <w:rtl w:val="true"/>
          <w:lang w:bidi="ar-SA"/>
        </w:rPr>
        <w:t xml:space="preserve">في علاج </w:t>
      </w:r>
    </w:p>
    <w:p>
      <w:pPr>
        <w:pStyle w:val="BookText"/>
        <w:rPr/>
      </w:pPr>
      <w:r>
        <w:rPr>
          <w:rFonts w:ascii="Amiri" w:hAnsi="Amiri" w:eastAsia="Amiri" w:cs="Amiri"/>
          <w:color w:val="111111"/>
          <w:sz w:val="28"/>
          <w:sz w:val="28"/>
          <w:szCs w:val="28"/>
          <w:rtl w:val="true"/>
          <w:lang w:bidi="ar-SA"/>
        </w:rPr>
        <w:t>التعارض وغيره ممّا ليس هنا محلّ البسط ، وقد أشرنا إلى بعضها في مباحث التخصيص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هذه السّوانح يعود إلى كيفية الاستنباط من الكتاب والسنّة المتواترة أيضا باعتبار حصول العلم بالتخصيص والتقييد بالنظر إلى العمومات </w:t>
      </w:r>
      <w:r>
        <w:rPr>
          <w:rStyle w:val="FootnoteAnchor"/>
          <w:rtl w:val="true"/>
        </w:rPr>
        <w:footnoteReference w:id="1548"/>
      </w:r>
      <w:r>
        <w:rPr>
          <w:rFonts w:ascii="Amiri" w:hAnsi="Amiri" w:eastAsia="Amiri" w:cs="Amiri"/>
          <w:color w:val="111111"/>
          <w:sz w:val="28"/>
          <w:sz w:val="28"/>
          <w:szCs w:val="28"/>
          <w:rtl w:val="true"/>
          <w:lang w:bidi="ar-SA"/>
        </w:rPr>
        <w:t xml:space="preserve">في الجملة ، واحتمال ورودها فيما لم نطّلع عليه ، فيجب البحث والفحص إلى أن يحصل الظنّ بعدمه كما مرّ في محلّه ، لما بيّنا أنّها من باب الخطابات الشّفاهية المقصودة منها تفهيم المخاطبين ، واحتمال أن يكون معهم من القرائن ما يفيد أنّ المراد خلاف ظاهرها ، كما علم في كثير من المواضع بالإجماع وغيره </w:t>
      </w:r>
      <w:r>
        <w:rPr>
          <w:rStyle w:val="FootnoteAnchor"/>
          <w:rtl w:val="true"/>
        </w:rPr>
        <w:footnoteReference w:id="1549"/>
      </w:r>
      <w:r>
        <w:rPr>
          <w:rFonts w:ascii="Amiri" w:hAnsi="Amiri" w:eastAsia="Amiri" w:cs="Amiri"/>
          <w:color w:val="111111"/>
          <w:sz w:val="28"/>
          <w:sz w:val="28"/>
          <w:szCs w:val="28"/>
          <w:rtl w:val="true"/>
          <w:lang w:bidi="ar-SA"/>
        </w:rPr>
        <w:t xml:space="preserve">، واحتمال أن يكون </w:t>
      </w:r>
      <w:r>
        <w:rPr>
          <w:rStyle w:val="FootnoteAnchor"/>
          <w:rtl w:val="true"/>
        </w:rPr>
        <w:footnoteReference w:id="1550"/>
      </w:r>
      <w:r>
        <w:rPr>
          <w:rFonts w:ascii="Amiri" w:hAnsi="Amiri" w:eastAsia="Amiri" w:cs="Amiri"/>
          <w:color w:val="111111"/>
          <w:sz w:val="28"/>
          <w:sz w:val="28"/>
          <w:szCs w:val="28"/>
          <w:rtl w:val="true"/>
          <w:lang w:bidi="ar-SA"/>
        </w:rPr>
        <w:t xml:space="preserve">من هذا الباب أيضا يكفي </w:t>
      </w:r>
      <w:r>
        <w:rPr>
          <w:rStyle w:val="FootnoteAnchor"/>
          <w:rtl w:val="true"/>
        </w:rPr>
        <w:footnoteReference w:id="1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اشتراكنا معهم في أصل التكليف بالإجماع لا يوجب اشتراكنا معهم في كيفية الفهم من هذه الأدلّة وتوجّه الخطاب إلينا ، ولا إجماع على مساواتنا في العمل بالظنّ الحاصل منها لنا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 أنّ العمل على مقتضى الظنّ المعلوم الحجّية مجرّد كلام لا يحصل منه الفقه ، فبعد حصول العلم ببقاء التكليف بالتفصيلات المجملة ، كيف يمكن تحصيل العلم بها بمجرّد حصول العلم بجواز العمل بخبر الواحد الذي علم كون راويه عادلا على النهج المتّفق عليه ، مع كونه غير معارض بشيء آخر ، خاليا عن </w:t>
      </w:r>
    </w:p>
    <w:p>
      <w:pPr>
        <w:pStyle w:val="BookText"/>
        <w:rPr/>
      </w:pPr>
      <w:r>
        <w:rPr>
          <w:rFonts w:ascii="Amiri" w:hAnsi="Amiri" w:eastAsia="Amiri" w:cs="Amiri"/>
          <w:color w:val="111111"/>
          <w:sz w:val="28"/>
          <w:sz w:val="28"/>
          <w:szCs w:val="28"/>
          <w:rtl w:val="true"/>
          <w:lang w:bidi="ar-SA"/>
        </w:rPr>
        <w:t xml:space="preserve">السّوانح التي لا مناص عنها إلّا بالعمل بالظنّ ، مع أنّه إن لم نقل بامتناع وجوده </w:t>
      </w:r>
      <w:r>
        <w:rPr>
          <w:rStyle w:val="FootnoteAnchor"/>
          <w:rtl w:val="true"/>
        </w:rPr>
        <w:footnoteReference w:id="1552"/>
      </w:r>
      <w:r>
        <w:rPr>
          <w:rFonts w:ascii="Amiri" w:hAnsi="Amiri" w:eastAsia="Amiri" w:cs="Amiri"/>
          <w:color w:val="111111"/>
          <w:sz w:val="28"/>
          <w:sz w:val="28"/>
          <w:szCs w:val="28"/>
          <w:rtl w:val="true"/>
          <w:lang w:bidi="ar-SA"/>
        </w:rPr>
        <w:t xml:space="preserve">في أخبارنا ، فهو في غاية الندرة ، ولا إجماع ولا دليل قطعي آخر يدلّ على حجّية الظّنون الحاصلة من جهة المعالجات </w:t>
      </w:r>
      <w:r>
        <w:rPr>
          <w:rStyle w:val="FootnoteAnchor"/>
          <w:rtl w:val="true"/>
        </w:rPr>
        <w:footnoteReference w:id="1553"/>
      </w:r>
      <w:r>
        <w:rPr>
          <w:rFonts w:ascii="Amiri" w:hAnsi="Amiri" w:eastAsia="Amiri" w:cs="Amiri"/>
          <w:color w:val="111111"/>
          <w:sz w:val="28"/>
          <w:sz w:val="28"/>
          <w:szCs w:val="28"/>
          <w:rtl w:val="true"/>
          <w:lang w:bidi="ar-SA"/>
        </w:rPr>
        <w:t xml:space="preserve">كما لا يخفى ، سيّما مع ملاحظة الاختلاف في الأخبار التي وردت في علاج التعارض بينها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الكلام في الكتاب والسنّة المتواترة باللفظ مع غاية ندرة علميّة مدلولهما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أصل البراءة إن سلّمنا كونه ظنّا معلوم الحجّية ، إذ العلم </w:t>
      </w:r>
      <w:r>
        <w:rPr>
          <w:rStyle w:val="FootnoteAnchor"/>
          <w:rtl w:val="true"/>
        </w:rPr>
        <w:footnoteReference w:id="1555"/>
      </w:r>
      <w:r>
        <w:rPr>
          <w:rFonts w:ascii="Amiri" w:hAnsi="Amiri" w:eastAsia="Amiri" w:cs="Amiri"/>
          <w:color w:val="111111"/>
          <w:sz w:val="28"/>
          <w:sz w:val="28"/>
          <w:szCs w:val="28"/>
          <w:rtl w:val="true"/>
          <w:lang w:bidi="ar-SA"/>
        </w:rPr>
        <w:t>بحجّيتها مع وجود خبر صحيح يفيد ظنّا أقوى منه أو ظنّ آخر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الإجماع على حجّيتها حتّى فيما نحن فيه غير مسموعة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الإجماع لا يفيد لنا إلّا الظنّ لو ثبت ، فيصير حال الظّنون المعلومة الحجّية عندنا مثل حال نفس الأحكام المعلومة إجمالا بالضّرورة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العلم الإجمالي بنفس الأحكام لا يفيد في التفصيلات ، فكذلك العلم بجواز العمل بالظنّ الإجمالي في استفادتها لا يفيد فيها ، إذ العلم بجواز العمل بظاهر الكتاب والسنّة المتواترة في الجملة </w:t>
      </w:r>
      <w:r>
        <w:rPr>
          <w:rStyle w:val="FootnoteAnchor"/>
          <w:rtl w:val="true"/>
        </w:rPr>
        <w:footnoteReference w:id="1556"/>
      </w:r>
      <w:r>
        <w:rPr>
          <w:rFonts w:ascii="Amiri" w:hAnsi="Amiri" w:eastAsia="Amiri" w:cs="Amiri"/>
          <w:color w:val="111111"/>
          <w:sz w:val="28"/>
          <w:sz w:val="28"/>
          <w:szCs w:val="28"/>
          <w:rtl w:val="true"/>
          <w:lang w:bidi="ar-SA"/>
        </w:rPr>
        <w:t xml:space="preserve">أو مع خبر الواحد في الجملة أيضا ، مع عدم العلم بحجّية ما يستفاد منها مفصّلا ، بضميمة ما لا مناص لنا عنه في علاج الاختلالات الحاصلة من المعارضات اليقينية والمحتملة ، كيف يجدينا فيما نريده من العمل بأحكام الله تعالى مع الاجتناب عن العمل بظنّ لا نعلم حجّيته بالخصوص ، وليس </w:t>
      </w:r>
    </w:p>
    <w:p>
      <w:pPr>
        <w:pStyle w:val="BookText"/>
        <w:rPr/>
      </w:pPr>
      <w:r>
        <w:rPr>
          <w:rFonts w:ascii="Amiri" w:hAnsi="Amiri" w:eastAsia="Amiri" w:cs="Amiri"/>
          <w:color w:val="111111"/>
          <w:sz w:val="28"/>
          <w:sz w:val="28"/>
          <w:szCs w:val="28"/>
          <w:rtl w:val="true"/>
          <w:lang w:bidi="ar-SA"/>
        </w:rPr>
        <w:t>ذلك غالبا إلّا مثل من يتكلّف في جعل إحدى مقدّمتي قياسه قطعيّة مع كون الأخرى ظنّية ، فهل ينفعه ذلك في صيرورة النتيجة قطعية ، أو من يحصّل العلم في بعض أجزاء صلاته مثلا مع كون سائر الأجزاء ظنّية ، فهل ينفعه ذلك في صيرورة صلاته يقينية مع ملاحظة عدم كون الجزء مطلوبا بذاته وغير مفيد منفردا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ثبوت حكم مستقلّ </w:t>
      </w:r>
      <w:r>
        <w:rPr>
          <w:rStyle w:val="FootnoteAnchor"/>
          <w:rtl w:val="true"/>
        </w:rPr>
        <w:footnoteReference w:id="1557"/>
      </w:r>
      <w:r>
        <w:rPr>
          <w:rFonts w:ascii="Amiri" w:hAnsi="Amiri" w:eastAsia="Amiri" w:cs="Amiri"/>
          <w:color w:val="111111"/>
          <w:sz w:val="28"/>
          <w:sz w:val="28"/>
          <w:szCs w:val="28"/>
          <w:rtl w:val="true"/>
          <w:lang w:bidi="ar-SA"/>
        </w:rPr>
        <w:t>من جهة الظّنون المعلومة الحجّية مستقلا من دون حاجة إلى غيرها ، فهو في غاية الندرة ، ونتكلّم فيما لا يمكن ذلك فيه مع ثبوت التكليف فيه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من جميع ذلك أنّه لا مناص من العمل بالظنّ ، إلّا ما أخرجه الدّليل ، كالقياس والاستحسان ونحوهما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جميع ما ذكرنا ثبت حجّية خبر الواحد ، وهذا هو الدليل المعتمد في إثبات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ظهر لك ممّا حقّقنا المقام ، أنّه لا فرق بين مسائل أصول الفقه وفروعه في جواز البناء على الظنّ ، وأنّه لا دليل على اشتراط القطع في الأصول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بدّ في إثبات حجّية ظنّ المجتهد من دليل قطعي ، وسنشير في موضعه أنّه من الأصول الكلامية لا الأصول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صار ظنّه حجّة فلا فرق بين الأصول والفروع ، وسيجيء زيادة توضيح لهذا في مبحث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فلنرجع إلى ذكر أدلّة النافين لحجّية خبر الواحد</w:t>
      </w:r>
    </w:p>
    <w:p>
      <w:pPr>
        <w:pStyle w:val="BookText"/>
        <w:rPr/>
      </w:pPr>
      <w:r>
        <w:rPr>
          <w:rFonts w:ascii="Amiri" w:hAnsi="Amiri" w:eastAsia="Amiri" w:cs="Amiri"/>
          <w:color w:val="111111"/>
          <w:sz w:val="28"/>
          <w:sz w:val="28"/>
          <w:szCs w:val="28"/>
          <w:rtl w:val="true"/>
          <w:lang w:bidi="ar-SA"/>
        </w:rPr>
        <w:t xml:space="preserve">وهو أيضا من وجهين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الدّليل على حرمة العمل بالظنّ ، إلّا ما أثبته الدّليل حذوا </w:t>
      </w:r>
      <w:r>
        <w:rPr>
          <w:rStyle w:val="FootnoteAnchor"/>
          <w:rtl w:val="true"/>
        </w:rPr>
        <w:footnoteReference w:id="1560"/>
      </w:r>
      <w:r>
        <w:rPr>
          <w:rFonts w:ascii="IRNazanin" w:hAnsi="IRNazanin" w:eastAsia="IRNazanin"/>
          <w:color w:val="111111"/>
          <w:sz w:val="28"/>
          <w:sz w:val="28"/>
          <w:szCs w:val="28"/>
          <w:rtl w:val="true"/>
          <w:lang w:bidi="fa-IR"/>
        </w:rPr>
        <w:t xml:space="preserve">لما </w:t>
      </w:r>
    </w:p>
    <w:p>
      <w:pPr>
        <w:pStyle w:val="BookText"/>
        <w:rPr/>
      </w:pPr>
      <w:r>
        <w:rPr>
          <w:rFonts w:ascii="Amiri" w:hAnsi="Amiri" w:eastAsia="Amiri" w:cs="Amiri"/>
          <w:color w:val="111111"/>
          <w:sz w:val="28"/>
          <w:sz w:val="28"/>
          <w:szCs w:val="28"/>
          <w:rtl w:val="true"/>
          <w:lang w:bidi="ar-SA"/>
        </w:rPr>
        <w:t xml:space="preserve">ذكرناه في خامس الأدلّة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حجّية خبر الواحد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الآيات والأخبار الدالّة على حرمة العمل بالظنّ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 </w:t>
      </w:r>
      <w:r>
        <w:rPr>
          <w:rStyle w:val="FootnoteAnchor"/>
          <w:rtl w:val="true"/>
        </w:rPr>
        <w:footnoteReference w:id="156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يَتَّبِعُونَ إِلَّا الظَّنَّ وَإِنَّ الظَّنَّ لا يُغْنِي مِنَ الْحَقِّ شَيْئاً</w:t>
      </w:r>
      <w:r>
        <w:rPr>
          <w:rFonts w:eastAsia="Amiri" w:cs="Amiri" w:ascii="Amiri" w:hAnsi="Amiri"/>
          <w:color w:val="111111"/>
          <w:sz w:val="28"/>
          <w:szCs w:val="28"/>
          <w:rtl w:val="true"/>
          <w:lang w:bidi="ar-SA"/>
        </w:rPr>
        <w:t xml:space="preserve">. ) </w:t>
      </w:r>
      <w:r>
        <w:rPr>
          <w:rStyle w:val="FootnoteAnchor"/>
          <w:rtl w:val="true"/>
        </w:rPr>
        <w:footnoteReference w:id="1563"/>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النّهي والذمّ على اتّباع الظنّ دليل على الحرمة ، وخبر الواحد لا يفيد إلّا الظنّ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آية النّهي فإنّها مختصّة بالنبيّ صلى‌الله‌عليه‌وآله ، ولا دليل على مشاركة غيره له في جميع الخطابات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 لكنّ الخطاب شفاهي ، فلعلّه كان قرينة تدلّ على خلاف المقصود من اختصاصها بأصول الدّين ، أو بما ينسب إلى المسلمين كما يظهر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 </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ومن إرادة المعنى الرّاجح من العلم مجازا ، مع أنّ اشتراك غير المشافه للمشافه إنّما هو بالإجماع والضّرورة ، وهما منتفيان في موضع النّزاع ، وهو صورة انسداد باب العلم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التمسّك بهذه الآية يفيد حرمة العمل بالظنّ ، فالتمسّك بالظنّ الحاصل بها هو ما نفاه نفس الآية ، وكلّ ما يستلزم وجوده عدمه فهو محال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ودعوى قطعيّة حجّية الظنّ الحاصل من الكتاب قد عرفت الكلام فيه </w:t>
      </w:r>
      <w:r>
        <w:rPr>
          <w:rStyle w:val="FootnoteAnchor"/>
          <w:rtl w:val="true"/>
        </w:rPr>
        <w:footnoteReference w:id="1566"/>
      </w:r>
      <w:r>
        <w:rPr>
          <w:rFonts w:ascii="Amiri" w:hAnsi="Amiri" w:eastAsia="Amiri" w:cs="Amiri"/>
          <w:color w:val="111111"/>
          <w:sz w:val="28"/>
          <w:sz w:val="28"/>
          <w:szCs w:val="28"/>
          <w:rtl w:val="true"/>
          <w:lang w:bidi="ar-SA"/>
        </w:rPr>
        <w:t xml:space="preserve">، وأنّه ليس بثابت في الأصل ، وعلى فرض الثبوت فلم يثبت فيما كان هناك خبر واحد يدلّ على حكم بالخصوص ، مع أنّ الآية إنّما تفيد العموم لو كانت كلمة ما نكرة ، ولو كانت موصولة فلا تنافي </w:t>
      </w:r>
      <w:r>
        <w:rPr>
          <w:rStyle w:val="FootnoteAnchor"/>
          <w:rtl w:val="true"/>
        </w:rPr>
        <w:footnoteReference w:id="1567"/>
      </w:r>
      <w:r>
        <w:rPr>
          <w:rFonts w:ascii="Amiri" w:hAnsi="Amiri" w:eastAsia="Amiri" w:cs="Amiri"/>
          <w:color w:val="111111"/>
          <w:sz w:val="28"/>
          <w:sz w:val="28"/>
          <w:szCs w:val="28"/>
          <w:rtl w:val="true"/>
          <w:lang w:bidi="ar-SA"/>
        </w:rPr>
        <w:t>جواز اتّباع بعض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يُحِبُّ كُلَّ مُخْتالٍ فَخُورٍ </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فعلى خلاف الأصل ، فإنّ الظاهر من ليس كلّ ، أنّه سور للسّلب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آية الذمّ ، فمع أنّه يرد عليه بعض ما ذكر فيه </w:t>
      </w:r>
      <w:r>
        <w:rPr>
          <w:rStyle w:val="FootnoteAnchor"/>
          <w:rtl w:val="true"/>
        </w:rPr>
        <w:footnoteReference w:id="1569"/>
      </w:r>
      <w:r>
        <w:rPr>
          <w:rFonts w:ascii="Amiri" w:hAnsi="Amiri" w:eastAsia="Amiri" w:cs="Amiri"/>
          <w:color w:val="111111"/>
          <w:sz w:val="28"/>
          <w:sz w:val="28"/>
          <w:szCs w:val="28"/>
          <w:rtl w:val="true"/>
          <w:lang w:bidi="ar-SA"/>
        </w:rPr>
        <w:t>انّها ظاهرة في أصول الدّين بالنظر إلى سياقها ، وإن قلنا بأنّ السّبب والمحلّ لا يخصّص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العموم في جميع الآيات لكن ما ذكرنا من الأدلّة يخصّصها ، لأنّ الخاصّ مقدّم على العامّ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ذكره السيّد المرتضى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المسائل التبانيات</w:t>
      </w:r>
      <w:r>
        <w:rPr>
          <w:rFonts w:eastAsia="Amiri" w:cs="Amiri" w:ascii="Amiri" w:hAnsi="Amiri"/>
          <w:color w:val="111111"/>
          <w:sz w:val="28"/>
          <w:szCs w:val="28"/>
          <w:rtl w:val="true"/>
          <w:lang w:bidi="ar-SA"/>
        </w:rPr>
        <w:t xml:space="preserve">» </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من أصحابنا لا يعملون بخبر الواحد ، وأنّ ادّعاء خلاف ذلك عليهم ، دفع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نعلم علما ضروريا لا يدخل في مثله ريب ولا شكّ ، أنّ علماء الشيعة الإمامية يذهبون إلى أنّ أخبار الآحاد لا يجوز العمل بها في الشّريعة ولا التعويل عليها ، وأنّها ليست بحجّة ولا دلالة </w:t>
      </w:r>
      <w:r>
        <w:rPr>
          <w:rStyle w:val="FootnoteAnchor"/>
          <w:rtl w:val="true"/>
        </w:rPr>
        <w:footnoteReference w:id="1571"/>
      </w:r>
      <w:r>
        <w:rPr>
          <w:rFonts w:ascii="Amiri" w:hAnsi="Amiri" w:eastAsia="Amiri" w:cs="Amiri"/>
          <w:color w:val="111111"/>
          <w:sz w:val="28"/>
          <w:sz w:val="28"/>
          <w:szCs w:val="28"/>
          <w:rtl w:val="true"/>
          <w:lang w:bidi="ar-SA"/>
        </w:rPr>
        <w:t xml:space="preserve">، وقد ملئوا الطوامير وسطّروا الأساطير في الاحتجاج على ذلك والنقض على مخالفيهم </w:t>
      </w:r>
      <w:r>
        <w:rPr>
          <w:rStyle w:val="FootnoteAnchor"/>
          <w:rtl w:val="true"/>
        </w:rPr>
        <w:footnoteReference w:id="1572"/>
      </w:r>
      <w:r>
        <w:rPr>
          <w:rFonts w:ascii="IRNazanin" w:hAnsi="IRNazanin" w:eastAsia="IRNazanin"/>
          <w:color w:val="111111"/>
          <w:sz w:val="28"/>
          <w:sz w:val="28"/>
          <w:szCs w:val="28"/>
          <w:rtl w:val="true"/>
          <w:lang w:bidi="fa-IR"/>
        </w:rPr>
        <w:t xml:space="preserve">، ومنهم </w:t>
      </w:r>
      <w:r>
        <w:rPr>
          <w:rStyle w:val="FootnoteAnchor"/>
          <w:rtl w:val="true"/>
        </w:rPr>
        <w:footnoteReference w:id="1573"/>
      </w:r>
      <w:r>
        <w:rPr>
          <w:rFonts w:ascii="Amiri" w:hAnsi="Amiri" w:eastAsia="Amiri" w:cs="Amiri"/>
          <w:color w:val="111111"/>
          <w:sz w:val="28"/>
          <w:sz w:val="28"/>
          <w:szCs w:val="28"/>
          <w:rtl w:val="true"/>
          <w:lang w:bidi="ar-SA"/>
        </w:rPr>
        <w:t xml:space="preserve">من يزيد على هذه الجملة ويذهب إلى أنّه مستحيل من طريق العقول أن يتعبّد الله بالعمل بأخبار الآحاد ، ويجري ظهور مذهبهم في أخبار الآحاد مجرى ظهوره في إبطال القياس في الشريعة وخطره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المسألة التي أفردها في البحث عن العمل بخبر الواحد ، إنّه </w:t>
      </w:r>
      <w:r>
        <w:rPr>
          <w:rStyle w:val="FootnoteAnchor"/>
          <w:rtl w:val="true"/>
        </w:rPr>
        <w:footnoteReference w:id="1575"/>
      </w:r>
      <w:r>
        <w:rPr>
          <w:rFonts w:ascii="Amiri" w:hAnsi="Amiri" w:eastAsia="Amiri" w:cs="Amiri"/>
          <w:color w:val="111111"/>
          <w:sz w:val="28"/>
          <w:sz w:val="28"/>
          <w:szCs w:val="28"/>
          <w:rtl w:val="true"/>
          <w:lang w:bidi="ar-SA"/>
        </w:rPr>
        <w:t xml:space="preserve">بيّن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التبانيات</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الضّروري حاصل لكلّ مخالف للإمامية أو موافق ، بأنّهم لا يعملون في الشريعة بخبر لا يوجب العلم ، وأنّ ذلك قد صار شعارا لهم يعرفون به ، كما انّ نفي القياس في الشريعة من شعارهم الذي يعلمه منهم كلّ مخالط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وتكلّم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Style w:val="FootnoteAnchor"/>
          <w:rtl w:val="true"/>
        </w:rPr>
        <w:footnoteReference w:id="1577"/>
      </w:r>
      <w:r>
        <w:rPr>
          <w:rFonts w:ascii="Amiri" w:hAnsi="Amiri" w:eastAsia="Amiri" w:cs="Amiri"/>
          <w:color w:val="111111"/>
          <w:sz w:val="28"/>
          <w:sz w:val="28"/>
          <w:szCs w:val="28"/>
          <w:rtl w:val="true"/>
          <w:lang w:bidi="ar-SA"/>
        </w:rPr>
        <w:t xml:space="preserve">على التعلّق بعمل الصّحابة والتابعين بأنّ الإمامية تدفع ذلك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عمل بأخبار الآحاد من الصحابة </w:t>
      </w:r>
      <w:r>
        <w:rPr>
          <w:rStyle w:val="FootnoteAnchor"/>
          <w:rtl w:val="true"/>
        </w:rPr>
        <w:footnoteReference w:id="1578"/>
      </w:r>
      <w:r>
        <w:rPr>
          <w:rFonts w:ascii="Amiri" w:hAnsi="Amiri" w:eastAsia="Amiri" w:cs="Amiri"/>
          <w:color w:val="111111"/>
          <w:sz w:val="28"/>
          <w:sz w:val="28"/>
          <w:szCs w:val="28"/>
          <w:rtl w:val="true"/>
          <w:lang w:bidi="ar-SA"/>
        </w:rPr>
        <w:t xml:space="preserve">المتآمرون الّذين يحتشم التصريح بخلافهم والخروج من جملتهم ، فإمساك النكير عليهم لا يدلّ على الرّضا بما فعلوه ، لأنّ الشرط في دلالة الإمساك على الرّضا أن لا يكون له وجه سوى الرّضا من تقيّة وخوف وما أشبه ذلك ، هكذا نقله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ما ادّعاه </w:t>
      </w:r>
      <w:r>
        <w:rPr>
          <w:rStyle w:val="FootnoteAnchor"/>
          <w:rtl w:val="true"/>
        </w:rPr>
        <w:footnoteReference w:id="1580"/>
      </w:r>
      <w:r>
        <w:rPr>
          <w:rFonts w:ascii="Amiri" w:hAnsi="Amiri" w:eastAsia="Amiri" w:cs="Amiri"/>
          <w:color w:val="111111"/>
          <w:sz w:val="28"/>
          <w:sz w:val="28"/>
          <w:szCs w:val="28"/>
          <w:rtl w:val="true"/>
          <w:lang w:bidi="ar-SA"/>
        </w:rPr>
        <w:t>، ولا يحصل لنا العلم بالإجماع الحقيقي على ذلك ، لو لم يحصل على عدمه ، والاتّكال على نقله الإجماع رجوع إلى العمل بخبر الواحد ، مع أنّه لو سلّم الإجماع فإنّما يسلّم فيما لو لم ينقطع باب العلم ، والمفروض في زماننا انقطاعه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المسلّم منه في زمان أصحاب الأئمّة عليهم‌السلام لكونهم قادرين على تحصيل العلم ، بل ولبعضهم لعدم تمكّن كثير منهم من العلم أيضا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امتناع أصحاب الأئمّة عليهم‌السلام عن العمل بأخبار الآحاد لعلّه كان لأجل تمكّنهم ، بل الظاهر أنّ السيّد رحمه‌الله أيضا كان متمكّنا </w:t>
      </w:r>
      <w:r>
        <w:rPr>
          <w:rStyle w:val="FootnoteAnchor"/>
          <w:rtl w:val="true"/>
        </w:rPr>
        <w:footnoteReference w:id="1581"/>
      </w:r>
      <w:r>
        <w:rPr>
          <w:rFonts w:ascii="Amiri" w:hAnsi="Amiri" w:eastAsia="Amiri" w:cs="Amiri"/>
          <w:color w:val="111111"/>
          <w:sz w:val="28"/>
          <w:sz w:val="28"/>
          <w:szCs w:val="28"/>
          <w:rtl w:val="true"/>
          <w:lang w:bidi="ar-SA"/>
        </w:rPr>
        <w:t xml:space="preserve">لقرب عهده بصاحب الشّرع ووجود القرائن والأمارات ،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معظم الفقه يعلم بالضّرورة من مذاهب أئمّتنا عليهم‌السلام ، وبالأخبار المتواترة ، وما لم يتحقّق فيه ذلك ، فيعوّل فيه على إجماع </w:t>
      </w:r>
    </w:p>
    <w:p>
      <w:pPr>
        <w:pStyle w:val="BookText"/>
        <w:rPr/>
      </w:pPr>
      <w:r>
        <w:rPr>
          <w:rFonts w:ascii="Amiri" w:hAnsi="Amiri" w:eastAsia="Amiri" w:cs="Amiri"/>
          <w:color w:val="111111"/>
          <w:sz w:val="28"/>
          <w:sz w:val="28"/>
          <w:szCs w:val="28"/>
          <w:rtl w:val="true"/>
          <w:lang w:bidi="ar-SA"/>
        </w:rPr>
        <w:t>الإمامية ، وفي سائر المتخالفات يرجع إلى التخيير بين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يحصل لنا سبيل إلى العلم بتفاصيل الفقه بشيء ممّا ذكر ، فكيف يكون حالنا متّحدة مع حال السيّد رحمه‌الله وأصحاب الأئمّة عليهم‌السلام ، مع أنّ السيّد أيضا يكتفي بالظنّ فيما لا سبيل فيه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أردنا إثبات حجّية الخبر في أمثال زماننا ، وكان غرضنا إبطال القول بحرمة العمل به في أمثال هذا الزّمان ، وأمّا لو أردنا إثبات جواز العمل به مطلقا </w:t>
      </w:r>
      <w:r>
        <w:rPr>
          <w:rStyle w:val="FootnoteAnchor"/>
          <w:rtl w:val="true"/>
        </w:rPr>
        <w:footnoteReference w:id="1582"/>
      </w:r>
      <w:r>
        <w:rPr>
          <w:rFonts w:ascii="Amiri" w:hAnsi="Amiri" w:eastAsia="Amiri" w:cs="Amiri"/>
          <w:color w:val="111111"/>
          <w:sz w:val="28"/>
          <w:sz w:val="28"/>
          <w:szCs w:val="28"/>
          <w:rtl w:val="true"/>
          <w:lang w:bidi="ar-SA"/>
        </w:rPr>
        <w:t xml:space="preserve">ومع تمكّن العلم ، فيحتاج إلى تتميم الأدلّة المخصوصة بإثبات حجّية خبر الواحد مطلقا </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الإجماع الذي إدّعاه الشيخ والعلّامة </w:t>
      </w:r>
      <w:r>
        <w:rPr>
          <w:rStyle w:val="FootnoteAnchor"/>
          <w:rtl w:val="true"/>
        </w:rPr>
        <w:footnoteReference w:id="1584"/>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تحقيق الحقّ في هذا الإجماع المدّعى على طرفي النقيض من السيّد والشيخ ، ووجه ذلك المخالفة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فاعلم ، أنّ إنكار العمل بخبر الواحد في الجملة ممّا لا ريب فيه أنّه كان مذهبا للإمامية ، وعلى ذلك تنزّل دعوى السيّد وإن غفل في تعميم الدّعوى</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Style w:val="FootnoteAnchor"/>
          <w:rtl w:val="true"/>
        </w:rPr>
        <w:footnoteReference w:id="1586"/>
      </w:r>
      <w:r>
        <w:rPr>
          <w:rFonts w:ascii="Amiri" w:hAnsi="Amiri" w:eastAsia="Amiri" w:cs="Amiri"/>
          <w:color w:val="111111"/>
          <w:sz w:val="28"/>
          <w:sz w:val="28"/>
          <w:szCs w:val="28"/>
          <w:rtl w:val="true"/>
          <w:lang w:bidi="ar-SA"/>
        </w:rPr>
        <w:t xml:space="preserve">في وجه المخالفة في الدّعويين ، أنّ السيّد كان اعتماده في هذه الدّعوى على ما عهده من كلام أوائل المتكلّمين منهم ، والعمل بخبر الواحد بعيد عن طريقتهم ، حتّى قال بعضهم </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باستحالته عقلا ، وتعويل الشيخ </w:t>
      </w:r>
    </w:p>
    <w:p>
      <w:pPr>
        <w:pStyle w:val="BookText"/>
        <w:rPr/>
      </w:pPr>
      <w:r>
        <w:rPr>
          <w:rFonts w:ascii="Amiri" w:hAnsi="Amiri" w:eastAsia="Amiri" w:cs="Amiri"/>
          <w:color w:val="111111"/>
          <w:sz w:val="28"/>
          <w:sz w:val="28"/>
          <w:szCs w:val="28"/>
          <w:rtl w:val="true"/>
          <w:lang w:bidi="ar-SA"/>
        </w:rPr>
        <w:t>والعلّامة رحمه‌الله كان على ما ظهر لهما من حال علمائنا المعتنين بالفقه والحديث حيث أوردوا الأخبار في كتبهم واستراحوا إليها في 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صريح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للسيّد في إنكار الإمامية للعمل بخبر الواحد ، لكنّه ذكر أنّه هو ما رواه المخالفون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رواه أصحابنا الإمامية في كتبهم وتداولوه بينهم ، فاتّفقوا على العمل بها ،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بعد ما ذكر في وجه الدّعويين ما ذكرنا أوّلا 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قبل وقوفه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وجهها </w:t>
      </w:r>
      <w:r>
        <w:rPr>
          <w:rStyle w:val="FootnoteAnchor"/>
          <w:rtl w:val="true"/>
        </w:rPr>
        <w:footnoteReference w:id="1588"/>
      </w:r>
      <w:r>
        <w:rPr>
          <w:rFonts w:ascii="Amiri" w:hAnsi="Amiri" w:eastAsia="Amiri" w:cs="Amiri"/>
          <w:color w:val="111111"/>
          <w:sz w:val="28"/>
          <w:sz w:val="28"/>
          <w:szCs w:val="28"/>
          <w:rtl w:val="true"/>
          <w:lang w:bidi="ar-SA"/>
        </w:rPr>
        <w:t>ما نقلناه عن الشيخ واستبعده عن الصّواب ، لأنّ الاعتراف بإنكار عمل الإمامية بأخبار الآحاد لا يعقل صرفه إلى روايات مخالفيهم ، لاشتراط العدالة عندهم ، وانتفاؤها في خبرهم كاف في الإضراب عنها ، فلا وجه للمبالغة في نفي العمل بخبر يروونه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 الاستبعاد بأنّ الإمامية لمّا كانوا مخالطين مع المخالفين ، وكان المخالفون من مذهبهم جواز وضع الأحاديث ، كما لا يخفى على من اطّلع على طريقتهم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اشتهر أنّ سمرة بن جندب </w:t>
      </w:r>
      <w:r>
        <w:rPr>
          <w:rStyle w:val="FootnoteAnchor"/>
          <w:rtl w:val="true"/>
        </w:rPr>
        <w:footnoteReference w:id="1589"/>
      </w:r>
      <w:r>
        <w:rPr>
          <w:rFonts w:ascii="Amiri" w:hAnsi="Amiri" w:eastAsia="Amiri" w:cs="Amiri"/>
          <w:color w:val="111111"/>
          <w:sz w:val="28"/>
          <w:sz w:val="28"/>
          <w:szCs w:val="28"/>
          <w:rtl w:val="true"/>
          <w:lang w:bidi="ar-SA"/>
        </w:rPr>
        <w:t xml:space="preserve">اختلق رواية عن رسول </w:t>
      </w:r>
    </w:p>
    <w:p>
      <w:pPr>
        <w:pStyle w:val="BookText"/>
        <w:rPr/>
      </w:pPr>
      <w:r>
        <w:rPr>
          <w:rFonts w:ascii="Amiri" w:hAnsi="Amiri" w:eastAsia="Amiri" w:cs="Amiri"/>
          <w:color w:val="111111"/>
          <w:sz w:val="28"/>
          <w:sz w:val="28"/>
          <w:szCs w:val="28"/>
          <w:rtl w:val="true"/>
          <w:lang w:bidi="ar-SA"/>
        </w:rPr>
        <w:t xml:space="preserve">الله صلى‌الله‌عليه‌وآله بأمر معاوية في إزاء أربعمائة ألف درهم ، بأنّ آية اشتملت على مذمّة عظيمة في شأن عليّ عليه‌السلام ، وآية أخرى مشتملة على مدح عظيم نزلت في شأن قاتله ، وكذا غيره من المعروفين بالكذب ، وما كانوا متمكّنين عن التصريح بتكذيبهم ، ومنع قبول أخبارهم من حيث إنّها أخبارهم ، فاحتالوا فيه مناصا ، واعتمدوا في احتجاجاتهم على أنّ خبر الواحد لا يفيد العلم فلا يثبت به شيء ، وتخلّصوا بذلك عن تهمتهم </w:t>
      </w:r>
      <w:r>
        <w:rPr>
          <w:rStyle w:val="FootnoteAnchor"/>
          <w:rtl w:val="true"/>
        </w:rPr>
        <w:footnoteReference w:id="1590"/>
      </w:r>
      <w:r>
        <w:rPr>
          <w:rFonts w:ascii="Amiri" w:hAnsi="Amiri" w:eastAsia="Amiri" w:cs="Amiri"/>
          <w:color w:val="111111"/>
          <w:sz w:val="28"/>
          <w:sz w:val="28"/>
          <w:szCs w:val="28"/>
          <w:rtl w:val="true"/>
          <w:lang w:bidi="ar-SA"/>
        </w:rPr>
        <w:t>فاشتهر بينهم هذا المطلب بهذا الاشتهار ، حتّى ظنّ السيّد ونظراؤه أنّ ذلك كان مذهبا لهم في خبر الواحد ، وإن كان من طرق الأصحاب في فروع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 أنّ الغفلة إنّما وقع عن السيّد في التعميم ، وأنّ العمل بخبر الواحد من طرق الأصحاب كان جائزا عند الإمامية وعليها شواهد كثيرة لا تخفى على المتتبّع المتأمل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تصدّى لرفع التنافي بين الدعويين وبيان الموافقة بين المدّعيين ، وقال </w:t>
      </w:r>
      <w:r>
        <w:rPr>
          <w:rStyle w:val="FootnoteAnchor"/>
          <w:rtl w:val="true"/>
        </w:rPr>
        <w:footnoteReference w:id="1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أنّه لم يتّضح من حال الشيخ وموافقيه مخالفة السيّد ، إذ كانت أخبار الأصحاب يومئذ قريبة العهد بزمان لقاء المعصومين عليهم‌السلام واستفادة الأحكام منهم ، وكانت القرائن المعاضدة لها متيسّرة كما أشار إليه السيّد ، ولم يعلم أنّهم اعتمدوا </w:t>
      </w:r>
      <w:r>
        <w:rPr>
          <w:rStyle w:val="FootnoteAnchor"/>
          <w:rtl w:val="true"/>
        </w:rPr>
        <w:footnoteReference w:id="1592"/>
      </w:r>
      <w:r>
        <w:rPr>
          <w:rFonts w:ascii="Amiri" w:hAnsi="Amiri" w:eastAsia="Amiri" w:cs="Amiri"/>
          <w:color w:val="111111"/>
          <w:sz w:val="28"/>
          <w:sz w:val="28"/>
          <w:szCs w:val="28"/>
          <w:rtl w:val="true"/>
          <w:lang w:bidi="ar-SA"/>
        </w:rPr>
        <w:t>على الخبر المجرّد ليظهر مخالفتهم لرأيه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استشهد على ذلك بكلام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تأمّلت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أنّ هذا الكلام بعيد بمراحل عن الصّواب ، وكذلك لا شهادة في كلام المحقّق له ، ووجه غفلته رحمه‌الله أنّه لم يكن عنده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متعدّدة من كلامه رحمه‌الله ، ينادي بأعلى صوتها ، أنّ كلامه في الأخبار المجرّدة عن القرائن الدّالّة على صحّة الخبر وصحّة المضمون لا حاجة لنا إلى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خصّ الشيخ القول بجواز العمل بأخبار الإمامية التي دوّنتها في الكتب المتداولة الدّائرة بين الأصحاب ، سواء رواها الإمامية أو غيرهم أيضا إذا كان سليما عن المعارض ، وهذا هو الذي نقله المحقّق عنه </w:t>
      </w:r>
      <w:r>
        <w:rPr>
          <w:rStyle w:val="FootnoteAnchor"/>
          <w:rtl w:val="true"/>
        </w:rPr>
        <w:footnoteReference w:id="1593"/>
      </w:r>
      <w:r>
        <w:rPr>
          <w:rFonts w:ascii="Amiri" w:hAnsi="Amiri" w:eastAsia="Amiri" w:cs="Amiri"/>
          <w:color w:val="111111"/>
          <w:sz w:val="28"/>
          <w:sz w:val="28"/>
          <w:szCs w:val="28"/>
          <w:rtl w:val="true"/>
          <w:lang w:bidi="ar-SA"/>
        </w:rPr>
        <w:t>أيضا ، وأنت خبير بأنّ مجرّد ذلك لا يوجب كون تلك الأخبار مقرونة بالقرائن المفيدة للقطع بالصدور ، سيّما مع تصريحه في مواضع كثيرة بما يدلّ على أنّها غير موجبة للعلم ، فلاحظ ، مع أنّ كون تلك الأخبار مقترنة بالقرائن المفيدة للقطع لأصحاب الأئمّة عليهم‌السلام لا يفيد كونه كذلك عند الشيخ أيضا ، ولا دلالة في كلام الشيخ على أنّها كانت كذلك عند هذا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والتحقيق ، أنّ الاعتماد في الاستدلال بخبر الواحد في أمثال زماننا على الإجماع أيضا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نقله الشيخ وإن كان يفيد عموم حجّية الكتب المتداولة ، لكنّه لفظ عامّ ، والاعتماد على عموم لفظ الإجماع المنقول في إثبات خبر الواحد دوريّ </w:t>
      </w:r>
      <w:r>
        <w:rPr>
          <w:rStyle w:val="FootnoteAnchor"/>
          <w:rtl w:val="true"/>
        </w:rPr>
        <w:footnoteReference w:id="1594"/>
      </w:r>
      <w:r>
        <w:rPr>
          <w:rFonts w:ascii="Amiri" w:hAnsi="Amiri" w:eastAsia="Amiri" w:cs="Amiri"/>
          <w:color w:val="111111"/>
          <w:sz w:val="28"/>
          <w:sz w:val="28"/>
          <w:szCs w:val="28"/>
          <w:rtl w:val="true"/>
          <w:lang w:bidi="ar-SA"/>
        </w:rPr>
        <w:t xml:space="preserve">، والعلم بجواز العمل بجميعها </w:t>
      </w:r>
      <w:r>
        <w:rPr>
          <w:rStyle w:val="FootnoteAnchor"/>
          <w:rtl w:val="true"/>
        </w:rPr>
        <w:footnoteReference w:id="1595"/>
      </w:r>
      <w:r>
        <w:rPr>
          <w:rFonts w:ascii="Amiri" w:hAnsi="Amiri" w:eastAsia="Amiri" w:cs="Amiri"/>
          <w:color w:val="111111"/>
          <w:sz w:val="28"/>
          <w:sz w:val="28"/>
          <w:szCs w:val="28"/>
          <w:rtl w:val="true"/>
          <w:lang w:bidi="ar-SA"/>
        </w:rPr>
        <w:t xml:space="preserve">لأنفسنا غير معلوم ، فلا </w:t>
      </w:r>
    </w:p>
    <w:p>
      <w:pPr>
        <w:pStyle w:val="BookText"/>
        <w:rPr/>
      </w:pPr>
      <w:r>
        <w:rPr>
          <w:rFonts w:ascii="Amiri" w:hAnsi="Amiri" w:eastAsia="Amiri" w:cs="Amiri"/>
          <w:color w:val="111111"/>
          <w:sz w:val="28"/>
          <w:sz w:val="28"/>
          <w:szCs w:val="28"/>
          <w:rtl w:val="true"/>
          <w:lang w:bidi="ar-SA"/>
        </w:rPr>
        <w:t>يمكننا اليوم دعوى الإجماع على حجّية جميع ما في الكتب المتداولة ، مع أنّ الإجماع لا يثبت إلّا جواز العمل في الجملة ، وقطعيّة حجّية بعضها في الجملة مع الإجمال والاشتباه لا يحصل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الإجماع على العمل بالنحو الّذي رخّصوه في الجمع والترجيح وتقديم بعضها على بعض ، مع عدم حصول العلم بنفس الكيفيّة وخصوصيّتها لاختلاف وجوه الجمع والترجيح بالنسبة إلى الأخبار وغيرها ، ممّا لا يسمن ولا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جميع ذلك ، أنّ ذلك </w:t>
      </w:r>
      <w:r>
        <w:rPr>
          <w:rStyle w:val="FootnoteAnchor"/>
          <w:rtl w:val="true"/>
        </w:rPr>
        <w:footnoteReference w:id="1596"/>
      </w:r>
      <w:r>
        <w:rPr>
          <w:rFonts w:ascii="Amiri" w:hAnsi="Amiri" w:eastAsia="Amiri" w:cs="Amiri"/>
          <w:color w:val="111111"/>
          <w:sz w:val="28"/>
          <w:sz w:val="28"/>
          <w:szCs w:val="28"/>
          <w:rtl w:val="true"/>
          <w:lang w:bidi="ar-SA"/>
        </w:rPr>
        <w:t>أيضا بعد التسليم حجّة إجماليّة لا يحصل العلم بتفاصيلها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فالمرجع في حجّية خبر الواحد حقيقة إنّما هو الدّليل الخامس </w:t>
      </w:r>
      <w:r>
        <w:rPr>
          <w:rStyle w:val="FootnoteAnchor"/>
          <w:rtl w:val="true"/>
        </w:rPr>
        <w:footnoteReference w:id="1597"/>
      </w:r>
      <w:r>
        <w:rPr>
          <w:rFonts w:ascii="Amiri" w:hAnsi="Amiri" w:eastAsia="Amiri" w:cs="Amiri"/>
          <w:color w:val="111111"/>
          <w:sz w:val="28"/>
          <w:sz w:val="28"/>
          <w:szCs w:val="28"/>
          <w:rtl w:val="true"/>
          <w:lang w:bidi="ar-SA"/>
        </w:rPr>
        <w:t>كما أشرنا سابقا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المتأخّرين </w:t>
      </w:r>
      <w:r>
        <w:rPr>
          <w:rStyle w:val="FootnoteAnchor"/>
          <w:rtl w:val="true"/>
        </w:rPr>
        <w:footnoteReference w:id="1598"/>
      </w:r>
      <w:r>
        <w:rPr>
          <w:rFonts w:ascii="Amiri" w:hAnsi="Amiri" w:eastAsia="Amiri" w:cs="Amiri"/>
          <w:color w:val="111111"/>
          <w:sz w:val="28"/>
          <w:sz w:val="28"/>
          <w:szCs w:val="28"/>
          <w:rtl w:val="true"/>
          <w:lang w:bidi="ar-SA"/>
        </w:rPr>
        <w:t>تمسّك بالأخبار الواردة في أمرهم عليهم‌السلام بحفظ الكتب والعمل بها ، ولو سلّم التواتر فيها ، فإنّها أيضا لا تفيد إلّا الإجمال كما بيّنا ، والله العالم</w:t>
      </w:r>
      <w:r>
        <w:rPr>
          <w:rFonts w:eastAsia="Amiri" w:cs="Amiri" w:ascii="Amiri" w:hAnsi="Amiri"/>
          <w:color w:val="111111"/>
          <w:sz w:val="28"/>
          <w:szCs w:val="28"/>
          <w:rtl w:val="true"/>
          <w:lang w:bidi="ar-SA"/>
        </w:rPr>
        <w:t xml:space="preserve">. </w:t>
      </w:r>
      <w:bookmarkStart w:id="205" w:name="pg14071_149451"/>
    </w:p>
    <w:p>
      <w:pPr>
        <w:pStyle w:val="Heading5"/>
        <w:numPr>
          <w:ilvl w:val="4"/>
          <w:numId w:val="1"/>
        </w:numPr>
        <w:rPr/>
      </w:pPr>
      <w:bookmarkStart w:id="206" w:name="__RefHeading___Toc495139_1738255347"/>
      <w:bookmarkStart w:id="207" w:name="_Toc75"/>
      <w:bookmarkEnd w:id="205"/>
      <w:bookmarkEnd w:id="206"/>
      <w:r>
        <w:rPr>
          <w:rtl w:val="true"/>
        </w:rPr>
        <w:t>قانون</w:t>
      </w:r>
      <w:bookmarkEnd w:id="207"/>
    </w:p>
    <w:p>
      <w:pPr>
        <w:pStyle w:val="BookText"/>
        <w:rPr/>
      </w:pPr>
      <w:r>
        <w:rPr>
          <w:rFonts w:ascii="Amiri" w:hAnsi="Amiri" w:eastAsia="Amiri" w:cs="Amiri"/>
          <w:color w:val="111111"/>
          <w:sz w:val="28"/>
          <w:sz w:val="28"/>
          <w:szCs w:val="28"/>
          <w:rtl w:val="true"/>
          <w:lang w:bidi="ar-SA"/>
        </w:rPr>
        <w:t xml:space="preserve">ذكر العلماء للعمل بخبر الواحد شرائط ترجع إلى الرّاوي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البلوغ والعقل والإسلام والإيمان والعدالة والضبط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 أنّ هذه الشرائط إنّما تتمّ إذا ثبت جواز العمل بخبر الواحد من الأدلّة الخاصّة به ، وعلى القول </w:t>
      </w:r>
      <w:r>
        <w:rPr>
          <w:rStyle w:val="FootnoteAnchor"/>
          <w:rtl w:val="true"/>
        </w:rPr>
        <w:footnoteReference w:id="1599"/>
      </w:r>
      <w:r>
        <w:rPr>
          <w:rFonts w:ascii="Amiri" w:hAnsi="Amiri" w:eastAsia="Amiri" w:cs="Amiri"/>
          <w:color w:val="111111"/>
          <w:sz w:val="28"/>
          <w:sz w:val="28"/>
          <w:szCs w:val="28"/>
          <w:rtl w:val="true"/>
          <w:lang w:bidi="ar-SA"/>
        </w:rPr>
        <w:t>بجواز العمل به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بناء العمل عليه من جهة أنّه مفيد للظنّ كما هو مقتضى الدّليل الخامس ، فلا معنى لهذه الشرائط ، بل الأمر دائر مدار حصول الظنّ ، فحينئذ اشتراط هذه الشرائط لا بدّ أن يكون للتنبيه على أنّ الخالي عن المذكورات لا يفيد الظنّ أو لبيان مراتب الظنّ أو لإثبات تحريم العمل بالخالي عن الشرائط كالقياس ، وقد عرفت أنّه ليس كذلك ، إذ قد يحصل الظنّ بخبر الفاسق والمخالف ما لا يحصل من غيره ، مع قطع النظر عن القرائن الخارجية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وستعرف الكلام في دعوى حرمة العمل في الخالي عنها في الأكثر ، مع ما عرفت من الإشكال في صحّة الاستثناء فيما ذكرناه في استثناء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تفصيل القول في الشرائط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البلوغ والعقل ، فنقلوا الإجماع على عدم قبول خبر المجنون المطبق ، والصبيّ الغير المميّز</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المجنون الأدواريّ ، فلا مانع من قبول روايته حال إفاقته إذا انتفى عنه أثر الجنون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الصبيّ المميّز ، فالمعروف من مذهب الأصحاب وجمهور العامّة </w:t>
      </w:r>
      <w:r>
        <w:rPr>
          <w:rStyle w:val="FootnoteAnchor"/>
          <w:rtl w:val="true"/>
        </w:rPr>
        <w:footnoteReference w:id="1600"/>
      </w:r>
      <w:r>
        <w:rPr>
          <w:rFonts w:ascii="Amiri" w:hAnsi="Amiri" w:eastAsia="Amiri" w:cs="Amiri"/>
          <w:color w:val="111111"/>
          <w:sz w:val="28"/>
          <w:sz w:val="28"/>
          <w:szCs w:val="28"/>
          <w:rtl w:val="true"/>
          <w:lang w:bidi="ar-SA"/>
        </w:rPr>
        <w:t xml:space="preserve">المنع ، ودليله الأصل </w:t>
      </w:r>
      <w:r>
        <w:rPr>
          <w:rStyle w:val="FootnoteAnchor"/>
          <w:rtl w:val="true"/>
        </w:rPr>
        <w:footnoteReference w:id="1601"/>
      </w:r>
      <w:r>
        <w:rPr>
          <w:rFonts w:ascii="Amiri" w:hAnsi="Amiri" w:eastAsia="Amiri" w:cs="Amiri"/>
          <w:color w:val="111111"/>
          <w:sz w:val="28"/>
          <w:sz w:val="28"/>
          <w:szCs w:val="28"/>
          <w:rtl w:val="true"/>
          <w:lang w:bidi="ar-SA"/>
        </w:rPr>
        <w:t xml:space="preserve">وعدم شمول أدلّة حجّية خبر الواحد له ، وربّما يستدلّ بالأولوية بالنسبة إلى الفاسق ، فإنّ للفاسق خشية من الله ربّما منعه عن الكذب بخلاف الصبي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آخرون </w:t>
      </w:r>
      <w:r>
        <w:rPr>
          <w:rStyle w:val="FootnoteAnchor"/>
          <w:rtl w:val="true"/>
        </w:rPr>
        <w:footnoteReference w:id="1603"/>
      </w:r>
      <w:r>
        <w:rPr>
          <w:rFonts w:ascii="Amiri" w:hAnsi="Amiri" w:eastAsia="Amiri" w:cs="Amiri"/>
          <w:color w:val="111111"/>
          <w:sz w:val="28"/>
          <w:sz w:val="28"/>
          <w:szCs w:val="28"/>
          <w:rtl w:val="true"/>
          <w:lang w:bidi="ar-SA"/>
        </w:rPr>
        <w:t>إلى القبول قياسا على جواز الاقتداء به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القياس أوّلا ، وبمنع الأصل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وبوجود الفارق </w:t>
      </w:r>
      <w:r>
        <w:rPr>
          <w:rStyle w:val="FootnoteAnchor"/>
          <w:rtl w:val="true"/>
        </w:rPr>
        <w:footnoteReference w:id="1604"/>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يجيزون الاقتداء بالفاسق ولا يقبلون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رواه قبل البلوغ ، وأمّا إذا رواه بعده وسمعه قبله فلا إشكال في القبول إذا جمع سائر الشرائط ، ولذلك قبل الصّحابة رواية ابن عبّاس </w:t>
      </w:r>
      <w:r>
        <w:rPr>
          <w:rStyle w:val="FootnoteAnchor"/>
          <w:rtl w:val="true"/>
        </w:rPr>
        <w:footnoteReference w:id="1605"/>
      </w:r>
      <w:r>
        <w:rPr>
          <w:rFonts w:ascii="Amiri" w:hAnsi="Amiri" w:eastAsia="Amiri" w:cs="Amiri"/>
          <w:color w:val="111111"/>
          <w:sz w:val="28"/>
          <w:sz w:val="28"/>
          <w:szCs w:val="28"/>
          <w:rtl w:val="true"/>
          <w:lang w:bidi="ar-SA"/>
        </w:rPr>
        <w:t xml:space="preserve">وغيره </w:t>
      </w:r>
      <w:r>
        <w:rPr>
          <w:rStyle w:val="FootnoteAnchor"/>
          <w:rtl w:val="true"/>
        </w:rPr>
        <w:footnoteReference w:id="1606"/>
      </w:r>
      <w:r>
        <w:rPr>
          <w:rFonts w:ascii="Amiri" w:hAnsi="Amiri" w:eastAsia="Amiri" w:cs="Amiri"/>
          <w:color w:val="111111"/>
          <w:sz w:val="28"/>
          <w:sz w:val="28"/>
          <w:szCs w:val="28"/>
          <w:rtl w:val="true"/>
          <w:lang w:bidi="ar-SA"/>
        </w:rPr>
        <w:t>ممّن تحمّل الرّواية قبل البلوغ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ذكره بعض الأصحاب من أنّ وجه ردّ الصدوق رحمه‌الله ما يرويه محمّد بن عيسى عن يونس ، هو هذا لا وجه له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الإسلام ، فظاهر بعضهم دعوى الإجماع على ذلك ، مستندا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أمّا الإجماع ، فيشكل دعواه مطلقا حتّى في صورة انسداد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يفيد دعواه في تضعيف الظنّ الحاصل بخبره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 أنّه يمكن الاعتماد على الإجماع وإن كان منقولا لو ثبت حجّية خبر الواحد بالخصوص ، ولو في صورة إمكان تحصيل العلم ، وأمّا في غيره ، فلا </w:t>
      </w:r>
      <w:r>
        <w:rPr>
          <w:rStyle w:val="FootnoteAnchor"/>
          <w:rtl w:val="true"/>
        </w:rPr>
        <w:footnoteReference w:id="1610"/>
      </w:r>
      <w:r>
        <w:rPr>
          <w:rFonts w:ascii="Amiri" w:hAnsi="Amiri" w:eastAsia="Amiri" w:cs="Amiri"/>
          <w:color w:val="111111"/>
          <w:sz w:val="28"/>
          <w:sz w:val="28"/>
          <w:szCs w:val="28"/>
          <w:rtl w:val="true"/>
          <w:lang w:bidi="ar-SA"/>
        </w:rPr>
        <w:t>إلّا إذا أوجب نفي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الاستناد إلى الآية ، فإن كان مستند الإجماع هو أيضا هذه الآية ، فلا يبقى اعتماد على الإجماع أصلا ، وإن كان المستند نفس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 لمنع إطلاق الفاسق على الكافر المؤتمن الغير العاصي بجوارحه حقيقة ، والاستدلال بطريق الأولوية حينئذ ممنوع ، فإنّه قد يكون الاعتماد على الكافر الثّقة أكثر من الفاسق الغير المتحرّز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عدم تبادر الكافر من الفاسق ، فلا نسلّم تبادر عدمه ، فغاية الأمر الشكّ ، فيحتمل أن يكون الكافر فاسقا ، ولمّا كان الحكم معلّقا على الفاسق ، وهو اسم لما هو في نفس الأمر كذلك كما سنبيّنه ، فيشترط قبول الخبر بعدمه ، ولا نعلم إلّا بالعلم بعدم كونه فاسقا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والجهالة </w:t>
      </w:r>
      <w:r>
        <w:rPr>
          <w:rStyle w:val="FootnoteAnchor"/>
          <w:rtl w:val="true"/>
        </w:rPr>
        <w:footnoteReference w:id="1611"/>
      </w:r>
      <w:r>
        <w:rPr>
          <w:rFonts w:ascii="Amiri" w:hAnsi="Amiri" w:eastAsia="Amiri" w:cs="Amiri"/>
          <w:color w:val="111111"/>
          <w:sz w:val="28"/>
          <w:sz w:val="28"/>
          <w:szCs w:val="28"/>
          <w:rtl w:val="true"/>
          <w:lang w:bidi="ar-SA"/>
        </w:rPr>
        <w:t xml:space="preserve">كما قد تكون في كون الشيء من الأفراد المعلومة الفردية لمفهوم ، </w:t>
      </w:r>
    </w:p>
    <w:p>
      <w:pPr>
        <w:pStyle w:val="BookText"/>
        <w:rPr/>
      </w:pPr>
      <w:r>
        <w:rPr>
          <w:rFonts w:ascii="Amiri" w:hAnsi="Amiri" w:eastAsia="Amiri" w:cs="Amiri"/>
          <w:color w:val="111111"/>
          <w:sz w:val="28"/>
          <w:sz w:val="28"/>
          <w:szCs w:val="28"/>
          <w:rtl w:val="true"/>
          <w:lang w:bidi="ar-SA"/>
        </w:rPr>
        <w:t xml:space="preserve">فقد تكون في كون الشيء من أفراد ذلك المفهوم مطلقا </w:t>
      </w:r>
      <w:r>
        <w:rPr>
          <w:rStyle w:val="FootnoteAnchor"/>
          <w:rtl w:val="true"/>
        </w:rPr>
        <w:footnoteReference w:id="1612"/>
      </w:r>
      <w:r>
        <w:rPr>
          <w:rFonts w:ascii="Amiri" w:hAnsi="Amiri" w:eastAsia="Amiri" w:cs="Amiri"/>
          <w:color w:val="111111"/>
          <w:sz w:val="28"/>
          <w:sz w:val="28"/>
          <w:szCs w:val="28"/>
          <w:rtl w:val="true"/>
          <w:lang w:bidi="ar-SA"/>
        </w:rPr>
        <w:t>، وهما سيّان فيما نحن بصدده</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صدق الفاسق على الكافر أيضا ، لا تدلّ الآية على عدم قبول روايته إذا كان ثقة ، لأنّ معرفة كونه ثقة نوع تثبّت في خبره ولو كان إجمالا ، كما سنبيّنه في خبر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فلا ثمرة يعتدّ بها في خصوص العمل برواياتنا وإن كان يثمر في غير الرّواية المصطلحة ممّا يحتاج إليه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الإيمان ، والمراد به كونه إماميّا اثني عشريّا ، فالمشهور بين الأصحاب اشتراطه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والكلام فيه مثل ما تقدّم ، بل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هذا الشرط عدم جواز العمل بخبر المخالفين ولا سائر فرق الشّيعة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العمل بخبر المخالفين إذا رووا عن أئمّتنا عليهم‌السلام ، إذا لم يكن في روايات الأصحاب ما يخالفه ولا يعرف لهم قول فيه ، لما روي عن الصادق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نزلت بكم حادثة لا تجدون حكمها فيما روي </w:t>
      </w:r>
    </w:p>
    <w:p>
      <w:pPr>
        <w:pStyle w:val="BookText"/>
        <w:rPr/>
      </w:pPr>
      <w:r>
        <w:rPr>
          <w:rFonts w:ascii="Amiri" w:hAnsi="Amiri" w:eastAsia="Amiri" w:cs="Amiri"/>
          <w:color w:val="111111"/>
          <w:sz w:val="28"/>
          <w:sz w:val="28"/>
          <w:szCs w:val="28"/>
          <w:rtl w:val="true"/>
          <w:lang w:bidi="ar-SA"/>
        </w:rPr>
        <w:t>عنّا فانظروا إلى ما رووه عن علي عليه‌السلام فاعملوا به</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ما قلناه عملت الطائفة بما رواه حفص بن غياث </w:t>
      </w:r>
      <w:r>
        <w:rPr>
          <w:rStyle w:val="FootnoteAnchor"/>
          <w:rtl w:val="true"/>
        </w:rPr>
        <w:footnoteReference w:id="1617"/>
      </w:r>
      <w:r>
        <w:rPr>
          <w:rFonts w:ascii="Amiri" w:hAnsi="Amiri" w:eastAsia="Amiri" w:cs="Amiri"/>
          <w:color w:val="111111"/>
          <w:sz w:val="28"/>
          <w:sz w:val="28"/>
          <w:szCs w:val="28"/>
          <w:rtl w:val="true"/>
          <w:lang w:bidi="ar-SA"/>
        </w:rPr>
        <w:t xml:space="preserve">وغياث بن كلّوب </w:t>
      </w:r>
      <w:r>
        <w:rPr>
          <w:rStyle w:val="FootnoteAnchor"/>
          <w:rtl w:val="true"/>
        </w:rPr>
        <w:footnoteReference w:id="1618"/>
      </w:r>
      <w:r>
        <w:rPr>
          <w:rFonts w:ascii="IRNazanin" w:hAnsi="IRNazanin" w:eastAsia="IRNazanin"/>
          <w:color w:val="111111"/>
          <w:sz w:val="28"/>
          <w:sz w:val="28"/>
          <w:szCs w:val="28"/>
          <w:rtl w:val="true"/>
          <w:lang w:bidi="fa-IR"/>
        </w:rPr>
        <w:t xml:space="preserve">ونوح بن درّاج </w:t>
      </w:r>
      <w:r>
        <w:rPr>
          <w:rStyle w:val="FootnoteAnchor"/>
          <w:rtl w:val="true"/>
        </w:rPr>
        <w:footnoteReference w:id="1619"/>
      </w:r>
      <w:r>
        <w:rPr>
          <w:rFonts w:ascii="Amiri" w:hAnsi="Amiri" w:eastAsia="Amiri" w:cs="Amiri"/>
          <w:color w:val="111111"/>
          <w:sz w:val="28"/>
          <w:sz w:val="28"/>
          <w:szCs w:val="28"/>
          <w:rtl w:val="true"/>
          <w:lang w:bidi="ar-SA"/>
        </w:rPr>
        <w:t xml:space="preserve">والسّكوني </w:t>
      </w:r>
      <w:r>
        <w:rPr>
          <w:rStyle w:val="FootnoteAnchor"/>
          <w:rtl w:val="true"/>
        </w:rPr>
        <w:footnoteReference w:id="1620"/>
      </w:r>
      <w:r>
        <w:rPr>
          <w:rFonts w:ascii="Amiri" w:hAnsi="Amiri" w:eastAsia="Amiri" w:cs="Amiri"/>
          <w:color w:val="111111"/>
          <w:sz w:val="28"/>
          <w:sz w:val="28"/>
          <w:szCs w:val="28"/>
          <w:rtl w:val="true"/>
          <w:lang w:bidi="ar-SA"/>
        </w:rPr>
        <w:t>وغيرهم من العامّة عن أئمّتنا عليهم‌السلام فيما لم ينكروه ولم يكن عندهم خلافه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Style w:val="FootnoteAnchor"/>
          <w:rtl w:val="true"/>
        </w:rPr>
        <w:footnoteReference w:id="1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صحّة الرّواية التي استدلّ بها الشيخ ، وبمنع إجماع الطائفة على العمل بخبر هؤلاء لو أريد من عمل الطائفة إجماعهم ، سيّما إذا انفرد بعض العامّة بروايته ، لاحتمال أن يراد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اجتماعهم على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سابقا من حصول التشبّث الإجمالي يجري هنا أيضا فيمن وثّقه الأصحاب منهم كالسّكوني ، فإنّ المحقّق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في مسائل النّفاس ، وكذلك غيره</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البناء على الدّليل الخامس </w:t>
      </w:r>
      <w:r>
        <w:rPr>
          <w:rStyle w:val="FootnoteAnchor"/>
          <w:rtl w:val="true"/>
        </w:rPr>
        <w:footnoteReference w:id="1622"/>
      </w:r>
      <w:r>
        <w:rPr>
          <w:rFonts w:ascii="Amiri" w:hAnsi="Amiri" w:eastAsia="Amiri" w:cs="Amiri"/>
          <w:color w:val="111111"/>
          <w:sz w:val="28"/>
          <w:sz w:val="28"/>
          <w:szCs w:val="28"/>
          <w:rtl w:val="true"/>
          <w:lang w:bidi="ar-SA"/>
        </w:rPr>
        <w:t>، فالأمر واضح ممّا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فرق الشيعة مثل الفطحيّة </w:t>
      </w:r>
      <w:r>
        <w:rPr>
          <w:rStyle w:val="FootnoteAnchor"/>
          <w:rtl w:val="true"/>
        </w:rPr>
        <w:footnoteReference w:id="1623"/>
      </w:r>
      <w:r>
        <w:rPr>
          <w:rFonts w:ascii="Amiri" w:hAnsi="Amiri" w:eastAsia="Amiri" w:cs="Amiri"/>
          <w:color w:val="111111"/>
          <w:sz w:val="28"/>
          <w:sz w:val="28"/>
          <w:szCs w:val="28"/>
          <w:rtl w:val="true"/>
          <w:lang w:bidi="ar-SA"/>
        </w:rPr>
        <w:t xml:space="preserve">، والواقفية </w:t>
      </w:r>
      <w:r>
        <w:rPr>
          <w:rStyle w:val="FootnoteAnchor"/>
          <w:rtl w:val="true"/>
        </w:rPr>
        <w:footnoteReference w:id="1624"/>
      </w:r>
      <w:r>
        <w:rPr>
          <w:rFonts w:ascii="Amiri" w:hAnsi="Amiri" w:eastAsia="Amiri" w:cs="Amiri"/>
          <w:color w:val="111111"/>
          <w:sz w:val="28"/>
          <w:sz w:val="28"/>
          <w:szCs w:val="28"/>
          <w:rtl w:val="true"/>
          <w:lang w:bidi="ar-SA"/>
        </w:rPr>
        <w:t xml:space="preserve">، والناووسية </w:t>
      </w:r>
      <w:r>
        <w:rPr>
          <w:rStyle w:val="FootnoteAnchor"/>
          <w:rtl w:val="true"/>
        </w:rPr>
        <w:footnoteReference w:id="1625"/>
      </w:r>
      <w:r>
        <w:rPr>
          <w:rFonts w:ascii="Amiri" w:hAnsi="Amiri" w:eastAsia="Amiri" w:cs="Amiri"/>
          <w:color w:val="111111"/>
          <w:sz w:val="28"/>
          <w:sz w:val="28"/>
          <w:szCs w:val="28"/>
          <w:rtl w:val="true"/>
          <w:lang w:bidi="ar-SA"/>
        </w:rPr>
        <w:t xml:space="preserve">، وغيرهم </w:t>
      </w:r>
      <w:r>
        <w:rPr>
          <w:rStyle w:val="FootnoteAnchor"/>
          <w:rtl w:val="true"/>
        </w:rPr>
        <w:footnoteReference w:id="1626"/>
      </w:r>
      <w:r>
        <w:rPr>
          <w:rFonts w:ascii="Amiri" w:hAnsi="Amiri" w:eastAsia="Amiri" w:cs="Amiri"/>
          <w:color w:val="111111"/>
          <w:sz w:val="28"/>
          <w:sz w:val="28"/>
          <w:szCs w:val="28"/>
          <w:rtl w:val="true"/>
          <w:lang w:bidi="ar-SA"/>
        </w:rPr>
        <w:t xml:space="preserve">فقال الشيخ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رووه ليس هناك ما يخالفه ولا يعرف من الطائفة العمل بخلافه ، وجب أن يعمل به إذا كان متحرّزا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روايته موثوقا به في أمانته وإن كان مخطئا في أصل الاعتقاد ، ولأجل ما قلناه عملت الطائفة بأخبار الفطحية مثل عبد الله بن بكير وغيره ، وأخبار الواقفية مثل سماعة بن مهران وعلي بن أبي حمزة وعثمان بن عيسى ومن بعد هؤلاء ممّا رواه بنو فضّال </w:t>
      </w:r>
    </w:p>
    <w:p>
      <w:pPr>
        <w:pStyle w:val="BookText"/>
        <w:rPr/>
      </w:pPr>
      <w:r>
        <w:rPr>
          <w:rFonts w:ascii="Amiri" w:hAnsi="Amiri" w:eastAsia="Amiri" w:cs="Amiri"/>
          <w:color w:val="111111"/>
          <w:sz w:val="28"/>
          <w:sz w:val="28"/>
          <w:szCs w:val="28"/>
          <w:rtl w:val="true"/>
          <w:lang w:bidi="ar-SA"/>
        </w:rPr>
        <w:t xml:space="preserve">وبنو سماعة والطّاطريون </w:t>
      </w:r>
      <w:r>
        <w:rPr>
          <w:rStyle w:val="FootnoteAnchor"/>
          <w:rtl w:val="true"/>
        </w:rPr>
        <w:footnoteReference w:id="1628"/>
      </w:r>
      <w:r>
        <w:rPr>
          <w:rFonts w:ascii="Amiri" w:hAnsi="Amiri" w:eastAsia="Amiri" w:cs="Amiri"/>
          <w:color w:val="111111"/>
          <w:sz w:val="28"/>
          <w:sz w:val="28"/>
          <w:szCs w:val="28"/>
          <w:rtl w:val="true"/>
          <w:lang w:bidi="ar-SA"/>
        </w:rPr>
        <w:t>وغيرهم فيما لم يكن عندهم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w:t>
      </w:r>
      <w:r>
        <w:rPr>
          <w:rStyle w:val="FootnoteAnchor"/>
          <w:rtl w:val="true"/>
        </w:rPr>
        <w:footnoteReference w:id="1629"/>
      </w:r>
      <w:r>
        <w:rPr>
          <w:rFonts w:ascii="Amiri" w:hAnsi="Amiri" w:eastAsia="Amiri" w:cs="Amiri"/>
          <w:color w:val="111111"/>
          <w:sz w:val="28"/>
          <w:sz w:val="28"/>
          <w:szCs w:val="28"/>
          <w:rtl w:val="true"/>
          <w:lang w:bidi="ar-SA"/>
        </w:rPr>
        <w:t xml:space="preserve">المحقّق </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نعلم إلى الآن أنّ الطائفة عملت بأخبار هؤلاء ، ولعلّه أراد منع إجماعهم على العمل </w:t>
      </w:r>
      <w:r>
        <w:rPr>
          <w:rStyle w:val="FootnoteAnchor"/>
          <w:rtl w:val="true"/>
        </w:rPr>
        <w:footnoteReference w:id="1631"/>
      </w:r>
      <w:r>
        <w:rPr>
          <w:rFonts w:ascii="Amiri" w:hAnsi="Amiri" w:eastAsia="Amiri" w:cs="Amiri"/>
          <w:color w:val="111111"/>
          <w:sz w:val="28"/>
          <w:sz w:val="28"/>
          <w:szCs w:val="28"/>
          <w:rtl w:val="true"/>
          <w:lang w:bidi="ar-SA"/>
        </w:rPr>
        <w:t>وأنّه لا حجّية في عمل البعض ، وإلّا فلا مجال لإنكار العمل مطلقا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كلام العلّامة رحمه‌الله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قبول روايات فاسدي المذهب مع اشتراطه الإيمان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Style w:val="FootnoteAnchor"/>
          <w:rtl w:val="true"/>
        </w:rPr>
        <w:footnoteReference w:id="1633"/>
      </w:r>
      <w:r>
        <w:rPr>
          <w:rFonts w:ascii="Amiri" w:hAnsi="Amiri" w:eastAsia="Amiri" w:cs="Amiri"/>
          <w:color w:val="111111"/>
          <w:sz w:val="28"/>
          <w:sz w:val="28"/>
          <w:szCs w:val="28"/>
          <w:rtl w:val="true"/>
          <w:lang w:bidi="ar-SA"/>
        </w:rPr>
        <w:t xml:space="preserve">عن والده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حكى عن فخر المحقّقين أنّه سئل والده عن أبان بن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عندي عدم قبول روايته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w:t>
      </w:r>
      <w:r>
        <w:rPr>
          <w:rFonts w:eastAsia="Amiri" w:cs="Amiri" w:ascii="Amiri" w:hAnsi="Amiri"/>
          <w:color w:val="111111"/>
          <w:sz w:val="28"/>
          <w:szCs w:val="28"/>
          <w:rtl w:val="true"/>
          <w:lang w:bidi="ar-SA"/>
        </w:rPr>
        <w:t xml:space="preserve">) </w:t>
      </w:r>
      <w:r>
        <w:rPr>
          <w:rStyle w:val="FootnoteAnchor"/>
          <w:rtl w:val="true"/>
        </w:rPr>
        <w:footnoteReference w:id="1634"/>
      </w:r>
      <w:r>
        <w:rPr>
          <w:rFonts w:ascii="Amiri" w:hAnsi="Amiri" w:eastAsia="Amiri" w:cs="Amiri"/>
          <w:color w:val="111111"/>
          <w:sz w:val="28"/>
          <w:sz w:val="28"/>
          <w:szCs w:val="28"/>
          <w:rtl w:val="true"/>
          <w:lang w:bidi="ar-SA"/>
        </w:rPr>
        <w:t>ولا فسق أعظم من عدم الإيمان ، وأشار بذلك إلى ما رواه الكشّي من أنّ أبانا كان من الناووسية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قبول أخبار الموثّقين منهم ، إذ لو قلنا بصدق العدالة مع فساد العقيدة وعدم إطلاق الفاسق عليهم ، فيدلّ على حجّية مفهوم الآية ، كما سيجيء ، وإن لم نقل بذلك وقلنا بكونهم فسّاقا لأجل عقائدهم ، فيدلّ على الحجّية منطوق الآية ، لأنّ التوثيق نوع من التثبّت ، سيّما مع ملاحظة العلّة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التثبت </w:t>
      </w:r>
      <w:r>
        <w:rPr>
          <w:rStyle w:val="FootnoteAnchor"/>
          <w:rtl w:val="true"/>
        </w:rPr>
        <w:footnoteReference w:id="1635"/>
      </w:r>
      <w:r>
        <w:rPr>
          <w:rFonts w:ascii="Amiri" w:hAnsi="Amiri" w:eastAsia="Amiri" w:cs="Amiri"/>
          <w:color w:val="111111"/>
          <w:sz w:val="28"/>
          <w:sz w:val="28"/>
          <w:szCs w:val="28"/>
          <w:rtl w:val="true"/>
          <w:lang w:bidi="ar-SA"/>
        </w:rPr>
        <w:t xml:space="preserve">إنّما يحصل بتفحّص حال كلّ واحد من الأخبار ، أو تفحّص حال الرّجل في خبره ، فإذا حصل التثبّت في حال الرّجل وظهر أنّه لا يكذب في خبره ، فهذا تثبّت في خبره ، لاتّحاد الفائدة ، وإن أبيت عن ذلك </w:t>
      </w:r>
      <w:r>
        <w:rPr>
          <w:rStyle w:val="FootnoteAnchor"/>
          <w:rtl w:val="true"/>
        </w:rPr>
        <w:footnoteReference w:id="1636"/>
      </w:r>
      <w:r>
        <w:rPr>
          <w:rFonts w:ascii="Amiri" w:hAnsi="Amiri" w:eastAsia="Amiri" w:cs="Amiri"/>
          <w:color w:val="111111"/>
          <w:sz w:val="28"/>
          <w:sz w:val="28"/>
          <w:szCs w:val="28"/>
          <w:rtl w:val="true"/>
          <w:lang w:bidi="ar-SA"/>
        </w:rPr>
        <w:t>مع ظهوره ، فالعلّة المنصوصة تكفي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البناء على الدليل الخامس ، فالأمر واضح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العدالة ، فهي في الأصل الاستقامة </w:t>
      </w:r>
      <w:r>
        <w:rPr>
          <w:rStyle w:val="FootnoteAnchor"/>
          <w:rtl w:val="true"/>
        </w:rPr>
        <w:footnoteReference w:id="1638"/>
      </w:r>
      <w:r>
        <w:rPr>
          <w:rFonts w:ascii="Amiri" w:hAnsi="Amiri" w:eastAsia="Amiri" w:cs="Amiri"/>
          <w:color w:val="111111"/>
          <w:sz w:val="28"/>
          <w:sz w:val="28"/>
          <w:szCs w:val="28"/>
          <w:rtl w:val="true"/>
          <w:lang w:bidi="ar-SA"/>
        </w:rPr>
        <w:t>والاستواء ، فالكيفية الحاصلة من تعديل القوى النفسانية وكسر سورة كلّ منها بعد فعلها وانفعالها من الطّرفين ، بحيث يحصل شبه مزاج منها ، عدالة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القوّة العاقلة إذا اعتدلت بين طرفي إفراطها وهو الجربزة </w:t>
      </w:r>
      <w:r>
        <w:rPr>
          <w:rStyle w:val="FootnoteAnchor"/>
          <w:rtl w:val="true"/>
        </w:rPr>
        <w:footnoteReference w:id="1639"/>
      </w:r>
      <w:r>
        <w:rPr>
          <w:rFonts w:ascii="Amiri" w:hAnsi="Amiri" w:eastAsia="Amiri" w:cs="Amiri"/>
          <w:color w:val="111111"/>
          <w:sz w:val="28"/>
          <w:sz w:val="28"/>
          <w:szCs w:val="28"/>
          <w:rtl w:val="true"/>
          <w:lang w:bidi="ar-SA"/>
        </w:rPr>
        <w:t xml:space="preserve">وتفريطها وهو البلادة ، تسمّى حكمة ، والقوّة الشّهوية إذا اعتدلت بين الشّره </w:t>
      </w:r>
      <w:r>
        <w:rPr>
          <w:rStyle w:val="FootnoteAnchor"/>
          <w:rtl w:val="true"/>
        </w:rPr>
        <w:footnoteReference w:id="1640"/>
      </w:r>
      <w:r>
        <w:rPr>
          <w:rFonts w:ascii="IRNazanin" w:hAnsi="IRNazanin" w:eastAsia="IRNazanin"/>
          <w:color w:val="111111"/>
          <w:sz w:val="28"/>
          <w:sz w:val="28"/>
          <w:szCs w:val="28"/>
          <w:rtl w:val="true"/>
          <w:lang w:bidi="fa-IR"/>
        </w:rPr>
        <w:t xml:space="preserve">والخمود ، </w:t>
      </w:r>
    </w:p>
    <w:p>
      <w:pPr>
        <w:pStyle w:val="BookText"/>
        <w:rPr/>
      </w:pPr>
      <w:r>
        <w:rPr>
          <w:rFonts w:ascii="Amiri" w:hAnsi="Amiri" w:eastAsia="Amiri" w:cs="Amiri"/>
          <w:color w:val="111111"/>
          <w:sz w:val="28"/>
          <w:sz w:val="28"/>
          <w:szCs w:val="28"/>
          <w:rtl w:val="true"/>
          <w:lang w:bidi="ar-SA"/>
        </w:rPr>
        <w:t>تسمّى عفّة ، والقوّة الغضبية إذا اعتدلت بين التّهور والجبن ، تسمّى شجاعة وحلما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عرف الفقهاء والأصوليين فالمشهور بين المتأخّرين أنّها ملكة في النفس ، تمنعها من فعل الكبائر والإصرار </w:t>
      </w:r>
      <w:r>
        <w:rPr>
          <w:rStyle w:val="FootnoteAnchor"/>
          <w:rtl w:val="true"/>
        </w:rPr>
        <w:footnoteReference w:id="1641"/>
      </w:r>
      <w:r>
        <w:rPr>
          <w:rFonts w:ascii="Amiri" w:hAnsi="Amiri" w:eastAsia="Amiri" w:cs="Amiri"/>
          <w:color w:val="111111"/>
          <w:sz w:val="28"/>
          <w:sz w:val="28"/>
          <w:szCs w:val="28"/>
          <w:rtl w:val="true"/>
          <w:lang w:bidi="ar-SA"/>
        </w:rPr>
        <w:t>على الصغائر ومنافيات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يدلّ على خسّة النفس ودناءة الهمّة بحسب حاله ، سواء كانت صغيرة كالتطفيف بحبّة أو سرقتها ، أو مباحا كلبس الفقيه لباس الجندي والأكل في الأسواق في بعض الأوقات والأزمان ، والكاشف عن تلك الكيفية هو المعاشرة المطّلعة على تلك الملكة يقينا أو ظنّا أو شهادة عدلين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والمختار </w:t>
      </w:r>
      <w:r>
        <w:rPr>
          <w:rStyle w:val="FootnoteAnchor"/>
          <w:rtl w:val="true"/>
        </w:rPr>
        <w:footnoteReference w:id="1642"/>
      </w:r>
      <w:r>
        <w:rPr>
          <w:rFonts w:ascii="Amiri" w:hAnsi="Amiri" w:eastAsia="Amiri" w:cs="Amiri"/>
          <w:color w:val="111111"/>
          <w:sz w:val="28"/>
          <w:sz w:val="28"/>
          <w:szCs w:val="28"/>
          <w:rtl w:val="true"/>
          <w:lang w:bidi="ar-SA"/>
        </w:rPr>
        <w:t xml:space="preserve">الاكتفاء بحسن الظاهر وظهور الصّلاح ، وكون الشّخص ساتر العيوب ومجتنبا عن الكبائر ، مواظبا للطاعات على ما اشتمل عليه صحيحة عبد الله بن أبي يعفور </w:t>
      </w:r>
      <w:r>
        <w:rPr>
          <w:rStyle w:val="FootnoteAnchor"/>
          <w:rtl w:val="true"/>
        </w:rPr>
        <w:footnoteReference w:id="1643"/>
      </w:r>
      <w:r>
        <w:rPr>
          <w:rFonts w:ascii="Amiri" w:hAnsi="Amiri" w:eastAsia="Amiri" w:cs="Amiri"/>
          <w:color w:val="111111"/>
          <w:sz w:val="28"/>
          <w:sz w:val="28"/>
          <w:szCs w:val="28"/>
          <w:rtl w:val="true"/>
          <w:lang w:bidi="ar-SA"/>
        </w:rPr>
        <w:t xml:space="preserve">المرويّة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الاكتفاء بظاهر الإسلام مع عدم ظهور الفسق كما هو مذهب جماعة من القدماء </w:t>
      </w:r>
      <w:r>
        <w:rPr>
          <w:rStyle w:val="FootnoteAnchor"/>
          <w:rtl w:val="true"/>
        </w:rPr>
        <w:footnoteReference w:id="1644"/>
      </w:r>
      <w:r>
        <w:rPr>
          <w:rFonts w:ascii="Amiri" w:hAnsi="Amiri" w:eastAsia="Amiri" w:cs="Amiri"/>
          <w:color w:val="111111"/>
          <w:sz w:val="28"/>
          <w:sz w:val="28"/>
          <w:szCs w:val="28"/>
          <w:rtl w:val="true"/>
          <w:lang w:bidi="ar-SA"/>
        </w:rPr>
        <w:t>فهو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والخلافات في معنى العدالة والكاشف عنها وأدلّتها ونقضها وإبرامها ، قد أوردناه في كتبنا الفقهية ، فالمشهور اشتراط العدالة في قبول الرّواية ، واكتفى الشيخ بكون الرّاوي ثقة متحرّزا عن الكذب في الرّواية وإن كان فاسقا بجوارحه ، وهذه عبارته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كان مخطئا في بعض الأفعال أو فاسقا بأفعال الجوارح وكان ثقة في روايته متحرّزا فيها ، فإنّ ذلك لا يوجب ردّ خبره ، ويجوز العمل به ، لأنّ العدالة المطلوبة في الرّواية حاصلة فيه ، وإنّما الفسق بأفعال الجوارح يمنع من قبول شهادته وليس بمانع من قبول خبره ، ولأجل ذلك قبلت الطائفة أخبار جماعة هذه صفتهم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جماعة من متأخّري الأصحاب الميل إلى العمل بخبر مجهول الحال ، كما هو مذهب بعض العامّة ، والظاهر أنّ هذا القول ليس من جهة اختيار هذه الجماعة الاكتفاء في الكاشف عن العدالة بظهور الإسلام وعدم ظهور الفسق ، كما هو مذهب بعض العامّة </w:t>
      </w:r>
      <w:r>
        <w:rPr>
          <w:rStyle w:val="FootnoteAnchor"/>
          <w:rtl w:val="true"/>
        </w:rPr>
        <w:footnoteReference w:id="1646"/>
      </w:r>
      <w:r>
        <w:rPr>
          <w:rFonts w:ascii="Amiri" w:hAnsi="Amiri" w:eastAsia="Amiri" w:cs="Amiri"/>
          <w:color w:val="111111"/>
          <w:sz w:val="28"/>
          <w:sz w:val="28"/>
          <w:szCs w:val="28"/>
          <w:rtl w:val="true"/>
          <w:lang w:bidi="ar-SA"/>
        </w:rPr>
        <w:t>، بل لأنّ آية التثبّت وغيرها تدلّ على جواز العمل بخبر المجهول وإن لم نقل بكونه عادلا بسبب عدم ظهور الفسق</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المشهور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الدلالة أنّ الفاسق هو من ثبت له الفسق ، لا من علم أنّه فاسق ، فإذا وجب التثبّت عند خبر من له هذه الصّفة في الواقع ، فيتوقّف القبول على العلم بانتفائها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اشتراط العدالة ، إذ لا واسطة بين الفاسق والعادل في نفس الأمر فيما يبحث عنه من رواة الأخبار ، لأنّ فرض كون الرّاوي في أوّل سنّ البلوغ مثلا ، بحيث لم يحصل له ملكة قبل البلوغ ولم يتجاوز عن أوّل زمان التكليف بمقدار يحصل له الملكة ، ولم يصدر عنه فسق أيضا فرض نادر لا 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غير ذلك </w:t>
      </w:r>
      <w:r>
        <w:rPr>
          <w:rStyle w:val="FootnoteAnchor"/>
          <w:rtl w:val="true"/>
        </w:rPr>
        <w:footnoteReference w:id="1648"/>
      </w:r>
      <w:r>
        <w:rPr>
          <w:rFonts w:ascii="Amiri" w:hAnsi="Amiri" w:eastAsia="Amiri" w:cs="Amiri"/>
          <w:color w:val="111111"/>
          <w:sz w:val="28"/>
          <w:sz w:val="28"/>
          <w:szCs w:val="28"/>
          <w:rtl w:val="true"/>
          <w:lang w:bidi="ar-SA"/>
        </w:rPr>
        <w:t xml:space="preserve">فهو إمّا فاسق في نفس الأمر ، أو عادل ، والواسطة إنّما تحصل بين من علم عدالته ، ومن علم فسقه ، وهو من يشكّ في كونه عادلا أو فاسقا وذلك الواسطة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الذّهن لا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تقدّم العلم بالوصف لا مدخلية له في ثبوت الوصف ، والواجبات المشروطة بوجود شيء ، إنّما يتوقّف وجوبها على وجود الشرط لا على العلم بوجودها ، فبالنسبة إلى العلم ، مطلق لا مشروط ، مثل أنّ من شكّ في كون ماله بقدر استطاعة الحجّ لعدم علمه بمقدار المال ، لا يمكنه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أنّي مستطيع ، ولا يجب عليّ شيء ، بل يجب عليه محاسبة ماله ليعلم أنّه واجد للاستطاعة أو فاقد لها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شكّ بعد المحاسبة في أنّ هذا المال هل يكفيه في الاستطاعة أم لا ، فالأصل عدم الوجوب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تعليق الحكم على المتّصف بوصف في نفس الأمر لزوم الفحص </w:t>
      </w:r>
      <w:r>
        <w:rPr>
          <w:rStyle w:val="FootnoteAnchor"/>
          <w:rtl w:val="true"/>
        </w:rPr>
        <w:footnoteReference w:id="1649"/>
      </w:r>
      <w:r>
        <w:rPr>
          <w:rFonts w:ascii="IRNazanin" w:hAnsi="IRNazanin" w:eastAsia="IRNazanin"/>
          <w:color w:val="111111"/>
          <w:sz w:val="28"/>
          <w:sz w:val="28"/>
          <w:szCs w:val="28"/>
          <w:rtl w:val="true"/>
          <w:lang w:bidi="fa-IR"/>
        </w:rPr>
        <w:t>، ثمّ العمل على مقتضاه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كلّ بالغ رشيد من هذه الجماعة درهما ، يقتضي إرادة السّؤال عن من جمع الوصفين لا الاكتفاء بمن علم اجتماعهما فيه ، ويؤيّده التعليل المذكور في الآية </w:t>
      </w:r>
      <w:r>
        <w:rPr>
          <w:rStyle w:val="FootnoteAnchor"/>
          <w:rtl w:val="true"/>
        </w:rPr>
        <w:footnoteReference w:id="1650"/>
      </w:r>
      <w:r>
        <w:rPr>
          <w:rFonts w:ascii="Amiri" w:hAnsi="Amiri" w:eastAsia="Amiri" w:cs="Amiri"/>
          <w:color w:val="111111"/>
          <w:sz w:val="28"/>
          <w:sz w:val="28"/>
          <w:szCs w:val="28"/>
          <w:rtl w:val="true"/>
          <w:lang w:bidi="ar-SA"/>
        </w:rPr>
        <w:t>، فإنّ الوقوع في النّدم يحصل بقبول خبر من كان فاسقا في نفس الأمر وإن لم يحصل العلم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العدل ، وإن ظهر كذبه فيما بعد ، فلا ندم عليه </w:t>
      </w:r>
      <w:r>
        <w:rPr>
          <w:rStyle w:val="FootnoteAnchor"/>
          <w:rtl w:val="true"/>
        </w:rPr>
        <w:footnoteReference w:id="1651"/>
      </w:r>
      <w:r>
        <w:rPr>
          <w:rFonts w:ascii="Amiri" w:hAnsi="Amiri" w:eastAsia="Amiri" w:cs="Amiri"/>
          <w:color w:val="111111"/>
          <w:sz w:val="28"/>
          <w:sz w:val="28"/>
          <w:szCs w:val="28"/>
          <w:rtl w:val="true"/>
          <w:lang w:bidi="ar-SA"/>
        </w:rPr>
        <w:t>ولا ذمّ فيه على عدم الفحص ، لأنّه عمل على مقتضى الدّليل ومقتضى طريقة العرف والعادة ، بخلاف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حكاية التعليل يظهر أنّ في صورة فرض ثبوت الواسطة أيضا ، لا يجوز العمل ، لعدم الاطمئنان بخبر مثله ، فهو قد يوجب النّدم أيضا ، مع أنّ العلم بتحقّقها متعذّر لعدم إمكان العلم بانتفاء المعاصي الباطنية عادة ، وقد تصدّى بعضهم </w:t>
      </w:r>
      <w:r>
        <w:rPr>
          <w:rStyle w:val="FootnoteAnchor"/>
          <w:rtl w:val="true"/>
        </w:rPr>
        <w:footnoteReference w:id="1652"/>
      </w:r>
      <w:r>
        <w:rPr>
          <w:rFonts w:ascii="Amiri" w:hAnsi="Amiri" w:eastAsia="Amiri" w:cs="Amiri"/>
          <w:color w:val="111111"/>
          <w:sz w:val="28"/>
          <w:sz w:val="28"/>
          <w:szCs w:val="28"/>
          <w:rtl w:val="true"/>
          <w:lang w:bidi="ar-SA"/>
        </w:rPr>
        <w:t xml:space="preserve">لبيان أنّ المراد ، الفاسق النفس الأمري بما لا كرامة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علّق أمر بشيء ، فالظاهر أنّ المراد ما هو مدلول ذلك الشيء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صالح ، أو فاسق ، أو شاعر ، أو كاتب ، فالمراد اتّصافه بالصّفة المذكورة بحسب نفس الأمر لا بحسب معتقد المخاطب ، وإلّا انتفى من الكلام الذي لا قرينة على إرادة إفادة معنى الخبر المتعارف إفادة معنى الخبر ، وانحصر الإفادة حينئذ في إفادة لازم معنى الخبر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لو كان المراد هو مدلول الكلام بحسب معتقد المخاطب ، لصحّ للمخاطب الجزم بكذب المتكلّم بمحض عدم اعتقاده بما أخبر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ليس إثبات المتكلّم تحقّق صلاح زيد مثلا في نفس الأمر ، إثباتا لما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لا يصحّ طلب الدّليل عمّا أخبر به ، لأنّه حينئذ بمنزلة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الدّليل على أنّي معتقد بصلاح زيد ، وبطلان اللوازم أظهر من أن يحتاج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المتبادر من الفاسق هو الفاسق بحسب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من الاشتباه بين النسبة الخبرية المصرّحة واللّازمة للنسبة التقييدية الحاصلة في كلّ واحد من المحكوم عليه والمحكوم به بالنسبة إلى ذاتهما ، والوصف العنواني الثابت لهما ، فإنّ 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صالح ، أنّ ما هو زيد في الواقع صالح في الواقع ، وكلمة في الواقع ، في الموضعين قيد لطرفي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بالواقع هنا </w:t>
      </w:r>
      <w:r>
        <w:rPr>
          <w:rStyle w:val="FootnoteAnchor"/>
          <w:rtl w:val="true"/>
        </w:rPr>
        <w:footnoteReference w:id="1653"/>
      </w:r>
      <w:r>
        <w:rPr>
          <w:rFonts w:ascii="Amiri" w:hAnsi="Amiri" w:eastAsia="Amiri" w:cs="Amiri"/>
          <w:color w:val="111111"/>
          <w:sz w:val="28"/>
          <w:sz w:val="28"/>
          <w:szCs w:val="28"/>
          <w:rtl w:val="true"/>
          <w:lang w:bidi="ar-SA"/>
        </w:rPr>
        <w:t xml:space="preserve">مقابل اشتراط علم المخاطب لا مقابل الإمكان ، والواقع في الواقع لا بحسب اعتقاد المتكلّم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النسبة الخبرية المستفادة من الجملة ، فلا يلزم أن تكون مقيّدة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ظاهر المتكلّم دعوى مطابقته للواقع ، وأنّه معتقد لذلك ، ووضع الجملة الخبرية لإفادة هذه النسبة ولا يجري فيه </w:t>
      </w:r>
      <w:r>
        <w:rPr>
          <w:rStyle w:val="FootnoteAnchor"/>
          <w:rtl w:val="true"/>
        </w:rPr>
        <w:footnoteReference w:id="1655"/>
      </w:r>
      <w:r>
        <w:rPr>
          <w:rFonts w:ascii="Amiri" w:hAnsi="Amiri" w:eastAsia="Amiri" w:cs="Amiri"/>
          <w:color w:val="111111"/>
          <w:sz w:val="28"/>
          <w:sz w:val="28"/>
          <w:szCs w:val="28"/>
          <w:rtl w:val="true"/>
          <w:lang w:bidi="ar-SA"/>
        </w:rPr>
        <w:t xml:space="preserve">توهّم إرادة ثبوت النسبة ، على معتقد المخاطب </w:t>
      </w:r>
      <w:r>
        <w:rPr>
          <w:rStyle w:val="FootnoteAnchor"/>
          <w:rtl w:val="true"/>
        </w:rPr>
        <w:footnoteReference w:id="1656"/>
      </w:r>
      <w:r>
        <w:rPr>
          <w:rFonts w:ascii="Amiri" w:hAnsi="Amiri" w:eastAsia="Amiri" w:cs="Amiri"/>
          <w:color w:val="111111"/>
          <w:sz w:val="28"/>
          <w:sz w:val="28"/>
          <w:szCs w:val="28"/>
          <w:rtl w:val="true"/>
          <w:lang w:bidi="ar-SA"/>
        </w:rPr>
        <w:t xml:space="preserve">حتّى يلزم انحصار فائدة الجملة في إفادة لازم معنى الخبر وغيره </w:t>
      </w:r>
    </w:p>
    <w:p>
      <w:pPr>
        <w:pStyle w:val="BookText"/>
        <w:rPr/>
      </w:pPr>
      <w:r>
        <w:rPr>
          <w:rFonts w:ascii="Amiri" w:hAnsi="Amiri" w:eastAsia="Amiri" w:cs="Amiri"/>
          <w:color w:val="111111"/>
          <w:sz w:val="28"/>
          <w:sz w:val="28"/>
          <w:szCs w:val="28"/>
          <w:rtl w:val="true"/>
          <w:lang w:bidi="ar-SA"/>
        </w:rPr>
        <w:t>من اللوازم المذكورة ، فالملازمة المدّعاة في كلامه ممنوعة ، وإن كان بطلان اللوازم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القول بالعمل بخبر 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علّق وجوب التثبّت على فسق المخبر ، وليس المراد الفسق الواقعي ، وإن لم يعلم به ، وإلّا لزم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أن يكون المراد الفسق المعلوم ، فانتفاء الأمر بالتثبّت ليس بالردّ ، للزوم كونه أسوأ حالا من معلوم الفسق ، وهو باطل ، فهو بالقبول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بيّنا يظهر لك جوابه ، من أنّ المراد بالفسق هو الفسق النفس الأمري ، وبعد إمكان تحصيل العلم به أو الظنّ فلا يلزم تكليف بما لا يطاق ، وقد يتمسّك بالأصل في نفي الفسق ، وهو باطل ، لأنّ الأظهر أنّ العدالة أمر وجودي ، فالأصل بالنسبة إليهما سواء ، مع أنّه معارض بغلبة الفسق في الوجود ، وأنّه مقتضى الشّهوة والغضب اللّتين هما غريزتان في الإنسان ، والرّاجح وقوع مقتضاهما ما لم يظهر عدمه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Style w:val="FootnoteAnchor"/>
          <w:rtl w:val="true"/>
        </w:rPr>
        <w:footnoteReference w:id="1657"/>
      </w:r>
      <w:r>
        <w:rPr>
          <w:rFonts w:ascii="Amiri" w:hAnsi="Amiri" w:eastAsia="Amiri" w:cs="Amiri"/>
          <w:color w:val="111111"/>
          <w:sz w:val="28"/>
          <w:sz w:val="28"/>
          <w:szCs w:val="28"/>
          <w:rtl w:val="true"/>
          <w:lang w:bidi="ar-SA"/>
        </w:rPr>
        <w:t xml:space="preserve">، أنّ مجهول الحال ملحق بالفاسق في الحكم ، وأمّا قبول قول المسلم المجهول الحال في التذكية </w:t>
      </w:r>
      <w:r>
        <w:rPr>
          <w:rStyle w:val="FootnoteAnchor"/>
          <w:rtl w:val="true"/>
        </w:rPr>
        <w:footnoteReference w:id="1658"/>
      </w:r>
      <w:r>
        <w:rPr>
          <w:rFonts w:ascii="Amiri" w:hAnsi="Amiri" w:eastAsia="Amiri" w:cs="Amiri"/>
          <w:color w:val="111111"/>
          <w:sz w:val="28"/>
          <w:sz w:val="28"/>
          <w:szCs w:val="28"/>
          <w:rtl w:val="true"/>
          <w:lang w:bidi="ar-SA"/>
        </w:rPr>
        <w:t xml:space="preserve">والطّهارة ورقّ الجارية ونحوها ، فهو من دليل خارجيّ من القاعدة المقتضية لحمل فعل المسلم وقوله على الصحّة ومطابقته للأصل </w:t>
      </w:r>
      <w:r>
        <w:rPr>
          <w:rStyle w:val="FootnoteAnchor"/>
          <w:rtl w:val="true"/>
        </w:rPr>
        <w:footnoteReference w:id="1659"/>
      </w:r>
      <w:r>
        <w:rPr>
          <w:rFonts w:ascii="Amiri" w:hAnsi="Amiri" w:eastAsia="Amiri" w:cs="Amiri"/>
          <w:color w:val="111111"/>
          <w:sz w:val="28"/>
          <w:sz w:val="28"/>
          <w:szCs w:val="28"/>
          <w:rtl w:val="true"/>
          <w:lang w:bidi="ar-SA"/>
        </w:rPr>
        <w:t>في بعضها ، وأمّا إخراج الخبر والشّهادة من البين ، فلأنّهما مخصّصان بالدّليل الخاصّ ، والسرّ فيهما أنّهما يثبت بهما الحكم على الغير غالبا ، ولذلك لا يسمع قول المدّعي بمجرّده ولو كان عدلا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حجّة الشيخ </w:t>
      </w:r>
      <w:r>
        <w:rPr>
          <w:rStyle w:val="FootnoteAnchor"/>
          <w:rtl w:val="true"/>
        </w:rPr>
        <w:footnoteReference w:id="1660"/>
      </w:r>
      <w:r>
        <w:rPr>
          <w:rFonts w:ascii="Amiri" w:hAnsi="Amiri" w:eastAsia="Amiri" w:cs="Amiri"/>
          <w:color w:val="111111"/>
          <w:sz w:val="28"/>
          <w:sz w:val="28"/>
          <w:szCs w:val="28"/>
          <w:rtl w:val="true"/>
          <w:lang w:bidi="ar-SA"/>
        </w:rPr>
        <w:t xml:space="preserve">، فالظاهر أنّها أيضا آية التثبّت ، لا ما فهمه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Style w:val="FootnoteAnchor"/>
          <w:rtl w:val="true"/>
        </w:rPr>
        <w:footnoteReference w:id="1661"/>
      </w:r>
      <w:r>
        <w:rPr>
          <w:rFonts w:ascii="Amiri" w:hAnsi="Amiri" w:eastAsia="Amiri" w:cs="Amiri"/>
          <w:color w:val="111111"/>
          <w:sz w:val="28"/>
          <w:sz w:val="28"/>
          <w:szCs w:val="28"/>
          <w:rtl w:val="true"/>
          <w:lang w:bidi="ar-SA"/>
        </w:rPr>
        <w:t>من كلام المحقّق ، أنّ دليل الشيخ هو مجرّد عمل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تبعا للمحقّق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العلم بحصول العمل من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عملهم إنّما يدلّ على قبول تلك الأخبار المخصوصة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كان لانضمام القرائن إليها ، لا بمجرّد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ذكرناه </w:t>
      </w:r>
      <w:r>
        <w:rPr>
          <w:rStyle w:val="FootnoteAnchor"/>
          <w:rtl w:val="true"/>
        </w:rPr>
        <w:footnoteReference w:id="1662"/>
      </w:r>
      <w:r>
        <w:rPr>
          <w:rFonts w:ascii="Amiri" w:hAnsi="Amiri" w:eastAsia="Amiri" w:cs="Amiri"/>
          <w:color w:val="111111"/>
          <w:sz w:val="28"/>
          <w:sz w:val="28"/>
          <w:szCs w:val="28"/>
          <w:rtl w:val="true"/>
          <w:lang w:bidi="ar-SA"/>
        </w:rPr>
        <w:t>على من لاحظ كلام الشيخ وتأمّل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الاستدلال بآية التثبّت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معرفة حال الرّاوي بأنّه متحرّز عن الكذب في الرّواية تثبّت إجماليّ محصّل للظنّ بصدق الرّاوي ، فيجوز العمل به </w:t>
      </w:r>
      <w:r>
        <w:rPr>
          <w:rStyle w:val="FootnoteAnchor"/>
          <w:rtl w:val="true"/>
        </w:rPr>
        <w:footnoteReference w:id="1663"/>
      </w:r>
      <w:r>
        <w:rPr>
          <w:rFonts w:ascii="Amiri" w:hAnsi="Amiri" w:eastAsia="Amiri" w:cs="Amiri"/>
          <w:color w:val="111111"/>
          <w:sz w:val="28"/>
          <w:sz w:val="28"/>
          <w:szCs w:val="28"/>
          <w:rtl w:val="true"/>
          <w:lang w:bidi="ar-SA"/>
        </w:rPr>
        <w:t>كما مرّ في أخبار الموثّقين من المخالفين وسائر فرق الشّيعة ، والظّاهر كفاية الظنّ ، فإنّ الظّاهر من الآية أنّه إذا حصل الاطمئنان من جهة خبر الفاسق بعد التثبّت بمقدار يحصل من خبر العدل فهو يكفي ، سيّما العدل الذي ثبت عدالته بالظنّ والأدلّة الظنّية ، فإنّ المراد بالعادل النفس الأمري ، هو ما اقتضى الدّليل إطلاق العادل عليه في نفس الأمر ، لا ما كان عادلا في نفس الأمر ، والدليل قد يفيد القطع وقد يفيد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الدّليل الخامس في أمثال زماننا ، فالأمر واضح</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قال المحقّق </w:t>
      </w:r>
      <w:r>
        <w:rPr>
          <w:rStyle w:val="FootnoteAnchor"/>
          <w:rtl w:val="true"/>
        </w:rPr>
        <w:footnoteReference w:id="1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التحرّز عن الكذب مع ظهور الفسق مستبعد ، واستجوده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الاستبعاد أنّ الداعي على ترك المعصية قد يكون هو الخوف عن فضيحة الخلق ، وقد يكون لأجل إنكار الطبيعة لخصوص المعصية ، وقد يكون من أجل الخوف </w:t>
      </w:r>
      <w:r>
        <w:rPr>
          <w:rStyle w:val="FootnoteAnchor"/>
          <w:rtl w:val="true"/>
        </w:rPr>
        <w:footnoteReference w:id="1666"/>
      </w:r>
      <w:r>
        <w:rPr>
          <w:rFonts w:ascii="Amiri" w:hAnsi="Amiri" w:eastAsia="Amiri" w:cs="Amiri"/>
          <w:color w:val="111111"/>
          <w:sz w:val="28"/>
          <w:sz w:val="28"/>
          <w:szCs w:val="28"/>
          <w:rtl w:val="true"/>
          <w:lang w:bidi="ar-SA"/>
        </w:rPr>
        <w:t xml:space="preserve">عن الحاكم ، وقد يكون هو الخوف عن الله تعالى ، وهذا هو الذي يعتمد عليه في عدم حصول المعصية </w:t>
      </w:r>
      <w:r>
        <w:rPr>
          <w:rStyle w:val="FootnoteAnchor"/>
          <w:rtl w:val="true"/>
        </w:rPr>
        <w:footnoteReference w:id="1667"/>
      </w:r>
      <w:r>
        <w:rPr>
          <w:rFonts w:ascii="Amiri" w:hAnsi="Amiri" w:eastAsia="Amiri" w:cs="Amiri"/>
          <w:color w:val="111111"/>
          <w:sz w:val="28"/>
          <w:sz w:val="28"/>
          <w:szCs w:val="28"/>
          <w:rtl w:val="true"/>
          <w:lang w:bidi="ar-SA"/>
        </w:rPr>
        <w:t xml:space="preserve">في السرّ والعلن ، بخلاف غيره </w:t>
      </w:r>
      <w:r>
        <w:rPr>
          <w:rStyle w:val="FootnoteAnchor"/>
          <w:rtl w:val="true"/>
        </w:rPr>
        <w:footnoteReference w:id="1668"/>
      </w:r>
      <w:r>
        <w:rPr>
          <w:rFonts w:ascii="Amiri" w:hAnsi="Amiri" w:eastAsia="Amiri" w:cs="Amiri"/>
          <w:color w:val="111111"/>
          <w:sz w:val="28"/>
          <w:sz w:val="28"/>
          <w:szCs w:val="28"/>
          <w:rtl w:val="true"/>
          <w:lang w:bidi="ar-SA"/>
        </w:rPr>
        <w:t>، فمن كان فاسقا بالجوارح ولا يبالي عن معصية الخالق ، فكيف يعتمد عليه في ترك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إنكار حصول الظنّ مطلقا حينئذ </w:t>
      </w:r>
      <w:r>
        <w:rPr>
          <w:rStyle w:val="FootnoteAnchor"/>
          <w:rtl w:val="true"/>
        </w:rPr>
        <w:footnoteReference w:id="1669"/>
      </w:r>
      <w:r>
        <w:rPr>
          <w:rFonts w:ascii="Amiri" w:hAnsi="Amiri" w:eastAsia="Amiri" w:cs="Amiri"/>
          <w:color w:val="111111"/>
          <w:sz w:val="28"/>
          <w:sz w:val="28"/>
          <w:szCs w:val="28"/>
          <w:rtl w:val="true"/>
          <w:lang w:bidi="ar-SA"/>
        </w:rPr>
        <w:t>لا وجه له ، كما نرى بالعيان أنّ كثيرا ممّن لا يجتنب عن أكل المال الحرام ، أنّه يهتمّ في الصلاة وترك الشرب والزّنا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كثيرا ممّن هو مبتلى بأنواع الفسوق أنّه لا يستخفّ بكتاب الله وسائر شعائره ، وكذلك الكذب خصوصا في الرّواية بالنسبة إلى الأئمّة عليهم‌السلام ، كما هو ظاهر كلام الشيخ ، فمجرّد ظهور سائر الفسوق عمّن يعظم في نظره الكذب على الإمام عليه‌السلام ، لا يوجب عدم حصول الظنّ بصدقه ، وكذلك إذا كان طبيعته مجبولة على الاجتناب عن الكذب</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كان ترك الكذب محضا من جهة أنّ الشّارع منعه وأوعد عليه ، لا يحصل الظنّ به مع صدور ما هو أعظم منه ، ممّا يدلّ على عدم الاعتناء بوعيده تعالى ونواهيه ، فالأقوى إذن ما ذهب إليه الشيخ </w:t>
      </w:r>
      <w:r>
        <w:rPr>
          <w:rStyle w:val="FootnoteAnchor"/>
          <w:rtl w:val="true"/>
        </w:rPr>
        <w:footnoteReference w:id="1670"/>
      </w:r>
      <w:r>
        <w:rPr>
          <w:rFonts w:ascii="Amiri" w:hAnsi="Amiri" w:eastAsia="Amiri" w:cs="Amiri"/>
          <w:color w:val="111111"/>
          <w:sz w:val="28"/>
          <w:sz w:val="28"/>
          <w:szCs w:val="28"/>
          <w:rtl w:val="true"/>
          <w:lang w:bidi="ar-SA"/>
        </w:rPr>
        <w:t xml:space="preserve">، ويرجع هذا في الحقيقة إلى </w:t>
      </w:r>
    </w:p>
    <w:p>
      <w:pPr>
        <w:pStyle w:val="BookText"/>
        <w:rPr/>
      </w:pPr>
      <w:r>
        <w:rPr>
          <w:rFonts w:ascii="Amiri" w:hAnsi="Amiri" w:eastAsia="Amiri" w:cs="Amiri"/>
          <w:color w:val="111111"/>
          <w:sz w:val="28"/>
          <w:sz w:val="28"/>
          <w:szCs w:val="28"/>
          <w:rtl w:val="true"/>
          <w:lang w:bidi="ar-SA"/>
        </w:rPr>
        <w:t>التثبّت الإجمالي أو إلى مطلق العمل بالظنّ عند انسداد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ذكرنا </w:t>
      </w:r>
      <w:r>
        <w:rPr>
          <w:rStyle w:val="FootnoteAnchor"/>
          <w:rtl w:val="true"/>
        </w:rPr>
        <w:footnoteReference w:id="1671"/>
      </w:r>
      <w:r>
        <w:rPr>
          <w:rFonts w:ascii="Amiri" w:hAnsi="Amiri" w:eastAsia="Amiri" w:cs="Amiri"/>
          <w:color w:val="111111"/>
          <w:sz w:val="28"/>
          <w:sz w:val="28"/>
          <w:szCs w:val="28"/>
          <w:rtl w:val="true"/>
          <w:lang w:bidi="ar-SA"/>
        </w:rPr>
        <w:t xml:space="preserve">، يظهر لك حال الحسن من أقسام الخبر ، وأنّ حجّيته أيضا من جهة حصول التثبّت الإجمالي ، وهو تابع لما ذكروه في مدح الرّجل ، فيتّبع ما أفاده </w:t>
      </w:r>
      <w:r>
        <w:rPr>
          <w:rStyle w:val="FootnoteAnchor"/>
          <w:rtl w:val="true"/>
        </w:rPr>
        <w:footnoteReference w:id="1672"/>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الضبط ، فلا خلاف في اشتراطه ، إذ لا اعتماد ولا وثوق إلّا مع الضبط ، لأنّه قد يسهو فيزيد في الحديث أو ينقص أو يغيّر ويبدّل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يوجب اختلاف الحكم واختلال المقصود ، وقد يسهو عن الواسطة مع وجودها ، وبذلك قد يحصل الاشتباه بين السّند الصحيح والضعيف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من يغلب ذكره </w:t>
      </w:r>
      <w:r>
        <w:rPr>
          <w:rStyle w:val="FootnoteAnchor"/>
          <w:rtl w:val="true"/>
        </w:rPr>
        <w:footnoteReference w:id="1673"/>
      </w:r>
      <w:r>
        <w:rPr>
          <w:rFonts w:ascii="Amiri" w:hAnsi="Amiri" w:eastAsia="Amiri" w:cs="Amiri"/>
          <w:color w:val="111111"/>
          <w:sz w:val="28"/>
          <w:sz w:val="28"/>
          <w:szCs w:val="28"/>
          <w:rtl w:val="true"/>
          <w:lang w:bidi="ar-SA"/>
        </w:rPr>
        <w:t>سهوه لا من لا يسهو أبدا ، وإلّا لما صحّ العمل إلّا عن معصوم عن السّهو ، وهو باطل إجماعا عن العاملين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 الآية المقتضي لقبول خبر العدل مطلقا مخصّص بالضّابط لإشعار المنطوق به من حيث التعليل ، ولإجماعهم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العمل بمقتضى الدّليل الخامس ، فالأمر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 علماء الرّجال حيث يقولون في مقام التزكية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ثقة ، هو العدل الضابط ، إذ لا وثوق إلّا مع الضبط ، ولذلك اختاروا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كافية عن هذا الشّرط ، لأنّ العدل لا يروي إلّا ما تحقّقه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العدل لا يكذب عن عمد ، لا عن سهو ، فإنّه قد يسهو عن كونه غير </w:t>
      </w:r>
    </w:p>
    <w:p>
      <w:pPr>
        <w:pStyle w:val="BookText"/>
        <w:rPr/>
      </w:pPr>
      <w:r>
        <w:rPr>
          <w:rFonts w:ascii="Amiri" w:hAnsi="Amiri" w:eastAsia="Amiri" w:cs="Amiri"/>
          <w:color w:val="111111"/>
          <w:sz w:val="28"/>
          <w:sz w:val="28"/>
          <w:szCs w:val="28"/>
          <w:rtl w:val="true"/>
          <w:lang w:bidi="ar-SA"/>
        </w:rPr>
        <w:t>مضبوط عنده أو عن كونه ساهيا ، والظاهر أنّه يكفي في إطلاق الضبط كثرة الاهتمام في نقل الحديث بأنّه بمجرّد سماع الحديث يكتبه ويحفظه ويراجعه ويزاوله بحيث يحصل له الاعتماد وإن كان كثير السّهو ، إذ ربّما يكون الإنسان متفطّنا ذكيّا لا يغفل عن درك المطلب حين الاستماع ، ولكن يعرضه السّهو بعد ساعة أو أكثر ، فمثل هذا إذا كتب وأتقن حين السّماع ، فقد ضبط الحديث وهو 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وبمثل هذا يمكن أن يجاب عمّا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r>
        <w:rPr>
          <w:rStyle w:val="FootnoteAnchor"/>
          <w:rtl w:val="true"/>
        </w:rPr>
        <w:footnoteReference w:id="1674"/>
      </w:r>
      <w:r>
        <w:rPr>
          <w:rFonts w:ascii="Amiri" w:hAnsi="Amiri" w:eastAsia="Amiri" w:cs="Amiri"/>
          <w:color w:val="111111"/>
          <w:sz w:val="28"/>
          <w:sz w:val="28"/>
          <w:szCs w:val="28"/>
          <w:rtl w:val="true"/>
          <w:lang w:bidi="ar-SA"/>
        </w:rPr>
        <w:t xml:space="preserve">الخثعمي ممّن وثّقوه في الرّجال ، مع أنّ الصّدوق رحمه‌الله روى في الفقيه أنّه سأل أبا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كثير السّهو فما أحفظ على صلاتي </w:t>
      </w:r>
      <w:r>
        <w:rPr>
          <w:rStyle w:val="FootnoteAnchor"/>
          <w:rtl w:val="true"/>
        </w:rPr>
        <w:footnoteReference w:id="1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السّهو في الصلاة لا تنافي الضّبط في الرّواية ، أو أنّ المراد كثير الشّك لكثرة استعمال السّهو في الشّك</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معرفة الضّبط أيضا ، إمّا تحصل بممارسة حال الرّاوي باختبار رواياته واعتبارها بروايات الثّقات المعروفين بالضبط والإتقان وموافقتها لها ولو من حيث المعنى فقط ، أو بشهادة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شهادة على ذلك</w:t>
      </w:r>
      <w:r>
        <w:rPr>
          <w:rFonts w:eastAsia="Amiri" w:cs="Amiri" w:ascii="Amiri" w:hAnsi="Amiri"/>
          <w:color w:val="111111"/>
          <w:sz w:val="28"/>
          <w:szCs w:val="28"/>
          <w:rtl w:val="true"/>
          <w:lang w:bidi="ar-SA"/>
        </w:rPr>
        <w:t xml:space="preserve">. </w:t>
      </w:r>
      <w:bookmarkStart w:id="208" w:name="pg14071_149490"/>
    </w:p>
    <w:p>
      <w:pPr>
        <w:pStyle w:val="Heading5"/>
        <w:numPr>
          <w:ilvl w:val="4"/>
          <w:numId w:val="1"/>
        </w:numPr>
        <w:rPr/>
      </w:pPr>
      <w:bookmarkStart w:id="209" w:name="__RefHeading___Toc495141_1738255347"/>
      <w:bookmarkStart w:id="210" w:name="_Toc76"/>
      <w:bookmarkEnd w:id="208"/>
      <w:bookmarkEnd w:id="209"/>
      <w:r>
        <w:rPr>
          <w:rtl w:val="true"/>
        </w:rPr>
        <w:t xml:space="preserve">تنبيه </w:t>
      </w:r>
      <w:r>
        <w:rPr>
          <w:rtl w:val="true"/>
        </w:rPr>
        <w:t>:</w:t>
      </w:r>
      <w:bookmarkEnd w:id="210"/>
    </w:p>
    <w:p>
      <w:pPr>
        <w:pStyle w:val="BookText"/>
        <w:rPr/>
      </w:pPr>
      <w:r>
        <w:rPr>
          <w:rFonts w:ascii="Amiri" w:hAnsi="Amiri" w:eastAsia="Amiri" w:cs="Amiri"/>
          <w:color w:val="111111"/>
          <w:sz w:val="28"/>
          <w:sz w:val="28"/>
          <w:szCs w:val="28"/>
          <w:rtl w:val="true"/>
          <w:lang w:bidi="ar-SA"/>
        </w:rPr>
        <w:t>المعتبر في شرائط الرّاوي هو حال الأداء لا حال التحمّل ، كما أشرنا إليه في الصبي ، فلا إشكال في جواز الرّواية عمّن تاب ورجع عمّا كان عليه من مخالفة في دين أو فسق في حال استقامته ، وكذا في عدم الجواز عمّن خلط بعد الاستقامة في حال الخلط إن كان فسقا مطلقا ، وعلى المشهور إن كان مخالفة في المذهب أيضا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يرويه الغلاة والمتّهمون والمضعّفون وغير هؤلاء ، فما يختصّ الغلاة بروايته ، فإن كانوا ممّن عرف لهم حال استقامة وحال غلوّ ، عمل بما رووه حال الاستقامة ، وترك ما رووه في حال خطائهم </w:t>
      </w:r>
      <w:r>
        <w:rPr>
          <w:rStyle w:val="FootnoteAnchor"/>
          <w:rtl w:val="true"/>
        </w:rPr>
        <w:footnoteReference w:id="1677"/>
      </w:r>
      <w:r>
        <w:rPr>
          <w:rFonts w:ascii="Amiri" w:hAnsi="Amiri" w:eastAsia="Amiri" w:cs="Amiri"/>
          <w:color w:val="111111"/>
          <w:sz w:val="28"/>
          <w:sz w:val="28"/>
          <w:szCs w:val="28"/>
          <w:rtl w:val="true"/>
          <w:lang w:bidi="ar-SA"/>
        </w:rPr>
        <w:t xml:space="preserve">، فلأجل ذلك عملت الطائفة بما رواه أبو الخطّاب محمّد بن أبي زينب </w:t>
      </w:r>
      <w:r>
        <w:rPr>
          <w:rStyle w:val="FootnoteAnchor"/>
          <w:rtl w:val="true"/>
        </w:rPr>
        <w:footnoteReference w:id="1678"/>
      </w:r>
      <w:r>
        <w:rPr>
          <w:rFonts w:ascii="Amiri" w:hAnsi="Amiri" w:eastAsia="Amiri" w:cs="Amiri"/>
          <w:color w:val="111111"/>
          <w:sz w:val="28"/>
          <w:sz w:val="28"/>
          <w:szCs w:val="28"/>
          <w:rtl w:val="true"/>
          <w:lang w:bidi="ar-SA"/>
        </w:rPr>
        <w:t xml:space="preserve">في حال استقامته ، وتركوا ما رواه في حال تخليطه ، وكذلك القول في أحمد بن هلال العبرتائي </w:t>
      </w:r>
      <w:r>
        <w:rPr>
          <w:rStyle w:val="FootnoteAnchor"/>
          <w:rtl w:val="true"/>
        </w:rPr>
        <w:footnoteReference w:id="1679"/>
      </w:r>
      <w:r>
        <w:rPr>
          <w:rFonts w:ascii="Amiri" w:hAnsi="Amiri" w:eastAsia="Amiri" w:cs="Amiri"/>
          <w:color w:val="111111"/>
          <w:sz w:val="28"/>
          <w:sz w:val="28"/>
          <w:szCs w:val="28"/>
          <w:rtl w:val="true"/>
          <w:lang w:bidi="ar-SA"/>
        </w:rPr>
        <w:t xml:space="preserve">وابن أبي </w:t>
      </w:r>
    </w:p>
    <w:p>
      <w:pPr>
        <w:pStyle w:val="BookText"/>
        <w:rPr/>
      </w:pPr>
      <w:r>
        <w:rPr>
          <w:rFonts w:ascii="IRNazanin" w:hAnsi="IRNazanin" w:eastAsia="IRNazanin"/>
          <w:color w:val="111111"/>
          <w:sz w:val="28"/>
          <w:sz w:val="28"/>
          <w:szCs w:val="28"/>
          <w:rtl w:val="true"/>
          <w:lang w:bidi="fa-IR"/>
        </w:rPr>
        <w:t xml:space="preserve">العزاقر </w:t>
      </w:r>
      <w:r>
        <w:rPr>
          <w:rStyle w:val="FootnoteAnchor"/>
          <w:rtl w:val="true"/>
        </w:rPr>
        <w:footnoteReference w:id="1680"/>
      </w:r>
      <w:r>
        <w:rPr>
          <w:rFonts w:ascii="Amiri" w:hAnsi="Amiri" w:eastAsia="Amiri" w:cs="Amiri"/>
          <w:color w:val="111111"/>
          <w:sz w:val="28"/>
          <w:sz w:val="28"/>
          <w:szCs w:val="28"/>
          <w:rtl w:val="true"/>
          <w:lang w:bidi="ar-SA"/>
        </w:rPr>
        <w:t>وغير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يروونه في حال تخليطهم فلا يجوز العمل به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ما ذكرنا ترك رواياتهم مع جهل التاريخ إلّا أن يكون موثّقا عند من يعمل بالموثّق كما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يتأمّل في ذلك ، لأنّ خطأ مثل أبي الخطّاب لم يكن بعنوان السّهو والغفلة ، بل دعته الأهواء الفاسدة إلى تعمّد الكذب ، والظاهر أنّه لم يكن في المدّة التي لم يظهر منه الكفر ، بريئا من غاية الشقاوة ، لكن جعل إخفاء المعصية وإظهار الطّاعة وسيلتين إلى ما أراد من الرئاسة وإضلال الجماعة ، فكيف يمكن الاعتماد على روايته ورواية أمثاله في وقت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يجعل هذا مؤيّدا لضعف القول بكون عثمان بن عيسى </w:t>
      </w:r>
      <w:r>
        <w:rPr>
          <w:rStyle w:val="FootnoteAnchor"/>
          <w:rtl w:val="true"/>
        </w:rPr>
        <w:footnoteReference w:id="1681"/>
      </w:r>
      <w:r>
        <w:rPr>
          <w:rFonts w:ascii="Amiri" w:hAnsi="Amiri" w:eastAsia="Amiri" w:cs="Amiri"/>
          <w:color w:val="111111"/>
          <w:sz w:val="28"/>
          <w:sz w:val="28"/>
          <w:szCs w:val="28"/>
          <w:rtl w:val="true"/>
          <w:lang w:bidi="ar-SA"/>
        </w:rPr>
        <w:t xml:space="preserve">وعلى بن أبي حمزة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الصادقين عليهم‌السلام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فعلى العالم أن يظهر علمه فإن لم يفعل سلب عنه نور الإيمان ، وما كنت ادع الجهاد وأمر الله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فناصباني وأظهرا لي العداوة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نراه من أخبار أمثال هؤلاء قد عمل به الأصحاب ولم يظهر لنا تاريخ الرّواية ، فعلينا أن نرجع إلى القرائن الخارجية ، إذ لعلّهم عملوا بها لاعتمادهم على القرائن الخارجية لا لكون الرّواية في حال الاستقامة ، فعلينا أن نجتهد في القرائن أيضا ، ومن القرائن المفيدة للرجحان هو عمل جمهور الأصحاب</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 أنّ المعيار في أمثال ذلك قوّة الظنّ من القرائن الخارجية ، فلا بدّ من التأمّل والتفحّص ، فمثل ما يرويه الأصحاب عن الحسين بن بشّار </w:t>
      </w:r>
      <w:r>
        <w:rPr>
          <w:rStyle w:val="FootnoteAnchor"/>
          <w:rtl w:val="true"/>
        </w:rPr>
        <w:footnoteReference w:id="1683"/>
      </w:r>
      <w:r>
        <w:rPr>
          <w:rFonts w:ascii="Amiri" w:hAnsi="Amiri" w:eastAsia="Amiri" w:cs="Amiri"/>
          <w:color w:val="111111"/>
          <w:sz w:val="28"/>
          <w:sz w:val="28"/>
          <w:szCs w:val="28"/>
          <w:rtl w:val="true"/>
          <w:lang w:bidi="ar-SA"/>
        </w:rPr>
        <w:t xml:space="preserve">وعلي بن أسباط </w:t>
      </w:r>
      <w:r>
        <w:rPr>
          <w:rStyle w:val="FootnoteAnchor"/>
          <w:rtl w:val="true"/>
        </w:rPr>
        <w:footnoteReference w:id="1684"/>
      </w:r>
      <w:r>
        <w:rPr>
          <w:rFonts w:ascii="Amiri" w:hAnsi="Amiri" w:eastAsia="Amiri" w:cs="Amiri"/>
          <w:color w:val="111111"/>
          <w:sz w:val="28"/>
          <w:sz w:val="28"/>
          <w:szCs w:val="28"/>
          <w:rtl w:val="true"/>
          <w:lang w:bidi="ar-SA"/>
        </w:rPr>
        <w:t xml:space="preserve">ممّن كانوا من غير الإمامية ثمّ تابوا ورجعوا واعتمد الأصحاب على </w:t>
      </w:r>
    </w:p>
    <w:p>
      <w:pPr>
        <w:pStyle w:val="BookText"/>
        <w:rPr/>
      </w:pPr>
      <w:r>
        <w:rPr>
          <w:rFonts w:ascii="Amiri" w:hAnsi="Amiri" w:eastAsia="Amiri" w:cs="Amiri"/>
          <w:color w:val="111111"/>
          <w:sz w:val="28"/>
          <w:sz w:val="28"/>
          <w:szCs w:val="28"/>
          <w:rtl w:val="true"/>
          <w:lang w:bidi="ar-SA"/>
        </w:rPr>
        <w:t>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عليّ بن محمّد بن رباح </w:t>
      </w:r>
      <w:r>
        <w:rPr>
          <w:rStyle w:val="FootnoteAnchor"/>
          <w:rtl w:val="true"/>
        </w:rPr>
        <w:footnoteReference w:id="1685"/>
      </w:r>
      <w:r>
        <w:rPr>
          <w:rFonts w:ascii="Amiri" w:hAnsi="Amiri" w:eastAsia="Amiri" w:cs="Amiri"/>
          <w:color w:val="111111"/>
          <w:sz w:val="28"/>
          <w:sz w:val="28"/>
          <w:szCs w:val="28"/>
          <w:rtl w:val="true"/>
          <w:lang w:bidi="ar-SA"/>
        </w:rPr>
        <w:t xml:space="preserve">وعليّ بن أبي حمزة </w:t>
      </w:r>
      <w:r>
        <w:rPr>
          <w:rStyle w:val="FootnoteAnchor"/>
          <w:rtl w:val="true"/>
        </w:rPr>
        <w:footnoteReference w:id="1686"/>
      </w:r>
      <w:r>
        <w:rPr>
          <w:rFonts w:ascii="Amiri" w:hAnsi="Amiri" w:eastAsia="Amiri" w:cs="Amiri"/>
          <w:color w:val="111111"/>
          <w:sz w:val="28"/>
          <w:sz w:val="28"/>
          <w:szCs w:val="28"/>
          <w:rtl w:val="true"/>
          <w:lang w:bidi="ar-SA"/>
        </w:rPr>
        <w:t xml:space="preserve">وإسحاق بن جرير </w:t>
      </w:r>
      <w:r>
        <w:rPr>
          <w:rStyle w:val="FootnoteAnchor"/>
          <w:rtl w:val="true"/>
        </w:rPr>
        <w:footnoteReference w:id="1687"/>
      </w:r>
      <w:r>
        <w:rPr>
          <w:rFonts w:ascii="Amiri" w:hAnsi="Amiri" w:eastAsia="Amiri" w:cs="Amiri"/>
          <w:color w:val="111111"/>
          <w:sz w:val="28"/>
          <w:sz w:val="28"/>
          <w:szCs w:val="28"/>
          <w:rtl w:val="true"/>
          <w:lang w:bidi="ar-SA"/>
        </w:rPr>
        <w:t xml:space="preserve">من الواقفية ، الذين كانوا على الحقّ ثمّ توقّفوا ، وروى عنهم ثقات الأصحاب وصرّح أجلّاء المتأخّرين بقبول روايتهم مع جهل التاريخ ، فيمكن الوثوق على روايتهم لأجل ما ذكر ، لأنّ المعهود من حال أصحاب الأئمّة عليهم‌السلام كمال اجتنابهم عن الواقفية وأمثالهم من فرق الشيعة ، وكان معاندتهم معهم وتبرّيهم عنهم أزيد منها عن العامّة ، سيّما الواقفية ، حتّى أنّهم كانوا يسمّونهم الممطورة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الكلاب التي أصابها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ويتنزّهون عن صحبتهم والمكالمة معهم ، وكان أئمّتهم عليهم‌السلام يأمرونهم باللّعن عليهم والتبرّي عنهم ، فرواية ثقاتهم وأجلّائهم عنهم ، قرينة على أنّ الرّواية كانت حال الاستقامة ، وأنّ الرّواية عن أصلهم المعتمد المؤلّف قبل فساد العقيدة أو المأخوذ عن المشايخ المعتمدين من أصحابنا ، ككتب علي بن الحسن الطّاطري ، فإنّ الشيخ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روى كتبه عن الرّجال الموثوق بهم وبروايتهم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البهائي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الشمسين</w:t>
      </w:r>
      <w:r>
        <w:rPr>
          <w:rFonts w:eastAsia="Amiri" w:cs="Amiri" w:ascii="Amiri" w:hAnsi="Amiri"/>
          <w:color w:val="111111"/>
          <w:sz w:val="28"/>
          <w:szCs w:val="28"/>
          <w:rtl w:val="true"/>
          <w:lang w:bidi="ar-SA"/>
        </w:rPr>
        <w:t xml:space="preserve">» </w:t>
      </w:r>
      <w:r>
        <w:rPr>
          <w:rStyle w:val="FootnoteAnchor"/>
          <w:rtl w:val="true"/>
        </w:rPr>
        <w:footnoteReference w:id="1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قبول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Style w:val="FootnoteAnchor"/>
          <w:rtl w:val="true"/>
        </w:rPr>
        <w:footnoteReference w:id="1689"/>
      </w:r>
      <w:r>
        <w:rPr>
          <w:rFonts w:ascii="Amiri" w:hAnsi="Amiri" w:eastAsia="Amiri" w:cs="Amiri"/>
          <w:color w:val="111111"/>
          <w:sz w:val="28"/>
          <w:sz w:val="28"/>
          <w:szCs w:val="28"/>
          <w:rtl w:val="true"/>
          <w:lang w:bidi="ar-SA"/>
        </w:rPr>
        <w:t xml:space="preserve">رواية عليّ بن أبي حمزة مع شدّة تعصّبه في مذهبه </w:t>
      </w:r>
    </w:p>
    <w:p>
      <w:pPr>
        <w:pStyle w:val="BookText"/>
        <w:rPr/>
      </w:pPr>
      <w:r>
        <w:rPr>
          <w:rFonts w:ascii="Amiri" w:hAnsi="Amiri" w:eastAsia="Amiri" w:cs="Amiri"/>
          <w:color w:val="111111"/>
          <w:sz w:val="28"/>
          <w:sz w:val="28"/>
          <w:szCs w:val="28"/>
          <w:rtl w:val="true"/>
          <w:lang w:bidi="ar-SA"/>
        </w:rPr>
        <w:t>الفاسد ، مبنيّ على ما هو الظاهر من كونها منقولة عن أصله ، وتعليله رحمه‌الله يشعر بذلك ، فإنّ الرّجل من أصحاب الأصول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 العلّامة </w:t>
      </w:r>
      <w:r>
        <w:rPr>
          <w:rStyle w:val="FootnoteAnchor"/>
          <w:rtl w:val="true"/>
        </w:rPr>
        <w:footnoteReference w:id="1690"/>
      </w:r>
      <w:r>
        <w:rPr>
          <w:rFonts w:ascii="Amiri" w:hAnsi="Amiri" w:eastAsia="Amiri" w:cs="Amiri"/>
          <w:color w:val="111111"/>
          <w:sz w:val="28"/>
          <w:sz w:val="28"/>
          <w:szCs w:val="28"/>
          <w:rtl w:val="true"/>
          <w:lang w:bidi="ar-SA"/>
        </w:rPr>
        <w:t xml:space="preserve">بصحّة رواية إسحاق بن جرير عن الصادق عليه‌السلام ، فإنّه ثقة من أصحاب الاصول أيضا ، وتأليف أمثال هؤلاء اصولهم كان قبل الوقف ، لأنّه وقع في زمن الصادق عليه‌السلام ، فقد بلغنا عن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 دأب أصحاب الأصول ، أنّه إذا سمعوا من أحد الأئمّة حديثا بادروا إلى إثباته في أصولهم لئلّا يعرض لهم نسيان لبعضه ، أو كلّه بتمادي الأيّام وتوالي الشّهور والأعوام</w:t>
      </w:r>
      <w:r>
        <w:rPr>
          <w:rFonts w:eastAsia="Amiri" w:cs="Amiri" w:ascii="Amiri" w:hAnsi="Amiri"/>
          <w:color w:val="111111"/>
          <w:sz w:val="28"/>
          <w:szCs w:val="28"/>
          <w:rtl w:val="true"/>
          <w:lang w:bidi="ar-SA"/>
        </w:rPr>
        <w:t xml:space="preserve">. </w:t>
      </w:r>
      <w:bookmarkStart w:id="211" w:name="pg14071_149500"/>
    </w:p>
    <w:p>
      <w:pPr>
        <w:pStyle w:val="Heading5"/>
        <w:numPr>
          <w:ilvl w:val="4"/>
          <w:numId w:val="1"/>
        </w:numPr>
        <w:rPr/>
      </w:pPr>
      <w:bookmarkStart w:id="212" w:name="__RefHeading___Toc495143_1738255347"/>
      <w:bookmarkStart w:id="213" w:name="_Toc77"/>
      <w:bookmarkEnd w:id="211"/>
      <w:bookmarkEnd w:id="212"/>
      <w:r>
        <w:rPr>
          <w:rtl w:val="true"/>
        </w:rPr>
        <w:t>قانون</w:t>
      </w:r>
      <w:bookmarkEnd w:id="213"/>
    </w:p>
    <w:p>
      <w:pPr>
        <w:pStyle w:val="BookText"/>
        <w:rPr/>
      </w:pPr>
      <w:r>
        <w:rPr>
          <w:rFonts w:ascii="Amiri" w:hAnsi="Amiri" w:eastAsia="Amiri" w:cs="Amiri"/>
          <w:color w:val="111111"/>
          <w:sz w:val="28"/>
          <w:sz w:val="28"/>
          <w:szCs w:val="28"/>
          <w:rtl w:val="true"/>
          <w:lang w:bidi="ar-SA"/>
        </w:rPr>
        <w:t xml:space="preserve">تعرف عدالة الرّاوي بالملازمة والصّحبة المتأكّدة </w:t>
      </w:r>
      <w:r>
        <w:rPr>
          <w:rStyle w:val="FootnoteAnchor"/>
          <w:rtl w:val="true"/>
        </w:rPr>
        <w:footnoteReference w:id="1691"/>
      </w:r>
      <w:r>
        <w:rPr>
          <w:rFonts w:ascii="Amiri" w:hAnsi="Amiri" w:eastAsia="Amiri" w:cs="Amiri"/>
          <w:color w:val="111111"/>
          <w:sz w:val="28"/>
          <w:sz w:val="28"/>
          <w:szCs w:val="28"/>
          <w:rtl w:val="true"/>
          <w:lang w:bidi="ar-SA"/>
        </w:rPr>
        <w:t xml:space="preserve">حتّى يظهر سريرته </w:t>
      </w:r>
      <w:r>
        <w:rPr>
          <w:rStyle w:val="FootnoteAnchor"/>
          <w:rtl w:val="true"/>
        </w:rPr>
        <w:footnoteReference w:id="1692"/>
      </w:r>
      <w:r>
        <w:rPr>
          <w:rFonts w:ascii="Amiri" w:hAnsi="Amiri" w:eastAsia="Amiri" w:cs="Amiri"/>
          <w:color w:val="111111"/>
          <w:sz w:val="28"/>
          <w:sz w:val="28"/>
          <w:szCs w:val="28"/>
          <w:rtl w:val="true"/>
          <w:lang w:bidi="ar-SA"/>
        </w:rPr>
        <w:t>علما أو ظنّا ، وباشتهارها بين العلماء وأهل الحديث ، كالصّدوق ، فإنّ علماء الرّجال لم يذكروا له توثيقا ، واشتهاره بذلك كفانا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وبشهادة القرائن الكثيرة المتعاضدة ، مثل كونه مرجع العلماء </w:t>
      </w:r>
      <w:r>
        <w:rPr>
          <w:rStyle w:val="FootnoteAnchor"/>
          <w:rtl w:val="true"/>
        </w:rPr>
        <w:footnoteReference w:id="1693"/>
      </w:r>
      <w:r>
        <w:rPr>
          <w:rFonts w:ascii="Amiri" w:hAnsi="Amiri" w:eastAsia="Amiri" w:cs="Amiri"/>
          <w:color w:val="111111"/>
          <w:sz w:val="28"/>
          <w:sz w:val="28"/>
          <w:szCs w:val="28"/>
          <w:rtl w:val="true"/>
          <w:lang w:bidi="ar-SA"/>
        </w:rPr>
        <w:t>والفقهاء ، وكونه ممّن يكثر عنه الرّواية من لا يروي إلّا عن عدل ، ونحو ذلك من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وبالتزكية من العالم بها ، إمّا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عدل ، أو ما يشمله ، أو يقبل شهادته إن كان ممّن يرى العدالة شرطا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أنّ الواحد هل يكفي في التزكية أو لا بدّ من المتعدّد؟ على قولين ، وبنى كثير منهم ذلك على أنّ التزكية رواية أو شهادة ، فعلى الأوّل يكفي دون الثاني</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في ذلك من تمهيد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الرّواية والشهادة والفتوى </w:t>
      </w:r>
      <w:r>
        <w:rPr>
          <w:rStyle w:val="FootnoteAnchor"/>
          <w:rtl w:val="true"/>
        </w:rPr>
        <w:footnoteReference w:id="1694"/>
      </w:r>
      <w:r>
        <w:rPr>
          <w:rFonts w:ascii="Amiri" w:hAnsi="Amiri" w:eastAsia="Amiri" w:cs="Amiri"/>
          <w:color w:val="111111"/>
          <w:sz w:val="28"/>
          <w:sz w:val="28"/>
          <w:szCs w:val="28"/>
          <w:rtl w:val="true"/>
          <w:lang w:bidi="ar-SA"/>
        </w:rPr>
        <w:t xml:space="preserve">كلّها من </w:t>
      </w:r>
    </w:p>
    <w:p>
      <w:pPr>
        <w:pStyle w:val="BookText"/>
        <w:rPr/>
      </w:pPr>
      <w:r>
        <w:rPr>
          <w:rFonts w:ascii="Amiri" w:hAnsi="Amiri" w:eastAsia="Amiri" w:cs="Amiri"/>
          <w:color w:val="111111"/>
          <w:sz w:val="28"/>
          <w:sz w:val="28"/>
          <w:szCs w:val="28"/>
          <w:rtl w:val="true"/>
          <w:lang w:bidi="ar-SA"/>
        </w:rPr>
        <w:t>أفراد الخبر المقابل للإنشاء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والشّهادة في اللّغة إخبار عن اليقين ، وعلى ما عرّفها الفقهاء إخبار جازم بحقّ لازم للغير من غير الحاكم ، فحكم الله ورسوله صلى‌الله‌عليه‌وآله وخلفائه عليهم‌السلام ، والحاكم ليس بشهادة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والرّواية تشتركان في الجزم وتنفردان في أنّ المخبر عنه إذا كان أمرا عامّا لا يختصّ بمعيّن فهو الرّواية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شفعة فيما لا يقسم</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 xml:space="preserve">، فإنّه شامل لجميع الخلق إلى يوم القيامة ، وإن كان لمعيّن ، فهو الشّهادة ، كقوله عند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بكذا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يقع لبس بينهما في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الهلال ، فإنّ الصوم مثلا لا يتشخّص بمعيّن ، فهو رواية ، ومن اختصاصه بهذا العامّ دون ما قبله وما بعده </w:t>
      </w:r>
      <w:r>
        <w:rPr>
          <w:rStyle w:val="FootnoteAnchor"/>
          <w:rtl w:val="true"/>
        </w:rPr>
        <w:footnoteReference w:id="1697"/>
      </w:r>
      <w:r>
        <w:rPr>
          <w:rFonts w:ascii="Amiri" w:hAnsi="Amiri" w:eastAsia="Amiri" w:cs="Amiri"/>
          <w:color w:val="111111"/>
          <w:sz w:val="28"/>
          <w:sz w:val="28"/>
          <w:szCs w:val="28"/>
          <w:rtl w:val="true"/>
          <w:lang w:bidi="ar-SA"/>
        </w:rPr>
        <w:t>، بل بهذا الشهر ، فهو كالشهادة ، ومن ثمّ اختلف في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عند الحاكم من حيث إنّه يصير عامّا للترجمة ، ومن إخباره عن كلام معيّن ، والأقوى </w:t>
      </w:r>
      <w:r>
        <w:rPr>
          <w:rStyle w:val="FootnoteAnchor"/>
          <w:rtl w:val="true"/>
        </w:rPr>
        <w:footnoteReference w:id="1698"/>
      </w:r>
      <w:r>
        <w:rPr>
          <w:rFonts w:ascii="Amiri" w:hAnsi="Amiri" w:eastAsia="Amiri" w:cs="Amiri"/>
          <w:color w:val="111111"/>
          <w:sz w:val="28"/>
          <w:sz w:val="28"/>
          <w:szCs w:val="28"/>
          <w:rtl w:val="true"/>
          <w:lang w:bidi="ar-SA"/>
        </w:rPr>
        <w:t>التعدّد في الموضعين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المقوّم من حيث إنّه منصوب لتقويمات لا نهاية له ، فهو رواية ، ومن أنّه إلزام لمعيّن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من حيث نصبه لكلّ قسمة </w:t>
      </w:r>
      <w:r>
        <w:rPr>
          <w:rStyle w:val="FootnoteAnchor"/>
          <w:rtl w:val="true"/>
        </w:rPr>
        <w:footnoteReference w:id="1700"/>
      </w:r>
      <w:r>
        <w:rPr>
          <w:rFonts w:ascii="Amiri" w:hAnsi="Amiri" w:eastAsia="Amiri" w:cs="Amiri"/>
          <w:color w:val="111111"/>
          <w:sz w:val="28"/>
          <w:sz w:val="28"/>
          <w:szCs w:val="28"/>
          <w:rtl w:val="true"/>
          <w:lang w:bidi="ar-SA"/>
        </w:rPr>
        <w:t>، ومن حيث التعيين في كلّ قضيّة</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المخبر عن عدد الرّكعات والأشواط ، من أنّه لا يخبر عن إلزام حكم لمخلوق ، بل للخالق سبحانه وتعالى ، فهو كالرّواية ، ومن أنّه إلزام لمعيّن لا يتعدّاه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بالطهارة أو النجاسة ترد فيه الشّهادة </w:t>
      </w:r>
      <w:r>
        <w:rPr>
          <w:rStyle w:val="FootnoteAnchor"/>
          <w:rtl w:val="true"/>
        </w:rPr>
        <w:footnoteReference w:id="1702"/>
      </w:r>
      <w:r>
        <w:rPr>
          <w:rFonts w:ascii="Amiri" w:hAnsi="Amiri" w:eastAsia="Amiri" w:cs="Amiri"/>
          <w:color w:val="111111"/>
          <w:sz w:val="28"/>
          <w:sz w:val="28"/>
          <w:szCs w:val="28"/>
          <w:rtl w:val="true"/>
          <w:lang w:bidi="ar-SA"/>
        </w:rPr>
        <w:t xml:space="preserve">، ويمكن الفرق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طهّرته ونجّسته لاستناده إلى الأصل هناك </w:t>
      </w:r>
      <w:r>
        <w:rPr>
          <w:rStyle w:val="FootnoteAnchor"/>
          <w:rtl w:val="true"/>
        </w:rPr>
        <w:footnoteReference w:id="1703"/>
      </w:r>
      <w:r>
        <w:rPr>
          <w:rFonts w:ascii="Amiri" w:hAnsi="Amiri" w:eastAsia="Amiri" w:cs="Amiri"/>
          <w:color w:val="111111"/>
          <w:sz w:val="28"/>
          <w:sz w:val="28"/>
          <w:szCs w:val="28"/>
          <w:rtl w:val="true"/>
          <w:lang w:bidi="ar-SA"/>
        </w:rPr>
        <w:t>، وخلافه في الإخبار بالنجاسة ، أمّا لو كان ملكه فلا شكّ 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المخبر عن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المخبر عن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الخارص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في هذه الخمسة </w:t>
      </w:r>
      <w:r>
        <w:rPr>
          <w:rStyle w:val="FootnoteAnchor"/>
          <w:rtl w:val="true"/>
        </w:rPr>
        <w:footnoteReference w:id="1705"/>
      </w:r>
      <w:r>
        <w:rPr>
          <w:rFonts w:ascii="Amiri" w:hAnsi="Amiri" w:eastAsia="Amiri" w:cs="Amiri"/>
          <w:color w:val="111111"/>
          <w:sz w:val="28"/>
          <w:sz w:val="28"/>
          <w:szCs w:val="28"/>
          <w:rtl w:val="true"/>
          <w:lang w:bidi="ar-SA"/>
        </w:rPr>
        <w:t>الاكتفاء بالواحد إلّا في الإخبار بالنجاسة ، إلّا أن تكون يده ثابتة عليه بإذن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المفتي ، فلا خلاف في أنّه لا يعتبر فيه التعدّد ، وكذا الحاكم ، لأنّه ناقل عن الله تعالى إلى الخلق ، فهو كالرّاوي ولأنّه وارث النبي صلى‌الله‌عليه‌وآله أو الإمام عليه‌السلام الذي هو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قبول الواحد في الهديّة </w:t>
      </w:r>
      <w:r>
        <w:rPr>
          <w:rStyle w:val="FootnoteAnchor"/>
          <w:rtl w:val="true"/>
        </w:rPr>
        <w:footnoteReference w:id="1706"/>
      </w:r>
      <w:r>
        <w:rPr>
          <w:rFonts w:ascii="Amiri" w:hAnsi="Amiri" w:eastAsia="Amiri" w:cs="Amiri"/>
          <w:color w:val="111111"/>
          <w:sz w:val="28"/>
          <w:sz w:val="28"/>
          <w:szCs w:val="28"/>
          <w:rtl w:val="true"/>
          <w:lang w:bidi="ar-SA"/>
        </w:rPr>
        <w:t>، وفي الإذن في دخول دار الغير فليس من باب الشهادة ، لا لأنّه رواية إذ هو خاص ، بلّ شهادة ، لكن اكتفي فيها بالواحد عملا بالقرائن المفيدة للقطع ، ولهذا قبل وإن كان صبيّا ، ومنه إخبار المرأة في إهداء العروس إلى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الأمور قسم ثالث خارج عن الشّهادة والرّواية ، وإن كان مشبها للرواية </w:t>
      </w:r>
      <w:r>
        <w:rPr>
          <w:rStyle w:val="FootnoteAnchor"/>
          <w:rtl w:val="true"/>
        </w:rPr>
        <w:footnoteReference w:id="1707"/>
      </w:r>
      <w:r>
        <w:rPr>
          <w:rFonts w:ascii="Amiri" w:hAnsi="Amiri" w:eastAsia="Amiri" w:cs="Amiri"/>
          <w:color w:val="111111"/>
          <w:sz w:val="28"/>
          <w:sz w:val="28"/>
          <w:szCs w:val="28"/>
          <w:rtl w:val="true"/>
          <w:lang w:bidi="ar-SA"/>
        </w:rPr>
        <w:t xml:space="preserve">، كان قويّا وليس إخبارا ، ولهذا لا يسمّى الأمين المخبر عن فعله شاهدا ولا راويا مع قبول قوله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مذكّى أو ميتة لما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 أو أنا وكيل ، أو هذا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 ذكره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على المتأمّل في كلامه رحمه‌الله </w:t>
      </w:r>
      <w:r>
        <w:rPr>
          <w:rStyle w:val="FootnoteAnchor"/>
          <w:rtl w:val="true"/>
        </w:rPr>
        <w:footnoteReference w:id="1709"/>
      </w:r>
      <w:r>
        <w:rPr>
          <w:rFonts w:ascii="Amiri" w:hAnsi="Amiri" w:eastAsia="Amiri" w:cs="Amiri"/>
          <w:color w:val="111111"/>
          <w:sz w:val="28"/>
          <w:sz w:val="28"/>
          <w:szCs w:val="28"/>
          <w:rtl w:val="true"/>
          <w:lang w:bidi="ar-SA"/>
        </w:rPr>
        <w:t>، ما فيه من المسامحة في البيان ، واشتباه ما هو المقصود من الرّواية والشهادة ووجه التفرقة بينهما وحكمهما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يقول بأنّ الواحد يكفي في الرّواية دون الشّهادة ، إن أراد بالرّواية الخبر المصطلح الذي هو واحد من أدلّه الفقه بناء على حجّية خبر الواحد لا مطلق الخبر المقابل للإنشاء ، فهو لا يتمّ لأنّه لا معنى حينئذ للتفريعات التي ذكروها من حكاية رؤية الهلال ، والمترجم وغيرهما ممّا ذكروه ، ولا لجعل التذكية رواية بهذا المعنى </w:t>
      </w:r>
    </w:p>
    <w:p>
      <w:pPr>
        <w:pStyle w:val="BookText"/>
        <w:rPr/>
      </w:pPr>
      <w:r>
        <w:rPr>
          <w:rFonts w:ascii="IRNazanin" w:hAnsi="IRNazanin" w:eastAsia="IRNazanin"/>
          <w:color w:val="111111"/>
          <w:sz w:val="28"/>
          <w:sz w:val="28"/>
          <w:szCs w:val="28"/>
          <w:rtl w:val="true"/>
          <w:lang w:bidi="fa-IR"/>
        </w:rPr>
        <w:t xml:space="preserve">مطلقا </w:t>
      </w:r>
      <w:r>
        <w:rPr>
          <w:rStyle w:val="FootnoteAnchor"/>
          <w:rtl w:val="true"/>
        </w:rPr>
        <w:footnoteReference w:id="1710"/>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مقابلة الشّهادة بسائر أفراد الخبر ، والغرض من الرّواية هو سائر أفراد الخبر ، فيشمل الخبر المصطلح وغيره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w:t>
      </w:r>
      <w:r>
        <w:rPr>
          <w:rStyle w:val="FootnoteAnchor"/>
          <w:rtl w:val="true"/>
        </w:rPr>
        <w:footnoteReference w:id="1711"/>
      </w:r>
      <w:r>
        <w:rPr>
          <w:rFonts w:ascii="Amiri" w:hAnsi="Amiri" w:eastAsia="Amiri" w:cs="Amiri"/>
          <w:color w:val="111111"/>
          <w:sz w:val="28"/>
          <w:sz w:val="28"/>
          <w:szCs w:val="28"/>
          <w:rtl w:val="true"/>
          <w:lang w:bidi="ar-SA"/>
        </w:rPr>
        <w:t xml:space="preserve">حينئذ لاشتراط كون المخبر عنه في الخبر عامّا ، وفي الشهادة خاصّا ، إذ قد يكون المخبر عنه في الخبر خاصّا مع كونه غير شهادة ، كإخبار زيد بمجيء ولده من السّفر مثلا ، مع أنّ أكثر الروايات إخبار عن الخاص لأنّه إخبار عن سماع خاصّ أو رؤية خاصّة ، فإنّ 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 كذا ، والإمام كذا ، إخبار عن جزئي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اعتبر نفس إلزام الحقّ في الشّهادة ، فلا وجه </w:t>
      </w:r>
      <w:r>
        <w:rPr>
          <w:rStyle w:val="FootnoteAnchor"/>
          <w:rtl w:val="true"/>
        </w:rPr>
        <w:footnoteReference w:id="1712"/>
      </w:r>
      <w:r>
        <w:rPr>
          <w:rFonts w:ascii="Amiri" w:hAnsi="Amiri" w:eastAsia="Amiri" w:cs="Amiri"/>
          <w:color w:val="111111"/>
          <w:sz w:val="28"/>
          <w:sz w:val="28"/>
          <w:szCs w:val="28"/>
          <w:rtl w:val="true"/>
          <w:lang w:bidi="ar-SA"/>
        </w:rPr>
        <w:t xml:space="preserve">لتخصيص الفرق بالتخصيص والتعميم كما يظهر منه رحمه‌الله في أوّل كلامه ، ولا لتخصيص الحقّ بالمخلوق </w:t>
      </w:r>
      <w:r>
        <w:rPr>
          <w:rStyle w:val="FootnoteAnchor"/>
          <w:rtl w:val="true"/>
        </w:rPr>
        <w:footnoteReference w:id="1713"/>
      </w:r>
      <w:r>
        <w:rPr>
          <w:rFonts w:ascii="Amiri" w:hAnsi="Amiri" w:eastAsia="Amiri" w:cs="Amiri"/>
          <w:color w:val="111111"/>
          <w:sz w:val="28"/>
          <w:sz w:val="28"/>
          <w:szCs w:val="28"/>
          <w:rtl w:val="true"/>
          <w:lang w:bidi="ar-SA"/>
        </w:rPr>
        <w:t>في الشّهادة كما يظهر من أواسط كلامه ، إذ قد يكون الشّهادة في حقّ الله تعالى كالشّهادة على شرب الخمر لإجراء الحدّ ، وجعله رحمه‌الله الأمور المذكورة أخيرا قسما ثالثا أيضا ينافي إرادة المعنى الأعمّ أيضا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Style w:val="FootnoteAnchor"/>
          <w:rtl w:val="true"/>
        </w:rPr>
        <w:footnoteReference w:id="1714"/>
      </w:r>
      <w:r>
        <w:rPr>
          <w:rFonts w:ascii="Amiri" w:hAnsi="Amiri" w:eastAsia="Amiri" w:cs="Amiri"/>
          <w:color w:val="111111"/>
          <w:sz w:val="28"/>
          <w:sz w:val="28"/>
          <w:szCs w:val="28"/>
          <w:rtl w:val="true"/>
          <w:lang w:bidi="ar-SA"/>
        </w:rPr>
        <w:t xml:space="preserve">أنّ مرادهم من الرّواية هنا مطلق الخبر غير الشهادة ، لا الخبر المصطلح ، فالتقرير الواضح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خبر يسمع فيه الواحد ، إلّا الشّهادة ، وهو إخبار جازم عن حقّ لازم للغير عن غير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أقوال المسلمين وأفعالهم محمولة على الصّدق والصّحة كما حقّق في محلّه </w:t>
      </w:r>
      <w:r>
        <w:rPr>
          <w:rStyle w:val="FootnoteAnchor"/>
          <w:rtl w:val="true"/>
        </w:rPr>
        <w:footnoteReference w:id="1715"/>
      </w:r>
      <w:r>
        <w:rPr>
          <w:rFonts w:ascii="Amiri" w:hAnsi="Amiri" w:eastAsia="Amiri" w:cs="Amiri"/>
          <w:color w:val="111111"/>
          <w:sz w:val="28"/>
          <w:sz w:val="28"/>
          <w:szCs w:val="28"/>
          <w:rtl w:val="true"/>
          <w:lang w:bidi="ar-SA"/>
        </w:rPr>
        <w:t>، وذلك يقتضي الاكتفاء بالواحد في الجميع ، وذلك فيما لا يسري حكمه إلى غير المخبر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أوجب تكليفا للغير ، فيعارضه أصالة البراءة عن التكليف ، فلا بدّ في إثبات التكليف من ظنّ بالصدّ أزيد من أصل كونه قول المسلم ، لرفع الظنّ الحاصل بأصل البراءة ، وهو إمّا بعدالة الرّاوي علاوة على الإسلام ، أو بالتثبّت المحصّل للظنّ بالصّدق ، فهذا خبر مثبت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 ذلك معارضا بفعل مسلم آخر أو قوله وكان </w:t>
      </w:r>
      <w:r>
        <w:rPr>
          <w:rStyle w:val="FootnoteAnchor"/>
          <w:rtl w:val="true"/>
        </w:rPr>
        <w:footnoteReference w:id="1716"/>
      </w:r>
      <w:r>
        <w:rPr>
          <w:rFonts w:ascii="Amiri" w:hAnsi="Amiri" w:eastAsia="Amiri" w:cs="Amiri"/>
          <w:color w:val="111111"/>
          <w:sz w:val="28"/>
          <w:sz w:val="28"/>
          <w:szCs w:val="28"/>
          <w:rtl w:val="true"/>
          <w:lang w:bidi="ar-SA"/>
        </w:rPr>
        <w:t>في واقعة خاصّة فقد ينبغي فيه التعدّد كما في الشّهادة ، فلا بدّ حينئذ من ملاحظة أدلّة حجّية خبر الواحد ، هل تفيد حجّية الخبر المصطلح أو مطلق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آية النفر ظاهرة في الفتوى ، غايته دخول الخبر المصطلح فيه أيضا ، وأمّا غيرهما </w:t>
      </w:r>
      <w:r>
        <w:rPr>
          <w:rStyle w:val="FootnoteAnchor"/>
          <w:rtl w:val="true"/>
        </w:rPr>
        <w:footnoteReference w:id="1717"/>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آية النبأ فهو وإن كان أعمّ من ذلك ، لكنّه ينافي ما ذكروه من اشتراط عموم المخبر عنه في الخبر ، فإنّه أعمّ من ذلك ، بل حكاية وليد </w:t>
      </w:r>
      <w:r>
        <w:rPr>
          <w:rStyle w:val="FootnoteAnchor"/>
          <w:rtl w:val="true"/>
        </w:rPr>
        <w:footnoteReference w:id="1718"/>
      </w:r>
      <w:r>
        <w:rPr>
          <w:rFonts w:ascii="Amiri" w:hAnsi="Amiri" w:eastAsia="Amiri" w:cs="Amiri"/>
          <w:color w:val="111111"/>
          <w:sz w:val="28"/>
          <w:sz w:val="28"/>
          <w:szCs w:val="28"/>
          <w:rtl w:val="true"/>
          <w:lang w:bidi="ar-SA"/>
        </w:rPr>
        <w:t>الّتي هو شأن نزول الآية ، واقعة خاصّة ، وهي بالشهادة أشبه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فالشهادة داخلة فيه ، ولذلك استدلّ الفقهاء في ردّ شهادة الفاسق والمخالف بهذه الآية ، وحينئذ فلا دلالة فيها على قبول الواحد ، اذ مقتضاها لا بدّ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عادلا لا يجب التوقّف من حيث تحصيل الصّدق ، بل يجوز العمل به </w:t>
      </w:r>
    </w:p>
    <w:p>
      <w:pPr>
        <w:pStyle w:val="BookText"/>
        <w:rPr/>
      </w:pPr>
      <w:r>
        <w:rPr>
          <w:rFonts w:ascii="Amiri" w:hAnsi="Amiri" w:eastAsia="Amiri" w:cs="Amiri"/>
          <w:color w:val="111111"/>
          <w:sz w:val="28"/>
          <w:sz w:val="28"/>
          <w:szCs w:val="28"/>
          <w:rtl w:val="true"/>
          <w:lang w:bidi="ar-SA"/>
        </w:rPr>
        <w:t xml:space="preserve">حينئذ في الجملة ، وإن كان من جهة كونه أحد شطري البيّنة ، وذلك لا يفيد إلّا جواز العمل في الجملة ، لا خصوص العمل إذا كان واحدا مطلقا </w:t>
      </w:r>
      <w:r>
        <w:rPr>
          <w:rStyle w:val="FootnoteAnchor"/>
          <w:rtl w:val="true"/>
        </w:rPr>
        <w:footnoteReference w:id="1719"/>
      </w:r>
      <w:r>
        <w:rPr>
          <w:rFonts w:ascii="Amiri" w:hAnsi="Amiri" w:eastAsia="Amiri" w:cs="Amiri"/>
          <w:color w:val="111111"/>
          <w:sz w:val="28"/>
          <w:sz w:val="28"/>
          <w:szCs w:val="28"/>
          <w:rtl w:val="true"/>
          <w:lang w:bidi="ar-SA"/>
        </w:rPr>
        <w:t>كما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المعنيين معا بالنسبة إلى الشهادة وغير الشهادة استعمال اللّفظ في المعنى الحقيقيّ والمجازيّ ، وهو باطل كما حقّقناه سابقا ، وجعل الأصل والظّاهر من الآية العمل بالواحد ، والقول بأنّ الشّهادة مخرج بالدليل مع كون الآية واردة فيما هو من باب الشهادة على ما هو شأن نزول الآية محلّ إشكال ، سيّما وهو مستلزم لتخصيص المنطوق بالخبر أيضا ، لأنّ الظنّ الحاصل بالتثبّت لا يفيد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فهو ظاهر في الخبر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الخامس ، فهو لا يفيد الاعتماد على الواحد من جهة أنّه خبر الواحد ، بل لأنّه ظنّ ، ولا مناص عن الظنّ عند انسداد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والتحقيق ، أنّ هذا البناء باطل ، إذ ليس ذلك </w:t>
      </w:r>
      <w:r>
        <w:rPr>
          <w:rStyle w:val="FootnoteAnchor"/>
          <w:rtl w:val="true"/>
        </w:rPr>
        <w:footnoteReference w:id="1720"/>
      </w:r>
      <w:r>
        <w:rPr>
          <w:rFonts w:ascii="Amiri" w:hAnsi="Amiri" w:eastAsia="Amiri" w:cs="Amiri"/>
          <w:color w:val="111111"/>
          <w:sz w:val="28"/>
          <w:sz w:val="28"/>
          <w:szCs w:val="28"/>
          <w:rtl w:val="true"/>
          <w:lang w:bidi="ar-SA"/>
        </w:rPr>
        <w:t>من باب الخبر المصطلح ، ولا دليل على كفاية الواحد بالخصوص في غير الشّهادة من أقسام الخبر ، ولا دليل على كونه من باب الشّهادة لعدم صدق تعريفها عليه عند التأمّل ، فإنّ المراد من التزكية ليس إثبات حقّ لازم للمخلوق أو للخالق ، وإفادته لذلك بالأخرة بعد العمل بالرّواية بسبب التعديل ، مشترك الورود في الخبر والشهادة ، مع أنّ العلم معتبر في الشّهادة غالبا ، بخلاف ما نحن فيه ، لاستحالة العلم بالعدالة عادة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أنّه شهادة ، لكن لا دليل على وجوب التعدّد في مطلق الشهادة ، فإنّ بعض الأصحاب قد اعتبر الواحد في بعض الموادّ </w:t>
      </w:r>
      <w:r>
        <w:rPr>
          <w:rStyle w:val="FootnoteAnchor"/>
          <w:rtl w:val="true"/>
        </w:rPr>
        <w:footnoteReference w:id="1721"/>
      </w:r>
      <w:r>
        <w:rPr>
          <w:rFonts w:ascii="Amiri" w:hAnsi="Amiri" w:eastAsia="Amiri" w:cs="Amiri"/>
          <w:color w:val="111111"/>
          <w:sz w:val="28"/>
          <w:sz w:val="28"/>
          <w:szCs w:val="28"/>
          <w:rtl w:val="true"/>
          <w:lang w:bidi="ar-SA"/>
        </w:rPr>
        <w:t xml:space="preserve">، بل اعتبروا المرأة الواحدة أيضا </w:t>
      </w:r>
    </w:p>
    <w:p>
      <w:pPr>
        <w:pStyle w:val="BookText"/>
        <w:rPr/>
      </w:pPr>
      <w:r>
        <w:rPr>
          <w:rFonts w:ascii="Amiri" w:hAnsi="Amiri" w:eastAsia="Amiri" w:cs="Amiri"/>
          <w:color w:val="111111"/>
          <w:sz w:val="28"/>
          <w:sz w:val="28"/>
          <w:szCs w:val="28"/>
          <w:rtl w:val="true"/>
          <w:lang w:bidi="ar-SA"/>
        </w:rPr>
        <w:t xml:space="preserve">في بعض الأحيان </w:t>
      </w:r>
      <w:r>
        <w:rPr>
          <w:rStyle w:val="FootnoteAnchor"/>
          <w:rtl w:val="true"/>
        </w:rPr>
        <w:footnoteReference w:id="1722"/>
      </w:r>
      <w:r>
        <w:rPr>
          <w:rFonts w:ascii="Amiri" w:hAnsi="Amiri" w:eastAsia="Amiri" w:cs="Amiri"/>
          <w:color w:val="111111"/>
          <w:sz w:val="28"/>
          <w:sz w:val="28"/>
          <w:szCs w:val="28"/>
          <w:rtl w:val="true"/>
          <w:lang w:bidi="ar-SA"/>
        </w:rPr>
        <w:t xml:space="preserve">، ولا دليل على عدم كون التزكية ممّا يقبل فيه الواحد ، 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باب الظّنون الاجتهادية المرجوع إليها عند انسداد باب العلم ، وليس من باب الشهادة ولا الرّواية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توجيه كلام الشهيد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وينفردان في أنّ المخبر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المراد أنّ العموم إنّما يوجد في الرواية دون الشهادة ، لا أنّ المخبر عنه في الرّواية دائما يكون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 أنّ الشهادة دائما مخصوصة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بيان أحد المميّزات لا الجميع حتّى يرد أنّ بينهما فرقا آخر ، وهو أنّ الشهادة إخبار بحقّ لازم للغير البتة ، ولا يلزم أن يوجد ذلك في الرواية ، بل لا يوجد فيها إلّا على سبيل التبعية والاستلزام كالفتوى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مثلا لا يتشخّص لمعيّن ، فلا وجه له ، لأنّ الإخبار عن رؤية الهلال الجزئي المتشخّص لا عموم فيه بالضرورة ، وذلك يوجب إثبات حقّ الله تعالى وهو الصوم الخاصّ الحاصل في الشّهر الخاصّ على عباده ، كإثبات الحدّ على شارب الخمر</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وتوهّم عموم الصائم والمفطر </w:t>
      </w:r>
      <w:r>
        <w:rPr>
          <w:rStyle w:val="FootnoteAnchor"/>
          <w:rtl w:val="true"/>
        </w:rPr>
        <w:footnoteReference w:id="1723"/>
      </w:r>
      <w:r>
        <w:rPr>
          <w:rFonts w:ascii="Amiri" w:hAnsi="Amiri" w:eastAsia="Amiri" w:cs="Amiri"/>
          <w:color w:val="111111"/>
          <w:sz w:val="28"/>
          <w:sz w:val="28"/>
          <w:szCs w:val="28"/>
          <w:rtl w:val="true"/>
          <w:lang w:bidi="ar-SA"/>
        </w:rPr>
        <w:t xml:space="preserve">مدفوع ، بأنّ المراد بالعموم والخصوص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الرّوايات مفيد للحكم لموضوع مفروض وإن لم يتحقّق ولم يتصوّر تحقّقه كالفتاوى ، فقوله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شفعة فيما لا يقسّم</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كلّما وجد ما لا يقسّم فحكمه </w:t>
      </w:r>
    </w:p>
    <w:p>
      <w:pPr>
        <w:pStyle w:val="BookText"/>
        <w:rPr/>
      </w:pPr>
      <w:r>
        <w:rPr>
          <w:rFonts w:ascii="Amiri" w:hAnsi="Amiri" w:eastAsia="Amiri" w:cs="Amiri"/>
          <w:color w:val="111111"/>
          <w:sz w:val="28"/>
          <w:sz w:val="28"/>
          <w:szCs w:val="28"/>
          <w:rtl w:val="true"/>
          <w:lang w:bidi="ar-SA"/>
        </w:rPr>
        <w:t xml:space="preserve">أنّه لا شفعة فيه ، لا أنّ الأملاك الموجودة الغير المقسومة حكمه كذا ، بخلاف رؤية الهلال فإنّه يثبت الصّوم والإفطار لواجدي الشرائط من الحياة والعقل والبلوغ وغيرها بالفعل ، بل لأهل البلاد الخاصّة ، بخلاف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الصّوم للرؤية والفطر للرؤية </w:t>
      </w:r>
      <w:r>
        <w:rPr>
          <w:rStyle w:val="FootnoteAnchor"/>
          <w:rtl w:val="true"/>
        </w:rPr>
        <w:footnoteReference w:id="1725"/>
      </w:r>
      <w:r>
        <w:rPr>
          <w:rFonts w:ascii="Amiri" w:hAnsi="Amiri" w:eastAsia="Amiri" w:cs="Amiri"/>
          <w:color w:val="111111"/>
          <w:sz w:val="28"/>
          <w:sz w:val="28"/>
          <w:szCs w:val="28"/>
          <w:rtl w:val="true"/>
          <w:lang w:bidi="ar-SA"/>
        </w:rPr>
        <w:t>، وكذلك الشّهادة على الوقف العامّ ، فإنّ المصلحة العامّة مصلحة خاصّة ورد عليها الوقف بالخصوص ، فهو حقيقة متعيّن من حيث المورد وإن لزمه الشيوع والاستمرار بالتّبع في أفراد الموقوف عليه وأشخاصه ، وكذلك الشّهادة على النسب ، فإنّها تثبت شيئا معيّنا خاصّا ولكن الانتساب إلى آخر الأبد 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المترجم فهو أيضا إخبار عن جزئي معيّن مشخّص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وتوجيه كلامه في العموم هنا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المترجم أنّ كلّ من يقول بمثل هذا الكلام فمراده هذا ولا 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القاسم والمقوّم فيظهر توجيه العموم ممّا ذكرنا في المترجم ، والتوجيه فيهما أظهر من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الخامس المخبر عن عدد الرّكعات والأشواط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 من عدم انحصار الشّهادة في حقّ الخلق</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تحقيق هذه المسائل ، والتكلّم في كلّ واحد منها ، ليس وظيفة هذا الكتاب ، وحظّ الأصولي في هذا الباب ، التفرقة بين الشّهادة وغيرها من الأخبار حتّى يجعل الشّهادة أصلا ويطلب فيها العدد ، وهو مشكل ، إذ ما ذكروه من </w:t>
      </w:r>
    </w:p>
    <w:p>
      <w:pPr>
        <w:pStyle w:val="BookText"/>
        <w:rPr/>
      </w:pPr>
      <w:r>
        <w:rPr>
          <w:rFonts w:ascii="Amiri" w:hAnsi="Amiri" w:eastAsia="Amiri" w:cs="Amiri"/>
          <w:color w:val="111111"/>
          <w:sz w:val="28"/>
          <w:sz w:val="28"/>
          <w:szCs w:val="28"/>
          <w:rtl w:val="true"/>
          <w:lang w:bidi="ar-SA"/>
        </w:rPr>
        <w:t xml:space="preserve">المميّزات للشهادة كثيرا ما يتخلّف عن العدد ، فدعوى لزوم العدد في الشّهادة إلّا ما أخرجه الدّليل ، ليس بأولى من دعوى كفاية مطلق الخبر ، إلّا ما أثبته الدّليل ، فالمتّبع هو ما اقتضاه الأدلّة في خصوصيات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يتمسّك بالاستقراء وتتبّع موارد الأحكام </w:t>
      </w:r>
      <w:r>
        <w:rPr>
          <w:rStyle w:val="FootnoteAnchor"/>
          <w:rtl w:val="true"/>
        </w:rPr>
        <w:footnoteReference w:id="1726"/>
      </w:r>
      <w:r>
        <w:rPr>
          <w:rFonts w:ascii="Amiri" w:hAnsi="Amiri" w:eastAsia="Amiri" w:cs="Amiri"/>
          <w:color w:val="111111"/>
          <w:sz w:val="28"/>
          <w:sz w:val="28"/>
          <w:szCs w:val="28"/>
          <w:rtl w:val="true"/>
          <w:lang w:bidi="ar-SA"/>
        </w:rPr>
        <w:t>، فإنّه يقتضي كون الأصل فيها العدد وأنّ ما اكتفي فيه بالواحد فإنّما خرج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الفرق بين الفتوى والحكم ، وهو أنّ الفتوى هو إخبار عن الله تعالى بأنّ حكمه في هذه القضيّة كذا ، ومن خواصّه عدم المنع من مخالفته من المجتهد والمقلّد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المجتهد فظاهر ، وأمّا المقلّد ، فلأنّ له أن يستفتي عن آخر ، ومع التعدّد فيختار الأعلم ثمّ الأورع ، ومع التساوي يتخيّر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هو إنشاء إطلاق أو إلزام في المسائل الاجتهادية وغيرها </w:t>
      </w:r>
      <w:r>
        <w:rPr>
          <w:rStyle w:val="FootnoteAnchor"/>
          <w:rtl w:val="true"/>
        </w:rPr>
        <w:footnoteReference w:id="1727"/>
      </w:r>
      <w:r>
        <w:rPr>
          <w:rFonts w:ascii="Amiri" w:hAnsi="Amiri" w:eastAsia="Amiri" w:cs="Amiri"/>
          <w:color w:val="111111"/>
          <w:sz w:val="28"/>
          <w:sz w:val="28"/>
          <w:szCs w:val="28"/>
          <w:rtl w:val="true"/>
          <w:lang w:bidi="ar-SA"/>
        </w:rPr>
        <w:t xml:space="preserve">مع تقارب المدارك فيها ممّا يتنازع فيه الخصمان بمصالح المعاش ، هكذا عرّفه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1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أنّه لا يجوز لغيره نقضه وإن كان مجتهدا مخالفا له في الرأي ، لاستلزام ذلك عدم استقرار الأحكام ، والمصلحة في شرع الأحكام هو حصول النظام ، وذلك </w:t>
      </w:r>
      <w:r>
        <w:rPr>
          <w:rStyle w:val="FootnoteAnchor"/>
          <w:rtl w:val="true"/>
        </w:rPr>
        <w:footnoteReference w:id="1729"/>
      </w: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فبالإنشاء يخرج الفتوى لأنّها إخبار ، والإطلاق والإلزام نوعا الحكم ، وغالب الأحكام 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للإطلاق بإطلاق مسجون لعدم ثبوت الحقّ عليه ، وبإطلاق حرّ من يد من ادّعى رقّه بلا بيّنة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وبتقارب المدارك في المسائل الاجتهادية يخرج ما ضعف مدركه جدّا كالعول والتعصيب </w:t>
      </w:r>
      <w:r>
        <w:rPr>
          <w:rStyle w:val="FootnoteAnchor"/>
          <w:rtl w:val="true"/>
        </w:rPr>
        <w:footnoteReference w:id="1731"/>
      </w:r>
      <w:r>
        <w:rPr>
          <w:rFonts w:ascii="Amiri" w:hAnsi="Amiri" w:eastAsia="Amiri" w:cs="Amiri"/>
          <w:color w:val="111111"/>
          <w:sz w:val="28"/>
          <w:sz w:val="28"/>
          <w:szCs w:val="28"/>
          <w:rtl w:val="true"/>
          <w:lang w:bidi="ar-SA"/>
        </w:rPr>
        <w:t>وقتل المسلم بالكافر ، فإنّه لو حكم به حاكم وجب نقضه ، وبمصالح المعاش تخرج العبادات ، فإنّه لا مدخل للحكم فيها ، فلو حكم الحاكم بصحّة صلاة زيد لم يلزم صحّتها ، بل إن كانت صحيحة في نفس الأمر فذلك ، وإلّا فهي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بأنّ مال التجارة لا زكاة فيه ، وأنّ الميراث لا خمس فيه ، فإنّ الحكم به لا يرفع الخلاف ، بل لحاكم غيره أن يخالفه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لو اتّصل بها </w:t>
      </w:r>
      <w:r>
        <w:rPr>
          <w:rStyle w:val="FootnoteAnchor"/>
          <w:rtl w:val="true"/>
        </w:rPr>
        <w:footnoteReference w:id="1732"/>
      </w:r>
      <w:r>
        <w:rPr>
          <w:rFonts w:ascii="Amiri" w:hAnsi="Amiri" w:eastAsia="Amiri" w:cs="Amiri"/>
          <w:color w:val="111111"/>
          <w:sz w:val="28"/>
          <w:sz w:val="28"/>
          <w:szCs w:val="28"/>
          <w:rtl w:val="true"/>
          <w:lang w:bidi="ar-SA"/>
        </w:rPr>
        <w:t>أخذ الحاكم ممّن حكم عليه بالوجوب مثلا ، لم يجز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المجرّد عن اتّصال الأخذ إخبار كالفتوى ، وأخذه للفقراء حكم باستحقاقهم ، فلا ينقض إذا كان في محلّ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اشتملت الواقعة على أمرين أحدهما من مصالح المعاد والآخر من مصالح المعاش ، كما لو حكم بصحّة حجّ من أدرك اضطراري المشعر وكان نائبا ، فإنّه لا أثر له في براءة ذمّة النائب في نفس الأمر ، ولكن يؤثّر في عدم رجوعهم عليه بالأجرة ، انتهى </w:t>
      </w:r>
      <w:r>
        <w:rPr>
          <w:rStyle w:val="FootnoteAnchor"/>
          <w:rtl w:val="true"/>
        </w:rPr>
        <w:footnoteReference w:id="1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تحقيق الكلام في أواخر الكتاب</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تمهّد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الأكثرون إلى كفاية المزكّي الواحد في الرّواية وهو مذهب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1734"/>
      </w:r>
      <w:r>
        <w:rPr>
          <w:rFonts w:ascii="IRNazanin" w:hAnsi="IRNazanin" w:eastAsia="IRNazanin"/>
          <w:color w:val="111111"/>
          <w:sz w:val="28"/>
          <w:sz w:val="28"/>
          <w:szCs w:val="28"/>
          <w:rtl w:val="true"/>
          <w:lang w:bidi="fa-IR"/>
        </w:rPr>
        <w:t xml:space="preserve">، وذهب المحقّق </w:t>
      </w:r>
      <w:r>
        <w:rPr>
          <w:rStyle w:val="FootnoteAnchor"/>
          <w:rtl w:val="true"/>
        </w:rPr>
        <w:footnoteReference w:id="1735"/>
      </w:r>
      <w:r>
        <w:rPr>
          <w:rFonts w:ascii="Amiri" w:hAnsi="Amiri" w:eastAsia="Amiri" w:cs="Amiri"/>
          <w:color w:val="111111"/>
          <w:sz w:val="28"/>
          <w:sz w:val="28"/>
          <w:szCs w:val="28"/>
          <w:rtl w:val="true"/>
          <w:lang w:bidi="ar-SA"/>
        </w:rPr>
        <w:t xml:space="preserve">ومن تبعه إلى أنّه لا يقبل </w:t>
      </w:r>
    </w:p>
    <w:p>
      <w:pPr>
        <w:pStyle w:val="BookText"/>
        <w:rPr/>
      </w:pPr>
      <w:r>
        <w:rPr>
          <w:rFonts w:ascii="Amiri" w:hAnsi="Amiri" w:eastAsia="Amiri" w:cs="Amiri"/>
          <w:color w:val="111111"/>
          <w:sz w:val="28"/>
          <w:sz w:val="28"/>
          <w:szCs w:val="28"/>
          <w:rtl w:val="true"/>
          <w:lang w:bidi="ar-SA"/>
        </w:rPr>
        <w:t xml:space="preserve">فيه </w:t>
      </w:r>
      <w:r>
        <w:rPr>
          <w:rStyle w:val="FootnoteAnchor"/>
          <w:rtl w:val="true"/>
        </w:rPr>
        <w:footnoteReference w:id="1736"/>
      </w:r>
      <w:r>
        <w:rPr>
          <w:rFonts w:ascii="Amiri" w:hAnsi="Amiri" w:eastAsia="Amiri" w:cs="Amiri"/>
          <w:color w:val="111111"/>
          <w:sz w:val="28"/>
          <w:sz w:val="28"/>
          <w:szCs w:val="28"/>
          <w:rtl w:val="true"/>
          <w:lang w:bidi="ar-SA"/>
        </w:rPr>
        <w:t>إلّا ما يقبل في تزكية الشّاهد ، وهو 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العامّة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وهو الأظهر كما قال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اعتبار التعدّد فيهما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فلنقدّم الكلام في معنى هذا النّزاع ، ثمّ نتعرّض إلى ذكر أدلّة الأقوال ، فإنّه غير محرّر في كلام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خبر الواحد ، إمّا من حيث أنّه ظنّ ، كما هو مقتضى الدّليل الخامس ، أو من حيث هو خبر ، كما هو مقتضى آية النبأ ، أو من حيث أنّه الخبر المصطلح ، أعني المرويّ عن المعصوم عليه‌السلام كما هو مقتضى الاستدلال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اشتراط العدالة لا معنى له على الأوّل إلّا باعتبار إعلام طرق الظنّ والتنبيه عليها ، والتنبيه على أنّ خبر الفاسق لا يفيد الظنّ ،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 فمقتضاه قبول خبر العدل مطلقا ، سواء كان رواية مصطلحة أو شهادة أو غيرهما ، ولذلك استدلّ الأصحاب بآية النبأ على اشتراط عدالة الشّاهد أيضا ، ومقتضاه قبول خبر العدل الواحد في التزكية مطلقا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ثبت من دليل خارجي اشتراط التعدّد في نفس الشّهود ، فيرجع الكلام هنا في أنّ التزكية شهادة أم لا ، وبعد ثبوت كونها شهادة فلا فرق بين الرّاوي والشّاهد ، </w:t>
      </w:r>
    </w:p>
    <w:p>
      <w:pPr>
        <w:pStyle w:val="BookText"/>
        <w:rPr/>
      </w:pPr>
      <w:r>
        <w:rPr>
          <w:rFonts w:ascii="Amiri" w:hAnsi="Amiri" w:eastAsia="Amiri" w:cs="Amiri"/>
          <w:color w:val="111111"/>
          <w:sz w:val="28"/>
          <w:sz w:val="28"/>
          <w:szCs w:val="28"/>
          <w:rtl w:val="true"/>
          <w:lang w:bidi="ar-SA"/>
        </w:rPr>
        <w:t>وكذا مع عدمه ، فالقول بالتفصيل لا معنى له ، إذ عدالة الرّاوي إن ثبت بتزكية الواحد فهو عدل يجوز قبول شهادته أيضا والاقتداء به ، وإلّا فلا يقبل في قبول الرّواية أيضا ، لأنّ معنى العدالة شيء واحد ، ولا معنى لكون الشّخص عادلا بالنسبة إلى أمر دون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يفهم من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Style w:val="FootnoteAnchor"/>
          <w:rtl w:val="true"/>
        </w:rPr>
        <w:footnoteReference w:id="1739"/>
      </w:r>
      <w:r>
        <w:rPr>
          <w:rFonts w:ascii="Amiri" w:hAnsi="Amiri" w:eastAsia="Amiri" w:cs="Amiri"/>
          <w:color w:val="111111"/>
          <w:sz w:val="28"/>
          <w:sz w:val="28"/>
          <w:szCs w:val="28"/>
          <w:rtl w:val="true"/>
          <w:lang w:bidi="ar-SA"/>
        </w:rPr>
        <w:t>من الفرق بين عدالة الرّاوي وغيره ، فمع أنّ مراده أنّ مجرّد الوثوق بالصدق كاف ، لا إنّ محض ذلك عدالة ، وإن كان فاسقا بالجوارح فلا ينفع في محلّ النزاع ، إذ هو مطرح نظر جميع العلماء ، فلا بدّ أن يوافق مذاق الجميع ، فيرجع الكلام في هذا الفرق أيضا إلى أنّ المدار هو حصول الظنّ ، وأنّ مجرّد حصول الظنّ يكفي في الرّواية وهو رجوع إلى الوجه الأوّل ، أعني الاعتماد على الدّليل الخامس وجعل المعيار هو مطلق الظنّ ، ولا يفيد ذلك إثبات اشتراط العدالة في الخبر من حيث إنّه خبر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 أنّ سبيل العلم بالأحكام الشرعية إذا كان منسدّا ، فالمدار على الظنّ ، والظنّ يحصل بالخبر بمجرّد تعديل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إثبات حقوق الله أو حقوق الناس فالمدار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العلم أو البيّنة أو اليمين ، فلم ينحصر المناص فيهما في العمل بمطلق الظنّ </w:t>
      </w:r>
      <w:r>
        <w:rPr>
          <w:rStyle w:val="FootnoteAnchor"/>
          <w:rtl w:val="true"/>
        </w:rPr>
        <w:footnoteReference w:id="1740"/>
      </w:r>
      <w:r>
        <w:rPr>
          <w:rFonts w:ascii="Amiri" w:hAnsi="Amiri" w:eastAsia="Amiri" w:cs="Amiri"/>
          <w:color w:val="111111"/>
          <w:sz w:val="28"/>
          <w:sz w:val="28"/>
          <w:szCs w:val="28"/>
          <w:rtl w:val="true"/>
          <w:lang w:bidi="ar-SA"/>
        </w:rPr>
        <w:t>، فمثل إخبار الطبيب عن إنبات اللّحم وشدّ العظم للرضاع ، وعن كون الصّوم مضرّ للمريض ، وإخبار أهل الخبرة بالقيمة والأرش ونحو ذلك ، فهي مثل الفتوى فيكفي فيها الواحد ، ولا وجه للحكم بوجوب الاثنين ، كما وقع من بعض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المتعلّقة بالموضوعات التي ليس بيانها وظيفة الشّارع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في الخزّ أو إنبات اللّحم محرّم أو المرض المضرّ مبيح للإفطار ونحو ذلك ، لا شبهة في أنّها إنّما تعلّقت بما هو في نفس الأمر كذلك ، فإن حصل للمكلّف العلم به ، فهو ، وإلّا فيرجع إلى الظنّ ، لاستحالة التكليف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والعدالة من هذا القبيل ، فالمعتبر في الطبيب وأهل الخبرة والمزكّي هو كونه معتمدا بحيث يحصل الظنّ ، فليس ذلك من باب الرّواية ولا من باب الشهادة ، فخبر هؤلاء بالنسبة إلى كون ما ذكروه مطابقا لنفس الأمر بمعتقدهم وبحسب ظنّهم ، واعتبار العدالة في هؤلاء لأجل حصول الاعتماد بعدم كذبهم في ذلك وعدم مسامحتهم في اجتهادهم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فبهذا يحصل الظنّ ، بل قد يكتفى بما يحصل الظنّ وإن كان أهل الخبرة فاسقا ، بلّ وكافرا أيضا ، بل وظاهر الفقهاء جواز الاعتماد على كلام الأطباء إذا أفاد الوثوق مطلقا وهو مقتضى الأخبار الواردة في مسألة القيام في الصلاة ، ويقتضي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تخصيص آية التثبّت عند خبر الفاسق بما لم يفد الظنّ ، فالأصل يقتضي الاكتفاء بالواحد في مطلق التزكية ، إلّا أنّ تزكية الشاهد خرج بالدليل من الإجماع كما ادّعى بعضهم ، أو لأجل ما ذكرنا من مقابلة حقّ المسلم ، ولذلك خصّ حمل أفعال المسلمين وأقوالهم على الصحّة بما لو لم يعارضه مثله أو أقوى منه ، مع تأمّل في الأخير لكون الخبر أيضا قد يكون كذلك كما أشرنا من أنّه أيضا قد يثبت حقّا على أحد بالأخرة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يبقى الإشكال الذي أوردناه أوّلا من أنّ العدالة شيء واحد ، والمشروط </w:t>
      </w:r>
    </w:p>
    <w:p>
      <w:pPr>
        <w:pStyle w:val="BookText"/>
        <w:rPr/>
      </w:pPr>
      <w:r>
        <w:rPr>
          <w:rFonts w:ascii="Amiri" w:hAnsi="Amiri" w:eastAsia="Amiri" w:cs="Amiri"/>
          <w:color w:val="111111"/>
          <w:sz w:val="28"/>
          <w:sz w:val="28"/>
          <w:szCs w:val="28"/>
          <w:rtl w:val="true"/>
          <w:lang w:bidi="ar-SA"/>
        </w:rPr>
        <w:t xml:space="preserve">بالعدالة مشروط بمهيّة العدالة ، فمتى ثبت سبب ثبوت العدالة فيتحقّق </w:t>
      </w:r>
      <w:r>
        <w:rPr>
          <w:rStyle w:val="FootnoteAnchor"/>
          <w:rtl w:val="true"/>
        </w:rPr>
        <w:footnoteReference w:id="1741"/>
      </w:r>
      <w:r>
        <w:rPr>
          <w:rFonts w:ascii="Amiri" w:hAnsi="Amiri" w:eastAsia="Amiri" w:cs="Amiri"/>
          <w:color w:val="111111"/>
          <w:sz w:val="28"/>
          <w:sz w:val="28"/>
          <w:szCs w:val="28"/>
          <w:rtl w:val="true"/>
          <w:lang w:bidi="ar-SA"/>
        </w:rPr>
        <w:t>العدالة في الخارج ويحصل شرط القبول في مشروطها ، فما معنى الفرق وأيّ معنى للإجماع على ثبوت العدالة في الرواية دون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أنّ قبول شهادة العدل موقوف على كون مزكّيه اثنين دون الرّواية ، لا أنّ ثبوت العدل فيها مشروط بتزكية اثنين دون الرّواية ، فهو </w:t>
      </w:r>
      <w:r>
        <w:rPr>
          <w:rStyle w:val="FootnoteAnchor"/>
          <w:rtl w:val="true"/>
        </w:rPr>
        <w:footnoteReference w:id="1742"/>
      </w:r>
      <w:r>
        <w:rPr>
          <w:rFonts w:ascii="Amiri" w:hAnsi="Amiri" w:eastAsia="Amiri" w:cs="Amiri"/>
          <w:color w:val="111111"/>
          <w:sz w:val="28"/>
          <w:sz w:val="28"/>
          <w:szCs w:val="28"/>
          <w:rtl w:val="true"/>
          <w:lang w:bidi="ar-SA"/>
        </w:rPr>
        <w:t>شرط لقبول العدلين لا لثبوت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مثل مترجم القاضي وإخبار المقلّد مثله بفتوى المجتهد وإعلام المأموم الإمام بوقوع ما شكّ فيه ، وإخبار النائب عن إيقاع الحجّ ونحو ذلك ، فيكفي فيه الواحد لأنّه خبر ، ويعتبر فيه العدالة الظنّية الحاصلة من تزكية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مثل الإخبار عن القبلة أو الوقت أو نحو ذلك ، فإن كان المراد الإخبار عن القبلة التي بناء عمل المسلمين عليها في هذا البلد ، وكذا الوقت ، فهو إخبار ، وإن كان المراد الإخبار عن اجتهاده ، فهو مثل ما مرّ من أنّه خبر عن مطابقة ما اجتهد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المطلق إمّا فتوى من فقيه أو من هو في معناه من أهل الخبرة ، أو شهادة ، أو مجرّد إخبار عن نفس الأمر ، ويختلف أحكامها حسب ما ذكرنا ، فلاحظ وتأمّل وميّز بينها حتّى لا يختلط عليك الأمر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الثالث ، فإثبات اشتراط العدالة إمّا من جهة آية النبأ ، وقد مرّ الكلام فيه ، ومقتضاه كفاية المزكّي الواحد ، وإمّا من جهة الإجماع ، والإجماع لم يثبت على أزيد من العدالة الثابتة بمزكّ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فلنرجع إلى ذكر أدلّة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المذهب المختار </w:t>
      </w:r>
      <w:r>
        <w:rPr>
          <w:rStyle w:val="FootnoteAnchor"/>
          <w:rtl w:val="true"/>
        </w:rPr>
        <w:footnoteReference w:id="1743"/>
      </w:r>
      <w:r>
        <w:rPr>
          <w:rFonts w:ascii="Amiri" w:hAnsi="Amiri" w:eastAsia="Amiri" w:cs="Amiri"/>
          <w:color w:val="111111"/>
          <w:sz w:val="28"/>
          <w:sz w:val="28"/>
          <w:szCs w:val="28"/>
          <w:rtl w:val="true"/>
          <w:lang w:bidi="ar-SA"/>
        </w:rPr>
        <w:t xml:space="preserve">، فأمّا بناء على الدليل الخامس </w:t>
      </w:r>
      <w:r>
        <w:rPr>
          <w:rStyle w:val="FootnoteAnchor"/>
          <w:rtl w:val="true"/>
        </w:rPr>
        <w:footnoteReference w:id="1744"/>
      </w:r>
      <w:r>
        <w:rPr>
          <w:rFonts w:ascii="Amiri" w:hAnsi="Amiri" w:eastAsia="Amiri" w:cs="Amiri"/>
          <w:color w:val="111111"/>
          <w:sz w:val="28"/>
          <w:sz w:val="28"/>
          <w:szCs w:val="28"/>
          <w:rtl w:val="true"/>
          <w:lang w:bidi="ar-SA"/>
        </w:rPr>
        <w:t xml:space="preserve">كما هو المعتمد في الاستدلال </w:t>
      </w:r>
      <w:r>
        <w:rPr>
          <w:rStyle w:val="FootnoteAnchor"/>
          <w:rtl w:val="true"/>
        </w:rPr>
        <w:footnoteReference w:id="1745"/>
      </w:r>
      <w:r>
        <w:rPr>
          <w:rFonts w:ascii="Amiri" w:hAnsi="Amiri" w:eastAsia="Amiri" w:cs="Amiri"/>
          <w:color w:val="111111"/>
          <w:sz w:val="28"/>
          <w:sz w:val="28"/>
          <w:szCs w:val="28"/>
          <w:rtl w:val="true"/>
          <w:lang w:bidi="ar-SA"/>
        </w:rPr>
        <w:t>، فظاهر لحصول الظنّ بتزكية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غيره </w:t>
      </w:r>
      <w:r>
        <w:rPr>
          <w:rStyle w:val="FootnoteAnchor"/>
          <w:rtl w:val="true"/>
        </w:rPr>
        <w:footnoteReference w:id="1746"/>
      </w:r>
      <w:r>
        <w:rPr>
          <w:rFonts w:ascii="Amiri" w:hAnsi="Amiri" w:eastAsia="Amiri" w:cs="Amiri"/>
          <w:color w:val="111111"/>
          <w:sz w:val="28"/>
          <w:sz w:val="28"/>
          <w:szCs w:val="28"/>
          <w:rtl w:val="true"/>
          <w:lang w:bidi="ar-SA"/>
        </w:rPr>
        <w:t xml:space="preserve">من الأدلّة ، فلآية النبأ ، وتقريبه صدق النبأ على التزكية من جهة الإخبار عن موافقة المعتقد كما بيّنا ، ولكن يخدشه أنّه لا يدلّ إلّا على قبوله في الجملة كما مرّت الإشارة إليه في الشهادة ، إلّا أن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وإخراج الشهادة بالدليل كما أشرنا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 عليه </w:t>
      </w:r>
      <w:r>
        <w:rPr>
          <w:rStyle w:val="FootnoteAnchor"/>
          <w:rtl w:val="true"/>
        </w:rPr>
        <w:footnoteReference w:id="1747"/>
      </w:r>
      <w:r>
        <w:rPr>
          <w:rFonts w:ascii="Amiri" w:hAnsi="Amiri" w:eastAsia="Amiri" w:cs="Amiri"/>
          <w:color w:val="111111"/>
          <w:sz w:val="28"/>
          <w:sz w:val="28"/>
          <w:szCs w:val="28"/>
          <w:rtl w:val="true"/>
          <w:lang w:bidi="ar-SA"/>
        </w:rPr>
        <w:t xml:space="preserve">بأنّه مؤدّ إلى حصول التناقض في مدلول الآية ، لأنّه يدلّ على أنّ قبول خبر الواحد موقوف على انتفاء الفسق في نفس الأمر كما مرّ ، وانتفاء الفسق في نفس الأمر لا يعلم إلّا مع العلم بالعدالة ، فشرطه قبول الخبر هو العلم بالعدالة ، وخبر المزكّي الواحد لا يفيد العلم وإن كان عدلا ، فإن اعتبرنا تزكية العدل الواحد ، فقد علمنا بالخبر مع عدم حصول العلم بعدالة الرّاوي لعدم إفادته العلم ، وهذا تناقض ، فلا بدّ من حملها على ما سوى الإخبار بالعدالة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بالفاسق النفس الأمري ، والعادل النفس الأمري ، هو ما يجوز </w:t>
      </w:r>
    </w:p>
    <w:p>
      <w:pPr>
        <w:pStyle w:val="BookText"/>
        <w:rPr/>
      </w:pPr>
      <w:r>
        <w:rPr>
          <w:rFonts w:ascii="Amiri" w:hAnsi="Amiri" w:eastAsia="Amiri" w:cs="Amiri"/>
          <w:color w:val="111111"/>
          <w:sz w:val="28"/>
          <w:sz w:val="28"/>
          <w:szCs w:val="28"/>
          <w:rtl w:val="true"/>
          <w:lang w:bidi="ar-SA"/>
        </w:rPr>
        <w:t>إطلاق العادل والفاسق عليه ، فنفس الأمر هنا مقابل مجهول الحال لا مقابل مظنون الفسق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أنّا نكتفي في معرفة العدالة بالاختبار والاشتهار وهما لا يفيدان العلم غالبا ، بل العدلان أيضا لا يفيد العلم ، فمن ظننّاه عادلا بأحد الأمور المذكورة فنقول أنّه عادل ، ويؤيّده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تَرْضَوْنَ </w:t>
      </w:r>
      <w:r>
        <w:rPr>
          <w:rFonts w:eastAsia="Amiri" w:cs="Amiri" w:ascii="Amiri" w:hAnsi="Amiri"/>
          <w:color w:val="111111"/>
          <w:sz w:val="28"/>
          <w:szCs w:val="28"/>
          <w:rtl w:val="true"/>
          <w:lang w:bidi="ar-SA"/>
        </w:rPr>
        <w:t xml:space="preserve">) </w:t>
      </w:r>
      <w:r>
        <w:rPr>
          <w:rStyle w:val="FootnoteAnchor"/>
          <w:rtl w:val="true"/>
        </w:rPr>
        <w:footnoteReference w:id="1749"/>
      </w:r>
      <w:r>
        <w:rPr>
          <w:rFonts w:ascii="Amiri" w:hAnsi="Amiri" w:eastAsia="Amiri" w:cs="Amiri"/>
          <w:color w:val="111111"/>
          <w:sz w:val="28"/>
          <w:sz w:val="28"/>
          <w:szCs w:val="28"/>
          <w:rtl w:val="true"/>
          <w:lang w:bidi="ar-SA"/>
        </w:rPr>
        <w:t>وكذلك المرض المبيح للتيمّم والإفطار وإنبات اللّحم وشدّ العظم وغير ذلك ، فإنّه يطلق على ما هو مظنون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فيها وفي العدالة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لكن لا ريب أنّ مع انسداد باب العلم يكتفى بالظنّ </w:t>
      </w:r>
      <w:r>
        <w:rPr>
          <w:rStyle w:val="FootnoteAnchor"/>
          <w:rtl w:val="true"/>
        </w:rPr>
        <w:footnoteReference w:id="1750"/>
      </w:r>
      <w:r>
        <w:rPr>
          <w:rFonts w:ascii="Amiri" w:hAnsi="Amiri" w:eastAsia="Amiri" w:cs="Amiri"/>
          <w:color w:val="111111"/>
          <w:sz w:val="28"/>
          <w:sz w:val="28"/>
          <w:szCs w:val="28"/>
          <w:rtl w:val="true"/>
          <w:lang w:bidi="ar-SA"/>
        </w:rPr>
        <w:t>في الأحكام والموضوعات جميعا ، مع أنّ اشتراط العلم بالعدالة مستفاد من المنطوق ، فلا مانع من تخصيصه بمفهومها حيث أفاد بعمومه قبول خبر العدل الواحد في 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Style w:val="FootnoteAnchor"/>
          <w:rtl w:val="true"/>
        </w:rPr>
        <w:footnoteReference w:id="1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المنطوق بالمفهوم ليس أولى من العكس ، بل العكس أولى</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إذا كان أقوى بسبب المعاضدات الخارجة ، فيجوز تخصيص المنطوق به ، وهو معتضد بالشهرة وغيره من الامور التي ذكرنا ، مع أنّه مخصّص بشهادة العدلين جزما وهو لا يفيد العلم ، وذلك أيضا يوجب وهنا في </w:t>
      </w:r>
    </w:p>
    <w:p>
      <w:pPr>
        <w:pStyle w:val="BookText"/>
        <w:rPr/>
      </w:pPr>
      <w:r>
        <w:rPr>
          <w:rFonts w:ascii="Amiri" w:hAnsi="Amiri" w:eastAsia="Amiri" w:cs="Amiri"/>
          <w:color w:val="111111"/>
          <w:sz w:val="28"/>
          <w:sz w:val="28"/>
          <w:szCs w:val="28"/>
          <w:rtl w:val="true"/>
          <w:lang w:bidi="ar-SA"/>
        </w:rPr>
        <w:t>عمومه ، وإن كان العامّ المخصّص حجّة في الباقي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المتأخّرين في الاستدلال على هذا المذهب </w:t>
      </w:r>
      <w:r>
        <w:rPr>
          <w:rStyle w:val="FootnoteAnchor"/>
          <w:rtl w:val="true"/>
        </w:rPr>
        <w:footnoteReference w:id="1753"/>
      </w:r>
      <w:r>
        <w:rPr>
          <w:rFonts w:ascii="Amiri" w:hAnsi="Amiri" w:eastAsia="Amiri" w:cs="Amiri"/>
          <w:color w:val="111111"/>
          <w:sz w:val="28"/>
          <w:sz w:val="28"/>
          <w:szCs w:val="28"/>
          <w:rtl w:val="true"/>
          <w:lang w:bidi="ar-SA"/>
        </w:rPr>
        <w:t xml:space="preserve">، هو أنّ العدالة شرط في الرّواية </w:t>
      </w:r>
      <w:r>
        <w:rPr>
          <w:rStyle w:val="FootnoteAnchor"/>
          <w:rtl w:val="true"/>
        </w:rPr>
        <w:footnoteReference w:id="1754"/>
      </w:r>
      <w:r>
        <w:rPr>
          <w:rFonts w:ascii="Amiri" w:hAnsi="Amiri" w:eastAsia="Amiri" w:cs="Amiri"/>
          <w:color w:val="111111"/>
          <w:sz w:val="28"/>
          <w:sz w:val="28"/>
          <w:szCs w:val="28"/>
          <w:rtl w:val="true"/>
          <w:lang w:bidi="ar-SA"/>
        </w:rPr>
        <w:t xml:space="preserve">، وشرط الشيء فرعه ، والاحتياط في الفرع لا يزيد على الاحتياط في الأصل ، وقد اكتفي في الأصل وهو الرّواية بواحد ، فيكفي الواحد في الفرع أيضا ، أعني العدالة ، وإلّا زاد الاحتياط </w:t>
      </w:r>
      <w:r>
        <w:rPr>
          <w:rStyle w:val="FootnoteAnchor"/>
          <w:rtl w:val="true"/>
        </w:rPr>
        <w:footnoteReference w:id="1755"/>
      </w:r>
      <w:r>
        <w:rPr>
          <w:rFonts w:ascii="Amiri" w:hAnsi="Amiri" w:eastAsia="Amiri" w:cs="Amiri"/>
          <w:color w:val="111111"/>
          <w:sz w:val="28"/>
          <w:sz w:val="28"/>
          <w:szCs w:val="28"/>
          <w:rtl w:val="true"/>
          <w:lang w:bidi="ar-SA"/>
        </w:rPr>
        <w:t xml:space="preserve">في الفرع على الأصل ، وأنت خبير بضعف هذا الاستدلال </w:t>
      </w:r>
      <w:r>
        <w:rPr>
          <w:rStyle w:val="FootnoteAnchor"/>
          <w:rtl w:val="true"/>
        </w:rPr>
        <w:footnoteReference w:id="1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أن يكون مبناه القياس كما ذكره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يظهر من بعض أصحابنا أنّه قياس الأولوية أيضا ، ممنوع </w:t>
      </w:r>
      <w:r>
        <w:rPr>
          <w:rStyle w:val="FootnoteAnchor"/>
          <w:rtl w:val="true"/>
        </w:rPr>
        <w:footnoteReference w:id="1757"/>
      </w:r>
      <w:r>
        <w:rPr>
          <w:rFonts w:ascii="Amiri" w:hAnsi="Amiri" w:eastAsia="Amiri" w:cs="Amiri"/>
          <w:color w:val="111111"/>
          <w:sz w:val="28"/>
          <w:sz w:val="28"/>
          <w:szCs w:val="28"/>
          <w:rtl w:val="true"/>
          <w:lang w:bidi="ar-SA"/>
        </w:rPr>
        <w:t>، بل لا يبعد دعوى أنّ ثبوت الحكم في الأصل أقوى منه في الفرع ، لأنّ الأصل وهو الرّواية معلوم أنّه ليس بشهادة ، فلا يعتبر فيه التعدّد جزما ، بخلاف الفرع ، لاحتمال كونه شهادة كما ادّعاه صاحب القول الآخر وإن كان ضعيفا على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قياس لم يقل به العامّة أيضا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Style w:val="FootnoteAnchor"/>
          <w:rtl w:val="true"/>
        </w:rPr>
        <w:footnoteReference w:id="1758"/>
      </w:r>
      <w:r>
        <w:rPr>
          <w:rFonts w:ascii="Amiri" w:hAnsi="Amiri" w:eastAsia="Amiri" w:cs="Amiri"/>
          <w:color w:val="111111"/>
          <w:sz w:val="28"/>
          <w:sz w:val="28"/>
          <w:szCs w:val="28"/>
          <w:rtl w:val="true"/>
          <w:lang w:bidi="ar-SA"/>
        </w:rPr>
        <w:t xml:space="preserve">في 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مشروط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ومزكّييه ، والفرع باثنين وهما المزكّيان ، فالفرع لم يزد على الأصل ، فهو مدفوع بأنّك تقبل رواية </w:t>
      </w:r>
    </w:p>
    <w:p>
      <w:pPr>
        <w:pStyle w:val="BookText"/>
        <w:rPr/>
      </w:pPr>
      <w:r>
        <w:rPr>
          <w:rFonts w:ascii="Amiri" w:hAnsi="Amiri" w:eastAsia="Amiri" w:cs="Amiri"/>
          <w:color w:val="111111"/>
          <w:sz w:val="28"/>
          <w:sz w:val="28"/>
          <w:szCs w:val="28"/>
          <w:rtl w:val="true"/>
          <w:lang w:bidi="ar-SA"/>
        </w:rPr>
        <w:t>عدل واحد زكّاه عدلان ، ولا تقبل تزكية عدل واحد زكّاه عدلان ، فيثبت زيادة الفرع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جواز زيادة الفرع على الأصل بهذا المعنى ، إذ لا دليل عليه من عقل ولا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Style w:val="FootnoteAnchor"/>
          <w:rtl w:val="true"/>
        </w:rPr>
        <w:footnoteReference w:id="1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الشرط أن لا يكون وجوده واعتباره زائدا على المشروط كما هو شأن المقدّمات وإنكاره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لو سلّم فإنّما هو من جهة التبعيّة لا من حيث هو ، ألا ترى أنّ الإيمان شرط لصحّة الصلاة مع أنّ وجوده واعتباره زائد على المشروط من جهة اعتبار اليقين فيه ، والاكتفاء بالظنّ في المشروط وكونه من أصول الدّين وهي من فروعه ، مع أنّ فرض التعدّد في الفرع دون الأصل أيضا موجود في الأحكام الشرعيّة ، فإنّ بعض الحقوق يثبت بشهادة واحد ، بل امرأة واحدة ، كربع ميراث المستهلّ </w:t>
      </w:r>
      <w:r>
        <w:rPr>
          <w:rStyle w:val="FootnoteAnchor"/>
          <w:rtl w:val="true"/>
        </w:rPr>
        <w:footnoteReference w:id="1760"/>
      </w:r>
      <w:r>
        <w:rPr>
          <w:rFonts w:ascii="Amiri" w:hAnsi="Amiri" w:eastAsia="Amiri" w:cs="Amiri"/>
          <w:color w:val="111111"/>
          <w:sz w:val="28"/>
          <w:sz w:val="28"/>
          <w:szCs w:val="28"/>
          <w:rtl w:val="true"/>
          <w:lang w:bidi="ar-SA"/>
        </w:rPr>
        <w:t>وربع الوصيّة ، مع أنّ تزكية الشاهد لا بدّ فيه من عدلين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مثّل </w:t>
      </w:r>
      <w:r>
        <w:rPr>
          <w:rStyle w:val="FootnoteAnchor"/>
          <w:rtl w:val="true"/>
        </w:rPr>
        <w:footnoteReference w:id="1761"/>
      </w:r>
      <w:r>
        <w:rPr>
          <w:rFonts w:ascii="Amiri" w:hAnsi="Amiri" w:eastAsia="Amiri" w:cs="Amiri"/>
          <w:color w:val="111111"/>
          <w:sz w:val="28"/>
          <w:sz w:val="28"/>
          <w:szCs w:val="28"/>
          <w:rtl w:val="true"/>
          <w:lang w:bidi="ar-SA"/>
        </w:rPr>
        <w:t>به من ثبوت وجوب الحدّ بالقذف بخبر الواحد ، وهو مشروط بثبوت القذف وبلوغ القاذف ، وكلّ منهما يتوقّف ثبوته على الشاهدين ، ففيه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أريد من خبر الواحد حكم الحاكم ، فهو فرع الشهادة لا أصلها ، وإن أريد منه الرّواية الدالّة على أصل المسألة ، فهو ليس بمشروط بثبوت القذف بالشاهدين ، بل المشروط به هو إجراؤه في المادّة المخصوصة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قيل </w:t>
      </w:r>
      <w:r>
        <w:rPr>
          <w:rStyle w:val="FootnoteAnchor"/>
          <w:rtl w:val="true"/>
        </w:rPr>
        <w:footnoteReference w:id="1762"/>
      </w:r>
      <w:r>
        <w:rPr>
          <w:rFonts w:ascii="Amiri" w:hAnsi="Amiri" w:eastAsia="Amiri" w:cs="Amiri"/>
          <w:color w:val="111111"/>
          <w:sz w:val="28"/>
          <w:sz w:val="28"/>
          <w:szCs w:val="28"/>
          <w:rtl w:val="true"/>
          <w:lang w:bidi="ar-SA"/>
        </w:rPr>
        <w:t xml:space="preserve">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شهادة وثبوت التعدّد فيها لا يوجب ثبوته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 أنّ هذا مخرج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زيادة الفرع على الأصل إن سلّم فهو قاعدة عقليّة لا تقبل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بطلان اشتراط التعدّد ، أنّ المدار في أمثال زماننا بتزكية الشيخ والنجاشي والعلّامة وأمثالهم وهم ينقلون تعديل أكثر الرّواة عن غيرهم ، وموافقة اثنين منهم في التزكية إنّما تنفع لو علم أنّ مذهب كلّ واحد منهم في التزكية اشتراط العدد ، وهو غير معلوم ، بل خلافه معلوم من حال بعضهم كالعلّامة حيث اكتفى في كتبه الأصولية بالمزكّي الواحد </w:t>
      </w:r>
      <w:r>
        <w:rPr>
          <w:rStyle w:val="FootnoteAnchor"/>
          <w:rtl w:val="true"/>
        </w:rPr>
        <w:footnoteReference w:id="1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باشتراط التعدّد في أمثال زماننا إنّما يتمّ لو كان هؤلاء المزكّون عرفوا العدالة من جهة المعاشرة أو بشهادة العدلين ، وأنّى للمشترط بإثباته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من اعتبر اثنين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شهادة ومن شأنها اعتبار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w:t>
      </w:r>
      <w:r>
        <w:rPr>
          <w:rStyle w:val="FootnoteAnchor"/>
          <w:rtl w:val="true"/>
        </w:rPr>
        <w:footnoteReference w:id="1765"/>
      </w:r>
      <w:r>
        <w:rPr>
          <w:rFonts w:ascii="Amiri" w:hAnsi="Amiri" w:eastAsia="Amiri" w:cs="Amiri"/>
          <w:color w:val="111111"/>
          <w:sz w:val="28"/>
          <w:sz w:val="28"/>
          <w:szCs w:val="28"/>
          <w:rtl w:val="true"/>
          <w:lang w:bidi="ar-SA"/>
        </w:rPr>
        <w:t xml:space="preserve">بالمعارضة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خبر ومن شأنه قبول الواحد ، وأنت بعد التأمّل فيما ذكرناه في المقدّمة ، تعرف ضعف المعارضة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يتّجه في الجواب منع كونها شهادة أوّلا ، فيبقى تحت باقي أقسام الخبر الذي يقبل فيها خبر الواحد لآية النبأ أو يدخل تحت ما هو من قبيل الفتوى وأنّه ظنّ من الظّنون الاجتهادية الحاصلة لأرباب الخبرة بكلّ مسلك ، كمعرفة المرض </w:t>
      </w:r>
    </w:p>
    <w:p>
      <w:pPr>
        <w:pStyle w:val="BookText"/>
        <w:rPr/>
      </w:pPr>
      <w:r>
        <w:rPr>
          <w:rFonts w:ascii="Amiri" w:hAnsi="Amiri" w:eastAsia="Amiri" w:cs="Amiri"/>
          <w:color w:val="111111"/>
          <w:sz w:val="28"/>
          <w:sz w:val="28"/>
          <w:szCs w:val="28"/>
          <w:rtl w:val="true"/>
          <w:lang w:bidi="ar-SA"/>
        </w:rPr>
        <w:t>المضرّ والقيمة والأرش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اعترته الخبريّة بالعرض أيضا ، من جهة أنّه إخبار عمّا هو مطابق لظنّه ، ومنع كلّية الكبرى ثانيا </w:t>
      </w:r>
      <w:r>
        <w:rPr>
          <w:rStyle w:val="FootnoteAnchor"/>
          <w:rtl w:val="true"/>
        </w:rPr>
        <w:footnoteReference w:id="1766"/>
      </w:r>
      <w:r>
        <w:rPr>
          <w:rFonts w:ascii="Amiri" w:hAnsi="Amiri" w:eastAsia="Amiri" w:cs="Amiri"/>
          <w:color w:val="111111"/>
          <w:sz w:val="28"/>
          <w:sz w:val="28"/>
          <w:szCs w:val="28"/>
          <w:rtl w:val="true"/>
          <w:lang w:bidi="ar-SA"/>
        </w:rPr>
        <w:t>، وسنده ما مرّ من ثبوت ربع ميراث المستهلّ وربع الوصيّة ، وثبوت هلال رمضان برجل واحد عند بعض علمائنا ، وإن أمكن دفع ذلك بأنّ اعتبار التعدّد صار أصلا في الشهادة من جهة تتبّع الآيات والأخبار ، فخروج ما خرج بالدليل لا يضرّ ببقاء الباقي تحت الأصل حتّى يثبت المخرج ، فالأولى منع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Style w:val="FootnoteAnchor"/>
          <w:rtl w:val="true"/>
        </w:rPr>
        <w:footnoteReference w:id="1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اشتراط العدالة اعتبار حصول العلم بها ، ولا يحصل بالواحد ، واكتفينا بالعدلين مع عدم إفادته العلم ، لقيامه مقامه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جوابه ممّا أسلفناه سابقا من منع اعتبار العلم فيها ، كيف وكلّ ما جعلوه طريقا لمعرفة العدالة لا يفيد إلّا الظنّ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 لكنّه إنّما يسلّم إذا أمكن تحصيل العلم ، ومع انسداد بابه يكفي الظنّ كما مرّ ، وهو يحصل بالمزكّي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كفاية تزكية غير الإمامي العادل أيضا مثل عليّ بن الحسن بن فضّال </w:t>
      </w:r>
      <w:r>
        <w:rPr>
          <w:rStyle w:val="FootnoteAnchor"/>
          <w:rtl w:val="true"/>
        </w:rPr>
        <w:footnoteReference w:id="1768"/>
      </w:r>
      <w:r>
        <w:rPr>
          <w:rFonts w:ascii="Amiri" w:hAnsi="Amiri" w:eastAsia="Amiri" w:cs="Amiri"/>
          <w:color w:val="111111"/>
          <w:sz w:val="28"/>
          <w:sz w:val="28"/>
          <w:szCs w:val="28"/>
          <w:rtl w:val="true"/>
          <w:lang w:bidi="ar-SA"/>
        </w:rPr>
        <w:t xml:space="preserve">وغيره ، لأنّه نوع تثبّت ، ويؤيّده أنّ الفضل ما شهد به الأعداء </w:t>
      </w:r>
      <w:r>
        <w:rPr>
          <w:rStyle w:val="FootnoteAnchor"/>
          <w:rtl w:val="true"/>
        </w:rPr>
        <w:footnoteReference w:id="1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طريقة المشهور عدم الاعتبار ، والأقوى اعتباره </w:t>
      </w:r>
    </w:p>
    <w:p>
      <w:pPr>
        <w:pStyle w:val="BookText"/>
        <w:rPr/>
      </w:pPr>
      <w:r>
        <w:rPr>
          <w:rFonts w:ascii="IRNazanin" w:hAnsi="IRNazanin" w:eastAsia="IRNazanin"/>
          <w:color w:val="111111"/>
          <w:sz w:val="28"/>
          <w:sz w:val="28"/>
          <w:szCs w:val="28"/>
          <w:rtl w:val="true"/>
          <w:lang w:bidi="fa-IR"/>
        </w:rPr>
        <w:t xml:space="preserve">لإفادته الظنّ وهو على ما اخترناه </w:t>
      </w:r>
      <w:r>
        <w:rPr>
          <w:rStyle w:val="FootnoteAnchor"/>
          <w:rtl w:val="true"/>
        </w:rPr>
        <w:footnoteReference w:id="1770"/>
      </w:r>
      <w:r>
        <w:rPr>
          <w:rFonts w:ascii="Amiri" w:hAnsi="Amiri" w:eastAsia="Amiri" w:cs="Amiri"/>
          <w:color w:val="111111"/>
          <w:sz w:val="28"/>
          <w:sz w:val="28"/>
          <w:szCs w:val="28"/>
          <w:rtl w:val="true"/>
          <w:lang w:bidi="ar-SA"/>
        </w:rPr>
        <w:t>من البناء على الدليل الخامس في أصل حجّية الخبر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الجرح ، فالكلام فيه هو الكلام في 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المحقّق البهائي رحمه‌الله </w:t>
      </w:r>
      <w:r>
        <w:rPr>
          <w:rStyle w:val="FootnoteAnchor"/>
          <w:rtl w:val="true"/>
        </w:rPr>
        <w:footnoteReference w:id="1771"/>
      </w:r>
      <w:r>
        <w:rPr>
          <w:rFonts w:ascii="Amiri" w:hAnsi="Amiri" w:eastAsia="Amiri" w:cs="Amiri"/>
          <w:color w:val="111111"/>
          <w:sz w:val="28"/>
          <w:sz w:val="28"/>
          <w:szCs w:val="28"/>
          <w:rtl w:val="true"/>
          <w:lang w:bidi="ar-SA"/>
        </w:rPr>
        <w:t>قول بالفرق بين التزكية والجرح إذا صدر عن غير الإمامي ، فيقبل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ما اخترناه </w:t>
      </w:r>
      <w:r>
        <w:rPr>
          <w:rStyle w:val="FootnoteAnchor"/>
          <w:rtl w:val="true"/>
        </w:rPr>
        <w:footnoteReference w:id="1772"/>
      </w:r>
      <w:r>
        <w:rPr>
          <w:rFonts w:ascii="Amiri" w:hAnsi="Amiri" w:eastAsia="Amiri" w:cs="Amiri"/>
          <w:color w:val="111111"/>
          <w:sz w:val="28"/>
          <w:sz w:val="28"/>
          <w:szCs w:val="28"/>
          <w:rtl w:val="true"/>
          <w:lang w:bidi="ar-SA"/>
        </w:rPr>
        <w:t>لما ذكرناه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ما ذكر يظهر أنّه لا وجه للجرح في مثل أبان بن عثمان </w:t>
      </w:r>
      <w:r>
        <w:rPr>
          <w:rStyle w:val="FootnoteAnchor"/>
          <w:rtl w:val="true"/>
        </w:rPr>
        <w:footnoteReference w:id="1773"/>
      </w:r>
      <w:r>
        <w:rPr>
          <w:rFonts w:ascii="Amiri" w:hAnsi="Amiri" w:eastAsia="Amiri" w:cs="Amiri"/>
          <w:color w:val="111111"/>
          <w:sz w:val="28"/>
          <w:sz w:val="28"/>
          <w:szCs w:val="28"/>
          <w:rtl w:val="true"/>
          <w:lang w:bidi="ar-SA"/>
        </w:rPr>
        <w:t xml:space="preserve">لأجل ما رواه الكشّي عن عليّ بن الحسن بن فضّال أنّه كان من الناووسية </w:t>
      </w:r>
      <w:r>
        <w:rPr>
          <w:rStyle w:val="FootnoteAnchor"/>
          <w:rtl w:val="true"/>
        </w:rPr>
        <w:footnoteReference w:id="1774"/>
      </w:r>
      <w:r>
        <w:rPr>
          <w:rFonts w:ascii="Amiri" w:hAnsi="Amiri" w:eastAsia="Amiri" w:cs="Amiri"/>
          <w:color w:val="111111"/>
          <w:sz w:val="28"/>
          <w:sz w:val="28"/>
          <w:szCs w:val="28"/>
          <w:rtl w:val="true"/>
          <w:lang w:bidi="ar-SA"/>
        </w:rPr>
        <w:t>، فإنّ كون الرجل غير إمامي إن كان جرحا ، فالجارح مجروح ، وإلّا فلا وجه لكون أبان مجروحا</w:t>
      </w:r>
      <w:r>
        <w:rPr>
          <w:rFonts w:eastAsia="Amiri" w:cs="Amiri" w:ascii="Amiri" w:hAnsi="Amiri"/>
          <w:color w:val="111111"/>
          <w:sz w:val="28"/>
          <w:szCs w:val="28"/>
          <w:rtl w:val="true"/>
          <w:lang w:bidi="ar-SA"/>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فما نقله فخر المحقّقين عن والده </w:t>
      </w:r>
      <w:r>
        <w:rPr>
          <w:rStyle w:val="FootnoteAnchor"/>
          <w:rtl w:val="true"/>
        </w:rPr>
        <w:footnoteReference w:id="1775"/>
      </w:r>
      <w:r>
        <w:rPr>
          <w:rFonts w:ascii="Amiri" w:hAnsi="Amiri" w:eastAsia="Amiri" w:cs="Amiri"/>
          <w:color w:val="111111"/>
          <w:sz w:val="28"/>
          <w:sz w:val="28"/>
          <w:szCs w:val="28"/>
          <w:rtl w:val="true"/>
          <w:lang w:bidi="ar-SA"/>
        </w:rPr>
        <w:t xml:space="preserve">، وذكرناه في القانون السّابق ، فيه ما فيه إلّا أن يكون اطّلاعه </w:t>
      </w:r>
      <w:r>
        <w:rPr>
          <w:rStyle w:val="FootnoteAnchor"/>
          <w:rtl w:val="true"/>
        </w:rPr>
        <w:footnoteReference w:id="1776"/>
      </w:r>
      <w:r>
        <w:rPr>
          <w:rFonts w:ascii="Amiri" w:hAnsi="Amiri" w:eastAsia="Amiri" w:cs="Amiri"/>
          <w:color w:val="111111"/>
          <w:sz w:val="28"/>
          <w:sz w:val="28"/>
          <w:szCs w:val="28"/>
          <w:rtl w:val="true"/>
          <w:lang w:bidi="ar-SA"/>
        </w:rPr>
        <w:t>على هذا من جهة غير هذه الرّواية</w:t>
      </w:r>
      <w:r>
        <w:rPr>
          <w:rFonts w:eastAsia="Amiri" w:cs="Amiri" w:ascii="Amiri" w:hAnsi="Amiri"/>
          <w:color w:val="111111"/>
          <w:sz w:val="28"/>
          <w:szCs w:val="28"/>
          <w:rtl w:val="true"/>
          <w:lang w:bidi="ar-SA"/>
        </w:rPr>
        <w:t xml:space="preserve">. </w:t>
      </w:r>
      <w:bookmarkStart w:id="214" w:name="pg14071_149545"/>
    </w:p>
    <w:p>
      <w:pPr>
        <w:pStyle w:val="Heading5"/>
        <w:numPr>
          <w:ilvl w:val="4"/>
          <w:numId w:val="1"/>
        </w:numPr>
        <w:rPr/>
      </w:pPr>
      <w:bookmarkStart w:id="215" w:name="__RefHeading___Toc495145_1738255347"/>
      <w:bookmarkStart w:id="216" w:name="_Toc78"/>
      <w:bookmarkEnd w:id="214"/>
      <w:bookmarkEnd w:id="215"/>
      <w:r>
        <w:rPr>
          <w:rtl w:val="true"/>
        </w:rPr>
        <w:t>قانون</w:t>
      </w:r>
      <w:bookmarkEnd w:id="216"/>
    </w:p>
    <w:p>
      <w:pPr>
        <w:pStyle w:val="BookText"/>
        <w:rPr/>
      </w:pPr>
      <w:r>
        <w:rPr>
          <w:rFonts w:ascii="Amiri" w:hAnsi="Amiri" w:eastAsia="Amiri" w:cs="Amiri"/>
          <w:color w:val="111111"/>
          <w:sz w:val="28"/>
          <w:sz w:val="28"/>
          <w:szCs w:val="28"/>
          <w:rtl w:val="true"/>
          <w:lang w:bidi="ar-SA"/>
        </w:rPr>
        <w:t xml:space="preserve">اختلف الأصوليون في قبول الجرح والتعديل مطلقين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عدل أو ضعيف من دون ذكر سبب العدالة والضعف </w:t>
      </w:r>
      <w:r>
        <w:rPr>
          <w:rStyle w:val="FootnoteAnchor"/>
          <w:rtl w:val="true"/>
        </w:rPr>
        <w:footnoteReference w:id="1777"/>
      </w:r>
      <w:r>
        <w:rPr>
          <w:rFonts w:ascii="IRNazanin" w:hAnsi="IRNazanin" w:eastAsia="IRNazanin"/>
          <w:color w:val="111111"/>
          <w:sz w:val="28"/>
          <w:sz w:val="28"/>
          <w:szCs w:val="28"/>
          <w:rtl w:val="true"/>
          <w:lang w:bidi="fa-IR"/>
        </w:rPr>
        <w:t xml:space="preserve">على 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قبولها في التعديل دون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إن كانا عالمين بالأسباب قبل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مع العلم بالموافقة فيما يتحقّق به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والأقوال الأربعة </w:t>
      </w:r>
      <w:r>
        <w:rPr>
          <w:rStyle w:val="FootnoteAnchor"/>
          <w:rtl w:val="true"/>
        </w:rPr>
        <w:footnoteReference w:id="1778"/>
      </w:r>
      <w:r>
        <w:rPr>
          <w:rFonts w:ascii="Amiri" w:hAnsi="Amiri" w:eastAsia="Amiri" w:cs="Amiri"/>
          <w:color w:val="111111"/>
          <w:sz w:val="28"/>
          <w:sz w:val="28"/>
          <w:szCs w:val="28"/>
          <w:rtl w:val="true"/>
          <w:lang w:bidi="ar-SA"/>
        </w:rPr>
        <w:t xml:space="preserve">من العامّة ، والخامس من العلّامة رحمه‌الله </w:t>
      </w:r>
      <w:r>
        <w:rPr>
          <w:rStyle w:val="FootnoteAnchor"/>
          <w:rtl w:val="true"/>
        </w:rPr>
        <w:footnoteReference w:id="1779"/>
      </w:r>
      <w:r>
        <w:rPr>
          <w:rFonts w:ascii="Amiri" w:hAnsi="Amiri" w:eastAsia="Amiri" w:cs="Amiri"/>
          <w:color w:val="111111"/>
          <w:sz w:val="28"/>
          <w:sz w:val="28"/>
          <w:szCs w:val="28"/>
          <w:rtl w:val="true"/>
          <w:lang w:bidi="ar-SA"/>
        </w:rPr>
        <w:t xml:space="preserve">، والسادس هو مختار الشهيد الثاني رحمه‌الله </w:t>
      </w:r>
      <w:r>
        <w:rPr>
          <w:rStyle w:val="FootnoteAnchor"/>
          <w:rtl w:val="true"/>
        </w:rPr>
        <w:footnoteReference w:id="1780"/>
      </w:r>
      <w:r>
        <w:rPr>
          <w:rFonts w:ascii="Amiri" w:hAnsi="Amiri" w:eastAsia="Amiri" w:cs="Amiri"/>
          <w:color w:val="111111"/>
          <w:sz w:val="28"/>
          <w:sz w:val="28"/>
          <w:szCs w:val="28"/>
          <w:rtl w:val="true"/>
          <w:lang w:bidi="ar-SA"/>
        </w:rPr>
        <w:t xml:space="preserve">وقبله السيّد عميد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1781"/>
      </w:r>
      <w:r>
        <w:rPr>
          <w:rFonts w:ascii="Amiri" w:hAnsi="Amiri" w:eastAsia="Amiri" w:cs="Amiri"/>
          <w:color w:val="111111"/>
          <w:sz w:val="28"/>
          <w:sz w:val="28"/>
          <w:szCs w:val="28"/>
          <w:rtl w:val="true"/>
          <w:lang w:bidi="ar-SA"/>
        </w:rPr>
        <w:t>إن كان من ذوي البصائر بهذا الشأن ، لم يكن معنى للاستفسار ، وإن لم يكن منهم ، لم يصلح للتزكية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اختلاف المجتهدين في معنى العدالة والجرح وعدد الكبائر وغير ذلك ، فلا يكفي كونه ذا بصيرة ، إذ لعلّه يبني كلامه على مذهبه ولا يعلم موافقته للحاكم والمجتهد إلّا أن يقال إطلاقه مع عدم العلم بالموافقة ، واحتمال عدم الموافقة تدليس ، وظاهر العدل عدم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يندفع إشكال احتمال غفلته عن هذا المعنى ، فإنّ المعيار هو الظاهر ، وأنت خبير بأنّ الكلامين في محلّ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يتمّ ذلك فيما إذا كان تزكيته لأجل عامّة المكلّفين أو لمن كان قوله حجّة عليه ، ومن هذا يحصل الجواب عن إشكال مشهور وهو أنّ مذاهب علماء الرجال غير معلومة لنا الآن فكيف نعلم موافقتهم لما هو مختارنا في العدالة حتّى يرجع إلى تعديلهم ، إذ هم يطلقون العدالة والجرح ولا نعلم سببه عندهم ، بل ونرى العلّامة أنّه يبني تعديله على تعديل الشيخ مثلا ، مع أنّا نعلم مخالفتهما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Style w:val="FootnoteAnchor"/>
          <w:rtl w:val="true"/>
        </w:rPr>
        <w:footnoteReference w:id="1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أن يكون تعديلهم على وفق مذهبهم خاصّة مع كونهم عارفين بالاختلاف وتفاوت المذاهب ، مع أنّ تأليفهم إنّما هو للمجتهدين وأرباب النظر لا لمقلّديهم في زمانهم ، إذ لا يحتاج المقلّد إلى معرفة الرجال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المصنّف لمثل هذه الكتب لا يريد اختصاص مجتهدي زمانه به حتّى يقال أنّه صنّفه للعارفين بطريقته ، سيّما وطريقة أهل العصر من العلماء عدم الرجوع إلى كتب معاصريهم من جهة الاستناد غالبا ، وإنّما ينفع المصنّفات بعد موت مصنّفه غالبا وسيّما إذا تباعد الزّمان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فعمدة مقاصدهم في تأليف هذه الكتب بقاؤها أبد الدّهر وانتفاع من سيجيء بعدهم منهم ، فإذا لوحظ هذا المعنى منضمّا إلى عدالة المصنّفين وورعهم وتقواهم وفطانتهم وصداقتهم وحذاقتهم ، يظهر أنّهم أرادوا بما ذكروا من العدالة المعنى الذي هو مسلّم الكلّ حتّى ينتفع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الغفلة للمؤلّف عن هذا المعنى حين التأليف سيّما مع تمادي زمان التأليف والانتفاع به في حياته ، في غاية البعد ، وخصوصا من مثل هؤلاء الفحول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 معارض بأنّ إرادة المعنى الأعلى وإن كان مستلزما لتعميم النفع ، ولكنّه مفوّت لفائدة أخرى ، وهي أنّه قد يكون مذهب المجتهدين اللّاحقين أنّ العدالة هو المعنى الأدنى ، فلا يعلم حينئذ هل كان الرّاوي متّصفا بهذا المعنى أم لا ، فلو لم يسقط المؤلّف اعتبار هذا المقدار ، لكان النفع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النفع بالنسبة إلى الأوّل أقلّ ، لمهجوريّة القول بكون العدالة هو ظاهر الإسلام عند المتأخّرين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نراهم كثيرا ما يمدحون الرجل بمدائح كثيرة توجب العدالة بمعنى حسن الظاهر ، بل وأكثر منه ، ومع ذلك لا يصرّحون بعدالتهم ، فمن لحق بهؤلاء وليس مذهبه في العدالة هو المعنى الأعلى ، فليأخذ بمقتضى هذا المدح ويجعله 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أعظم الشواهد أنّهم أرادوا بالعدالة هو المعنى الأعلى ، فهم لاحظوا الأطراف وأخذوا بمجامع النفع ، سيّما وقولهم ثقة لا يحتمل مجرّد ظهور الإسلام مع عدم ظهور الفسق كما هو واضح ، بل الظاهر أنّه ليس مجرّد حسن الظاهر أيضا ، </w:t>
      </w:r>
    </w:p>
    <w:p>
      <w:pPr>
        <w:pStyle w:val="BookText"/>
        <w:rPr/>
      </w:pPr>
      <w:r>
        <w:rPr>
          <w:rFonts w:ascii="Amiri" w:hAnsi="Amiri" w:eastAsia="Amiri" w:cs="Amiri"/>
          <w:color w:val="111111"/>
          <w:sz w:val="28"/>
          <w:sz w:val="28"/>
          <w:szCs w:val="28"/>
          <w:rtl w:val="true"/>
          <w:lang w:bidi="ar-SA"/>
        </w:rPr>
        <w:t>فإنّ الوثوق غالبا لا يحصل إلّا مع اعتبار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العلماء اكتفوا بمجرّد التعديل ولم يتأمّلوا من هذه الجهة ولم يحصل تشكيك لهم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ممّا مرّ حجّة القول الثاني ، فإنّ أسباب الجرح والتعديل كليهما مختلف فيها ، فلا بدّ من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حسن لو لم يعلم الموافقة وعدم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القول الثالث وهو مذهب الشافعي وكثير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المذاهب في الأحكام الشرعية ، فربّما جرح بما ليس جرحا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الجرح والتعديل ، بل العدالة تابع للجرح فإنّها ترك لما هو موجب للجرح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Style w:val="FootnoteAnchor"/>
          <w:rtl w:val="true"/>
        </w:rPr>
        <w:footnoteReference w:id="1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التعديل يصعب ذكر أسبابه لكثرة أسبابها ، بخلاف الجرح فإنّه يثبت بسبب واحد ، لا ينفع في دفع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مطلق الجرح كاف في إبطال الثقة برواية المجروح وشهادته ، وليس مطلق التعديل كذلك ، لتسارع الناس إلى البناء على الظاهر فيها ، فلا بدّ من ذكر السّبب</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 أيضا ما مرّ من أنّ الجرح ممّا يختلف فيه ، فكيف يكتفى بمطلقه في إبطال الاعتماد ، مع أنّ التسارع إلى البناء على الجرح أغلب وأقرب إلى طباع الناس من العدالة لعدم اجتنابهم كثيرا من الظنّ </w:t>
      </w:r>
      <w:r>
        <w:rPr>
          <w:rStyle w:val="FootnoteAnchor"/>
          <w:rtl w:val="true"/>
        </w:rPr>
        <w:footnoteReference w:id="1786"/>
      </w:r>
      <w:r>
        <w:rPr>
          <w:rFonts w:ascii="IRNazanin" w:hAnsi="IRNazanin" w:eastAsia="IRNazanin"/>
          <w:color w:val="111111"/>
          <w:sz w:val="28"/>
          <w:sz w:val="28"/>
          <w:szCs w:val="28"/>
          <w:rtl w:val="true"/>
          <w:lang w:bidi="fa-IR"/>
        </w:rPr>
        <w:t xml:space="preserve">، مضافا إلى أنّ تسارع الناس إلى البناء </w:t>
      </w:r>
    </w:p>
    <w:p>
      <w:pPr>
        <w:pStyle w:val="BookText"/>
        <w:rPr/>
      </w:pPr>
      <w:r>
        <w:rPr>
          <w:rFonts w:ascii="Amiri" w:hAnsi="Amiri" w:eastAsia="Amiri" w:cs="Amiri"/>
          <w:color w:val="111111"/>
          <w:sz w:val="28"/>
          <w:sz w:val="28"/>
          <w:szCs w:val="28"/>
          <w:rtl w:val="true"/>
          <w:lang w:bidi="ar-SA"/>
        </w:rPr>
        <w:t xml:space="preserve">على الظاهر في العدالة مبنيّ على القول المهجور </w:t>
      </w:r>
      <w:r>
        <w:rPr>
          <w:rStyle w:val="FootnoteAnchor"/>
          <w:rtl w:val="true"/>
        </w:rPr>
        <w:footnoteReference w:id="1787"/>
      </w:r>
      <w:r>
        <w:rPr>
          <w:rFonts w:ascii="Amiri" w:hAnsi="Amiri" w:eastAsia="Amiri" w:cs="Amiri"/>
          <w:color w:val="111111"/>
          <w:sz w:val="28"/>
          <w:sz w:val="28"/>
          <w:szCs w:val="28"/>
          <w:rtl w:val="true"/>
          <w:lang w:bidi="ar-SA"/>
        </w:rPr>
        <w:t>عند عامّة متأخّري أصحابنا ، بل وأكثر متقدّميهم أيضا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القولين الأخيرين لا يحتاج إلى البيان </w:t>
      </w:r>
      <w:r>
        <w:rPr>
          <w:rStyle w:val="FootnoteAnchor"/>
          <w:rtl w:val="true"/>
        </w:rPr>
        <w:footnoteReference w:id="1788"/>
      </w:r>
      <w:r>
        <w:rPr>
          <w:rFonts w:ascii="Amiri" w:hAnsi="Amiri" w:eastAsia="Amiri" w:cs="Amiri"/>
          <w:color w:val="111111"/>
          <w:sz w:val="28"/>
          <w:sz w:val="28"/>
          <w:szCs w:val="28"/>
          <w:rtl w:val="true"/>
          <w:lang w:bidi="ar-SA"/>
        </w:rPr>
        <w:t>، وكذلك ضعف أوّلهما وقوّة الثاني</w:t>
      </w:r>
      <w:r>
        <w:rPr>
          <w:rFonts w:eastAsia="Amiri" w:cs="Amiri" w:ascii="Amiri" w:hAnsi="Amiri"/>
          <w:color w:val="111111"/>
          <w:sz w:val="28"/>
          <w:szCs w:val="28"/>
          <w:rtl w:val="true"/>
          <w:lang w:bidi="ar-SA"/>
        </w:rPr>
        <w:t xml:space="preserve">. </w:t>
      </w:r>
      <w:bookmarkStart w:id="217" w:name="pg14071_149556"/>
    </w:p>
    <w:p>
      <w:pPr>
        <w:pStyle w:val="Heading5"/>
        <w:numPr>
          <w:ilvl w:val="4"/>
          <w:numId w:val="1"/>
        </w:numPr>
        <w:rPr/>
      </w:pPr>
      <w:bookmarkStart w:id="218" w:name="__RefHeading___Toc495147_1738255347"/>
      <w:bookmarkStart w:id="219" w:name="_Toc79"/>
      <w:bookmarkEnd w:id="217"/>
      <w:bookmarkEnd w:id="218"/>
      <w:r>
        <w:rPr>
          <w:rtl w:val="true"/>
        </w:rPr>
        <w:t>قانون</w:t>
      </w:r>
      <w:bookmarkEnd w:id="219"/>
    </w:p>
    <w:p>
      <w:pPr>
        <w:pStyle w:val="BookText"/>
        <w:rPr/>
      </w:pPr>
      <w:r>
        <w:rPr>
          <w:rFonts w:ascii="Amiri" w:hAnsi="Amiri" w:eastAsia="Amiri" w:cs="Amiri"/>
          <w:color w:val="111111"/>
          <w:sz w:val="28"/>
          <w:sz w:val="28"/>
          <w:szCs w:val="28"/>
          <w:rtl w:val="true"/>
          <w:lang w:bidi="ar-SA"/>
        </w:rPr>
        <w:t xml:space="preserve">إذا تعارض الجرح والتعديل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الجرح مطلقا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w:t>
      </w:r>
      <w:r>
        <w:rPr>
          <w:rStyle w:val="FootnoteAnchor"/>
          <w:rtl w:val="true"/>
        </w:rPr>
        <w:footnoteReference w:id="1790"/>
      </w:r>
      <w:r>
        <w:rPr>
          <w:rFonts w:ascii="Amiri" w:hAnsi="Amiri" w:eastAsia="Amiri" w:cs="Amiri"/>
          <w:color w:val="111111"/>
          <w:sz w:val="28"/>
          <w:sz w:val="28"/>
          <w:szCs w:val="28"/>
          <w:rtl w:val="true"/>
          <w:lang w:bidi="ar-SA"/>
        </w:rPr>
        <w:t xml:space="preserve">، فإن أمكن الجمع بينهما بمعنى أن لا يلزم تكذيب أحدهما في دعواه ، فيقدّم الجرح ، لأنّ التعديل لا ينافي عدم الاطّلاع ببعض ما يوجب الفسق فكلاهما صادقان ، بمعنى أنّه </w:t>
      </w:r>
      <w:r>
        <w:rPr>
          <w:rStyle w:val="FootnoteAnchor"/>
          <w:rtl w:val="true"/>
        </w:rPr>
        <w:footnoteReference w:id="1791"/>
      </w:r>
      <w:r>
        <w:rPr>
          <w:rFonts w:ascii="Amiri" w:hAnsi="Amiri" w:eastAsia="Amiri" w:cs="Amiri"/>
          <w:color w:val="111111"/>
          <w:sz w:val="28"/>
          <w:sz w:val="28"/>
          <w:szCs w:val="28"/>
          <w:rtl w:val="true"/>
          <w:lang w:bidi="ar-SA"/>
        </w:rPr>
        <w:t>معذور في اجتهاده في التعديل ، وهذا مصدّق في إخباره عن الفسق ، ولا فرق في ذلك بين التصريح بسبب الجرح وعدمه ، وذلك مثل قول المفيد رحمه‌الله في محمّد بن سنان أنّه من ثقات الكاظم عليه‌السلام وقول الشيخ أنّه ضعيف ، لجواز اطّلاع الشيخ على ما لم يطّلع عليه المفيد</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يمكن الجمع بينهما كما لو عيّن الجارح السّبب ونفاه المعدّل ، كما لو قال الجارح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أوّل الظهر يوم الجمعة يشرب الخمر ، وقال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رأيته في ذلك الوقت بعينه أنّه يصلّي ، فلا بدّ حينئذ من الرجوع إلى المرجّحات ، كالكثرة والأعدليّة والأورعيّة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هذا القبيل توثيق الشيخ ومدح الكشّي والعلّامة لداود بن كثير الرّقي وروايته في شأنه أنّ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أنزلوا داود الرّقّي منّي بمنزلة المقداد عن رسول الله صلى‌الله‌عليه‌وآله ، ومن سرّه أن ينظر إلى رجل من أصحاب القائم عليه‌السلام فلينظر إلى هذا</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موافق لما رواه الصدوق أيضا وتضعيف النجاشي </w:t>
      </w:r>
      <w:r>
        <w:rPr>
          <w:rStyle w:val="FootnoteAnchor"/>
          <w:rtl w:val="true"/>
        </w:rPr>
        <w:footnoteReference w:id="1793"/>
      </w:r>
      <w:r>
        <w:rPr>
          <w:rFonts w:ascii="Amiri" w:hAnsi="Amiri" w:eastAsia="Amiri" w:cs="Amiri"/>
          <w:color w:val="111111"/>
          <w:sz w:val="28"/>
          <w:sz w:val="28"/>
          <w:szCs w:val="28"/>
          <w:rtl w:val="true"/>
          <w:lang w:bidi="ar-SA"/>
        </w:rPr>
        <w:t xml:space="preserve">، وقول ابن الغضائري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فاسد المذهب ضعيف الرواية لا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الأكثريّة سيّما وتضعيف ابن الغضائري ممّا لا يعتمد عليه غالبا وإن جبر ضعفه بتضعيف النجاشي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عندي وفاقا لجماعة من المحقّقين من أصحابنا ، الرجوع إلى المرجّحات في القسم الأوّل </w:t>
      </w:r>
      <w:r>
        <w:rPr>
          <w:rStyle w:val="FootnoteAnchor"/>
          <w:rtl w:val="true"/>
        </w:rPr>
        <w:footnoteReference w:id="1794"/>
      </w:r>
      <w:r>
        <w:rPr>
          <w:rFonts w:ascii="Amiri" w:hAnsi="Amiri" w:eastAsia="Amiri" w:cs="Amiri"/>
          <w:color w:val="111111"/>
          <w:sz w:val="28"/>
          <w:sz w:val="28"/>
          <w:szCs w:val="28"/>
          <w:rtl w:val="true"/>
          <w:lang w:bidi="ar-SA"/>
        </w:rPr>
        <w:t xml:space="preserve">أيضا ، غاية الأمر هنا معارضة الظاهر مع النصّ ، فإنّ الجرح في حكم النصّ ، والتعديل في حكم الظاهر ، هذا فيما صرّح بالسبب ، وإلّا فمثل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مجروح ، أيضا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قد يقدّم على النصّ بسبب المرجّحات كما مرّت الإشارة إليه في باب التخصيص</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تقديم قول النجاشي في داود بن الحصين أنّه ثقة على قول الشيخ إنّه واقفي ، فإنّه وإن أمكن القول بكونه موثّقا جمعا بين القولين ، ولكن الظاهر من النجاشي حيث يطلق الثقة ويسكت عن حال المذهب ، أنّ الرجل </w:t>
      </w:r>
    </w:p>
    <w:p>
      <w:pPr>
        <w:pStyle w:val="BookText"/>
        <w:rPr/>
      </w:pPr>
      <w:r>
        <w:rPr>
          <w:rFonts w:ascii="Amiri" w:hAnsi="Amiri" w:eastAsia="Amiri" w:cs="Amiri"/>
          <w:color w:val="111111"/>
          <w:sz w:val="28"/>
          <w:sz w:val="28"/>
          <w:szCs w:val="28"/>
          <w:rtl w:val="true"/>
          <w:lang w:bidi="ar-SA"/>
        </w:rPr>
        <w:t xml:space="preserve">إماميّ ، فلا يمكن الجمع بينهما ، وكون النجاشي أضبط من الشيخ يرجّح كونه إماميّا إن لم يكافئه نصوصيّة </w:t>
      </w:r>
      <w:r>
        <w:rPr>
          <w:rStyle w:val="FootnoteAnchor"/>
          <w:rtl w:val="true"/>
        </w:rPr>
        <w:footnoteReference w:id="1795"/>
      </w:r>
      <w:r>
        <w:rPr>
          <w:rFonts w:ascii="Amiri" w:hAnsi="Amiri" w:eastAsia="Amiri" w:cs="Amiri"/>
          <w:color w:val="111111"/>
          <w:sz w:val="28"/>
          <w:sz w:val="28"/>
          <w:szCs w:val="28"/>
          <w:rtl w:val="true"/>
          <w:lang w:bidi="ar-SA"/>
        </w:rPr>
        <w:t>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الكلام في ترجيح تعديل الشيخ والنجاشي على جرح ابن الغضائري </w:t>
      </w:r>
      <w:r>
        <w:rPr>
          <w:rStyle w:val="FootnoteAnchor"/>
          <w:rtl w:val="true"/>
        </w:rPr>
        <w:footnoteReference w:id="1796"/>
      </w:r>
      <w:r>
        <w:rPr>
          <w:rFonts w:ascii="Amiri" w:hAnsi="Amiri" w:eastAsia="Amiri" w:cs="Amiri"/>
          <w:color w:val="111111"/>
          <w:sz w:val="28"/>
          <w:sz w:val="28"/>
          <w:szCs w:val="28"/>
          <w:rtl w:val="true"/>
          <w:lang w:bidi="ar-SA"/>
        </w:rPr>
        <w:t xml:space="preserve">في إبراهيم بن سليمان </w:t>
      </w:r>
      <w:r>
        <w:rPr>
          <w:rStyle w:val="FootnoteAnchor"/>
          <w:rtl w:val="true"/>
        </w:rPr>
        <w:footnoteReference w:id="179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المعتمد الرّجوع إلى المرجّحات مطلقا ، وكلّ ما ذكرنا في هذا القانون وسابقه ، من الشواهد على كون التزكية من باب الظّنون الاجتهادية لا الرّواية والشهادة ، وأنّ المعيار هو حصول الظنّ على أيّ نحو يكون ، كيف لا والمزكّون لم يلقوا أصحاب الأئمّة عليهم‌السلام وإنّما اعتمدوا على مثل ما رواه الكشّي ، وقد يفهمون منه ما لا دلالة فيه أو فيه دلالة على خلافه ، بل وكلّ منهم قد يعتمد على تزكية من تقدّم عليه ، الحاصلة باجتهاده ، ومن ذلك قد يتطرّق الخلل من جهة فهم كلام من تقدّمه أيضا ، فضلا عن عدم كونه موافقا للحقّ أو كونه موافقا ، مثل أنّ العلّامة رحمه‌الله وثّق في الخلاصة حمزة بن بزيع مع أنّه لم يوثّقه أحد ممّن اعتمد عليه العلّامة ، ولعلّه توهّمه من جهة عبارة النجاشي كما نبّه عليه جماعة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النجاشي قال في ترجمة محمّد بن إسماعيل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بزيع ليس منهم حمزة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صالحي هذه الطائفة وثقاتهم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محمّد لا حمزة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الأمر كذلك فيلزم أن يكون مثل العلّامة رحمه‌الله مقلّدا لمن تقدّمه ، وكذلك من تقدّمه لمن تقدّمه ، فإنّهم قلّما ثبت لهم عدالة الرّواة من جهة </w:t>
      </w:r>
    </w:p>
    <w:p>
      <w:pPr>
        <w:pStyle w:val="BookText"/>
        <w:rPr/>
      </w:pPr>
      <w:r>
        <w:rPr>
          <w:rFonts w:ascii="Amiri" w:hAnsi="Amiri" w:eastAsia="Amiri" w:cs="Amiri"/>
          <w:color w:val="111111"/>
          <w:sz w:val="28"/>
          <w:sz w:val="28"/>
          <w:szCs w:val="28"/>
          <w:rtl w:val="true"/>
          <w:lang w:bidi="ar-SA"/>
        </w:rPr>
        <w:t>الاشتهار كسلمان وأبي ذرّ ، أو من جهة المزكّيين اللّذين عاشرا الرّاوي ، ومع ذلك فلم يميّزوا بينهم ولم يفرّقوا بين من ثبت عدالته عندهم من مثل ما ذكر ، أو من جهة الاجتهاد ، ويلزم من جميع ذلك جواز تقليد المجتهد للمجتهد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كذلك فلا فرق بين ما ذكر وبين أن يقول الصدوق مثلا أو الكليني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ذكرته من الرّوايات صحيحة أو يقول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صحيحة مع كون السند مشتملا على من لم يوثّقه أحد من 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العدالة في الرّاوي إمّا للإجماع ، أو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 يثبت إلّا على اشتراطه ، لقبول الخبر من حيث هو ، وإلّا فلا ريب أنّ أكثر الأصحاب يعملون بالأخبار الموثّقة والحسنة والضعيفة المعمول بها عند 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فمنطوقها يدلّ على كفاية التثبّت في العمل بخبر الفاسق فضلا عن مجهول الحال ، وهذا نوع تثبّت ، مع أنّا قد حقّقنا سابقا أنّ المعيار في حجّية خبر الواحد والمعتمد هو الدليل الخامس والمعتبر هو حصول الظنّ ، وإنّما ذكرنا سائر الأدلّة على فرض تسليمها لبيان إمكان إثبات حجّيتها مع قطع النظر عن انسداد باب العلم أيضا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الكلام في إثبات العدالة ، فأيّ مانع من الاعتماد على هذا الظنّ وليس ذلك من باب التقليد ، بل لأنّه مفيد للظنّ للمجتهد كما يرجع إلى قول اللّغوي ، بل واجتهادات المصنّفين في اللغة ، وذلك لا ينافي حرمة تقليدهم في الفروع الشرعية </w:t>
      </w:r>
      <w:r>
        <w:rPr>
          <w:rStyle w:val="FootnoteAnchor"/>
          <w:rtl w:val="true"/>
        </w:rPr>
        <w:footnoteReference w:id="1798"/>
      </w:r>
      <w:r>
        <w:rPr>
          <w:rFonts w:ascii="Amiri" w:hAnsi="Amiri" w:eastAsia="Amiri" w:cs="Amiri"/>
          <w:color w:val="111111"/>
          <w:sz w:val="28"/>
          <w:sz w:val="28"/>
          <w:szCs w:val="28"/>
          <w:rtl w:val="true"/>
          <w:lang w:bidi="ar-SA"/>
        </w:rPr>
        <w:t xml:space="preserve">، فإذا حصل الظنّ من جهة تصحيح الصدوق للرواية وتصحيح </w:t>
      </w:r>
      <w:bookmarkStart w:id="220" w:name="pg14071_149564"/>
    </w:p>
    <w:p>
      <w:pPr>
        <w:pStyle w:val="BookText"/>
        <w:rPr/>
      </w:pPr>
      <w:bookmarkEnd w:id="220"/>
      <w:r>
        <w:rPr>
          <w:rFonts w:ascii="Amiri" w:hAnsi="Amiri" w:eastAsia="Amiri" w:cs="Amiri"/>
          <w:color w:val="111111"/>
          <w:sz w:val="28"/>
          <w:sz w:val="28"/>
          <w:szCs w:val="28"/>
          <w:rtl w:val="true"/>
          <w:lang w:bidi="ar-SA"/>
        </w:rPr>
        <w:t>العلّامة رحمه‌الله للسند ، ولم يحصل ظنّ أقوى منه من جهة تزكية غيره للرّاوي صريحا أو غير ذلك ، فيتّبع ولا مانع عنه</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495149_1738255347"/>
      <w:bookmarkStart w:id="222" w:name="_Toc80"/>
      <w:bookmarkEnd w:id="221"/>
      <w:r>
        <w:rPr>
          <w:rtl w:val="true"/>
        </w:rPr>
        <w:t xml:space="preserve">تنبيه </w:t>
      </w:r>
      <w:r>
        <w:rPr>
          <w:rtl w:val="true"/>
        </w:rPr>
        <w:t>:</w:t>
      </w:r>
      <w:bookmarkEnd w:id="222"/>
    </w:p>
    <w:p>
      <w:pPr>
        <w:pStyle w:val="BookText"/>
        <w:rPr/>
      </w:pPr>
      <w:r>
        <w:rPr>
          <w:rFonts w:ascii="Amiri" w:hAnsi="Amiri" w:eastAsia="Amiri" w:cs="Amiri"/>
          <w:color w:val="111111"/>
          <w:sz w:val="28"/>
          <w:sz w:val="28"/>
          <w:szCs w:val="28"/>
          <w:rtl w:val="true"/>
          <w:lang w:bidi="ar-SA"/>
        </w:rPr>
        <w:t>اعلم ، أنّ القول في المزكّي والجارح هو القول في الأدلّة المتعارضة ، فكما أنّه لا يجوز العمل بكلّ خبر حتّى يتفحّص عن معارضه ، وبالعامّ قبل الفحص عن مخصّصه ، فكذلك لا يجوز العمل بقول أحد من علماء الرجال في رجل معيّن حتّى يتفحّص عن معارضه ، هذا حال علماء الرجال بالنسبة إلى رواة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مطلق التزكية والجرح فليس كذلك ، مثل أن يزكّي عدل في هذا الزّمان رجلا موجودا في هذا الزّمان عند الحاكم مع عدم ظهور خلاف في ذلك ، نظير العامّ المسموع من الإمام عليه‌السلام حين المخاطبة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الفرق بين زمان الغيبة والحضور في مبحث العمل بالعامّ قبل الفحص عن المخصّص ، ولا فرق بين قول النجاشي مثلا أنّ داود بن الحصين ثقة ، وبين قول العلّامة في رواية كان هو في سنده مثلا صحيح في أنّه لا بدّ أن يراجع رجال الشيخ وغيره في معرفة حال وجود المعارض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ويتطرّق الإشكال في تصحيح السّند من جهة أخرى أيضا ، وهو احتمال الاشتباه في تعيين الرجل ، إذ أكثر الرجال مشترك ، فلا بدّ من الاجتهاد في تعيين المشتركات أيضا أوّلا ثمّ العمل على ما أدّى إليه النظر في الجرح والتعديل في خصوص الرجل ، فالاعتماد على تزكية المزكّي للرجل المعيّن إنّما هو في تزكيته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السّند المعيّن ففي ذلك وفي كون الرجل هو الرجل الذي رأيه فيه العدالة والجرح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إذا تعيّن الرجل أو السّند ، وأمّا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عدل من أصحابنا ، فإن كان ذلك المزكّي والمزكّى من جملة رواة أصحابنا الّذين وقع الخلاف في جرحهم وتعديلهم ، فلا يمكن الاعتماد ، لعدم إمكان الفحص عن حاله بسبب 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قال عالم في كتابه في حقّ حديث مجهول السند أنّه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ذلك في غير ما وقع الاختلاف فيه ، كما لو أخبرنا أحد في زماننا هذا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عدل بكذا ، فيمكن الاعتماد عليه إذا كان المخبر والمستمع عارفين بأسباب الجرح والتعديل ، متّفقين في الرأي أو مقلّدين لمجتهد واحد ، إذا لم يكن المخالفة في الجرح والتعديل ، وفي هذا البلد موجودة في حقّ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ذهب إليه المحقّق </w:t>
      </w:r>
      <w:r>
        <w:rPr>
          <w:rStyle w:val="FootnoteAnchor"/>
          <w:rtl w:val="true"/>
        </w:rPr>
        <w:footnoteReference w:id="1799"/>
      </w:r>
      <w:r>
        <w:rPr>
          <w:rFonts w:ascii="Amiri" w:hAnsi="Amiri" w:eastAsia="Amiri" w:cs="Amiri"/>
          <w:color w:val="111111"/>
          <w:sz w:val="28"/>
          <w:sz w:val="28"/>
          <w:szCs w:val="28"/>
          <w:rtl w:val="true"/>
          <w:lang w:bidi="ar-SA"/>
        </w:rPr>
        <w:t xml:space="preserve">من الاكتفاء بقول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عدل ، بل بما دونه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أصحابنا ، وعنى الإمامية ، يقبل وإن لم يصفه بالعدالة إذا لم يصفه بالجرح ، لأنّ إخباره بمذهبه شهادة بأنّه من أهل الأمانة ولم يعلم منه الجرح المانع من القبول ، فإن قال عن بعض أصحابه ، لم يقبل لإمكان أن يعني نسبته إلى بعض الرّواة </w:t>
      </w:r>
      <w:r>
        <w:rPr>
          <w:rStyle w:val="FootnoteAnchor"/>
          <w:rtl w:val="true"/>
        </w:rPr>
        <w:footnoteReference w:id="1800"/>
      </w:r>
      <w:r>
        <w:rPr>
          <w:rFonts w:ascii="Amiri" w:hAnsi="Amiri" w:eastAsia="Amiri" w:cs="Amiri"/>
          <w:color w:val="111111"/>
          <w:sz w:val="28"/>
          <w:sz w:val="28"/>
          <w:szCs w:val="28"/>
          <w:rtl w:val="true"/>
          <w:lang w:bidi="ar-SA"/>
        </w:rPr>
        <w:t xml:space="preserve">أو أهل العلم ، فيكون البحث فيه كالمجهول </w:t>
      </w:r>
      <w:r>
        <w:rPr>
          <w:rStyle w:val="FootnoteAnchor"/>
          <w:rtl w:val="true"/>
        </w:rPr>
        <w:footnoteReference w:id="180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في غاية البعد مع قوله </w:t>
      </w:r>
      <w:r>
        <w:rPr>
          <w:rStyle w:val="FootnoteAnchor"/>
          <w:rtl w:val="true"/>
        </w:rPr>
        <w:footnoteReference w:id="1802"/>
      </w:r>
      <w:r>
        <w:rPr>
          <w:rFonts w:ascii="Amiri" w:hAnsi="Amiri" w:eastAsia="Amiri" w:cs="Amiri"/>
          <w:color w:val="111111"/>
          <w:sz w:val="28"/>
          <w:sz w:val="28"/>
          <w:szCs w:val="28"/>
          <w:rtl w:val="true"/>
          <w:lang w:bidi="ar-SA"/>
        </w:rPr>
        <w:t>، باشتراط العدالة في الرّاوي ، لعدم انحصار أصحابنا في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أنّ هذا نوع مدح يوجب التثبّت لتعبيره بلفظ الصاحب المفيد للاختصاص</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فيما تقدّم جميعا بين ما أخبر عدل واحد أو عدلان على القولين في اعتبار المزكّي الواحد أو المتعدّد ، كما لا يخفى</w:t>
      </w:r>
      <w:r>
        <w:rPr>
          <w:rFonts w:eastAsia="Amiri" w:cs="Amiri" w:ascii="Amiri" w:hAnsi="Amiri"/>
          <w:color w:val="111111"/>
          <w:sz w:val="28"/>
          <w:szCs w:val="28"/>
          <w:rtl w:val="true"/>
          <w:lang w:bidi="ar-SA"/>
        </w:rPr>
        <w:t xml:space="preserve">. </w:t>
      </w:r>
      <w:bookmarkStart w:id="223" w:name="pg14071_149568"/>
    </w:p>
    <w:p>
      <w:pPr>
        <w:pStyle w:val="Heading5"/>
        <w:numPr>
          <w:ilvl w:val="4"/>
          <w:numId w:val="1"/>
        </w:numPr>
        <w:rPr/>
      </w:pPr>
      <w:bookmarkStart w:id="224" w:name="__RefHeading___Toc495151_1738255347"/>
      <w:bookmarkStart w:id="225" w:name="_Toc81"/>
      <w:bookmarkEnd w:id="223"/>
      <w:bookmarkEnd w:id="224"/>
      <w:r>
        <w:rPr>
          <w:rtl w:val="true"/>
        </w:rPr>
        <w:t>قانون</w:t>
      </w:r>
      <w:bookmarkEnd w:id="225"/>
    </w:p>
    <w:p>
      <w:pPr>
        <w:pStyle w:val="BookText"/>
        <w:rPr/>
      </w:pPr>
      <w:r>
        <w:rPr>
          <w:rFonts w:ascii="Amiri" w:hAnsi="Amiri" w:eastAsia="Amiri" w:cs="Amiri"/>
          <w:color w:val="111111"/>
          <w:sz w:val="28"/>
          <w:sz w:val="28"/>
          <w:szCs w:val="28"/>
          <w:rtl w:val="true"/>
          <w:lang w:bidi="ar-SA"/>
        </w:rPr>
        <w:t xml:space="preserve">إذا أسند العدل الحديث إلى المعصوم عليه‌السلام ولم يلقه أو ذكر الواسطة مبهمة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 ويقال له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خلاف بين العامّة </w:t>
      </w:r>
      <w:r>
        <w:rPr>
          <w:rStyle w:val="FootnoteAnchor"/>
          <w:rtl w:val="true"/>
        </w:rPr>
        <w:footnoteReference w:id="1803"/>
      </w:r>
      <w:r>
        <w:rPr>
          <w:rFonts w:ascii="Amiri" w:hAnsi="Amiri" w:eastAsia="Amiri" w:cs="Amiri"/>
          <w:color w:val="111111"/>
          <w:sz w:val="28"/>
          <w:sz w:val="28"/>
          <w:szCs w:val="28"/>
          <w:rtl w:val="true"/>
          <w:lang w:bidi="ar-SA"/>
        </w:rPr>
        <w:t>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بالقبول إن كان الرّاوي ممّن عرف أنّه لا يرسل إلّا مع عدالة الواسطة كمراسيل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عن محمّد بن خالد البرقي من قدماء أصحابنا ، ونسبه ابن الغضائري إلى ابنه أحمد </w:t>
      </w:r>
      <w:r>
        <w:rPr>
          <w:rStyle w:val="FootnoteAnchor"/>
          <w:rtl w:val="true"/>
        </w:rPr>
        <w:footnoteReference w:id="180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قولي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الشيخ </w:t>
      </w:r>
      <w:r>
        <w:rPr>
          <w:rStyle w:val="FootnoteAnchor"/>
          <w:rtl w:val="true"/>
        </w:rPr>
        <w:footnoteReference w:id="1806"/>
      </w:r>
      <w:r>
        <w:rPr>
          <w:rFonts w:ascii="Amiri" w:hAnsi="Amiri" w:eastAsia="Amiri" w:cs="Amiri"/>
          <w:color w:val="111111"/>
          <w:sz w:val="28"/>
          <w:sz w:val="28"/>
          <w:szCs w:val="28"/>
          <w:rtl w:val="true"/>
          <w:lang w:bidi="ar-SA"/>
        </w:rPr>
        <w:t>إلى قبوله إن كان الرّاوي ممّن عرف أنّه لا يروي إلّا عن ثقة مطلقا ، وإلّا فيشترط أن لا يكون له معارض من المسانيد الصحيحة ، ويظهر من المحقّق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هو القول الثالث ، لا لأنّ ذلك تعديل للواسطة حتّى يقال أنّه على فرض تسليمه شهادة على عدالة مجهول العين ، ولا يصحّ الاعتماد عليه </w:t>
      </w:r>
      <w:r>
        <w:rPr>
          <w:rStyle w:val="FootnoteAnchor"/>
          <w:rtl w:val="true"/>
        </w:rPr>
        <w:footnoteReference w:id="1807"/>
      </w:r>
      <w:r>
        <w:rPr>
          <w:rFonts w:ascii="Amiri" w:hAnsi="Amiri" w:eastAsia="Amiri" w:cs="Amiri"/>
          <w:color w:val="111111"/>
          <w:sz w:val="28"/>
          <w:sz w:val="28"/>
          <w:szCs w:val="28"/>
          <w:rtl w:val="true"/>
          <w:lang w:bidi="ar-SA"/>
        </w:rPr>
        <w:t xml:space="preserve">لاحتمال ثبوت الجارح كما تقدّم ، بل لأنّه يفيد نوع تثبّت إجماليّ ، إذ غايته </w:t>
      </w:r>
      <w:r>
        <w:rPr>
          <w:rStyle w:val="FootnoteAnchor"/>
          <w:rtl w:val="true"/>
        </w:rPr>
        <w:footnoteReference w:id="1808"/>
      </w:r>
      <w:r>
        <w:rPr>
          <w:rFonts w:ascii="Amiri" w:hAnsi="Amiri" w:eastAsia="Amiri" w:cs="Amiri"/>
          <w:color w:val="111111"/>
          <w:sz w:val="28"/>
          <w:sz w:val="28"/>
          <w:szCs w:val="28"/>
          <w:rtl w:val="true"/>
          <w:lang w:bidi="ar-SA"/>
        </w:rPr>
        <w:t>أنّ العدل يعتمد على صدق الواسطة ويعتقد الوثوق بخبره وإن لم يكن من جهة العدالة عنده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ذلك يفيد ظنّا بصدق خبره ، وهو لا يقصر عن الظنّ الحاصل بصدق خبر الفاسق بعد التثبّت ، ولذلك نعتمد على مسانيد ابن أبي عمير مثلا ، وإن كان المرويّ عنه المذكور ممّن لا يوثّقه علماء الرّجال ، فإنّ رواية ابن أبي عمير عنه يفيد الظنّ بكون المرويّ عنه ثقة معتمدا عليه في الحديث لما ذكر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يروي ولا يرسل إلّا عن ثقة ، ولما ذكره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 اجتمعت العصابة على تصحيح ما يصحّ عنه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ذكروا أنّ أصحابنا يسكنون إلى مراسيله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نظرائه مثل </w:t>
      </w:r>
    </w:p>
    <w:p>
      <w:pPr>
        <w:pStyle w:val="BookText"/>
        <w:rPr/>
      </w:pPr>
      <w:r>
        <w:rPr>
          <w:rFonts w:ascii="Amiri" w:hAnsi="Amiri" w:eastAsia="Amiri" w:cs="Amiri"/>
          <w:color w:val="111111"/>
          <w:sz w:val="28"/>
          <w:sz w:val="28"/>
          <w:szCs w:val="28"/>
          <w:rtl w:val="true"/>
          <w:lang w:bidi="ar-SA"/>
        </w:rPr>
        <w:t xml:space="preserve">البزنطي </w:t>
      </w:r>
      <w:r>
        <w:rPr>
          <w:rStyle w:val="FootnoteAnchor"/>
          <w:rtl w:val="true"/>
        </w:rPr>
        <w:footnoteReference w:id="1810"/>
      </w:r>
      <w:r>
        <w:rPr>
          <w:rFonts w:ascii="Amiri" w:hAnsi="Amiri" w:eastAsia="Amiri" w:cs="Amiri"/>
          <w:color w:val="111111"/>
          <w:sz w:val="28"/>
          <w:sz w:val="28"/>
          <w:szCs w:val="28"/>
          <w:rtl w:val="true"/>
          <w:lang w:bidi="ar-SA"/>
        </w:rPr>
        <w:t xml:space="preserve">وصفوان بن يحيى </w:t>
      </w:r>
      <w:r>
        <w:rPr>
          <w:rStyle w:val="FootnoteAnchor"/>
          <w:rtl w:val="true"/>
        </w:rPr>
        <w:footnoteReference w:id="1811"/>
      </w:r>
      <w:r>
        <w:rPr>
          <w:rFonts w:ascii="Amiri" w:hAnsi="Amiri" w:eastAsia="Amiri" w:cs="Amiri"/>
          <w:color w:val="111111"/>
          <w:sz w:val="28"/>
          <w:sz w:val="28"/>
          <w:szCs w:val="28"/>
          <w:rtl w:val="true"/>
          <w:lang w:bidi="ar-SA"/>
        </w:rPr>
        <w:t xml:space="preserve">والحمّادين </w:t>
      </w:r>
      <w:r>
        <w:rPr>
          <w:rStyle w:val="FootnoteAnchor"/>
          <w:rtl w:val="true"/>
        </w:rPr>
        <w:footnoteReference w:id="1812"/>
      </w:r>
      <w:r>
        <w:rPr>
          <w:rFonts w:ascii="Amiri" w:hAnsi="Amiri" w:eastAsia="Amiri" w:cs="Amiri"/>
          <w:color w:val="111111"/>
          <w:sz w:val="28"/>
          <w:sz w:val="28"/>
          <w:szCs w:val="28"/>
          <w:rtl w:val="true"/>
          <w:lang w:bidi="ar-SA"/>
        </w:rPr>
        <w:t xml:space="preserve">وغيرهم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 أنّ ذلك يوجب الوثوق ما لم يعارضه أقوى منه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حجّية الخبر لا تنحصر في الصحيح وخبر العدل ، بل المراد من </w:t>
      </w:r>
    </w:p>
    <w:p>
      <w:pPr>
        <w:pStyle w:val="BookText"/>
        <w:rPr/>
      </w:pPr>
      <w:r>
        <w:rPr>
          <w:rFonts w:ascii="Amiri" w:hAnsi="Amiri" w:eastAsia="Amiri" w:cs="Amiri"/>
          <w:color w:val="111111"/>
          <w:sz w:val="28"/>
          <w:sz w:val="28"/>
          <w:szCs w:val="28"/>
          <w:rtl w:val="true"/>
          <w:lang w:bidi="ar-SA"/>
        </w:rPr>
        <w:t>اشتراط العدالة في قبول الخبر ، هو أنّه شرط في قبوله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ملاحظة التثبّت والاعتضادات الخارجية فلا ريب أنّه لا ينحصر الحجّة في خبر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وغرضنا إثبات حجّية مثل هذه المراسيل لا إثبات أنّ أمثالها صحيحة في الاصطلاح ، والواسطة 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واحتجّ المثبت مطلقا بوجوه أقواها 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العدل عن الأصل المسكوت عنه تعديل له ، لأنّه لو روى عن غير العدل ولم يبيّن حاله لكان ذلك غشّا وتدليسا وهو مناف للعدالة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فيما لو أسقط الواسطة ، لا ما أبهمه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لو انحصر أمر العدل في روايته عن العدل أو عن الموثوق بصدقه ، وهو ممنوع كما لا يخفى على من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بذلك ما يظهر من كلام الصدوق رحمه‌الله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أنّ دأبه في هذا الكتاب ليس دأب المصنّفين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إسناد الحديث إلى المعصوم عليه‌السلام يقتضي صدقه لمنافاة إسناد الكذب العدالة ، فيتعيّن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يتمّ في صورة إبهام الواسطة إنّما يدلّ على كون الواسطة عادلا أو موثوقا بصدقه ، وهو توثيق لمجهول العين ، فلعلّ له جارحا والأولى بناء على ما مرّ تحقيقه ، منع كون ذلك إسنادا حقيقيّا ، بل لعلّه يريد الإسناد الظنّي الحاصل بمجرّد إخبار المسلم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أنّ العدل يعتبر ظنّا </w:t>
      </w:r>
      <w:r>
        <w:rPr>
          <w:rStyle w:val="FootnoteAnchor"/>
          <w:rtl w:val="true"/>
        </w:rPr>
        <w:footnoteReference w:id="1814"/>
      </w:r>
      <w:r>
        <w:rPr>
          <w:rFonts w:ascii="Amiri" w:hAnsi="Amiri" w:eastAsia="Amiri" w:cs="Amiri"/>
          <w:color w:val="111111"/>
          <w:sz w:val="28"/>
          <w:sz w:val="28"/>
          <w:szCs w:val="28"/>
          <w:rtl w:val="true"/>
          <w:lang w:bidi="ar-SA"/>
        </w:rPr>
        <w:t xml:space="preserve">فوق ذلك الظنّ </w:t>
      </w:r>
      <w:r>
        <w:rPr>
          <w:rStyle w:val="FootnoteAnchor"/>
          <w:rtl w:val="true"/>
        </w:rPr>
        <w:footnoteReference w:id="1815"/>
      </w:r>
      <w:r>
        <w:rPr>
          <w:rFonts w:ascii="IRNazanin" w:hAnsi="IRNazanin" w:eastAsia="IRNazanin"/>
          <w:color w:val="111111"/>
          <w:sz w:val="28"/>
          <w:sz w:val="28"/>
          <w:szCs w:val="28"/>
          <w:rtl w:val="true"/>
          <w:lang w:bidi="fa-IR"/>
        </w:rPr>
        <w:t xml:space="preserve">بصدوره </w:t>
      </w:r>
    </w:p>
    <w:p>
      <w:pPr>
        <w:pStyle w:val="BookText"/>
        <w:rPr/>
      </w:pPr>
      <w:r>
        <w:rPr>
          <w:rFonts w:ascii="Amiri" w:hAnsi="Amiri" w:eastAsia="Amiri" w:cs="Amiri"/>
          <w:color w:val="111111"/>
          <w:sz w:val="28"/>
          <w:sz w:val="28"/>
          <w:szCs w:val="28"/>
          <w:rtl w:val="true"/>
          <w:lang w:bidi="ar-SA"/>
        </w:rPr>
        <w:t>عن المعصوم عليه‌السلام ، فإمّا يتّكل على عدالة الأصل ، أو التثبّت الحاصل له المفيد لصدقه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الإسناد لا بدّ أن يكون من جهة حصول العلم به في غاية البعد كما هو الغالب في الأخبار ، فالإنصاف أنّ ذلك لا يخلو عن قوّة ، سيّما في غير المواعظ والمندوبات والمقامات الخطابية ، فإنّ العدل لا ينسب إلى المعصوم عليه‌السلام في مقام بيان الأحكام إلّا ما حصل له الظنّ بالصدق ، إمّا من جهة العدالة أو التثبّت وكلاهما يفيد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النافي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مرّت الإشارة إليه ، من أنّ شرط قبول الرّواية معرفة عدالة الرّاوي ، ولم يثبت لعدم دلالة رواية العدل عليه كما مرّ ، وإن كان مثل ابن أبي عمير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عدالة الواسطة إن ثبت بإخباره ، فهو شهادة منه على عدالة مجهول العين ، وإن علم ذلك من استقراء مراسيله والاطّلاع عن خارج على أنّه لا يروي إلّا عن ثقة ، فهو في معنى الإسناد ، ولا نزاع فيه ، ويظهر الجواب عنه ممّا مرّ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الشيخ لما ذكره </w:t>
      </w:r>
      <w:r>
        <w:rPr>
          <w:rStyle w:val="FootnoteAnchor"/>
          <w:rtl w:val="true"/>
        </w:rPr>
        <w:footnoteReference w:id="1817"/>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الطائفة على المراسيل مطلقا إذا لم يعارضها من المسانيد الصحيحة ، فإن أراد الإجماع ، فلم يثبت ، وإلّا فلا حجّة فيه على الإطلاق</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 xml:space="preserve">. </w:t>
      </w:r>
      <w:bookmarkStart w:id="226" w:name="pg14071_149578"/>
    </w:p>
    <w:p>
      <w:pPr>
        <w:pStyle w:val="Heading5"/>
        <w:numPr>
          <w:ilvl w:val="4"/>
          <w:numId w:val="1"/>
        </w:numPr>
        <w:rPr/>
      </w:pPr>
      <w:bookmarkStart w:id="227" w:name="__RefHeading___Toc495153_1738255347"/>
      <w:bookmarkStart w:id="228" w:name="_Toc82"/>
      <w:bookmarkEnd w:id="226"/>
      <w:bookmarkEnd w:id="227"/>
      <w:r>
        <w:rPr>
          <w:rtl w:val="true"/>
        </w:rPr>
        <w:t>قانون</w:t>
      </w:r>
      <w:bookmarkEnd w:id="228"/>
    </w:p>
    <w:p>
      <w:pPr>
        <w:pStyle w:val="BookText"/>
        <w:rPr/>
      </w:pPr>
      <w:r>
        <w:rPr>
          <w:rFonts w:ascii="Amiri" w:hAnsi="Amiri" w:eastAsia="Amiri" w:cs="Amiri"/>
          <w:color w:val="111111"/>
          <w:sz w:val="28"/>
          <w:sz w:val="28"/>
          <w:szCs w:val="28"/>
          <w:rtl w:val="true"/>
          <w:lang w:bidi="ar-SA"/>
        </w:rPr>
        <w:t xml:space="preserve">لا خلاف بين أصحابنا ظاهرا في جواز نقل الحديث بالمعنى، وذهب بعض العامّة إلى المنع عنه مطلقا </w:t>
      </w:r>
      <w:r>
        <w:rPr>
          <w:rStyle w:val="FootnoteAnchor"/>
          <w:rtl w:val="true"/>
        </w:rPr>
        <w:footnoteReference w:id="1819"/>
      </w:r>
      <w:r>
        <w:rPr>
          <w:rFonts w:ascii="Amiri" w:hAnsi="Amiri" w:eastAsia="Amiri" w:cs="Amiri"/>
          <w:color w:val="111111"/>
          <w:sz w:val="28"/>
          <w:sz w:val="28"/>
          <w:szCs w:val="28"/>
          <w:rtl w:val="true"/>
          <w:lang w:bidi="ar-SA"/>
        </w:rPr>
        <w:t>، وبعضهم في غير المرادف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وشرط الجواز هو كون الناقل عارفا بمعاني الألفاظ بوضعها ، وبالقرائن الدالّة على خلافه ، وأن لا يقصر الترجمة عن إفادة المراد ، وإن اقتصر على نقل بعضه فلا يضرّ إذا لم يكن مخلّا بما ذكر </w:t>
      </w:r>
      <w:r>
        <w:rPr>
          <w:rStyle w:val="FootnoteAnchor"/>
          <w:rtl w:val="true"/>
        </w:rPr>
        <w:footnoteReference w:id="1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مساويا له في الخفاء والجلاء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وعلّله بعضهم </w:t>
      </w:r>
      <w:r>
        <w:rPr>
          <w:rStyle w:val="FootnoteAnchor"/>
          <w:rtl w:val="true"/>
        </w:rPr>
        <w:footnoteReference w:id="1821"/>
      </w:r>
      <w:r>
        <w:rPr>
          <w:rFonts w:ascii="Amiri" w:hAnsi="Amiri" w:eastAsia="Amiri" w:cs="Amiri"/>
          <w:color w:val="111111"/>
          <w:sz w:val="28"/>
          <w:sz w:val="28"/>
          <w:szCs w:val="28"/>
          <w:rtl w:val="true"/>
          <w:lang w:bidi="ar-SA"/>
        </w:rPr>
        <w:t xml:space="preserve">بأنّ الخطاب الشرعيّ تارة يكون بالمحكم ، وتارة بالمتشابه ، لحكم وأسرار لا يصل إليها عقول البشر وهو </w:t>
      </w:r>
      <w:r>
        <w:rPr>
          <w:rStyle w:val="FootnoteAnchor"/>
          <w:rtl w:val="true"/>
        </w:rPr>
        <w:footnoteReference w:id="1822"/>
      </w:r>
      <w:r>
        <w:rPr>
          <w:rFonts w:ascii="Amiri" w:hAnsi="Amiri" w:eastAsia="Amiri" w:cs="Amiri"/>
          <w:color w:val="111111"/>
          <w:sz w:val="28"/>
          <w:sz w:val="28"/>
          <w:szCs w:val="28"/>
          <w:rtl w:val="true"/>
          <w:lang w:bidi="ar-SA"/>
        </w:rPr>
        <w:t>غير واضح ، إذ المتشابه إذا اقترن بقرينة تدلّ السامع على المراد ، فلا يضرّ نقله بالمعنى ، فإنّه ليس بمتشابه عند السامع ، بل هو كأحد الظواهر ، فلا يضرّ تغييره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يقترن بقرينة فحمله على أحد المعاني المحتملة من دون علم من جانب الشارع ، باطل ، ولا معنى لاشتراط المساواة في الخفاء والجلاء حينئذ ، بل </w:t>
      </w:r>
    </w:p>
    <w:p>
      <w:pPr>
        <w:pStyle w:val="BookText"/>
        <w:rPr/>
      </w:pPr>
      <w:r>
        <w:rPr>
          <w:rFonts w:ascii="Amiri" w:hAnsi="Amiri" w:eastAsia="Amiri" w:cs="Amiri"/>
          <w:color w:val="111111"/>
          <w:sz w:val="28"/>
          <w:sz w:val="28"/>
          <w:szCs w:val="28"/>
          <w:rtl w:val="true"/>
          <w:lang w:bidi="ar-SA"/>
        </w:rPr>
        <w:t>الشّرطان السّابقان يكفيان مئونة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أريد مثل ما لو نقل غير السّامع من الرّواة الوسائط وأدّاه ، بمعنى أدّى إليه اجتهاده بملاحظة سائر الأخبار والأدلّة ، فهو كذلك </w:t>
      </w:r>
      <w:r>
        <w:rPr>
          <w:rStyle w:val="FootnoteAnchor"/>
          <w:rtl w:val="true"/>
        </w:rPr>
        <w:footnoteReference w:id="1823"/>
      </w:r>
      <w:r>
        <w:rPr>
          <w:rFonts w:ascii="Amiri" w:hAnsi="Amiri" w:eastAsia="Amiri" w:cs="Amiri"/>
          <w:color w:val="111111"/>
          <w:sz w:val="28"/>
          <w:sz w:val="28"/>
          <w:szCs w:val="28"/>
          <w:rtl w:val="true"/>
          <w:lang w:bidi="ar-SA"/>
        </w:rPr>
        <w:t>، إذ ربّما كانت الرّواية في الأصل متشابهة بالنسبة إلى السّامع أيضا ، والحكمة اقتضت ذلك أو الحكمة اقتضت أن يوصل إلى المراد بالاجتهاد والفحص ، فحينئذ فلا بدّ للناقل من ذكر اللّفظ المتشابه وتعقيبه بالتفسير الذي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من باب النقل بالمعنى ، بل هو مسألة أخرى ذكروها بعنوان آخر وسنشير إليها </w:t>
      </w:r>
      <w:r>
        <w:rPr>
          <w:rStyle w:val="FootnoteAnchor"/>
          <w:rtl w:val="true"/>
        </w:rPr>
        <w:footnoteReference w:id="1824"/>
      </w:r>
      <w:r>
        <w:rPr>
          <w:rFonts w:ascii="Amiri" w:hAnsi="Amiri" w:eastAsia="Amiri" w:cs="Amiri"/>
          <w:color w:val="111111"/>
          <w:sz w:val="28"/>
          <w:sz w:val="28"/>
          <w:szCs w:val="28"/>
          <w:rtl w:val="true"/>
          <w:lang w:bidi="ar-SA"/>
        </w:rPr>
        <w:t>، اللهمّ إلّا أن يكون المراد أنّه لو أدّى المعصوم المطلوب بلفظ متشابه بالذّات ، مبيّن للسامع بانضمام القرائن فيجب على الناقل ذكر هذا اللفظ المتشابه ، وإن عقّبه ببيان ما قارنه بالعرض من القرينة المبيّنة له بانضمام أحوال التحاور والتخاطب بناء على الفرق بين أقسام الدلالات ، مثل ما لو حصل من المشترك مع القرينة أو من اللّفظ الآحادي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ذلك أنّه ينبغي مراعاة النصّ والظاهر أيضا ، بل وأقسام الظواهر ، إذ في عدم مراعاة ذلك يحصل الاختلاف في مدلول الأخبار في غاية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ذكر الإمام عليه‌السلام لفظ القرء في بيان العدّة وفهم الرّاوي بقرينة المقام الطهر مثلا ، فلا يروي الحديث بلفظ الطهر ، إذ ربّما كان فهم الرّاوي خطأ لاشتباه القرينة عليه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أراد بيان ذلك ، فليذكر لفظ القرء ثمّ يفسّره بما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النصّ والظاهر ، مثلا إذا قال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من اليوم بمقدار صلاة العصر ؛ فهو مختصّ </w:t>
      </w:r>
    </w:p>
    <w:p>
      <w:pPr>
        <w:pStyle w:val="BookText"/>
        <w:rPr/>
      </w:pPr>
      <w:r>
        <w:rPr>
          <w:rFonts w:ascii="Amiri" w:hAnsi="Amiri" w:eastAsia="Amiri" w:cs="Amiri"/>
          <w:color w:val="111111"/>
          <w:sz w:val="28"/>
          <w:sz w:val="28"/>
          <w:szCs w:val="28"/>
          <w:rtl w:val="true"/>
          <w:lang w:bidi="ar-SA"/>
        </w:rPr>
        <w:t xml:space="preserve">به ، فنقله الرّاوي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من اليوم بمقدار أربع ركعات العصر ؛ فهو مختصّ به ، مريدا به صلاة العصر أيضا ، إذ يتفاوت الأمر بين اللّفظين بملاحظة شمول صلاة العصر لركعتي المسافر وأقلّ منه كصلاة الخوف وأمثال ذلك ، وكذلك في صلاة العشاء ونصف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ذلك الفرق أفردت في هذه المسألة من الأصحاب في جواز الإتيان بصلاة المغرب والعشاء كليهما إذا بقي من نصف الليل بمقدار أربع ركعات فإنّهم يخصّونه بالعشاء ، وأنا أجمع بينهما لما استفاض من النقل الصحيح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الوقت فقد أدرك الوقت</w:t>
      </w:r>
      <w:r>
        <w:rPr>
          <w:rFonts w:eastAsia="Amiri" w:cs="Amiri" w:ascii="Amiri" w:hAnsi="Amiri"/>
          <w:color w:val="111111"/>
          <w:sz w:val="28"/>
          <w:szCs w:val="28"/>
          <w:rtl w:val="true"/>
          <w:lang w:bidi="ar-SA"/>
        </w:rPr>
        <w:t xml:space="preserve">» </w:t>
      </w:r>
      <w:r>
        <w:rPr>
          <w:rStyle w:val="FootnoteAnchor"/>
          <w:rtl w:val="true"/>
        </w:rPr>
        <w:footnoteReference w:id="1825"/>
      </w:r>
      <w:r>
        <w:rPr>
          <w:rFonts w:ascii="Amiri" w:hAnsi="Amiri" w:eastAsia="Amiri" w:cs="Amiri"/>
          <w:color w:val="111111"/>
          <w:sz w:val="28"/>
          <w:sz w:val="28"/>
          <w:szCs w:val="28"/>
          <w:rtl w:val="true"/>
          <w:lang w:bidi="ar-SA"/>
        </w:rPr>
        <w:t>فيصدق على هذا أنّه يدرك وقت الصلاتين وإن لم يدرك وقت 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فلا بدّ لناقل الحديث بالمعنى من ملاحظة العنوانات المتعاورة </w:t>
      </w:r>
      <w:r>
        <w:rPr>
          <w:rStyle w:val="FootnoteAnchor"/>
          <w:rtl w:val="true"/>
        </w:rPr>
        <w:footnoteReference w:id="1826"/>
      </w:r>
      <w:r>
        <w:rPr>
          <w:rFonts w:ascii="Amiri" w:hAnsi="Amiri" w:eastAsia="Amiri" w:cs="Amiri"/>
          <w:color w:val="111111"/>
          <w:sz w:val="28"/>
          <w:sz w:val="28"/>
          <w:szCs w:val="28"/>
          <w:rtl w:val="true"/>
          <w:lang w:bidi="ar-SA"/>
        </w:rPr>
        <w:t>على مصداق واحد مع اختلاف الحكم باختلافها ، وملاحظة تفاوت الأحكام بتفاوت العنوانات أهمّ شيء للمجتهد في المسائل الشرعية ، فبأدنى غفلة يختلّ الأمر ويحصل الاشتباه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وأمّا ضبط مراتب الوضوح والخفاء بالنسبة إلى مؤدّى الألفاظ فهو ممّا يصعب إثبات اشتراطه ، إذ الظاهر أنّ المعصوم عليه‌السلام إنّما يقصد من الإخبار غالبا تفهيم المخاطب ورفع حاجته في الموارد الخاصّة المحتاج إليها بحسب اتّفاق الوقائع التي دعتهم إلى السّؤال عنه عليه‌السلام أو علم المعصوم عليه‌السلام احتياجهم إليها ، </w:t>
      </w:r>
    </w:p>
    <w:p>
      <w:pPr>
        <w:pStyle w:val="BookText"/>
        <w:rPr/>
      </w:pPr>
      <w:r>
        <w:rPr>
          <w:rFonts w:ascii="Amiri" w:hAnsi="Amiri" w:eastAsia="Amiri" w:cs="Amiri"/>
          <w:color w:val="111111"/>
          <w:sz w:val="28"/>
          <w:sz w:val="28"/>
          <w:szCs w:val="28"/>
          <w:rtl w:val="true"/>
          <w:lang w:bidi="ar-SA"/>
        </w:rPr>
        <w:t>فهم عليهم‌السلام يكلّمون أصحابهم بقدر فهمهم لا إنّهم يتكلّمون على معيار خاصّ يكون هو المرجع والمعوّل حتّى يعتبر في نقله للآخر ذلك المقدار ، بل الناقل للغير أيضا لا بدّ أن يلاحظ مقدار فهم مخاطبه لا كلّ مخاطب ، وهكذا ، فنقل المطلوب بعبارة أوجز إذا كان المخاطب ألمعيا فطنا ذكيّا ، لا مانع منه ، وكذلك نقله أبسط وأوضح إذا كان بليدا غبيّا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فالحقّ جواز نقل الحديث بالمعنى مع الشّرائط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هو الطريقة المعهودة في العرف والعادة من لدن آدم عليه‌السلام إلى زماننا هذا ، والشارع عليه‌السلام أيضا بناؤه في المحاورات على طريقة العرف والعادة ، فإنّ المقصود في العرف والعادة ، هو إفهام المراد من دون اعتبار خصوصية لفظ وأنّه مرسل بلسان قومه </w:t>
      </w:r>
      <w:r>
        <w:rPr>
          <w:rStyle w:val="FootnoteAnchor"/>
          <w:rtl w:val="true"/>
        </w:rPr>
        <w:footnoteReference w:id="1827"/>
      </w:r>
      <w:r>
        <w:rPr>
          <w:rFonts w:ascii="Amiri" w:hAnsi="Amiri" w:eastAsia="Amiri" w:cs="Amiri"/>
          <w:color w:val="111111"/>
          <w:sz w:val="28"/>
          <w:sz w:val="28"/>
          <w:szCs w:val="28"/>
          <w:rtl w:val="true"/>
          <w:lang w:bidi="ar-SA"/>
        </w:rPr>
        <w:t>، ومن ذلك نقل الرّاوي إلى العجميّ باللّسان العجميّة ، وكذا الناقل من المجتهد إلى أهله وعياله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الواردة عنهم عليهم‌السلام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الحديث منك فأزيد وأنقص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معانيه فلا بأس</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من الزيادة والنقصان ما لا مدخليّة له في تغيير المراد بقرينة جلالة شأن الرّاوي وجواب الإمام عليه‌السلام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معانيه ، يعني إن لم تقصد نسبة اللّفظ إلينا ، فإنّه 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أنّ أفراد العامّ كلّها من مدلولات العامّ وكذلك لوازم المفهوم ، فيصدق أنّ الكلّ معاني اللّفظ ، فإذا أراد أن ينقل عن الإمام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 مثلا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خافوا من الله واجتنبوا عمّا نهاكم الله عنه من الشّرك والفسق وشرب الخمر والزّنا ، إلى غير ذلك ، وواظبوا على ما أوجبه عليكم من إقامة الصلاة وإيتاء الزّكاة ونحو ذلك ، فيصدق على ذلك أنّه نقل لمعاني كلام الإمام عليه‌السلام ، بل وكذلك أيضا لو كان ممّا دلّ عليه بالإشارة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إشكال فيه لحصول الغفلة ووجود الثمرة بين الخطابات الأصليّة والتبعيّة كما أشرنا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المختار </w:t>
      </w:r>
      <w:r>
        <w:rPr>
          <w:rStyle w:val="FootnoteAnchor"/>
          <w:rtl w:val="true"/>
        </w:rPr>
        <w:footnoteReference w:id="182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قصّ القصّة الواحدة بعبارات مختلفة ، ومن المعلوم أنّها وقعت بغير العربيّة أو بعبارة واحدة منها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بإحدى تلك العبارات ، لأنّ هذا الكلام على هذا الطّور الغريب والأسلوب العجيب ، منحصر في القرآن الذي هو منزل على سبيل الإعجاز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جواز ذلك لمن تتبّع الآثار والأخبار ، فإنّ تتبّعها يفيد أنّ ذلك كان طريقة أصحاب النبيّ وآله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يوجب اختلال المقصود واستحالة المعنى ، سيّما مع كثرة الطبقات وتطاول الأزمنة وتغيير كلّ منهم اللّفظ لاختلاف أهل اللّسان ، بل العلماء في فهم الألفاظ واستنباط المقصود</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ما ذكرنا من الشروط </w:t>
      </w:r>
      <w:r>
        <w:rPr>
          <w:rStyle w:val="FootnoteAnchor"/>
          <w:rtl w:val="true"/>
        </w:rPr>
        <w:footnoteReference w:id="1830"/>
      </w:r>
      <w:r>
        <w:rPr>
          <w:rFonts w:ascii="Amiri" w:hAnsi="Amiri" w:eastAsia="Amiri" w:cs="Amiri"/>
          <w:color w:val="111111"/>
          <w:sz w:val="28"/>
          <w:sz w:val="28"/>
          <w:szCs w:val="28"/>
          <w:rtl w:val="true"/>
          <w:lang w:bidi="ar-SA"/>
        </w:rPr>
        <w:t xml:space="preserve">، لا وقع لهذا الاحتجاج ، سيّما وذلك </w:t>
      </w:r>
    </w:p>
    <w:p>
      <w:pPr>
        <w:pStyle w:val="BookText"/>
        <w:rPr/>
      </w:pPr>
      <w:r>
        <w:rPr>
          <w:rFonts w:ascii="Amiri" w:hAnsi="Amiri" w:eastAsia="Amiri" w:cs="Amiri"/>
          <w:color w:val="111111"/>
          <w:sz w:val="28"/>
          <w:sz w:val="28"/>
          <w:szCs w:val="28"/>
          <w:rtl w:val="true"/>
          <w:lang w:bidi="ar-SA"/>
        </w:rPr>
        <w:t>معارض بما مرّ من الأدلّة ، فلو فرض الاشتباه والغفلة مع ذلك ، فهو معفوّ ، مع أنّ اعتبار النقل باللفظ في الجميع يقرب من المحال ، بل هو محال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يتمّ في مثل الأدعية التي اعتبر فيها الألفاظ المخصوصة ، وطريقتهم في ذلك غالبا أنّهم كانوا يملون على أصحابهم وهم يكتبون ، ولذلك ندر الاختلاف فيها ، بخلاف الأخبار ، وبقوله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الله من سمع مقالتي فرعاها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أدّاها كما سمعها ، فربّ حامل فقه إلى من هو أفقه منه</w:t>
      </w:r>
      <w:r>
        <w:rPr>
          <w:rFonts w:eastAsia="Amiri" w:cs="Amiri" w:ascii="Amiri" w:hAnsi="Amiri"/>
          <w:color w:val="111111"/>
          <w:sz w:val="28"/>
          <w:szCs w:val="28"/>
          <w:rtl w:val="true"/>
          <w:lang w:bidi="ar-SA"/>
        </w:rPr>
        <w:t xml:space="preserve">» </w:t>
      </w:r>
      <w:r>
        <w:rPr>
          <w:rStyle w:val="FootnoteAnchor"/>
          <w:rtl w:val="true"/>
        </w:rPr>
        <w:footnoteReference w:id="1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وأداؤه كما سمعه إنّما يتحقّق بنقل اللّفظ المسموع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الصحّة أوّلا ، ومنع الدلالة على الوجوب ثانيا كما لا يخفى ، ومنع الدلالة على وجوب التأدية بلفظه ثالثا ، لصدق التأدية كما سمعه عرفا بمجرّد أداء المعنى كما هو</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الظاهر أنّ هذا الحديث واحد وقد اختلف ألفاظه ، ففي رواية كما ذكر ، 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 بالضاد المعجمة ، 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لا فقه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الحديث لنا </w:t>
      </w:r>
      <w:r>
        <w:rPr>
          <w:rStyle w:val="FootnoteAnchor"/>
          <w:rtl w:val="true"/>
        </w:rPr>
        <w:footnoteReference w:id="1832"/>
      </w:r>
      <w:r>
        <w:rPr>
          <w:rFonts w:ascii="Amiri" w:hAnsi="Amiri" w:eastAsia="Amiri" w:cs="Amiri"/>
          <w:color w:val="111111"/>
          <w:sz w:val="28"/>
          <w:sz w:val="28"/>
          <w:szCs w:val="28"/>
          <w:rtl w:val="true"/>
          <w:lang w:bidi="ar-SA"/>
        </w:rPr>
        <w:t>لا علينا ، إلّا أن يمنع الظّهور ويتمسّك بأصالة عدم التغيير ، وهو معارض بأصالة عدم التعدّد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ضعف قوله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فيما وعدنا ذكره </w:t>
      </w:r>
      <w:r>
        <w:rPr>
          <w:rStyle w:val="FootnoteAnchor"/>
          <w:rtl w:val="true"/>
        </w:rPr>
        <w:footnoteReference w:id="1833"/>
      </w:r>
      <w:r>
        <w:rPr>
          <w:rFonts w:ascii="Amiri" w:hAnsi="Amiri" w:eastAsia="Amiri" w:cs="Amiri"/>
          <w:color w:val="111111"/>
          <w:sz w:val="28"/>
          <w:sz w:val="28"/>
          <w:szCs w:val="28"/>
          <w:rtl w:val="true"/>
          <w:lang w:bidi="ar-SA"/>
        </w:rPr>
        <w:t>، وهو أنّ الرّاوي الثقة إذا روى مجملا وفسّره بأحد محامله ، فالأكثر على لزوم حمله عليه ، بخلاف ما لو روى ظاهرا وحمله على خلاف الظّاهر ، لأنّ فهم الرّاوي الثقة قرينة وليس له معارض من جهة اللّفظ لعدم دلالة المجمل على شيء ، بخلاف الثاني ، فإنّ فهمه معارض بالظاهر الذي 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مقتضى الظّاهر العمل عليه ، فمقتضى المجمل السّكوت عنه ولا يتفاوت الحال ، مع أنّ الظّاهر إنّما يعتبر ، لأنّ الظّاهر أنّه هو الظّاهر عند المخاطب بالحديث ، لا لظهوره عندنا ، لأنّ الخطاب مختصّ بالمشافهين كما بيّناه في محلّه ، فإذا ذكر المخاطب به أنّ مراده هو ما هو خلاف الظّاهر ، فالظّاهر اعتباره </w:t>
      </w:r>
      <w:r>
        <w:rPr>
          <w:rStyle w:val="FootnoteAnchor"/>
          <w:rtl w:val="true"/>
        </w:rPr>
        <w:footnoteReference w:id="1834"/>
      </w:r>
      <w:r>
        <w:rPr>
          <w:rFonts w:ascii="Amiri" w:hAnsi="Amiri" w:eastAsia="Amiri" w:cs="Amiri"/>
          <w:color w:val="111111"/>
          <w:sz w:val="28"/>
          <w:sz w:val="28"/>
          <w:szCs w:val="28"/>
          <w:rtl w:val="true"/>
          <w:lang w:bidi="ar-SA"/>
        </w:rPr>
        <w:t>غاية الأمر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تقديم الظّاهر ، فلا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فالمعيار هو حصول الظنّ</w:t>
      </w:r>
      <w:r>
        <w:rPr>
          <w:rFonts w:eastAsia="Amiri" w:cs="Amiri" w:ascii="Amiri" w:hAnsi="Amiri"/>
          <w:color w:val="111111"/>
          <w:sz w:val="28"/>
          <w:szCs w:val="28"/>
          <w:rtl w:val="true"/>
          <w:lang w:bidi="ar-SA"/>
        </w:rPr>
        <w:t xml:space="preserve">. </w:t>
      </w:r>
      <w:bookmarkStart w:id="229" w:name="pg14071_149592"/>
    </w:p>
    <w:p>
      <w:pPr>
        <w:pStyle w:val="Heading5"/>
        <w:numPr>
          <w:ilvl w:val="4"/>
          <w:numId w:val="1"/>
        </w:numPr>
        <w:rPr/>
      </w:pPr>
      <w:bookmarkStart w:id="230" w:name="__RefHeading___Toc495155_1738255347"/>
      <w:bookmarkStart w:id="231" w:name="_Toc83"/>
      <w:bookmarkEnd w:id="229"/>
      <w:bookmarkEnd w:id="230"/>
      <w:r>
        <w:rPr>
          <w:rtl w:val="true"/>
        </w:rPr>
        <w:t xml:space="preserve">خاتمة </w:t>
      </w:r>
      <w:r>
        <w:rPr>
          <w:rtl w:val="true"/>
        </w:rPr>
        <w:t>:</w:t>
      </w:r>
      <w:bookmarkEnd w:id="231"/>
    </w:p>
    <w:p>
      <w:pPr>
        <w:pStyle w:val="Heading6"/>
        <w:numPr>
          <w:ilvl w:val="5"/>
          <w:numId w:val="1"/>
        </w:numPr>
        <w:rPr/>
      </w:pPr>
      <w:bookmarkStart w:id="232" w:name="__RefHeading___Toc495157_1738255347"/>
      <w:bookmarkStart w:id="233" w:name="_Toc84"/>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 xml:space="preserve">فيها مباحث </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495159_1738255347"/>
      <w:bookmarkStart w:id="235" w:name="_Toc85"/>
      <w:bookmarkEnd w:id="234"/>
      <w:r>
        <w:rPr>
          <w:rtl w:val="true"/>
        </w:rPr>
        <w:t xml:space="preserve">الأوّل </w:t>
      </w:r>
      <w:r>
        <w:rPr>
          <w:rtl w:val="true"/>
        </w:rPr>
        <w:t>:</w:t>
      </w:r>
      <w:bookmarkEnd w:id="235"/>
    </w:p>
    <w:p>
      <w:pPr>
        <w:pStyle w:val="BookText"/>
        <w:rPr/>
      </w:pPr>
      <w:r>
        <w:rPr>
          <w:rFonts w:ascii="Amiri" w:hAnsi="Amiri" w:eastAsia="Amiri" w:cs="Amiri"/>
          <w:color w:val="111111"/>
          <w:sz w:val="28"/>
          <w:sz w:val="28"/>
          <w:szCs w:val="28"/>
          <w:rtl w:val="true"/>
          <w:lang w:bidi="ar-SA"/>
        </w:rPr>
        <w:t>اصطلح المتأخّرون من أصحابنا بتنويع خبر الواحد باعتبار اختلاف أحوال رواته</w:t>
      </w:r>
    </w:p>
    <w:p>
      <w:pPr>
        <w:pStyle w:val="BookText"/>
        <w:rPr/>
      </w:pPr>
      <w:r>
        <w:rPr>
          <w:rFonts w:ascii="Amiri" w:hAnsi="Amiri" w:eastAsia="Amiri" w:cs="Amiri"/>
          <w:color w:val="111111"/>
          <w:sz w:val="28"/>
          <w:sz w:val="28"/>
          <w:szCs w:val="28"/>
          <w:rtl w:val="true"/>
          <w:lang w:bidi="ar-SA"/>
        </w:rPr>
        <w:t xml:space="preserve">في الاتّصاف بالإيمان والعدالة والضبط وعدمها </w:t>
      </w:r>
      <w:r>
        <w:rPr>
          <w:rStyle w:val="FootnoteAnchor"/>
          <w:rtl w:val="true"/>
        </w:rPr>
        <w:footnoteReference w:id="1835"/>
      </w:r>
      <w:r>
        <w:rPr>
          <w:rFonts w:ascii="Amiri" w:hAnsi="Amiri" w:eastAsia="Amiri" w:cs="Amiri"/>
          <w:color w:val="111111"/>
          <w:sz w:val="28"/>
          <w:sz w:val="28"/>
          <w:szCs w:val="28"/>
          <w:rtl w:val="true"/>
          <w:lang w:bidi="ar-SA"/>
        </w:rPr>
        <w:t xml:space="preserve">، بأنواع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 وهو ما كان جميع سلسلة سنده إماميّين ممدوحين بالتوثيق مع الاتّصال </w:t>
      </w:r>
      <w:r>
        <w:rPr>
          <w:rStyle w:val="FootnoteAnchor"/>
          <w:rtl w:val="true"/>
        </w:rPr>
        <w:footnoteReference w:id="1836"/>
      </w:r>
      <w:r>
        <w:rPr>
          <w:rFonts w:ascii="Amiri" w:hAnsi="Amiri" w:eastAsia="Amiri" w:cs="Amiri"/>
          <w:color w:val="111111"/>
          <w:sz w:val="28"/>
          <w:sz w:val="28"/>
          <w:szCs w:val="28"/>
          <w:rtl w:val="true"/>
          <w:lang w:bidi="ar-SA"/>
        </w:rPr>
        <w:t xml:space="preserve">، ولا يضرّه الشذوذ وإن سقط عن الحجّية ، خلافا لبعض العامّة حيث اعتبر في وصفه بالصحّة عدم الشذوذ وعدم كونه معلّلا </w:t>
      </w:r>
      <w:r>
        <w:rPr>
          <w:rStyle w:val="FootnoteAnchor"/>
          <w:rtl w:val="true"/>
        </w:rPr>
        <w:footnoteReference w:id="1837"/>
      </w:r>
      <w:r>
        <w:rPr>
          <w:rFonts w:ascii="Amiri" w:hAnsi="Amiri" w:eastAsia="Amiri" w:cs="Amiri"/>
          <w:color w:val="111111"/>
          <w:sz w:val="28"/>
          <w:sz w:val="28"/>
          <w:szCs w:val="28"/>
          <w:rtl w:val="true"/>
          <w:lang w:bidi="ar-SA"/>
        </w:rPr>
        <w:t xml:space="preserve">، يعني مشتملا على علّة خفيّة في متنه أو سنده لا يطّلع عليها إلّا الماهر ، كالإرسال فيما ظاهره الاتّصال أو مخالفته لصريح العقل </w:t>
      </w:r>
      <w:r>
        <w:rPr>
          <w:rStyle w:val="FootnoteAnchor"/>
          <w:rtl w:val="true"/>
        </w:rPr>
        <w:footnoteReference w:id="1838"/>
      </w:r>
      <w:r>
        <w:rPr>
          <w:rFonts w:ascii="Amiri" w:hAnsi="Amiri" w:eastAsia="Amiri" w:cs="Amiri"/>
          <w:color w:val="111111"/>
          <w:sz w:val="28"/>
          <w:sz w:val="28"/>
          <w:szCs w:val="28"/>
          <w:rtl w:val="true"/>
          <w:lang w:bidi="ar-SA"/>
        </w:rPr>
        <w:t>أو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عدم كونه معلّلا أيضا مستغنى عنه ، إذ ما ظهر كونه منقطعا أو ما شكّ فيه ، فلا يصحّ الحكم بأنّه متّصل السند إلى المعصوم عليهم‌السلام بالإمامي العدل الثقة ، فإنّ ظاهر هذا التعريف هو ما حصل اليقين بذلك أو ما ترجّح في النظر كونه كذلك</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فالمعلّل أعني ما حصل الشكّ في ذلك ، خارج عن التعريف ، فوصف بعضهم مثل ذلك بالصحّة مع ظهور كونه معلّلا عند آخر مبنيّ على غفلة الواصف وخطأه </w:t>
      </w:r>
    </w:p>
    <w:p>
      <w:pPr>
        <w:pStyle w:val="BookText"/>
        <w:rPr/>
      </w:pPr>
      <w:r>
        <w:rPr>
          <w:rFonts w:ascii="Amiri" w:hAnsi="Amiri" w:eastAsia="Amiri" w:cs="Amiri"/>
          <w:color w:val="111111"/>
          <w:sz w:val="28"/>
          <w:sz w:val="28"/>
          <w:szCs w:val="28"/>
          <w:rtl w:val="true"/>
          <w:lang w:bidi="ar-SA"/>
        </w:rPr>
        <w:t>في اجتهاده ، وترجيحه انّه غير 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عيب المتن فلا مدخليّة له بهذا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 وهو ما كانوا إماميّين ممدوحين بغير التوثيق ، كلّا أو بعضا ، مع توثيق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 وهو ما كان كلّهم أو بعضهم غير إماميّ مع توثيق الكلّ ، وقد يسمّى بالقويّ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القويّ على ما كان رجاله إماميّين مسكوتا عن مدحهم وذمّهم ، كنوح بن درّاج </w:t>
      </w:r>
      <w:r>
        <w:rPr>
          <w:rStyle w:val="FootnoteAnchor"/>
          <w:rtl w:val="true"/>
        </w:rPr>
        <w:footnoteReference w:id="1839"/>
      </w:r>
      <w:r>
        <w:rPr>
          <w:rFonts w:ascii="Amiri" w:hAnsi="Amiri" w:eastAsia="Amiri" w:cs="Amiri"/>
          <w:color w:val="111111"/>
          <w:sz w:val="28"/>
          <w:sz w:val="28"/>
          <w:szCs w:val="28"/>
          <w:rtl w:val="true"/>
          <w:lang w:bidi="ar-SA"/>
        </w:rPr>
        <w:t xml:space="preserve">وأحمد بن عبد الله بن جعفر الحميري </w:t>
      </w:r>
      <w:r>
        <w:rPr>
          <w:rStyle w:val="FootnoteAnchor"/>
          <w:rtl w:val="true"/>
        </w:rPr>
        <w:footnoteReference w:id="1840"/>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رجال السّند منحصرا في الإماميّ الممدوح بدون التوثيق ، وغير الإماميّ الموثّق ، ففي لحوقه بأيّهما خلاف يرجع إلى الترجيح بين الموثّق والحسن ، لأنّ السند يتبع في التوصيف أخسّ رجاله ، كالنتيجة تتبع أخصّ مقدّمتيها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كون الموثّق أقوى ، فيتّصف بالحسن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يصير الحسن أقوى بسبب خصوص المدح في خصوص الرّجل ، وهو لا يوجب ترجيح ماهيّته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يطلق الصحيح مضافا إلى راو معيّن على خبر كان سنده إلى هذا الرجل متّصفا بصفات رجال الصحيح وإن لحقه بعد ذلك ضعف وإرسال ، مثل أن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صحيحة ابن أبي عمير عن رجل 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ذلك ليس من الصحيح المصطلح الذي هو حجّة بنفسه ، بل هو غفلة أو اصطلاح لإعلام تصحيح السّند إلى الرجل المعيّن</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على تصحيح ما يصحّ عن عبد الله بن بكير مثلا </w:t>
      </w:r>
      <w:r>
        <w:rPr>
          <w:rStyle w:val="FootnoteAnchor"/>
          <w:rtl w:val="true"/>
        </w:rPr>
        <w:footnoteReference w:id="1841"/>
      </w:r>
      <w:r>
        <w:rPr>
          <w:rFonts w:ascii="Amiri" w:hAnsi="Amiri" w:eastAsia="Amiri" w:cs="Amiri"/>
          <w:color w:val="111111"/>
          <w:sz w:val="28"/>
          <w:sz w:val="28"/>
          <w:szCs w:val="28"/>
          <w:rtl w:val="true"/>
          <w:lang w:bidi="ar-SA"/>
        </w:rPr>
        <w:t xml:space="preserve">، فهو ليس من هذا القبيل ، كما توهّم </w:t>
      </w:r>
      <w:r>
        <w:rPr>
          <w:rStyle w:val="FootnoteAnchor"/>
          <w:rtl w:val="true"/>
        </w:rPr>
        <w:footnoteReference w:id="1842"/>
      </w:r>
      <w:r>
        <w:rPr>
          <w:rFonts w:ascii="Amiri" w:hAnsi="Amiri" w:eastAsia="Amiri" w:cs="Amiri"/>
          <w:color w:val="111111"/>
          <w:sz w:val="28"/>
          <w:sz w:val="28"/>
          <w:szCs w:val="28"/>
          <w:rtl w:val="true"/>
          <w:lang w:bidi="ar-SA"/>
        </w:rPr>
        <w:t xml:space="preserve">، من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فيه الصحّة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أريد منه بيان الوثوق بما قبل عبد الله بن بكير أيضا ، وقد يطلق </w:t>
      </w:r>
      <w:r>
        <w:rPr>
          <w:rStyle w:val="FootnoteAnchor"/>
          <w:rtl w:val="true"/>
        </w:rPr>
        <w:footnoteReference w:id="1843"/>
      </w:r>
      <w:r>
        <w:rPr>
          <w:rFonts w:ascii="Amiri" w:hAnsi="Amiri" w:eastAsia="Amiri" w:cs="Amiri"/>
          <w:color w:val="111111"/>
          <w:sz w:val="28"/>
          <w:sz w:val="28"/>
          <w:szCs w:val="28"/>
          <w:rtl w:val="true"/>
          <w:lang w:bidi="ar-SA"/>
        </w:rPr>
        <w:t xml:space="preserve">على جملة محذوفة من السند للاختصار ، جامعة لأوصاف رجال صحيح السند ،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في الصحيح عن فلان ، وإن لم يكن الفلان ولا ما قبله متّصفا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ويثمر ذلك في الأغلب فيما كان الفلان ممّن اجتمعت العصابة على تصحيح ما يصحّ عنهم ، ونحو ذلك ممّا يدلّ على اعتبار ذلك الحديث بسبب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والاصطلاحان المذكوران يجريان في القسمين </w:t>
      </w:r>
      <w:r>
        <w:rPr>
          <w:rStyle w:val="FootnoteAnchor"/>
          <w:rtl w:val="true"/>
        </w:rPr>
        <w:footnoteReference w:id="1844"/>
      </w:r>
      <w:r>
        <w:rPr>
          <w:rFonts w:ascii="Amiri" w:hAnsi="Amiri" w:eastAsia="Amiri" w:cs="Amiri"/>
          <w:color w:val="111111"/>
          <w:sz w:val="28"/>
          <w:sz w:val="28"/>
          <w:szCs w:val="28"/>
          <w:rtl w:val="true"/>
          <w:lang w:bidi="ar-SA"/>
        </w:rPr>
        <w:t>الآخرين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 وهو ما لم يجتمع فيه شرائط 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ممّا سبق كون الصحيح والموثّق حجّة ، وكذلك الحسن إذا أفاد مدحه التثبّت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الضعيف فلا حجّة فيه إلّا إذا اشتهر العمل به ، وحينئذ يسمّى مقبولا ، وهو حجّة حينئذ سيّما إذا كان الاشتهار بين قدماء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يجوز الاستدلال به في المندوبات والمكروهات ، للأخبار المستفيضة المعتبرة </w:t>
      </w:r>
      <w:r>
        <w:rPr>
          <w:rStyle w:val="FootnoteAnchor"/>
          <w:rtl w:val="true"/>
        </w:rPr>
        <w:footnoteReference w:id="1845"/>
      </w:r>
      <w:r>
        <w:rPr>
          <w:rFonts w:ascii="Amiri" w:hAnsi="Amiri" w:eastAsia="Amiri" w:cs="Amiri"/>
          <w:color w:val="111111"/>
          <w:sz w:val="28"/>
          <w:sz w:val="28"/>
          <w:szCs w:val="28"/>
          <w:rtl w:val="true"/>
          <w:lang w:bidi="ar-SA"/>
        </w:rPr>
        <w:t xml:space="preserve">، جملة منها الدالّة على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ثواب على عمل ففعله التماس ذلك الثواب أوتيه وإن لم يكن كما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العامّة والخاصّة وغيرها من الأدلّة ، وقد بيّناها وحقّقناها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نسبة هذا الاصطلاح إلى المتأخّرين ، لأنّ قدماء الأصحاب لم يكن ذلك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معروفا بينهم ، بل كانوا يطلقون الصحيح على كلّ حديث اعتضد بما يقتضي اعتمادهم عليه ، مثل وجوده في كثير من الأصول الأربعمائة ، أو تكرّره في أصل أو أصلين فصاعدا بطرق متعدّدة ، أو وجوده في أصل أحد من الجماعة الّذين أجمعت العصابة على تصحيح ما يصحّ عنهم كصفوان بن يحيى وأحمد بن أبي نصر ويونس بن عبد الرحمن </w:t>
      </w:r>
      <w:r>
        <w:rPr>
          <w:rStyle w:val="FootnoteAnchor"/>
          <w:rtl w:val="true"/>
        </w:rPr>
        <w:footnoteReference w:id="1846"/>
      </w:r>
      <w:r>
        <w:rPr>
          <w:rFonts w:ascii="Amiri" w:hAnsi="Amiri" w:eastAsia="Amiri" w:cs="Amiri"/>
          <w:color w:val="111111"/>
          <w:sz w:val="28"/>
          <w:sz w:val="28"/>
          <w:szCs w:val="28"/>
          <w:rtl w:val="true"/>
          <w:lang w:bidi="ar-SA"/>
        </w:rPr>
        <w:t xml:space="preserve">، أو على تصديقهم كزرارة ومحمّد بن مسلم وفضيل بن يسار ، أو على العمل بروايتهم كعمّار السّاباطي ونظرائه ممّن عدّه الشيخ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وقوعه في أحد الكتب المعروضة على الأئمّة عليهم‌السلام فأثنوا على مؤلّفيها ككتاب عبد الله الحلبي </w:t>
      </w:r>
      <w:r>
        <w:rPr>
          <w:rStyle w:val="FootnoteAnchor"/>
          <w:rtl w:val="true"/>
        </w:rPr>
        <w:footnoteReference w:id="1847"/>
      </w:r>
      <w:r>
        <w:rPr>
          <w:rFonts w:ascii="Amiri" w:hAnsi="Amiri" w:eastAsia="Amiri" w:cs="Amiri"/>
          <w:color w:val="111111"/>
          <w:sz w:val="28"/>
          <w:sz w:val="28"/>
          <w:szCs w:val="28"/>
          <w:rtl w:val="true"/>
          <w:lang w:bidi="ar-SA"/>
        </w:rPr>
        <w:t xml:space="preserve">المعروض على الصادق عليه‌السلام وكتاب يونس بن عبد الرحمن والفضل بن شاذان المعروضين على العسكري عليه‌السلام </w:t>
      </w:r>
      <w:r>
        <w:rPr>
          <w:rStyle w:val="FootnoteAnchor"/>
          <w:rtl w:val="true"/>
        </w:rPr>
        <w:footnoteReference w:id="1848"/>
      </w:r>
      <w:r>
        <w:rPr>
          <w:rFonts w:ascii="Amiri" w:hAnsi="Amiri" w:eastAsia="Amiri" w:cs="Amiri"/>
          <w:color w:val="111111"/>
          <w:sz w:val="28"/>
          <w:sz w:val="28"/>
          <w:szCs w:val="28"/>
          <w:rtl w:val="true"/>
          <w:lang w:bidi="ar-SA"/>
        </w:rPr>
        <w:t xml:space="preserve">أو كونه </w:t>
      </w:r>
    </w:p>
    <w:p>
      <w:pPr>
        <w:pStyle w:val="BookText"/>
        <w:rPr/>
      </w:pPr>
      <w:r>
        <w:rPr>
          <w:rFonts w:ascii="Amiri" w:hAnsi="Amiri" w:eastAsia="Amiri" w:cs="Amiri"/>
          <w:color w:val="111111"/>
          <w:sz w:val="28"/>
          <w:sz w:val="28"/>
          <w:szCs w:val="28"/>
          <w:rtl w:val="true"/>
          <w:lang w:bidi="ar-SA"/>
        </w:rPr>
        <w:t xml:space="preserve">مأخوذا عن أحد الكتب التي شاع بين سلفهم الوثوق بها والاعتماد عليها ، ككتاب الصلاة لحريز بن عبد الله السّجستاني ، وكتب بني سعيد </w:t>
      </w:r>
      <w:r>
        <w:rPr>
          <w:rStyle w:val="FootnoteAnchor"/>
          <w:rtl w:val="true"/>
        </w:rPr>
        <w:footnoteReference w:id="1849"/>
      </w:r>
      <w:r>
        <w:rPr>
          <w:rFonts w:ascii="Amiri" w:hAnsi="Amiri" w:eastAsia="Amiri" w:cs="Amiri"/>
          <w:color w:val="111111"/>
          <w:sz w:val="28"/>
          <w:sz w:val="28"/>
          <w:szCs w:val="28"/>
          <w:rtl w:val="true"/>
          <w:lang w:bidi="ar-SA"/>
        </w:rPr>
        <w:t xml:space="preserve">، وعلي بن مهزيار ، وكتاب حفص بن غياث القاضي وأمثالها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الاصطلاح جرى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بصحّة ما أورده فيه مع عدم كون المجموع صحيحا باصطلاح المتأخّرين ، وقد أشار إلى هذه الطريقة القدماء وبيّنها شيخنا البهائي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الشمسين</w:t>
      </w:r>
      <w:r>
        <w:rPr>
          <w:rFonts w:eastAsia="Amiri" w:cs="Amiri" w:ascii="Amiri" w:hAnsi="Amiri"/>
          <w:color w:val="111111"/>
          <w:sz w:val="28"/>
          <w:szCs w:val="28"/>
          <w:rtl w:val="true"/>
          <w:lang w:bidi="ar-SA"/>
        </w:rPr>
        <w:t xml:space="preserve">» </w:t>
      </w:r>
      <w:r>
        <w:rPr>
          <w:rStyle w:val="FootnoteAnchor"/>
          <w:rtl w:val="true"/>
        </w:rPr>
        <w:footnoteReference w:id="1851"/>
      </w:r>
      <w:r>
        <w:rPr>
          <w:rFonts w:ascii="Amiri" w:hAnsi="Amiri" w:eastAsia="Amiri" w:cs="Amiri"/>
          <w:color w:val="111111"/>
          <w:sz w:val="28"/>
          <w:sz w:val="28"/>
          <w:szCs w:val="28"/>
          <w:rtl w:val="true"/>
          <w:lang w:bidi="ar-SA"/>
        </w:rPr>
        <w:t xml:space="preserve">، ثمّ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الباعث للمتأخّرين على عدولهم عن طريقة القدماء ووضع هذا الاصطلاح ، هو تطاول الأزمنة بينهم وبين صدر السّالف واندراس بعض الأصول المعتمدة </w:t>
      </w:r>
      <w:r>
        <w:rPr>
          <w:rStyle w:val="FootnoteAnchor"/>
          <w:rtl w:val="true"/>
        </w:rPr>
        <w:footnoteReference w:id="1852"/>
      </w:r>
      <w:r>
        <w:rPr>
          <w:rFonts w:ascii="Amiri" w:hAnsi="Amiri" w:eastAsia="Amiri" w:cs="Amiri"/>
          <w:color w:val="111111"/>
          <w:sz w:val="28"/>
          <w:sz w:val="28"/>
          <w:szCs w:val="28"/>
          <w:rtl w:val="true"/>
          <w:lang w:bidi="ar-SA"/>
        </w:rPr>
        <w:t xml:space="preserve">لتسلّط الظلمة والجابرين من أهل الضلال والخوف من إظهارها وانتساخها ، وانضمّ إلى ذلك اجتماع ما وصل إليهم من الأصول في الكتب المشهورة في هذا الزّمان ، فالتبست المأخوذة من الأصول المعتمدة بغيرها ، </w:t>
      </w:r>
    </w:p>
    <w:p>
      <w:pPr>
        <w:pStyle w:val="BookText"/>
        <w:rPr/>
      </w:pPr>
      <w:r>
        <w:rPr>
          <w:rFonts w:ascii="Amiri" w:hAnsi="Amiri" w:eastAsia="Amiri" w:cs="Amiri"/>
          <w:color w:val="111111"/>
          <w:sz w:val="28"/>
          <w:sz w:val="28"/>
          <w:szCs w:val="28"/>
          <w:rtl w:val="true"/>
          <w:lang w:bidi="ar-SA"/>
        </w:rPr>
        <w:t xml:space="preserve">واشتبهت المتكرّرة فيها بغير المتكرّرة وخفي عليهم كثير من القرائن ، فاحتاجوا إلى قانون يتميّز به الأحاديث المعتبرة عن غيرها فقرّروا هذا الاصطلاح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سلك هذا الطريق العلّامة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فإنّ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بأن عمّار الساباطي ضعيف لا يعمل بروايته وكذا صرّح فيه بضعف عبد الله بن بكير ،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خبري ابن بزيع حيث اشتمل أحدهما على زيادة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ـ يعني الخالي عن تلك الزيادة ـ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في كتبه الاصولية والفروعية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يساعد على القول بأنّ هذا الاصطلاح كان معروفا شائعا بين قدمائنا ما يدلّ عليه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مثلا في باب النص على الأئمة الاثني عشر عليهم الصلاة والسلام في آخر حديث طويل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يحيى عن محمد بن الحسن الصفّار عن احمد بن أبي عبد الله البرقي عن أبي هاشم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وددت أنّ هذا الخبر جاء من غير جهة أحمد بن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لقد حدّثني قبل الحيرة بعشر سنين فإنّ عدم قبول محمّد بن يحيى لهذا الخبر لأنّه جاء من جهة أحمد بن أبي عبد الله فهو ضعيف السند لتحيّره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قول محمد بن الحسن لقد حدثني قبل الحيرة ، كأنّه يريد أنّه صحيح السند لأني أخذته منه قبل تحيّره في المذهب ووقتئذ كان ثقة ، فالخبر صحيح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القول ان هذا الخبر ضعيف لضعف راويه وجوابه انّه صحيح لأنّه أخذه عنه حين كونه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ينطبق إلّا على ما عليه المتأخرون رحمهم‌الله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ذلك إلّا بعد ملاحظة أنّ التوثيق والتعديل أيضا كان أحد القرائن الموجبة للاعتماد عند القدماء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كان كذلك ، كما يستفاد من طريقتهم في تعديل الرجال وتوثيقهم وأخبارهم المنقولة في الرجوع إلى الأعدل </w:t>
      </w:r>
    </w:p>
    <w:p>
      <w:pPr>
        <w:pStyle w:val="BookText"/>
        <w:rPr/>
      </w:pPr>
      <w:r>
        <w:rPr>
          <w:rFonts w:ascii="Amiri" w:hAnsi="Amiri" w:eastAsia="Amiri" w:cs="Amiri"/>
          <w:color w:val="111111"/>
          <w:sz w:val="28"/>
          <w:sz w:val="28"/>
          <w:szCs w:val="28"/>
          <w:rtl w:val="true"/>
          <w:lang w:bidi="ar-SA"/>
        </w:rPr>
        <w:t>والأفقه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القدماء أيضا كانوا يعتبرون ذلك ، كما أنّ المتأخّرين أيضا قد يسلكون مسلك القدماء في التصحيح بسبب الاعتضاد بالقرائن أيضا ، فيطلقون الصحيح على ما ظهر لهم من القرائن الوثوق عليه ، ولكن ذلك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في كلامهم محمول على مصطلحهم ، وذلك تجوّز منهم اعتمادا على القرائن ، أو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أنّهم قد يعتمدون على الحديث مع عدم التصريح بالعدالة وإن كان توصيفهم إيّاه بالصحّة مجازا على مصطلحهم ، فلا بدّ من التفطّن لتلك القرائن وعدم الاقتصار على الصحيح والحسن المصطلحين كما اقتصر بعض المتأخّرين من أصحابنا لحصول التثبّت الموجب لظنّ الصدق بغيرهما أيضا ، فمن أسباب الوثاقة وقرائنها ، ما نقلناه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يفيدان التوثيق ، وأقوى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من وجوه أصحابنا ، وأوجه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 من فلان ، إذا كان المفضّل عليه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الرّاوي من مشايخ الإجازة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توثيق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أعلى درجات الوثاقة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مشايخ الإجازة لا يحتاجون إلى التنصيص على تزكيتهم ، وربّما نسب كون ذلك توثيقا إلى كثير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وكيلا لأحد من الأئمّة عليهم‌السلام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 يجعلون الفاسق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 ، سيّما الّذين يردّون رواية الضعفاء والمراسيل كأحمد بن محمّد بن عيسى</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عنه الّذين قيل فيهم أنّهم لا يروون إلّا عن ثقة ، مثل صفوان بن يحيى والبزنطي وابن أبي عمير ، وذهب جماعة من المتأخّرين إلى أنّ ذلك من </w:t>
      </w:r>
    </w:p>
    <w:p>
      <w:pPr>
        <w:pStyle w:val="BookText"/>
        <w:rPr/>
      </w:pPr>
      <w:r>
        <w:rPr>
          <w:rFonts w:ascii="Amiri" w:hAnsi="Amiri" w:eastAsia="Amiri" w:cs="Amiri"/>
          <w:color w:val="111111"/>
          <w:sz w:val="28"/>
          <w:sz w:val="28"/>
          <w:szCs w:val="28"/>
          <w:rtl w:val="true"/>
          <w:lang w:bidi="ar-SA"/>
        </w:rPr>
        <w:t>أمارات الوثاقة وقبول الرّواية ، ويقرب منهم عليّ بن الحسن الطاطري ، ومحمّد بن إسماعيل بن ميمون ، وجعفر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القمّيين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في سند حصل القدح فيه من غير جهة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ذكرا في أوّلهما </w:t>
      </w:r>
      <w:r>
        <w:rPr>
          <w:rStyle w:val="FootnoteAnchor"/>
          <w:rtl w:val="true"/>
        </w:rPr>
        <w:footnoteReference w:id="1855"/>
      </w:r>
      <w:r>
        <w:rPr>
          <w:rFonts w:ascii="Amiri" w:hAnsi="Amiri" w:eastAsia="Amiri" w:cs="Amiri"/>
          <w:color w:val="111111"/>
          <w:sz w:val="28"/>
          <w:sz w:val="28"/>
          <w:szCs w:val="28"/>
          <w:rtl w:val="true"/>
          <w:lang w:bidi="ar-SA"/>
        </w:rPr>
        <w:t xml:space="preserve">، وما وجد في كليهما فأقوى ، وإذا انضمّ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فأقوى ، وأقوى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الكليني الرّواية عن رجل أو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معمولا به عند مثل السيّد وابن إدريس ، ممّن لا يجوّز العمل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 الكتاب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الحديث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الحكايات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الجبنة ، إن أريد سليم الأحاديث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الطريقة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فقيه من فقهائنا </w:t>
      </w:r>
      <w:r>
        <w:rPr>
          <w:rStyle w:val="FootnoteAnchor"/>
          <w:rtl w:val="true"/>
        </w:rPr>
        <w:footnoteReference w:id="185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ديّن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من فلان ، إذا كان </w:t>
      </w:r>
    </w:p>
    <w:p>
      <w:pPr>
        <w:pStyle w:val="BookText"/>
        <w:rPr/>
      </w:pPr>
      <w:r>
        <w:rPr>
          <w:rFonts w:ascii="Amiri" w:hAnsi="Amiri" w:eastAsia="Amiri" w:cs="Amiri"/>
          <w:color w:val="111111"/>
          <w:sz w:val="28"/>
          <w:sz w:val="28"/>
          <w:szCs w:val="28"/>
          <w:rtl w:val="true"/>
          <w:lang w:bidi="ar-SA"/>
        </w:rPr>
        <w:t>المفضّل عليه جليلا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ابن فضّال وابن عقدة </w:t>
      </w:r>
      <w:r>
        <w:rPr>
          <w:rStyle w:val="FootnoteAnchor"/>
          <w:rtl w:val="true"/>
        </w:rPr>
        <w:footnoteReference w:id="1857"/>
      </w:r>
      <w:r>
        <w:rPr>
          <w:rFonts w:ascii="Amiri" w:hAnsi="Amiri" w:eastAsia="Amiri" w:cs="Amiri"/>
          <w:color w:val="111111"/>
          <w:sz w:val="28"/>
          <w:sz w:val="28"/>
          <w:szCs w:val="28"/>
          <w:rtl w:val="true"/>
          <w:lang w:bidi="ar-SA"/>
        </w:rPr>
        <w:t xml:space="preserve">، وربّما يعتمد على توثيق ابن نمير </w:t>
      </w:r>
      <w:r>
        <w:rPr>
          <w:rStyle w:val="FootnoteAnchor"/>
          <w:rtl w:val="true"/>
        </w:rPr>
        <w:footnoteReference w:id="1858"/>
      </w:r>
      <w:r>
        <w:rPr>
          <w:rFonts w:ascii="IRNazanin" w:hAnsi="IRNazanin" w:eastAsia="IRNazanin"/>
          <w:color w:val="111111"/>
          <w:sz w:val="28"/>
          <w:sz w:val="28"/>
          <w:szCs w:val="28"/>
          <w:rtl w:val="true"/>
          <w:lang w:bidi="fa-IR"/>
        </w:rPr>
        <w:t xml:space="preserve">ومن ضارعه </w:t>
      </w:r>
      <w:r>
        <w:rPr>
          <w:rStyle w:val="FootnoteAnchor"/>
          <w:rtl w:val="true"/>
        </w:rPr>
        <w:footnoteReference w:id="185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الثقة عن رهط ، أو عن غير واحد أو عن أشياخه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يذكره واحد من الأجلّاء مترحّما عليه أو مترضّيا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محمّد بن أحمد بن يحيى عنه ، ولم يكن من جملة ما استثناه القمّيون ، وعن جماعة من المحقّقين أنّ فيه شهادة على العدالة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استثناء محمّد بن عيسى عن رواة يونس بن عبد الرحمن ، ففيه شهادة على وثاقة غيره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 ، يعني سمع منه الحديث على وجه الإسناد ، إلى غير ذلك ممّا يستفاد منه التوثيق أو الحسن ممّا هو مذكور في كتب الرّجال وغيرها في المواضع المتفرّقة ، ويمكن استنباطها للفقيه الماهر بالتتبّع في الموارد الخاصّة ، فاجعل المعيار حصول الظنّ ، وإن اكتفي بالتعديل الصريح في العمل بالأخبار يلزم خلوّ أكثر الأحكام عن الدليل ، ويلزم مخالفة طريقة جلّ العلماء ، سيّما على القول باشتراط العدلين في التزكية ، وقد أشرنا إلى معنى اشتراط العدالة ووجه الإجماع المنقول فيه</w:t>
      </w:r>
      <w:r>
        <w:rPr>
          <w:rFonts w:eastAsia="Amiri" w:cs="Amiri" w:ascii="Amiri" w:hAnsi="Amiri"/>
          <w:color w:val="111111"/>
          <w:sz w:val="28"/>
          <w:szCs w:val="28"/>
          <w:rtl w:val="true"/>
          <w:lang w:bidi="ar-SA"/>
        </w:rPr>
        <w:t xml:space="preserve">. </w:t>
      </w:r>
      <w:bookmarkStart w:id="236" w:name="pg14071_149613"/>
    </w:p>
    <w:p>
      <w:pPr>
        <w:pStyle w:val="Heading6"/>
        <w:numPr>
          <w:ilvl w:val="5"/>
          <w:numId w:val="1"/>
        </w:numPr>
        <w:rPr/>
      </w:pPr>
      <w:bookmarkStart w:id="237" w:name="__RefHeading___Toc495161_1738255347"/>
      <w:bookmarkStart w:id="238" w:name="_Toc86"/>
      <w:bookmarkEnd w:id="236"/>
      <w:bookmarkEnd w:id="237"/>
      <w:r>
        <w:rPr>
          <w:rtl w:val="true"/>
        </w:rPr>
        <w:t xml:space="preserve">الثاني </w:t>
      </w:r>
      <w:r>
        <w:rPr>
          <w:rtl w:val="true"/>
        </w:rPr>
        <w:t>:</w:t>
      </w:r>
      <w:bookmarkEnd w:id="238"/>
    </w:p>
    <w:p>
      <w:pPr>
        <w:pStyle w:val="BookText"/>
        <w:rPr/>
      </w:pPr>
      <w:r>
        <w:rPr>
          <w:rFonts w:ascii="Amiri" w:hAnsi="Amiri" w:eastAsia="Amiri" w:cs="Amiri"/>
          <w:color w:val="111111"/>
          <w:sz w:val="28"/>
          <w:sz w:val="28"/>
          <w:szCs w:val="28"/>
          <w:rtl w:val="true"/>
          <w:lang w:bidi="ar-SA"/>
        </w:rPr>
        <w:t xml:space="preserve">إنّهم ذكروا </w:t>
      </w:r>
      <w:r>
        <w:rPr>
          <w:rStyle w:val="FootnoteAnchor"/>
          <w:rtl w:val="true"/>
        </w:rPr>
        <w:footnoteReference w:id="1860"/>
      </w:r>
      <w:r>
        <w:rPr>
          <w:rFonts w:ascii="Amiri" w:hAnsi="Amiri" w:eastAsia="Amiri" w:cs="Amiri"/>
          <w:color w:val="111111"/>
          <w:sz w:val="28"/>
          <w:sz w:val="28"/>
          <w:szCs w:val="28"/>
          <w:rtl w:val="true"/>
          <w:lang w:bidi="ar-SA"/>
        </w:rPr>
        <w:t>للخبر أقساما أخر باعتبارات شتّى كلّها ترجع إلى الأقسام الأربعة ، بعضها مختصّ بالضعيف ، وبعضها مشترك بين الكلّ في الجملة ، وذكر تفصيلها وتعريفاتها وإن كان وظيفة علم الدّراية ، إلّا أنّا نذكر هنا أكثرها لتكثير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 وهو ما اتّصل سنده إلى المعصوم عليهم‌السلام ، بأن لا يعرضه قطع بسقوط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 ويسمّى الموصول ، وهو ما اتّصل إسناده بنقل كلّ راو عمّن فوقه ، سواء رفع إلى المعصوم عليه‌السلام كذلك أو وقف على غيره ، فهو أعمّ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وهو ما أضيف إلى المعصوم عليه‌السلام </w:t>
      </w:r>
      <w:r>
        <w:rPr>
          <w:rStyle w:val="FootnoteAnchor"/>
          <w:rtl w:val="true"/>
        </w:rPr>
        <w:footnoteReference w:id="1861"/>
      </w:r>
      <w:r>
        <w:rPr>
          <w:rFonts w:ascii="Amiri" w:hAnsi="Amiri" w:eastAsia="Amiri" w:cs="Amiri"/>
          <w:color w:val="111111"/>
          <w:sz w:val="28"/>
          <w:sz w:val="28"/>
          <w:szCs w:val="28"/>
          <w:rtl w:val="true"/>
          <w:lang w:bidi="ar-SA"/>
        </w:rPr>
        <w:t>من قول أو فعل أو تقرير ، سواء اعتراه قطع أو إرسال في سنده أم لا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 وهو ما حذف من أوّل إسناده واحد أو أكثر ، فإن علم المحذوف </w:t>
      </w:r>
      <w:r>
        <w:rPr>
          <w:rStyle w:val="FootnoteAnchor"/>
          <w:rtl w:val="true"/>
        </w:rPr>
        <w:footnoteReference w:id="1862"/>
      </w:r>
      <w:r>
        <w:rPr>
          <w:rFonts w:ascii="Amiri" w:hAnsi="Amiri" w:eastAsia="Amiri" w:cs="Amiri"/>
          <w:color w:val="111111"/>
          <w:sz w:val="28"/>
          <w:sz w:val="28"/>
          <w:szCs w:val="28"/>
          <w:rtl w:val="true"/>
          <w:lang w:bidi="ar-SA"/>
        </w:rPr>
        <w:t>فهو كالمذكور ، وإلّا فهو كالمرسل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 الإسناد ، وهو القليل الوسائط </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 xml:space="preserve">هذا وقد دوّن بعض القدماء الأحاديث العالية الإسناد وأشهرهم الثقة الجليل عبد الله بن جعفر الحميري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المعنعن ، وهو ما يقال في سنده ، فلان عن فلان بدون ذكر التحديث والإخبار ، والأظهر أنّه متّصل كما عليه الأكثر إذا لم يظهر قرينة على عدم اللّقاء وأمن التدليس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المدرّج </w:t>
      </w:r>
      <w:r>
        <w:rPr>
          <w:rStyle w:val="FootnoteAnchor"/>
          <w:rtl w:val="true"/>
        </w:rPr>
        <w:footnoteReference w:id="1865"/>
      </w:r>
      <w:r>
        <w:rPr>
          <w:rFonts w:ascii="Amiri" w:hAnsi="Amiri" w:eastAsia="Amiri" w:cs="Amiri"/>
          <w:color w:val="111111"/>
          <w:sz w:val="28"/>
          <w:sz w:val="28"/>
          <w:szCs w:val="28"/>
          <w:rtl w:val="true"/>
          <w:lang w:bidi="ar-SA"/>
        </w:rPr>
        <w:t xml:space="preserve">، وهو أن يدرج في الحديث كلام بعض الرّواة فيظنّ أنّه منه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 وهو الشّائع عند أهل الحديث ، بأن ينقله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 وهو ما رواه الثقة مخالفا لما رواه الأكثر ، فإن رواه غير الثقة فهو المنكر والمردود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 وهو إمّا غريب الإسناد والمتن ، بأن ينفرد بروايته واحد ، أو غريب الإسناد خاصّة ، كخبر يعرف متنه عن جماعة من الصّحابة مثلا إذا انفرد </w:t>
      </w:r>
    </w:p>
    <w:p>
      <w:pPr>
        <w:pStyle w:val="BookText"/>
        <w:rPr/>
      </w:pPr>
      <w:r>
        <w:rPr>
          <w:rFonts w:ascii="Amiri" w:hAnsi="Amiri" w:eastAsia="Amiri" w:cs="Amiri"/>
          <w:color w:val="111111"/>
          <w:sz w:val="28"/>
          <w:sz w:val="28"/>
          <w:szCs w:val="28"/>
          <w:rtl w:val="true"/>
          <w:lang w:bidi="ar-SA"/>
        </w:rPr>
        <w:t>بروايته واحد عن آخر غيرهم أو غريب المتن خاصّة ، بأن ينفرد بروايته واحد ثمّ يرويه عنه جماعة ويشتهر فيسمّى غريبا مشهورا لاتّصافه بالغرابة في طرفه الأوّل ، وبالشهرة في طرفه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 وهو إمّا في الرّاوي ، كتصحيف بريد بالباء الموحّدة المضمومة والرّاء المهملة بيزيد بالياء المثنّاة التحتانية والزّاء المعجمة ، أو في المتن </w:t>
      </w:r>
      <w:r>
        <w:rPr>
          <w:rStyle w:val="FootnoteAnchor"/>
          <w:rtl w:val="true"/>
        </w:rPr>
        <w:footnoteReference w:id="1868"/>
      </w:r>
      <w:r>
        <w:rPr>
          <w:rFonts w:ascii="Amiri" w:hAnsi="Amiri" w:eastAsia="Amiri" w:cs="Amiri"/>
          <w:color w:val="111111"/>
          <w:sz w:val="28"/>
          <w:sz w:val="28"/>
          <w:szCs w:val="28"/>
          <w:rtl w:val="true"/>
          <w:lang w:bidi="ar-SA"/>
        </w:rPr>
        <w:t>، 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لفظا ، وأكثره مذكور في الكتب الموضوعة لغريب الحديث كالنهاية لابن الأثير ، والفائق للزمخشري وغيرهما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 ، وهو ما نقلوه وعملوا به سواء كان رواته ثقة أم لا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 على غيره ، ممّا في معناه </w:t>
      </w:r>
      <w:r>
        <w:rPr>
          <w:rStyle w:val="FootnoteAnchor"/>
          <w:rtl w:val="true"/>
        </w:rPr>
        <w:footnoteReference w:id="1870"/>
      </w:r>
      <w:r>
        <w:rPr>
          <w:rFonts w:ascii="Amiri" w:hAnsi="Amiri" w:eastAsia="Amiri" w:cs="Amiri"/>
          <w:color w:val="111111"/>
          <w:sz w:val="28"/>
          <w:sz w:val="28"/>
          <w:szCs w:val="28"/>
          <w:rtl w:val="true"/>
          <w:lang w:bidi="ar-SA"/>
        </w:rPr>
        <w:t>، إمّا في المتن ، كأن يزيد فيه ما لا يفهم من الآخر ، أو في السند ، كأن يرويه أحدهم من اثنين والآخر من ثلاثة سواء كان في الوسط أو في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المسلسل وهو ما تتابع فيه رجال الإسناد على صفة أو حالة من قول أو فعل ، كالمسلسل بالتحديث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فلان ، وهكذا أو بالأسماء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 عن محمّد أو بالأباء نحو فلان عن أبيه ، عن فلان عن أبيه عن فلان ، وغير ذلك كالمسلسل بالمصافحة والمشابكة </w:t>
      </w:r>
      <w:r>
        <w:rPr>
          <w:rStyle w:val="FootnoteAnchor"/>
          <w:rtl w:val="true"/>
        </w:rPr>
        <w:footnoteReference w:id="1871"/>
      </w:r>
      <w:r>
        <w:rPr>
          <w:rFonts w:ascii="Amiri" w:hAnsi="Amiri" w:eastAsia="Amiri" w:cs="Amiri"/>
          <w:color w:val="111111"/>
          <w:sz w:val="28"/>
          <w:sz w:val="28"/>
          <w:szCs w:val="28"/>
          <w:rtl w:val="true"/>
          <w:lang w:bidi="ar-SA"/>
        </w:rPr>
        <w:t xml:space="preserve">وأخذ الشّعر </w:t>
      </w:r>
      <w:r>
        <w:rPr>
          <w:rStyle w:val="FootnoteAnchor"/>
          <w:rtl w:val="true"/>
        </w:rPr>
        <w:footnoteReference w:id="1872"/>
      </w:r>
      <w:r>
        <w:rPr>
          <w:rFonts w:ascii="Amiri" w:hAnsi="Amiri" w:eastAsia="Amiri" w:cs="Amiri"/>
          <w:color w:val="111111"/>
          <w:sz w:val="28"/>
          <w:sz w:val="28"/>
          <w:szCs w:val="28"/>
          <w:rtl w:val="true"/>
          <w:lang w:bidi="ar-SA"/>
        </w:rPr>
        <w:t xml:space="preserve">وغير ذلك </w:t>
      </w:r>
      <w:r>
        <w:rPr>
          <w:rStyle w:val="FootnoteAnchor"/>
          <w:rtl w:val="true"/>
        </w:rPr>
        <w:footnoteReference w:id="1873"/>
      </w:r>
      <w:r>
        <w:rPr>
          <w:rFonts w:ascii="Amiri" w:hAnsi="Amiri" w:eastAsia="Amiri" w:cs="Amiri"/>
          <w:color w:val="111111"/>
          <w:sz w:val="28"/>
          <w:sz w:val="28"/>
          <w:szCs w:val="28"/>
          <w:rtl w:val="true"/>
          <w:lang w:bidi="ar-SA"/>
        </w:rPr>
        <w:t xml:space="preserve">، فإن اتّصل السّند كذلك إلى المعصوم عليه‌السلام فتامّ ، وإلّا فبحسبه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المذكورات ممّا يشترك فيه أصول الأنواع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يختصّ بالضعيف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 وقد يقال له المنقطع ، وهو الموقوف على التابعيّ ومن في حكمه </w:t>
      </w:r>
      <w:r>
        <w:rPr>
          <w:rStyle w:val="FootnoteAnchor"/>
          <w:rtl w:val="true"/>
        </w:rPr>
        <w:footnoteReference w:id="1875"/>
      </w:r>
      <w:r>
        <w:rPr>
          <w:rFonts w:ascii="Amiri" w:hAnsi="Amiri" w:eastAsia="Amiri" w:cs="Amiri"/>
          <w:color w:val="111111"/>
          <w:sz w:val="28"/>
          <w:sz w:val="28"/>
          <w:szCs w:val="28"/>
          <w:rtl w:val="true"/>
          <w:lang w:bidi="ar-SA"/>
        </w:rPr>
        <w:t>، وقد يطلق على الأعمّ من ذلك فيشمل المعلّق والمرسل والمنقطع الوسط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السّاقط من السند أكثر من واحد ، يسمّى معضلا بصيغة اسم المفعول بمعنى المشكل ، وإلّا فمنقطع</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وهو ما رواه عن المعصوم عليه‌السلام أو غيره من لم يدركه أو لم يلقه </w:t>
      </w:r>
    </w:p>
    <w:p>
      <w:pPr>
        <w:pStyle w:val="BookText"/>
        <w:rPr/>
      </w:pPr>
      <w:r>
        <w:rPr>
          <w:rFonts w:ascii="Amiri" w:hAnsi="Amiri" w:eastAsia="Amiri" w:cs="Amiri"/>
          <w:color w:val="111111"/>
          <w:sz w:val="28"/>
          <w:sz w:val="28"/>
          <w:szCs w:val="28"/>
          <w:rtl w:val="true"/>
          <w:lang w:bidi="ar-SA"/>
        </w:rPr>
        <w:t>من دون واسطة أو بواسطة مبهمة ، كرجل أو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هذا القسم بالضعيف مبنيّ على اصطلاح المتأخّرين ، وإلّا فقد عرفت أنّ بعض المراسلات في قوّة الصّحيح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 ، وهو ما روي عن صاحب المعصوم عليه‌السلام من غير أن يسنده إلى المعصوم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المضمر كأن يقول صاحب المعصوم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كذا ، قال كذا ، فإن كان من مثل زرارة ومحمّد بن مسلم وأضرابهما من الأجلّاء ، فالأظهر حجّيته ، بل الظاهر أنّ مطلق الموثّقين من أصحابنا أيضا كذلك ، لأنّ ظاهر حال أصحاب الأئمّة أنّهم لا يسألون إلّا عنهم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صار سببا للإضمار إمّا التقيّة أو تقطيع الأخبار من الأصول ، فإنّهم كانوا يكتبون في صدر سؤالاتهم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فلانا عليه‌السلام عن فلان ، قال كذا ، وسألته عن كذا ، قال كذا ، وهكذا ، ثمّ بعد تقطيعها وجمعها في الكتب المؤلّفة صار مشتبها ، والأظهر الاعتماد على القرائن وأشخاص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المدلّس ، كأن يقول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 على وجه يوهم روايته عنه بلا واسطة مع أنّه ليس كذلك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 فهو كذب ، وهكذا إن أسقط عن السّند رجلا مجروحا لتقوية الحديث ، أو يذكر بعض الرّجال باسم أو لقب أو نسبة غير مشتهر به </w:t>
      </w:r>
      <w:r>
        <w:rPr>
          <w:rStyle w:val="FootnoteAnchor"/>
          <w:rtl w:val="true"/>
        </w:rPr>
        <w:footnoteReference w:id="1876"/>
      </w:r>
      <w:r>
        <w:rPr>
          <w:rFonts w:ascii="Amiri" w:hAnsi="Amiri" w:eastAsia="Amiri" w:cs="Amiri"/>
          <w:color w:val="111111"/>
          <w:sz w:val="28"/>
          <w:sz w:val="28"/>
          <w:szCs w:val="28"/>
          <w:rtl w:val="true"/>
          <w:lang w:bidi="ar-SA"/>
        </w:rPr>
        <w:t>، فإنّ كلّ ذلك قبيح مذموم إلّا لأجل تقيّة أو غيرها من الأغراض الصحيحة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المضطرب ، وهو ما اختلف فيه الرّواية إمّا بالسّند كأن يرويه تارة بواسطة وأخرى بدونها ، أو في المتن كحديث تميّز الدّم المشتبه بدم الحيض </w:t>
      </w:r>
    </w:p>
    <w:p>
      <w:pPr>
        <w:pStyle w:val="BookText"/>
        <w:rPr/>
      </w:pPr>
      <w:r>
        <w:rPr>
          <w:rFonts w:ascii="Amiri" w:hAnsi="Amiri" w:eastAsia="Amiri" w:cs="Amiri"/>
          <w:color w:val="111111"/>
          <w:sz w:val="28"/>
          <w:sz w:val="28"/>
          <w:szCs w:val="28"/>
          <w:rtl w:val="true"/>
          <w:lang w:bidi="ar-SA"/>
        </w:rPr>
        <w:t xml:space="preserve">والقرحة ، بأنّ خروجه عن الأيمن علامة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الأيسر كما في الآخر </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وروى الشيخ في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بن يحيى ـ رفعه ـ عن أبان نفس الحديث السّابق إلا 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الدّم من الجانب الأيسر فهو الحيض وإن خرج من الجانب الأيمن فهو من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قول شيخنا الشهيد ففي بعض كتبه قال بالأوّل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بالثاني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المعلّل ، وقد مرّ الإشارة إليه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المقلوب ، وهو حديث يروى بطريق فيغيّر كلّ الطريق أو بعض رجاله ليرغب فيه ، وهو مردود إلّا إذا كان سهوا فيغتفر عن صاحبه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w:t>
      </w:r>
      <w:r>
        <w:rPr>
          <w:rStyle w:val="FootnoteAnchor"/>
          <w:rtl w:val="true"/>
        </w:rPr>
        <w:footnoteReference w:id="1879"/>
      </w:r>
      <w:r>
        <w:rPr>
          <w:rFonts w:ascii="IRNazanin" w:hAnsi="IRNazanin" w:eastAsia="IRNazanin"/>
          <w:color w:val="111111"/>
          <w:sz w:val="28"/>
          <w:sz w:val="28"/>
          <w:szCs w:val="28"/>
          <w:rtl w:val="true"/>
          <w:lang w:bidi="fa-IR"/>
        </w:rPr>
        <w:t>، وهو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لراوي الحديث من مستند يصحّ من جهته رواية الحديث ويقبل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الرّواية عن المعصوم عليه‌السلام فله وجوه ، أعلاها السّماع ، ولفظه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المعصوم عليه‌السلام يقول كذا ، أو أسمعني أو شافهني أو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كذا ، لاحتمال كون السّماع حينئذ بواسطة وإن كان خلاف الظاهر ، ثمّ إن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بكذا ونهى عن كذا ، فإنّه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احتمال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في فهم الأمر والنّهي أو إطلاق الأمر والنّهي على ما فهمه بالدلالة التبعيّة من النّهي عن ضدّه أو الأمر به ، وإن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بكذا ، أو نهينا عن كذا ، ونحو ذلك بصيغة المجهول أو من السنّة كذا أو قول الصّحابي كنّا نفعل كذا وأمثال ذلك فهي أدون الكلّ ، ويتبع العمل بها وقبولها الظهور من جهة القرائن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عن الرّاوي فله أيضا وجوه ، أعلاها السّماع من الشيخ سواء كان بقراءة من كتابه أو بإملائه من حفظه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إن قصد الشيخ سماعه </w:t>
      </w:r>
      <w:r>
        <w:rPr>
          <w:rStyle w:val="FootnoteAnchor"/>
          <w:rtl w:val="true"/>
        </w:rPr>
        <w:footnoteReference w:id="1880"/>
      </w:r>
      <w:r>
        <w:rPr>
          <w:rFonts w:ascii="Amiri" w:hAnsi="Amiri" w:eastAsia="Amiri" w:cs="Amiri"/>
          <w:color w:val="111111"/>
          <w:sz w:val="28"/>
          <w:sz w:val="28"/>
          <w:szCs w:val="28"/>
          <w:rtl w:val="true"/>
          <w:lang w:bidi="ar-SA"/>
        </w:rPr>
        <w:t xml:space="preserve">، وإن قصد إسماع غيره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w:t>
      </w:r>
      <w:r>
        <w:rPr>
          <w:rStyle w:val="FootnoteAnchor"/>
          <w:rtl w:val="true"/>
        </w:rPr>
        <w:footnoteReference w:id="1881"/>
      </w:r>
      <w:r>
        <w:rPr>
          <w:rFonts w:ascii="IRNazanin" w:hAnsi="IRNazanin" w:eastAsia="IRNazanin"/>
          <w:color w:val="111111"/>
          <w:sz w:val="28"/>
          <w:sz w:val="28"/>
          <w:szCs w:val="28"/>
          <w:rtl w:val="true"/>
          <w:lang w:bidi="fa-IR"/>
        </w:rPr>
        <w:t>فلانا وأنا أسمع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وعلّل الشهيد </w:t>
      </w:r>
      <w:r>
        <w:rPr>
          <w:rStyle w:val="FootnoteAnchor"/>
          <w:rtl w:val="true"/>
        </w:rPr>
        <w:footnoteReference w:id="1882"/>
      </w:r>
      <w:r>
        <w:rPr>
          <w:rFonts w:ascii="Amiri" w:hAnsi="Amiri" w:eastAsia="Amiri" w:cs="Amiri"/>
          <w:color w:val="111111"/>
          <w:sz w:val="28"/>
          <w:sz w:val="28"/>
          <w:szCs w:val="28"/>
          <w:rtl w:val="true"/>
          <w:lang w:bidi="ar-SA"/>
        </w:rPr>
        <w:t xml:space="preserve">كونه </w:t>
      </w:r>
      <w:r>
        <w:rPr>
          <w:rStyle w:val="FootnoteAnchor"/>
          <w:rtl w:val="true"/>
        </w:rPr>
        <w:footnoteReference w:id="1883"/>
      </w:r>
      <w:r>
        <w:rPr>
          <w:rFonts w:ascii="Amiri" w:hAnsi="Amiri" w:eastAsia="Amiri" w:cs="Amiri"/>
          <w:color w:val="111111"/>
          <w:sz w:val="28"/>
          <w:sz w:val="28"/>
          <w:szCs w:val="28"/>
          <w:rtl w:val="true"/>
          <w:lang w:bidi="ar-SA"/>
        </w:rPr>
        <w:t>أعلى بأنّ الشيخ أعرف بوجوه ضبط الحديث وتأديته ، ولأنّه خليفة رسول الله صلى‌الله‌عليه‌وآله وسفيره إلى أمّته والأخذ عنه كالأخذ منه ، ولأنّ النبيّ صلى‌الله‌عليه‌وآله أخبر الناس أوّلا وأسمعهم ما جاء به ، والتقرير على ما جرى بحضرته صلى‌الله‌عليه‌وآله أولى ، ولأنّ السّامع أربط جأشا وأوعى قلبا ، وشغل القلب وتوزّع الفكر إلى القارئ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يجيئني القوم فيستمعون منّي حديثكم فأضجر ولا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عليهم من أوّله حديثا ومن وسطه حديثا ومن آخره حديثا</w:t>
      </w:r>
      <w:r>
        <w:rPr>
          <w:rFonts w:eastAsia="Amiri" w:cs="Amiri" w:ascii="Amiri" w:hAnsi="Amiri"/>
          <w:color w:val="111111"/>
          <w:sz w:val="28"/>
          <w:szCs w:val="28"/>
          <w:rtl w:val="true"/>
          <w:lang w:bidi="ar-SA"/>
        </w:rPr>
        <w:t xml:space="preserve">» </w:t>
      </w:r>
      <w:r>
        <w:rPr>
          <w:rStyle w:val="FootnoteAnchor"/>
          <w:rtl w:val="true"/>
        </w:rPr>
        <w:footnoteReference w:id="1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فعدوله إلى قراءة هذه الأحاديث مع العجز يدلّ على أولويته </w:t>
      </w:r>
      <w:r>
        <w:rPr>
          <w:rStyle w:val="FootnoteAnchor"/>
          <w:rtl w:val="true"/>
        </w:rPr>
        <w:footnoteReference w:id="1885"/>
      </w:r>
      <w:r>
        <w:rPr>
          <w:rFonts w:ascii="Amiri" w:hAnsi="Amiri" w:eastAsia="Amiri" w:cs="Amiri"/>
          <w:color w:val="111111"/>
          <w:sz w:val="28"/>
          <w:sz w:val="28"/>
          <w:szCs w:val="28"/>
          <w:rtl w:val="true"/>
          <w:lang w:bidi="ar-SA"/>
        </w:rPr>
        <w:t xml:space="preserve">من قراءة الرّاوي وإلّا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 انتهى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دلالة الصحيحة على مدّعاه تأمّل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دونه القراءة على الشيخ مع إقراره به وتصريحه بالاعتراف بمضمونه ويسمّى ذلك عرضا ، والظاهر أن يكون السّكوت مع توجّهه إليه وعدم مانع عن المنع والردّ من غفلة أو إكراه أو خوف ، وانضمام القرائن بالرّضا كافيا ، وعبارته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فلان وأقرّ به واعترف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فلان قراءة عليه ، وبدون قوله قراءة عليه ، عند جماعة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المنع إذا لم يقم قرينة على إرادة ذلك ، فإنّ ظاهره سماعه من الشيخ ، </w:t>
      </w:r>
    </w:p>
    <w:p>
      <w:pPr>
        <w:pStyle w:val="BookText"/>
        <w:rPr/>
      </w:pPr>
      <w:r>
        <w:rPr>
          <w:rFonts w:ascii="Amiri" w:hAnsi="Amiri" w:eastAsia="Amiri" w:cs="Amiri"/>
          <w:color w:val="111111"/>
          <w:sz w:val="28"/>
          <w:sz w:val="28"/>
          <w:szCs w:val="28"/>
          <w:rtl w:val="true"/>
          <w:lang w:bidi="ar-SA"/>
        </w:rPr>
        <w:t>وعن السيّد المنع عنه مقيّدا أيضا محتجّا بأنّها مناقضة ، لأنّ معنى الإخبار والتحديث هو السّماع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 يكذّبه ، وهو مدفوع بأنّ كلّ مجاز كذلك ، فينسدّ باب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وجوه التحمّل الإجازة ، وهو إخبار إجمالي بأمور مضبوطة معلومة مأمون عليها من الغلط والتصحيف ونحوهما ، وذلك </w:t>
      </w:r>
      <w:r>
        <w:rPr>
          <w:rStyle w:val="FootnoteAnchor"/>
          <w:rtl w:val="true"/>
        </w:rPr>
        <w:footnoteReference w:id="1887"/>
      </w:r>
      <w:r>
        <w:rPr>
          <w:rFonts w:ascii="Amiri" w:hAnsi="Amiri" w:eastAsia="Amiri" w:cs="Amiri"/>
          <w:color w:val="111111"/>
          <w:sz w:val="28"/>
          <w:sz w:val="28"/>
          <w:szCs w:val="28"/>
          <w:rtl w:val="true"/>
          <w:lang w:bidi="ar-SA"/>
        </w:rPr>
        <w:t xml:space="preserve">إمّا بشخص الكتاب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 لك رواية هذه النسخة المصحّحة ، أو بنوعه المتعيّن في نفس الأمر الصحيح في الواقع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إشكال في جواز النقل والرواية والعمل بسبب الإجازة ، وعبارته الشائعة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 ونبّأنا ،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وأخبرنا أيضا ، والأظهر عدم الجواز على الإطلاق إلّا مع القرينة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بهذا الكتاب إجازة ، كما ذكرنا في القراءة على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والإجازة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معيّن بمعيّن </w:t>
      </w:r>
      <w:r>
        <w:rPr>
          <w:rStyle w:val="FootnoteAnchor"/>
          <w:rtl w:val="true"/>
        </w:rPr>
        <w:footnoteReference w:id="1888"/>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أجزتك التهذيب ، أو هذه النسخة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أقسام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معيّن بغير معيّن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لك مسموعاتي ، فيقتصر على ما ثبت عنده أنّه من مسموعاته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غير معيّن بمعيّن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 التهذيب لكلّ الطلبة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زماني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غير معيّن بغير معيّن ،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مسموعاتي لكلّ أحد من أهل 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المعدوم إمّا منفردا أو عطفا على الموجود ، وفي جوازه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الإجازة إنّما تظهر في صحّة الأصل الخاصّ المعيّن وحصول الاعتماد عليه ، أو ما لم يثبت تواتره من المروي عنه ، وإلّا فلا فائدة فيها في المتواترات ، كمطلق الكتب الأربعة عن مؤلّفيها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يحصل بها بقاء اتّصال سلسلة الإسناد إلى المعصوم عليه‌السلام وذلك أمر مطلوب للتيمّن والتبرّك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ممّا ذكرنا </w:t>
      </w:r>
      <w:r>
        <w:rPr>
          <w:rStyle w:val="FootnoteAnchor"/>
          <w:rtl w:val="true"/>
        </w:rPr>
        <w:footnoteReference w:id="1889"/>
      </w:r>
      <w:r>
        <w:rPr>
          <w:rFonts w:ascii="Amiri" w:hAnsi="Amiri" w:eastAsia="Amiri" w:cs="Amiri"/>
          <w:color w:val="111111"/>
          <w:sz w:val="28"/>
          <w:sz w:val="28"/>
          <w:szCs w:val="28"/>
          <w:rtl w:val="true"/>
          <w:lang w:bidi="ar-SA"/>
        </w:rPr>
        <w:t xml:space="preserve">الكلام في قراءة الشيخ والقراءة عليه أيضا ، فيحصل منه التصحيح والخلاص من التصحيف والتحريف وغير ذلك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أنحاء التحمّل المناولة </w:t>
      </w:r>
      <w:r>
        <w:rPr>
          <w:rStyle w:val="FootnoteAnchor"/>
          <w:rtl w:val="true"/>
        </w:rPr>
        <w:footnoteReference w:id="1891"/>
      </w:r>
      <w:r>
        <w:rPr>
          <w:rFonts w:ascii="Amiri" w:hAnsi="Amiri" w:eastAsia="Amiri" w:cs="Amiri"/>
          <w:color w:val="111111"/>
          <w:sz w:val="28"/>
          <w:sz w:val="28"/>
          <w:szCs w:val="28"/>
          <w:rtl w:val="true"/>
          <w:lang w:bidi="ar-SA"/>
        </w:rPr>
        <w:t>، وهي إمّا مقرونة بالإجازة أو خالية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يدفعه كتابا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سماعي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روايتي عن فلان فاروه عنّي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 لك روايته عنّي ، ولا إشكال في جواز روايته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يناوله الكتاب مقتصرا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سماعي من فلان ، والأكثر على عدم جواز الرّواية عنه بذلك حينئذ</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 وهو أن يكتب مسموعه لغائب أو حاضر بخطّه أو يأذن لثقة أن </w:t>
      </w:r>
    </w:p>
    <w:p>
      <w:pPr>
        <w:pStyle w:val="BookText"/>
        <w:rPr/>
      </w:pPr>
      <w:r>
        <w:rPr>
          <w:rFonts w:ascii="Amiri" w:hAnsi="Amiri" w:eastAsia="Amiri" w:cs="Amiri"/>
          <w:color w:val="111111"/>
          <w:sz w:val="28"/>
          <w:sz w:val="28"/>
          <w:szCs w:val="28"/>
          <w:rtl w:val="true"/>
          <w:lang w:bidi="ar-SA"/>
        </w:rPr>
        <w:t xml:space="preserve">يكتبه أو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الفلان </w:t>
      </w:r>
      <w:r>
        <w:rPr>
          <w:rStyle w:val="FootnoteAnchor"/>
          <w:rtl w:val="true"/>
        </w:rPr>
        <w:footnoteReference w:id="1893"/>
      </w:r>
      <w:r>
        <w:rPr>
          <w:rFonts w:ascii="Amiri" w:hAnsi="Amiri" w:eastAsia="Amiri" w:cs="Amiri"/>
          <w:color w:val="111111"/>
          <w:sz w:val="28"/>
          <w:sz w:val="28"/>
          <w:szCs w:val="28"/>
          <w:rtl w:val="true"/>
          <w:lang w:bidi="ar-SA"/>
        </w:rPr>
        <w:t xml:space="preserve">سماعي ، فإن انضمّ ذلك بالإجازة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فاروه عنّي ، أو أجزت لك روايته ، فلم ينقل خلاف في جواز الرّواية بشرط معرفة الخطّ والأمن من التزوير ، وإن خلا عن ذكر الإجازة ، ففيه خلاف </w:t>
      </w:r>
      <w:r>
        <w:rPr>
          <w:rStyle w:val="FootnoteAnchor"/>
          <w:rtl w:val="true"/>
        </w:rPr>
        <w:footnoteReference w:id="1894"/>
      </w:r>
      <w:r>
        <w:rPr>
          <w:rFonts w:ascii="Amiri" w:hAnsi="Amiri" w:eastAsia="Amiri" w:cs="Amiri"/>
          <w:color w:val="111111"/>
          <w:sz w:val="28"/>
          <w:sz w:val="28"/>
          <w:szCs w:val="28"/>
          <w:rtl w:val="true"/>
          <w:lang w:bidi="ar-SA"/>
        </w:rPr>
        <w:t>، والأكثر على الصحّ حدّثنا 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الوجادة ، وهي أن يجد الإنسان أحاديث بخطّ راويها ، معاصرا كان له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يجوّزوا الرّواية بمجرّد ذلك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فلان ، وفي جواز العمل به قولان </w:t>
      </w:r>
      <w:r>
        <w:rPr>
          <w:rStyle w:val="FootnoteAnchor"/>
          <w:rtl w:val="true"/>
        </w:rPr>
        <w:footnoteReference w:id="18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باسناده عن أحمد بن عمر الحلّال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أصحابنا يعطيني الكتاب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أروه عنّي يجوز لي أن أرويه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الكتاب له فاروه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فضل العلم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 له أي من مسموعاته ومروياته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للمحدّثين والاصوليّين ، فنقل عن الشّافعي وجماعة من نظّار أصحابه جواز العمل بها ووجّهوه بأنّه لو توقف العمل فيها على الرّواية لانسد باب العلم بالمنقول لتعذّر شرط الرّواية فيها ، ونقل عن معظم المحدثين والفقهاء المالكيّين وغيرهم أنّه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المانع حيث لم يحدّث به لفظا ولا معنى وهي واضحة ، وممن لا يرى طريقيّتها الشيخ عبد النبي الكاظمي ؛ حيث ذكر في تكملة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والوجادة ليست طريقا الى تحمّل للرّواية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4071_149637"/>
    </w:p>
    <w:p>
      <w:pPr>
        <w:pStyle w:val="Heading4"/>
        <w:numPr>
          <w:ilvl w:val="3"/>
          <w:numId w:val="1"/>
        </w:numPr>
        <w:rPr/>
      </w:pPr>
      <w:bookmarkStart w:id="240" w:name="__RefHeading___Toc495163_1738255347"/>
      <w:bookmarkStart w:id="241" w:name="_Toc87"/>
      <w:bookmarkEnd w:id="239"/>
      <w:bookmarkEnd w:id="240"/>
      <w:r>
        <w:rPr>
          <w:rtl w:val="true"/>
        </w:rPr>
        <w:t xml:space="preserve">المطلب الثاني </w:t>
      </w:r>
      <w:r>
        <w:rPr>
          <w:rtl w:val="true"/>
        </w:rPr>
        <w:t xml:space="preserve">: </w:t>
      </w:r>
      <w:r>
        <w:rPr>
          <w:rtl w:val="true"/>
        </w:rPr>
        <w:t>في الفعل والتقرير</w:t>
      </w:r>
      <w:bookmarkEnd w:id="241"/>
    </w:p>
    <w:p>
      <w:pPr>
        <w:pStyle w:val="Heading5"/>
        <w:numPr>
          <w:ilvl w:val="4"/>
          <w:numId w:val="1"/>
        </w:numPr>
        <w:rPr/>
      </w:pPr>
      <w:bookmarkStart w:id="242" w:name="__RefHeading___Toc495165_1738255347"/>
      <w:bookmarkStart w:id="243" w:name="_Toc88"/>
      <w:bookmarkEnd w:id="242"/>
      <w:r>
        <w:rPr>
          <w:rtl w:val="true"/>
        </w:rPr>
        <w:t>قانون</w:t>
      </w:r>
      <w:bookmarkEnd w:id="243"/>
    </w:p>
    <w:p>
      <w:pPr>
        <w:pStyle w:val="BookText"/>
        <w:rPr/>
      </w:pPr>
      <w:r>
        <w:rPr>
          <w:rFonts w:ascii="Amiri" w:hAnsi="Amiri" w:eastAsia="Amiri" w:cs="Amiri"/>
          <w:color w:val="111111"/>
          <w:sz w:val="28"/>
          <w:sz w:val="28"/>
          <w:szCs w:val="28"/>
          <w:rtl w:val="true"/>
          <w:lang w:bidi="ar-SA"/>
        </w:rPr>
        <w:t>فعل المعصوم عليه‌السلام حجّة كقوله ، لكن الشّأن في تحقيق محلّه وتعيين ما يحكم بمتابعته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الأفعال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كالأكل والشرب والنوم والاستيقاظ ، فالكلّ مباح له ولنا بلا إشكال ، وذلك إذا لم يلحقه حيثيّة واعتبار وخصوصيّة كالاستمرار على القيلولة وأكل الزبيب على الرّيق مثلا ، فإنّها بذلك تندرج في الأقسام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يتردّد بين كونه من أفعال الطبائع أو من الشرع ، ففي حمله على أيّهما وجهان ، نظرا إلى أصالة عدم التشريع ، وإلى أنّه صلى‌الله‌عليه‌وآله بعث لبيان الشرعيّات</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ذلك في 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جلسة الاستراحة </w:t>
      </w:r>
      <w:r>
        <w:rPr>
          <w:rStyle w:val="FootnoteAnchor"/>
          <w:rtl w:val="true"/>
        </w:rPr>
        <w:footnoteReference w:id="1897"/>
      </w:r>
      <w:r>
        <w:rPr>
          <w:rFonts w:ascii="Amiri" w:hAnsi="Amiri" w:eastAsia="Amiri" w:cs="Amiri"/>
          <w:color w:val="111111"/>
          <w:sz w:val="28"/>
          <w:sz w:val="28"/>
          <w:szCs w:val="28"/>
          <w:rtl w:val="true"/>
          <w:lang w:bidi="ar-SA"/>
        </w:rPr>
        <w:t xml:space="preserve">، وهي ثابتة من فعله عليه‌السلام وبعض العامّة زعم أنّه عليه‌السلام إنّما فعلها بعد أن بدّن وجمل </w:t>
      </w:r>
      <w:r>
        <w:rPr>
          <w:rStyle w:val="FootnoteAnchor"/>
          <w:rtl w:val="true"/>
        </w:rPr>
        <w:footnoteReference w:id="1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فتوهّم </w:t>
      </w:r>
      <w:r>
        <w:rPr>
          <w:rStyle w:val="FootnoteAnchor"/>
          <w:rtl w:val="true"/>
        </w:rPr>
        <w:footnoteReference w:id="1899"/>
      </w:r>
      <w:r>
        <w:rPr>
          <w:rFonts w:ascii="Amiri" w:hAnsi="Amiri" w:eastAsia="Amiri" w:cs="Amiri"/>
          <w:color w:val="111111"/>
          <w:sz w:val="28"/>
          <w:sz w:val="28"/>
          <w:szCs w:val="28"/>
          <w:rtl w:val="true"/>
          <w:lang w:bidi="ar-SA"/>
        </w:rPr>
        <w:t xml:space="preserve">انّه للجبلة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في ثنيّة كداء </w:t>
      </w:r>
      <w:r>
        <w:rPr>
          <w:rStyle w:val="FootnoteAnchor"/>
          <w:rtl w:val="true"/>
        </w:rPr>
        <w:footnoteReference w:id="1901"/>
      </w:r>
      <w:r>
        <w:rPr>
          <w:rFonts w:ascii="Amiri" w:hAnsi="Amiri" w:eastAsia="Amiri" w:cs="Amiri"/>
          <w:color w:val="111111"/>
          <w:sz w:val="28"/>
          <w:sz w:val="28"/>
          <w:szCs w:val="28"/>
          <w:rtl w:val="true"/>
          <w:lang w:bidi="ar-SA"/>
        </w:rPr>
        <w:t xml:space="preserve">وخروجه من ثنيّة 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ذلك لأنّه صادف طريقه أو لأنّه سنّة؟ ويظهر الفائدة في استحبابه لكلّ داخل</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نزوله بالمحصّب </w:t>
      </w:r>
      <w:r>
        <w:rPr>
          <w:rStyle w:val="FootnoteAnchor"/>
          <w:rtl w:val="true"/>
        </w:rPr>
        <w:footnoteReference w:id="1902"/>
      </w:r>
      <w:r>
        <w:rPr>
          <w:rFonts w:ascii="Amiri" w:hAnsi="Amiri" w:eastAsia="Amiri" w:cs="Amiri"/>
          <w:color w:val="111111"/>
          <w:sz w:val="28"/>
          <w:sz w:val="28"/>
          <w:szCs w:val="28"/>
          <w:rtl w:val="true"/>
          <w:lang w:bidi="ar-SA"/>
        </w:rPr>
        <w:t xml:space="preserve">لمّا نفر في الأخير ، </w:t>
      </w:r>
    </w:p>
    <w:p>
      <w:pPr>
        <w:pStyle w:val="BookText"/>
        <w:rPr/>
      </w:pPr>
      <w:r>
        <w:rPr>
          <w:rFonts w:ascii="Amiri" w:hAnsi="Amiri" w:eastAsia="Amiri" w:cs="Amiri"/>
          <w:color w:val="111111"/>
          <w:sz w:val="28"/>
          <w:sz w:val="28"/>
          <w:szCs w:val="28"/>
          <w:rtl w:val="true"/>
          <w:lang w:bidi="ar-SA"/>
        </w:rPr>
        <w:t xml:space="preserve">وتعريسه </w:t>
      </w:r>
      <w:r>
        <w:rPr>
          <w:rStyle w:val="FootnoteAnchor"/>
          <w:rtl w:val="true"/>
        </w:rPr>
        <w:footnoteReference w:id="1903"/>
      </w:r>
      <w:r>
        <w:rPr>
          <w:rFonts w:ascii="Amiri" w:hAnsi="Amiri" w:eastAsia="Amiri" w:cs="Amiri"/>
          <w:color w:val="111111"/>
          <w:sz w:val="28"/>
          <w:sz w:val="28"/>
          <w:szCs w:val="28"/>
          <w:rtl w:val="true"/>
          <w:lang w:bidi="ar-SA"/>
        </w:rPr>
        <w:t xml:space="preserve">لمّا بلغ ذا الحليفة ، وذهابه بطريق في العيد ورجوعه بآخر </w:t>
      </w:r>
      <w:r>
        <w:rPr>
          <w:rStyle w:val="FootnoteAnchor"/>
          <w:rtl w:val="true"/>
        </w:rPr>
        <w:footnoteReference w:id="1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حمل ذلك كلّه على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الكلام فيه إلى ما لم يعلم وجهه ، وسيجيء التفصيل والتحقيق ، ثمّ إنّه لا إشكال أيضا فيما علم اختصاصه به عليه‌السلام كوجوب التهجّد وإباحة الوصال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في الصّوم ، والزّيادة على أربع في النكاح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غيرهما </w:t>
      </w:r>
      <w:r>
        <w:rPr>
          <w:rStyle w:val="FootnoteAnchor"/>
          <w:rtl w:val="true"/>
        </w:rPr>
        <w:footnoteReference w:id="1906"/>
      </w:r>
      <w:r>
        <w:rPr>
          <w:rFonts w:ascii="Amiri" w:hAnsi="Amiri" w:eastAsia="Amiri" w:cs="Amiri"/>
          <w:color w:val="111111"/>
          <w:sz w:val="28"/>
          <w:sz w:val="28"/>
          <w:szCs w:val="28"/>
          <w:rtl w:val="true"/>
          <w:lang w:bidi="ar-SA"/>
        </w:rPr>
        <w:t>، فإمّا أن لا نعلم وجهه وقصده به من الوجوب أو الندب أو غيرهما ، أو نعلم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فإمّا أن نعلم أنّه قصد به التقرّب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فيتردّد فعله لنفسه بين الواجب والمندوب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فيتردّد فعله لنفسه بينهما وبين المباح والمكروه لو قلنا بصدوره عنهم ، لاستحالة صدور المحرّم عنهم عندنا ، فهذه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إذا لم يكن فعله بيانا لمجمل ، وسيجيء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لم يعلم وجهه </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هذا كما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فهل يجب علينا متابعته مطلقا أو يستحبّ مطلقا أو يباح أو يجب التوقّف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أقوال ، أقواها القول الثاني</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 من الوجوب وعدم دليل قائم عليه كما ستعرف ، واحتمال الإباحة مقهور بأكثريّة الرّاجح في أفعالهم ، ولأنّ ذلك </w:t>
      </w:r>
      <w:r>
        <w:rPr>
          <w:rStyle w:val="FootnoteAnchor"/>
          <w:rtl w:val="true"/>
        </w:rPr>
        <w:footnoteReference w:id="1908"/>
      </w:r>
      <w:r>
        <w:rPr>
          <w:rFonts w:ascii="Amiri" w:hAnsi="Amiri" w:eastAsia="Amiri" w:cs="Amiri"/>
          <w:color w:val="111111"/>
          <w:sz w:val="28"/>
          <w:sz w:val="28"/>
          <w:szCs w:val="28"/>
          <w:rtl w:val="true"/>
          <w:lang w:bidi="ar-SA"/>
        </w:rPr>
        <w:t>مقتضى الاحتياط لاحتمال الوجوب ، بل والندب أيضا ؛ فيستحبّ ، ولأنّ ذلك مقتضى عمومات ما دلّ على حسن التأسّي بعد نفي دلالتها على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 القائل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ضعيفة أقواها الآيات الآمرة باتّباعه عليه‌السلام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وَاتَّبِعُوهُ لَعَلَّكُمْ تَهْتَدُونَ</w:t>
      </w:r>
      <w:r>
        <w:rPr>
          <w:rFonts w:eastAsia="Amiri" w:cs="Amiri" w:ascii="Amiri" w:hAnsi="Amiri"/>
          <w:color w:val="111111"/>
          <w:sz w:val="28"/>
          <w:szCs w:val="28"/>
          <w:rtl w:val="true"/>
          <w:lang w:bidi="ar-SA"/>
        </w:rPr>
        <w:t xml:space="preserve">. ) </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المتابعة والتأسّي هو الإتيان بمثل فعل الغير على الوجه الذي فعله ، لأنّه فعله ، ففعل ما فعله بقصد الندب بعنوان الوجوب ، ليس متابعة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يمكن التجوّز في مادّة الصيغة لإبقاء هيئتها على حقيقتها </w:t>
      </w:r>
      <w:r>
        <w:rPr>
          <w:rStyle w:val="FootnoteAnchor"/>
          <w:rtl w:val="true"/>
        </w:rPr>
        <w:footnoteReference w:id="1910"/>
      </w:r>
      <w:r>
        <w:rPr>
          <w:rFonts w:ascii="Amiri" w:hAnsi="Amiri" w:eastAsia="Amiri" w:cs="Amiri"/>
          <w:color w:val="111111"/>
          <w:sz w:val="28"/>
          <w:sz w:val="28"/>
          <w:szCs w:val="28"/>
          <w:rtl w:val="true"/>
          <w:lang w:bidi="ar-SA"/>
        </w:rPr>
        <w:t xml:space="preserve">، يمكن العكس بإرادة الطلب الرّاجح ، سيّما والأوّل مستلزم للتخصيص أيضا جزما ، لعدم الوجوب في كثير من الأفعال ، وفي خصوص الخواصّ </w:t>
      </w:r>
      <w:r>
        <w:rPr>
          <w:rStyle w:val="FootnoteAnchor"/>
          <w:rtl w:val="true"/>
        </w:rPr>
        <w:footnoteReference w:id="1911"/>
      </w:r>
      <w:r>
        <w:rPr>
          <w:rFonts w:ascii="Amiri" w:hAnsi="Amiri" w:eastAsia="Amiri" w:cs="Amiri"/>
          <w:color w:val="111111"/>
          <w:sz w:val="28"/>
          <w:sz w:val="28"/>
          <w:szCs w:val="28"/>
          <w:rtl w:val="true"/>
          <w:lang w:bidi="ar-SA"/>
        </w:rPr>
        <w:t>إجماعا ، مع أنّه إذا بقي الاتّباع على معناه الحقيقي ، وهو إتيان الفعل على ما فعله لأجل أنّه فعله على الوجه الذي فعله ، فالوجوب المتعلّق بهذا المعنى من جهة صيغة الأمر إنّما يتعلّق بالقيد لا بالمقيّد ، فلا مجاز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الجواب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كُنْتُمْ تُحِبُّونَ اللهَ فَاتَّبِعُونِي </w:t>
      </w:r>
      <w:r>
        <w:rPr>
          <w:rFonts w:eastAsia="Amiri" w:cs="Amiri" w:ascii="Amiri" w:hAnsi="Amiri"/>
          <w:color w:val="111111"/>
          <w:sz w:val="28"/>
          <w:szCs w:val="28"/>
          <w:rtl w:val="true"/>
          <w:lang w:bidi="ar-SA"/>
        </w:rPr>
        <w:t xml:space="preserve">)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وجوب المتابعة معلّقا على محبّة الله التي هي واجبة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وجود الشرط غير مستلزم للمشروط ، فهو فاسد لابتنائه على الخلط بين معاني الشرط ، وجعله هنا عبارة عن الشرط الأصوليّ</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لِمَنْ كانَ يَرْجُوا </w:t>
      </w:r>
    </w:p>
    <w:p>
      <w:pPr>
        <w:pStyle w:val="BookText"/>
        <w:rPr/>
      </w:pPr>
      <w:r>
        <w:rPr>
          <w:rFonts w:ascii="Amiri" w:hAnsi="Amiri" w:eastAsia="Amiri" w:cs="Amiri"/>
          <w:color w:val="111111"/>
          <w:sz w:val="28"/>
          <w:sz w:val="28"/>
          <w:szCs w:val="28"/>
          <w:rtl w:val="true"/>
          <w:lang w:bidi="ar-SA"/>
        </w:rPr>
        <w:t>اللهَ وَالْيَوْمَ الْآخِرَ</w:t>
      </w:r>
      <w:r>
        <w:rPr>
          <w:rFonts w:eastAsia="Amiri" w:cs="Amiri" w:ascii="Amiri" w:hAnsi="Amiri"/>
          <w:color w:val="111111"/>
          <w:sz w:val="28"/>
          <w:szCs w:val="28"/>
          <w:rtl w:val="true"/>
          <w:lang w:bidi="ar-SA"/>
        </w:rPr>
        <w:t xml:space="preserve">. ) </w:t>
      </w:r>
      <w:r>
        <w:rPr>
          <w:rStyle w:val="FootnoteAnchor"/>
          <w:rtl w:val="true"/>
        </w:rPr>
        <w:footnoteReference w:id="1913"/>
      </w:r>
      <w:r>
        <w:rPr>
          <w:rFonts w:ascii="Amiri" w:hAnsi="Amiri" w:eastAsia="Amiri" w:cs="Amiri"/>
          <w:color w:val="111111"/>
          <w:sz w:val="28"/>
          <w:sz w:val="28"/>
          <w:szCs w:val="28"/>
          <w:rtl w:val="true"/>
          <w:lang w:bidi="ar-SA"/>
        </w:rPr>
        <w:t xml:space="preserve">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 الله واليوم الآخر فله فيه أسوة حسنة ، ويلزمه بعكس النقيض أنّ من لم تكن فيه أسوة حسنة ، فليس ممّن يرجو الله واليوم الآخر ، وهذا تهديد ووعيد على ترك الأسوة ، وهو دليل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الجواب عنه ممّا تقدّم ، فإنّ التأسّي هو متابعة الفعل لأجل أنّه فعله على الوجه الذي فعله لا بعنوان الوجوب مطلقا ، والقدح في عموم أسوة في مقام الجواب ممّا لا كرامة فيه ، لإرجاعه إلى العموم في أمثال هذا المقام في العرف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سائر الآيات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وَأَطِيعُوا الرَّسُولَ ، </w:t>
      </w:r>
      <w:r>
        <w:rPr>
          <w:rFonts w:eastAsia="Amiri" w:cs="Amiri" w:ascii="Amiri" w:hAnsi="Amiri"/>
          <w:color w:val="111111"/>
          <w:sz w:val="28"/>
          <w:szCs w:val="28"/>
          <w:rtl w:val="true"/>
          <w:lang w:bidi="ar-SA"/>
        </w:rPr>
        <w:t xml:space="preserve">) </w:t>
      </w:r>
      <w:r>
        <w:rPr>
          <w:rStyle w:val="FootnoteAnchor"/>
          <w:rtl w:val="true"/>
        </w:rPr>
        <w:footnoteReference w:id="1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 </w:t>
      </w:r>
      <w:r>
        <w:rPr>
          <w:rFonts w:eastAsia="Amiri" w:cs="Amiri" w:ascii="Amiri" w:hAnsi="Amiri"/>
          <w:color w:val="111111"/>
          <w:sz w:val="28"/>
          <w:szCs w:val="28"/>
          <w:rtl w:val="true"/>
          <w:lang w:bidi="ar-SA"/>
        </w:rPr>
        <w:t xml:space="preserve">) </w:t>
      </w:r>
      <w:r>
        <w:rPr>
          <w:rStyle w:val="FootnoteAnchor"/>
          <w:rtl w:val="true"/>
        </w:rPr>
        <w:footnoteReference w:id="1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زَيْدٌ مِنْها وَطَراً زَوَّجْناكَها لِكَيْ لا يَكُونَ عَلَى الْمُؤْمِنِينَ حَرَجٌ </w:t>
      </w:r>
      <w:r>
        <w:rPr>
          <w:rFonts w:eastAsia="Amiri" w:cs="Amiri" w:ascii="Amiri" w:hAnsi="Amiri"/>
          <w:color w:val="111111"/>
          <w:sz w:val="28"/>
          <w:szCs w:val="28"/>
          <w:rtl w:val="true"/>
          <w:lang w:bidi="ar-SA"/>
        </w:rPr>
        <w:t xml:space="preserve">) </w:t>
      </w:r>
      <w:r>
        <w:rPr>
          <w:rStyle w:val="FootnoteAnchor"/>
          <w:rtl w:val="true"/>
        </w:rPr>
        <w:footnoteReference w:id="1916"/>
      </w:r>
      <w:r>
        <w:rPr>
          <w:rFonts w:ascii="IRNazanin" w:hAnsi="IRNazanin" w:eastAsia="IRNazanin"/>
          <w:color w:val="111111"/>
          <w:sz w:val="28"/>
          <w:sz w:val="28"/>
          <w:szCs w:val="28"/>
          <w:rtl w:val="true"/>
          <w:lang w:bidi="fa-IR"/>
        </w:rPr>
        <w:t>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إطاعة موافقة الأمر هو حقيقة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بالمأتيّ القول بالتبادر سيّما مع مقابلة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وغاية ما يدلّ عليه الآية الأخيرة الإباحة ، سيّما وهو في مقام توهّم الحظر ، وأين هو من الوجوب</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بالاحتياط ، ففيه مع أنّه لا يتمّ لأجل احتمال الحرمة ، لاحتمال كون ما فعله من الخصائص ، لا دليل على وجوبه ، بل إنّما يتمّ لو سلّم فيما ثبت </w:t>
      </w:r>
    </w:p>
    <w:p>
      <w:pPr>
        <w:pStyle w:val="BookText"/>
        <w:rPr/>
      </w:pPr>
      <w:r>
        <w:rPr>
          <w:rFonts w:ascii="Amiri" w:hAnsi="Amiri" w:eastAsia="Amiri" w:cs="Amiri"/>
          <w:color w:val="111111"/>
          <w:sz w:val="28"/>
          <w:sz w:val="28"/>
          <w:szCs w:val="28"/>
          <w:rtl w:val="true"/>
          <w:lang w:bidi="ar-SA"/>
        </w:rPr>
        <w:t>التكليف يقينا وتوقّف براءة الذمّة على العمل ، وهو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التأمّل في جميع ما ذكرنا تقدر على استنباط دليل القائل بالإباحة والتوقّف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بالإباحة يقول أنّ تعارض الاحتمالات من الرّجحان والحظر يوجب الرجوع إلى الأصل ، وهو الإباحة ، والمتوقّف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الجواب ممّا مرّ </w:t>
      </w:r>
      <w:r>
        <w:rPr>
          <w:rStyle w:val="FootnoteAnchor"/>
          <w:rtl w:val="true"/>
        </w:rPr>
        <w:footnoteReference w:id="1918"/>
      </w:r>
      <w:r>
        <w:rPr>
          <w:rFonts w:ascii="Amiri" w:hAnsi="Amiri" w:eastAsia="Amiri" w:cs="Amiri"/>
          <w:color w:val="111111"/>
          <w:sz w:val="28"/>
          <w:sz w:val="28"/>
          <w:szCs w:val="28"/>
          <w:rtl w:val="true"/>
          <w:lang w:bidi="ar-SA"/>
        </w:rPr>
        <w:t>، مضافا إلى أنّ احتمال الحظر من جهة كونه من الخصائص نادر ولا يلتفت إليه ، فإنّ الغالب موافقة النبيّ صلى‌الله‌عليه‌وآله والأئمّة عليهم‌السلام لأمّتهم وتابعيهم ، فالأصل هو المشاركة ،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علم وجهه ، بمعنى أنّه يعلم أنّه واجب عليه أو مندوب أو غيره ولم يعلم أنّه من خصائصه ، فالأظهر لزوم اتّباعه ، بمعنى اشتراكنا معه على الوجه الذي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لذلك في العبادات دون المناكحات والمعاملات ، وآخر إلى إنكار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المتقدّمة للقائلين بالوجوب في المسألة السّابقة وضعف احتمال الاختصاص فيما لم يعلم كونه من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علم أنّه ليس منها ،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قول المنكر مطلقا فيها </w:t>
      </w:r>
      <w:r>
        <w:rPr>
          <w:rStyle w:val="FootnoteAnchor"/>
          <w:rtl w:val="true"/>
        </w:rPr>
        <w:footnoteReference w:id="1919"/>
      </w:r>
      <w:r>
        <w:rPr>
          <w:rFonts w:ascii="Amiri" w:hAnsi="Amiri" w:eastAsia="Amiri" w:cs="Amiri"/>
          <w:color w:val="111111"/>
          <w:sz w:val="28"/>
          <w:sz w:val="28"/>
          <w:szCs w:val="28"/>
          <w:rtl w:val="true"/>
          <w:lang w:bidi="ar-SA"/>
        </w:rPr>
        <w:t>أيضا ، أظهر</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 فيما يحتملها عدم الالتفات إلى النادر ، سيّما مع قيام الأدلّة على حسن التأسّي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المفصّل </w:t>
      </w:r>
      <w:r>
        <w:rPr>
          <w:rStyle w:val="FootnoteAnchor"/>
          <w:rtl w:val="true"/>
        </w:rPr>
        <w:footnoteReference w:id="1920"/>
      </w:r>
      <w:r>
        <w:rPr>
          <w:rFonts w:ascii="Amiri" w:hAnsi="Amiri" w:eastAsia="Amiri" w:cs="Amiri"/>
          <w:color w:val="111111"/>
          <w:sz w:val="28"/>
          <w:sz w:val="28"/>
          <w:szCs w:val="28"/>
          <w:rtl w:val="true"/>
          <w:lang w:bidi="ar-SA"/>
        </w:rPr>
        <w:t>فلا دليل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على المختار مضافا إلى ما مرّ بإجماع العصابة على الرجوع في الأحكام إلى أفعاله كقبلة الصّائم ، لما روته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عن فعله عليه‌السلام ، والغسل بمجرّد التقاء الختانين وإن لم ينزل ، لما روته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عن فعله عليه‌السلام ، نظرا إلى أنّ وجه الأوّل معلوم ، فإنّه للإباحة ، وأنّ الغسل من التقاء الختانين ظاهر في أنّه كان يفعله بعنوان الوجوب ، لأنّه صلى‌الله‌عليه‌وآله كان يجعله غسل الجنابة ويترتّب عليه أحكامه ، وغسل الجنابة واجب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الحكم في الترك هو الحكم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يتفرّع على هذا التأسّي به صلى‌الله‌عليه‌وآله في التباعد عن الناس عند التخلّي المعلوم أنّه كان على سبيل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معرفة وجه فعله صلى‌الله‌عليه‌وآله إمّا يعرف بنصّه بأنّ هذا الذي فعلته ؛ فعلته بعنوان الوجوب ، أو يعلم أنّه كان امتثالا لأمر يدلّ على الوجوب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 </w:t>
      </w:r>
      <w:r>
        <w:rPr>
          <w:rFonts w:eastAsia="Amiri" w:cs="Amiri" w:ascii="Amiri" w:hAnsi="Amiri"/>
          <w:color w:val="111111"/>
          <w:sz w:val="28"/>
          <w:szCs w:val="28"/>
          <w:rtl w:val="true"/>
          <w:lang w:bidi="ar-SA"/>
        </w:rPr>
        <w:t xml:space="preserve">) </w:t>
      </w:r>
      <w:r>
        <w:rPr>
          <w:rStyle w:val="FootnoteAnchor"/>
          <w:rtl w:val="true"/>
        </w:rPr>
        <w:footnoteReference w:id="1921"/>
      </w:r>
      <w:r>
        <w:rPr>
          <w:rFonts w:ascii="Amiri" w:hAnsi="Amiri" w:eastAsia="Amiri" w:cs="Amiri"/>
          <w:color w:val="111111"/>
          <w:sz w:val="28"/>
          <w:sz w:val="28"/>
          <w:szCs w:val="28"/>
          <w:rtl w:val="true"/>
          <w:lang w:bidi="ar-SA"/>
        </w:rPr>
        <w:t xml:space="preserve">الدالّ على الوجوب أو أمر يدلّ على مجرّد الرّخصة ، أو أمر ندبي ، والتمثيل لذلك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 xml:space="preserve">. ) </w:t>
      </w:r>
      <w:r>
        <w:rPr>
          <w:rStyle w:val="FootnoteAnchor"/>
          <w:rtl w:val="true"/>
        </w:rPr>
        <w:footnoteReference w:id="1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فَكاتِبُوهُمْ </w:t>
      </w:r>
      <w:r>
        <w:rPr>
          <w:rFonts w:eastAsia="Amiri" w:cs="Amiri" w:ascii="Amiri" w:hAnsi="Amiri"/>
          <w:color w:val="111111"/>
          <w:sz w:val="28"/>
          <w:szCs w:val="28"/>
          <w:rtl w:val="true"/>
          <w:lang w:bidi="ar-SA"/>
        </w:rPr>
        <w:t xml:space="preserve">) </w:t>
      </w:r>
      <w:r>
        <w:rPr>
          <w:rStyle w:val="FootnoteAnchor"/>
          <w:rtl w:val="true"/>
        </w:rPr>
        <w:footnoteReference w:id="1923"/>
      </w:r>
      <w:r>
        <w:rPr>
          <w:rFonts w:ascii="Amiri" w:hAnsi="Amiri" w:eastAsia="Amiri" w:cs="Amiri"/>
          <w:color w:val="111111"/>
          <w:sz w:val="28"/>
          <w:sz w:val="28"/>
          <w:szCs w:val="28"/>
          <w:rtl w:val="true"/>
          <w:lang w:bidi="ar-SA"/>
        </w:rPr>
        <w:t>سهو لعموم الخطاب فيهما ، أو يعلم بانضمام القرائن كما أشرنا في قبلة الصّائم والتباعد عند التخلّي أو غير ذلك من القرائن</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الوجوب الدالّة على الإباحة إليه إذا فقد الدليل على الوجوب والندب</w:t>
      </w:r>
      <w:r>
        <w:rPr>
          <w:rFonts w:eastAsia="Amiri" w:cs="Amiri" w:ascii="Amiri" w:hAnsi="Amiri"/>
          <w:color w:val="111111"/>
          <w:sz w:val="28"/>
          <w:szCs w:val="28"/>
          <w:rtl w:val="true"/>
          <w:lang w:bidi="ar-SA"/>
        </w:rPr>
        <w:t xml:space="preserve">. </w:t>
      </w:r>
      <w:bookmarkStart w:id="244" w:name="pg14071_149653"/>
    </w:p>
    <w:p>
      <w:pPr>
        <w:pStyle w:val="Heading5"/>
        <w:numPr>
          <w:ilvl w:val="4"/>
          <w:numId w:val="1"/>
        </w:numPr>
        <w:rPr/>
      </w:pPr>
      <w:bookmarkStart w:id="245" w:name="__RefHeading___Toc495167_1738255347"/>
      <w:bookmarkStart w:id="246" w:name="_Toc89"/>
      <w:bookmarkEnd w:id="244"/>
      <w:bookmarkEnd w:id="245"/>
      <w:r>
        <w:rPr>
          <w:rtl w:val="true"/>
        </w:rPr>
        <w:t>قانون</w:t>
      </w:r>
      <w:bookmarkEnd w:id="246"/>
    </w:p>
    <w:p>
      <w:pPr>
        <w:pStyle w:val="BookText"/>
        <w:rPr/>
      </w:pPr>
      <w:r>
        <w:rPr>
          <w:rFonts w:ascii="Amiri" w:hAnsi="Amiri" w:eastAsia="Amiri" w:cs="Amiri"/>
          <w:color w:val="111111"/>
          <w:sz w:val="28"/>
          <w:sz w:val="28"/>
          <w:szCs w:val="28"/>
          <w:rtl w:val="true"/>
          <w:lang w:bidi="ar-SA"/>
        </w:rPr>
        <w:t>إذا وقع الفعل بيانا لمجمل فيتبعه في الوجه ، ويظهر منه وجهه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قد عرفت في باب المجمل والمبيّن حكم كون الفعل بيانا ، وأقسام ما يدلّ على بيانيّته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فاعلم أنّ المعصوم عليه‌السلام إذا صدر منه فعل في مقام البيان ، فما علم مدخليّته ، وما علم عدم مدخليّته فيه من الحركات والسّكنات وغيرهما ، فلا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لم يعلم ، فإن كان ممّا استحدثه </w:t>
      </w:r>
      <w:r>
        <w:rPr>
          <w:rStyle w:val="FootnoteAnchor"/>
          <w:rtl w:val="true"/>
        </w:rPr>
        <w:footnoteReference w:id="1925"/>
      </w:r>
      <w:r>
        <w:rPr>
          <w:rFonts w:ascii="Amiri" w:hAnsi="Amiri" w:eastAsia="Amiri" w:cs="Amiri"/>
          <w:color w:val="111111"/>
          <w:sz w:val="28"/>
          <w:sz w:val="28"/>
          <w:szCs w:val="28"/>
          <w:rtl w:val="true"/>
          <w:lang w:bidi="ar-SA"/>
        </w:rPr>
        <w:t>ولم يكن متلبّسا به قبل الفعل ، فالظاهر دخوله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متلبّسا به قبله ، كالسّتر في الصّلاة ، بل مثل الطهارة لصلاة الميّت إذا كان فعلها في حالة توضّأ قبلها للصلاة اليومية ، فالظّاهر عدم المدخليّة ، إلّا أن يثبت بدليل من خارج</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الكلام في عوارض ما استحدثه ، مثل التقصير والتطويل والسّرعة والبطء الغير المعتدّ بها </w:t>
      </w:r>
      <w:r>
        <w:rPr>
          <w:rStyle w:val="FootnoteAnchor"/>
          <w:rtl w:val="true"/>
        </w:rPr>
        <w:footnoteReference w:id="1926"/>
      </w:r>
      <w:r>
        <w:rPr>
          <w:rFonts w:ascii="Amiri" w:hAnsi="Amiri" w:eastAsia="Amiri" w:cs="Amiri"/>
          <w:color w:val="111111"/>
          <w:sz w:val="28"/>
          <w:sz w:val="28"/>
          <w:szCs w:val="28"/>
          <w:rtl w:val="true"/>
          <w:lang w:bidi="ar-SA"/>
        </w:rPr>
        <w:t>عرفا ، فمثل تفاوت القراءة بسبب طلاقة اللّسان وعدمها في التكلّم ، ومثل تطويل الغسل في كلّ واحد من أعضاء الوضوء وتعجيلها بحيث يتفاوت في المصداق العرفيّ غالبا لا يعتدّ بها ، لاقتضاء العرف ذلك وعدم انضباط ذلك تحت حدّ محدود لا يتجاوز عنه ، فالتكليف به تكليف بما لا يطاق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التفاوت الفاحش الخارج عن حدّ متعارف الأوساط ، فالظّاهر اعتباره ، فيشكل الاكتفاء بوضوء يغسل كلّ واحد من أعضائه في ظرف ساعة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يشكّ في دخوله في البيان وعدمه مثل التوالي بين الأعضاء في الوضوء بحيث إذا فرغ من عضو شرع في الآخر بلا فصل ، وكذلك غسل الوجه من الأعلى ، وكذلك اليد ، وكذلك المسح من الأعلى ، فإنّ ذلك كلّه ممّا يشكّ في دخوله ، لأنّ الغسل العرفيّ للأعضاء يصدق مع الفصل وعلى أيّ وجه اتّفق ، لكن اختيار هذا الفرد من الماهيّة هنا ممّا يشكّ في أنّه هل هو بمجرّد الاتّفاق لأنّه فرد من ماهيّة الغسل ، أو أنّه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فيما لو علم اشتمال المجمل على واجبات ومندوبات وحصل الشكّ في بعضها أنّه من الواجبات أو المندوبات ، كالسّورة في الصلاة ، ففيه الإشكال المتقدّم في أوائل الكتاب ، من أنّه يمكن الاعتماد على الأصل ونفي الجزئيّة والوجوب بأصالة عدمهما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أنّ التحقيق إمكان جريان الأصل في ماهيّة العبادات كنفس الأحكام الشرعية ، وأنّه لا فرق بينهما ، فاعتبار المذكورات في الماهيّة موقوف على ثبوتها من دليل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حقّقنا لك في القانون السّابق ، يظهر أنّ الأقوى في أمثال المذكورات هو البناء على الاستحباب لدخوله في الفعل الذي لم يعلم وجهه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التحقيق فيها الاستحباب لحسن التأسّي والاحتياط ، وأمّا الوجوب </w:t>
      </w:r>
      <w:r>
        <w:rPr>
          <w:rStyle w:val="FootnoteAnchor"/>
          <w:rtl w:val="true"/>
        </w:rPr>
        <w:footnoteReference w:id="1927"/>
      </w:r>
      <w:r>
        <w:rPr>
          <w:rFonts w:ascii="Amiri" w:hAnsi="Amiri" w:eastAsia="Amiri" w:cs="Amiri"/>
          <w:color w:val="111111"/>
          <w:sz w:val="28"/>
          <w:sz w:val="28"/>
          <w:szCs w:val="28"/>
          <w:rtl w:val="true"/>
          <w:lang w:bidi="ar-SA"/>
        </w:rPr>
        <w:t>فلا 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يتوهّم من أنّ اشتغال الذمّة بالمجمل يقينيّ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هذا كما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وتحصيل البراءة اليقينيّة واجبة ، فيحكم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عرفت جوابه في أوّل الكتاب ، وأنّ الاشتغال بأزيد ممّا يقتضيه ظنّ المجتهد فيما لا يمكن تحصيل العلم به بشخصه ، ممنوع ، ولا دليل على وجوب الاحتياط</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 مقتضى ما ذكره الشهيد من حمل الأفعال المتردّد في كونها من أفعال الجبلّة والعادة أو الشرع والعبادة </w:t>
      </w:r>
      <w:r>
        <w:rPr>
          <w:rStyle w:val="FootnoteAnchor"/>
          <w:rtl w:val="true"/>
        </w:rPr>
        <w:footnoteReference w:id="1929"/>
      </w:r>
      <w:r>
        <w:rPr>
          <w:rFonts w:ascii="Amiri" w:hAnsi="Amiri" w:eastAsia="Amiri" w:cs="Amiri"/>
          <w:color w:val="111111"/>
          <w:sz w:val="28"/>
          <w:sz w:val="28"/>
          <w:szCs w:val="28"/>
          <w:rtl w:val="true"/>
          <w:lang w:bidi="ar-SA"/>
        </w:rPr>
        <w:t>على الشرعيّ ، هو الحمل على الاستحباب لا غير ، لعدم الدليل على ما فوقه</w:t>
      </w:r>
      <w:r>
        <w:rPr>
          <w:rFonts w:eastAsia="Amiri" w:cs="Amiri" w:ascii="Amiri" w:hAnsi="Amiri"/>
          <w:color w:val="111111"/>
          <w:sz w:val="28"/>
          <w:szCs w:val="28"/>
          <w:rtl w:val="true"/>
          <w:lang w:bidi="ar-SA"/>
        </w:rPr>
        <w:t xml:space="preserve">. </w:t>
      </w:r>
      <w:bookmarkStart w:id="247" w:name="pg14071_149658"/>
    </w:p>
    <w:p>
      <w:pPr>
        <w:pStyle w:val="Heading5"/>
        <w:numPr>
          <w:ilvl w:val="4"/>
          <w:numId w:val="1"/>
        </w:numPr>
        <w:rPr/>
      </w:pPr>
      <w:bookmarkStart w:id="248" w:name="__RefHeading___Toc495169_1738255347"/>
      <w:bookmarkStart w:id="249" w:name="_Toc90"/>
      <w:bookmarkEnd w:id="247"/>
      <w:bookmarkEnd w:id="248"/>
      <w:r>
        <w:rPr>
          <w:rtl w:val="true"/>
        </w:rPr>
        <w:t>قانون</w:t>
      </w:r>
      <w:bookmarkEnd w:id="249"/>
    </w:p>
    <w:p>
      <w:pPr>
        <w:pStyle w:val="BookText"/>
        <w:rPr/>
      </w:pPr>
      <w:r>
        <w:rPr>
          <w:rFonts w:ascii="Amiri" w:hAnsi="Amiri" w:eastAsia="Amiri" w:cs="Amiri"/>
          <w:color w:val="111111"/>
          <w:sz w:val="28"/>
          <w:sz w:val="28"/>
          <w:szCs w:val="28"/>
          <w:rtl w:val="true"/>
          <w:lang w:bidi="ar-SA"/>
        </w:rPr>
        <w:t>تصرّف المعصوم عليهم‌السلام إمّا بالإمامة ، كالجهاد والتصرّف في بيت المال ، أو بالقضاء كرفع النزاع بين الخصمين بالبيّنة أو اليمين أو الإقرار أو علمه ، أو بالفتوى والتبليغ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وتصرّفاته في العبادات كلّها من باب التبليغ </w:t>
      </w:r>
      <w:r>
        <w:rPr>
          <w:rStyle w:val="FootnoteAnchor"/>
          <w:rtl w:val="true"/>
        </w:rPr>
        <w:footnoteReference w:id="1930"/>
      </w:r>
      <w:r>
        <w:rPr>
          <w:rFonts w:ascii="Amiri" w:hAnsi="Amiri" w:eastAsia="Amiri" w:cs="Amiri"/>
          <w:color w:val="111111"/>
          <w:sz w:val="28"/>
          <w:sz w:val="28"/>
          <w:szCs w:val="28"/>
          <w:rtl w:val="true"/>
          <w:lang w:bidi="ar-SA"/>
        </w:rPr>
        <w:t xml:space="preserve">، وفي غيرها قد يشتبه بين القضاء والفتوى كقوله صلى‌الله‌عليه‌وآله لهند زوجة أبي سفيان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لك ولولدك ما يكفيك بالمعروف</w:t>
      </w:r>
      <w:r>
        <w:rPr>
          <w:rFonts w:eastAsia="Amiri" w:cs="Amiri" w:ascii="Amiri" w:hAnsi="Amiri"/>
          <w:color w:val="111111"/>
          <w:sz w:val="28"/>
          <w:szCs w:val="28"/>
          <w:rtl w:val="true"/>
          <w:lang w:bidi="ar-SA"/>
        </w:rPr>
        <w:t xml:space="preserve">» </w:t>
      </w:r>
      <w:r>
        <w:rPr>
          <w:rStyle w:val="FootnoteAnchor"/>
          <w:rtl w:val="true"/>
        </w:rPr>
        <w:footnoteReference w:id="1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شكت إليه صلى‌الله‌عليه‌وآله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رجل شحيح لا يعطيني ولولدي ما يكفيني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فتوى ، فيثبت منه جواز التقاصّ للمسلّط بإذن الحاكم وغيره ، ولو كان قضاء فلا يجوز الأخذ إلّا بقضاء قاض</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1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حمله على الإفتاء أولى ، لأنّ تصرّفه صلى‌الله‌عليه‌وآله بالتبليغ أغلب ، والحمل على الغالب أولى من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يشتبه بين التصرّف بالإمامة والفتوى ، كقوله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 xml:space="preserve">» </w:t>
      </w:r>
      <w:r>
        <w:rPr>
          <w:rStyle w:val="FootnoteAnchor"/>
          <w:rtl w:val="true"/>
        </w:rPr>
        <w:footnoteReference w:id="1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كما هو قول الأكثر ، لا يجوز الإحياء إلّا بإذن الإمام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p>
    <w:p>
      <w:pPr>
        <w:pStyle w:val="BookText"/>
        <w:rPr/>
      </w:pPr>
      <w:r>
        <w:rPr>
          <w:rFonts w:ascii="Amiri" w:hAnsi="Amiri" w:eastAsia="Amiri" w:cs="Amiri"/>
          <w:color w:val="111111"/>
          <w:sz w:val="28"/>
          <w:sz w:val="28"/>
          <w:szCs w:val="28"/>
          <w:rtl w:val="true"/>
          <w:lang w:bidi="ar-SA"/>
        </w:rPr>
        <w:t xml:space="preserve">يجوز ، كما ذهب إليه بعض أصحابنا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بالتبليغ أغلب ، فلا بدّ من الحمل عليه كالسّابق ، فلا يشترط الإذن</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الشهيد رحمه‌الله </w:t>
      </w:r>
      <w:r>
        <w:rPr>
          <w:rStyle w:val="FootnoteAnchor"/>
          <w:rtl w:val="true"/>
        </w:rPr>
        <w:footnoteReference w:id="1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اشتراطه يعلم من دليل خارج ، لا من هذا الدليل</w:t>
      </w:r>
      <w:r>
        <w:rPr>
          <w:rFonts w:eastAsia="Amiri" w:cs="Amiri" w:ascii="Amiri" w:hAnsi="Amiri"/>
          <w:color w:val="111111"/>
          <w:sz w:val="28"/>
          <w:szCs w:val="28"/>
          <w:rtl w:val="true"/>
          <w:lang w:bidi="ar-SA"/>
        </w:rPr>
        <w:t xml:space="preserve">. </w:t>
      </w:r>
      <w:bookmarkStart w:id="250" w:name="pg14071_149662"/>
    </w:p>
    <w:p>
      <w:pPr>
        <w:pStyle w:val="Heading5"/>
        <w:numPr>
          <w:ilvl w:val="4"/>
          <w:numId w:val="1"/>
        </w:numPr>
        <w:rPr/>
      </w:pPr>
      <w:bookmarkStart w:id="251" w:name="__RefHeading___Toc495171_1738255347"/>
      <w:bookmarkStart w:id="252" w:name="_Toc91"/>
      <w:bookmarkEnd w:id="250"/>
      <w:bookmarkEnd w:id="251"/>
      <w:r>
        <w:rPr>
          <w:rtl w:val="true"/>
        </w:rPr>
        <w:t>قانون</w:t>
      </w:r>
      <w:bookmarkEnd w:id="252"/>
    </w:p>
    <w:p>
      <w:pPr>
        <w:pStyle w:val="BookText"/>
        <w:rPr/>
      </w:pPr>
      <w:r>
        <w:rPr>
          <w:rFonts w:ascii="Amiri" w:hAnsi="Amiri" w:eastAsia="Amiri" w:cs="Amiri"/>
          <w:color w:val="111111"/>
          <w:sz w:val="28"/>
          <w:sz w:val="28"/>
          <w:szCs w:val="28"/>
          <w:rtl w:val="true"/>
          <w:lang w:bidi="ar-SA"/>
        </w:rPr>
        <w:t>الحقّ أنّ نبيّنا صلى‌الله‌عليه‌وآله قبل البعثة كان متعبّدا ، ولكن لا بشريعة من قبله من الأنبياء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متعبّدا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متعبّدا بشريعة من قبله على اختلاف في مذاهبهم </w:t>
      </w:r>
      <w:r>
        <w:rPr>
          <w:rStyle w:val="FootnoteAnchor"/>
          <w:rtl w:val="true"/>
        </w:rPr>
        <w:footnoteReference w:id="1936"/>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بشريعة نوح عليه‌السلام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بإبراهيم عليه‌السلام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بموسى عليه‌السلام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بعيسى عليه‌السلام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الشّرائع ، وقيل بالوقف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ضرورة ديننا يقتضي أفضليّته صلى‌الله‌عليه‌وآله عن كلّ الأنبياء ، وفيما ذكروه يلزم تقديم المفضول ،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كان كذا ، لكان إمّا بالوحي أو بالتعليم من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معنى الرّسالة ، والموافقة لا يقتضي المتابعة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فلو ثبت لافتخر أهل الأديان بذلك ، ولو افتخروا به لشاع ، ولم يعاشر أهل الكتاب ولم يأخذ منهم شيئا وإلّا فالعادة تقتضي بنقله ، ولا من كتبهم ، لأنّه صلى‌الله‌عليه‌وآله كان امّيا لا يقرأ ولا يكتب مع ما روى الخاصّة والعامّة أنّه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وآدم عليه‌السلام بين الماء والطين</w:t>
      </w:r>
      <w:r>
        <w:rPr>
          <w:rFonts w:eastAsia="Amiri" w:cs="Amiri" w:ascii="Amiri" w:hAnsi="Amiri"/>
          <w:color w:val="111111"/>
          <w:sz w:val="28"/>
          <w:szCs w:val="28"/>
          <w:rtl w:val="true"/>
          <w:lang w:bidi="ar-SA"/>
        </w:rPr>
        <w:t xml:space="preserve">» </w:t>
      </w:r>
      <w:r>
        <w:rPr>
          <w:rStyle w:val="FootnoteAnchor"/>
          <w:rtl w:val="true"/>
        </w:rPr>
        <w:footnoteReference w:id="1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كون عيسى في المهد نبيّا ويحيى في الصّبى دون نبيّنا صلى‌الله‌عليه‌وآله إلى أربعين سنة ينافي أفضليّته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بطلان القول بعدم تعبّده بشيء فأوضح ، لاستلزامه كمال النقص وكونه أسوأ حالا من آحاد الناس ، مع ما ورد ممّا كان يفعله من الأعمال والحجّ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البعثة ، فالحقّ أيضا أنّه لم يكن متعبّدا بشريعة من قبله ، وتوافقه مع غيره في كثير منها ليس نفس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الناس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بمتابعة شرع من قبله في الجملة ، مستدلّا بظواهر بعض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الأدلّة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39"/>
      </w:r>
      <w:r>
        <w:rPr>
          <w:rFonts w:ascii="Amiri" w:hAnsi="Amiri" w:eastAsia="Amiri" w:cs="Amiri"/>
          <w:color w:val="111111"/>
          <w:sz w:val="28"/>
          <w:sz w:val="28"/>
          <w:szCs w:val="28"/>
          <w:rtl w:val="true"/>
          <w:lang w:bidi="ar-SA"/>
        </w:rPr>
        <w:t>وأنّ شرعه كان ناسخا وكان ينتظر الوحي في كلّ مسألة ولا يتمسّك بالأديان السّابقة ، وإخباره عن التوراة برجم الزّانية لإتمام الحجّة على اليهود وإظهار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الآيات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أَوْحَيْنا إِلَيْكَ أَنِ اتَّبِعْ مِلَّةَ إِبْراهِيمَ </w:t>
      </w:r>
      <w:r>
        <w:rPr>
          <w:rFonts w:eastAsia="Amiri" w:cs="Amiri" w:ascii="Amiri" w:hAnsi="Amiri"/>
          <w:color w:val="111111"/>
          <w:sz w:val="28"/>
          <w:szCs w:val="28"/>
          <w:rtl w:val="true"/>
          <w:lang w:bidi="ar-SA"/>
        </w:rPr>
        <w:t xml:space="preserve">) </w:t>
      </w:r>
      <w:r>
        <w:rPr>
          <w:rStyle w:val="FootnoteAnchor"/>
          <w:rtl w:val="true"/>
        </w:rPr>
        <w:footnoteReference w:id="19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فَبِهُداهُمُ اقْتَدِهْ </w:t>
      </w:r>
      <w:r>
        <w:rPr>
          <w:rFonts w:eastAsia="Amiri" w:cs="Amiri" w:ascii="Amiri" w:hAnsi="Amiri"/>
          <w:color w:val="111111"/>
          <w:sz w:val="28"/>
          <w:szCs w:val="28"/>
          <w:rtl w:val="true"/>
          <w:lang w:bidi="ar-SA"/>
        </w:rPr>
        <w:t xml:space="preserve">) </w:t>
      </w:r>
      <w:r>
        <w:rPr>
          <w:rStyle w:val="FootnoteAnchor"/>
          <w:rtl w:val="true"/>
        </w:rPr>
        <w:footnoteReference w:id="19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لَكُمْ مِنَ الدِّينِ ما وَصَّى بِهِ نُوحاً ، </w:t>
      </w:r>
      <w:r>
        <w:rPr>
          <w:rFonts w:eastAsia="Amiri" w:cs="Amiri" w:ascii="Amiri" w:hAnsi="Amiri"/>
          <w:color w:val="111111"/>
          <w:sz w:val="28"/>
          <w:szCs w:val="28"/>
          <w:rtl w:val="true"/>
          <w:lang w:bidi="ar-SA"/>
        </w:rPr>
        <w:t xml:space="preserve">) </w:t>
      </w:r>
      <w:r>
        <w:rPr>
          <w:rStyle w:val="FootnoteAnchor"/>
          <w:rtl w:val="true"/>
        </w:rPr>
        <w:footnoteReference w:id="1942"/>
      </w:r>
      <w:r>
        <w:rPr>
          <w:rFonts w:ascii="Amiri" w:hAnsi="Amiri" w:eastAsia="Amiri" w:cs="Amiri"/>
          <w:color w:val="111111"/>
          <w:sz w:val="28"/>
          <w:sz w:val="28"/>
          <w:szCs w:val="28"/>
          <w:rtl w:val="true"/>
          <w:lang w:bidi="ar-SA"/>
        </w:rPr>
        <w:t xml:space="preserve">فهي محمولة على أصول العقائد ، وإلّا فلم يجز النّسخ ، سيّما مع ملاحظة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يَرْغَبُ عَنْ مِلَّةِ إِبْراهِيمَ إِلَّا مَنْ سَفِهَ نَفْسَهُ </w:t>
      </w:r>
      <w:r>
        <w:rPr>
          <w:rFonts w:eastAsia="Amiri" w:cs="Amiri" w:ascii="Amiri" w:hAnsi="Amiri"/>
          <w:color w:val="111111"/>
          <w:sz w:val="28"/>
          <w:szCs w:val="28"/>
          <w:rtl w:val="true"/>
          <w:lang w:bidi="ar-SA"/>
        </w:rPr>
        <w:t xml:space="preserve">) . </w:t>
      </w:r>
      <w:r>
        <w:rPr>
          <w:rStyle w:val="FootnoteAnchor"/>
          <w:rtl w:val="true"/>
        </w:rPr>
        <w:footnoteReference w:id="1943"/>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المراد بهدى الجميع ما اتّفق الجميع فيه وهو أصول العقائد ، وإلّا </w:t>
      </w:r>
      <w:bookmarkStart w:id="253" w:name="pg14071_149666"/>
    </w:p>
    <w:p>
      <w:pPr>
        <w:pStyle w:val="BookText"/>
        <w:rPr/>
      </w:pPr>
      <w:bookmarkEnd w:id="253"/>
      <w:r>
        <w:rPr>
          <w:rFonts w:ascii="Amiri" w:hAnsi="Amiri" w:eastAsia="Amiri" w:cs="Amiri"/>
          <w:color w:val="111111"/>
          <w:sz w:val="28"/>
          <w:sz w:val="28"/>
          <w:szCs w:val="28"/>
          <w:rtl w:val="true"/>
          <w:lang w:bidi="ar-SA"/>
        </w:rPr>
        <w:t xml:space="preserve">فأديانهم مختلفة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ذلك الجواب عن سائر الآيات</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495173_1738255347"/>
      <w:bookmarkStart w:id="255" w:name="_Toc92"/>
      <w:bookmarkEnd w:id="254"/>
      <w:r>
        <w:rPr>
          <w:rtl w:val="true"/>
        </w:rPr>
        <w:t xml:space="preserve">فائدة </w:t>
      </w:r>
      <w:r>
        <w:rPr>
          <w:rtl w:val="true"/>
        </w:rPr>
        <w:t>:</w:t>
      </w:r>
      <w:bookmarkEnd w:id="255"/>
    </w:p>
    <w:p>
      <w:pPr>
        <w:pStyle w:val="BookText"/>
        <w:rPr/>
      </w:pPr>
      <w:r>
        <w:rPr>
          <w:rFonts w:ascii="Amiri" w:hAnsi="Amiri" w:eastAsia="Amiri" w:cs="Amiri"/>
          <w:color w:val="111111"/>
          <w:sz w:val="28"/>
          <w:sz w:val="28"/>
          <w:szCs w:val="28"/>
          <w:rtl w:val="true"/>
          <w:lang w:bidi="ar-SA"/>
        </w:rPr>
        <w:t xml:space="preserve">إذا ثبت بطريق صحيح أمر من الشّرائع السّابقة ولم يثبت نسخه في ديننا ، فهل يجوز لنا اتّباعه أم لا؟ مثل أن يذكر في القرآن أو في الأخبار المتواترة حكم من الأحكام في شرع من الشّرائع السّابقة مثل قوله تعالى في شأن يحيى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مُصَدِّقاً بِكَلِمَةٍ مِنَ اللهِ وَسَيِّداً وَحَصُوراً </w:t>
      </w:r>
      <w:r>
        <w:rPr>
          <w:rFonts w:eastAsia="Amiri" w:cs="Amiri" w:ascii="Amiri" w:hAnsi="Amiri"/>
          <w:color w:val="111111"/>
          <w:sz w:val="28"/>
          <w:szCs w:val="28"/>
          <w:rtl w:val="true"/>
          <w:lang w:bidi="ar-SA"/>
        </w:rPr>
        <w:t xml:space="preserve">) </w:t>
      </w:r>
      <w:r>
        <w:rPr>
          <w:rStyle w:val="FootnoteAnchor"/>
          <w:rtl w:val="true"/>
        </w:rPr>
        <w:footnoteReference w:id="1945"/>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الأصوليّون فيه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 إن فهم أنّه تعالى أو نبيّه صلى‌الله‌عليه‌وآله نقل ذلك على طريق المدح لهذه الأمّة أيضا ، وبحيث يدلّ على حسنه مطلقا ، فنعم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علم النّاسخ كاف في استصحاب بقائه ، فهو حجّة مطلقا ، وهو مبنيّ على القول بكون حسن الأشياء ذاتيّا ، وهو ممنوع ومناف للقول بالنسخ ، بل التحقيق أنّه بالوجوه والاعتبارات وإن كنّا لا نمنع الذاتيّة في بعض الأشياء ، لكن إعمال الاستصحاب لا يمكن إلّا مع قابليّة المحلّ ، كما سيجيء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المسألة فروع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أرجحيّة العبادة على التزويج ، بالآية المتقدّمة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ليضربنّ زيدا مثلا مائة خشبة ، فضربه بالعثكال ونحوه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وَخُذْ بِيَدِكَ ضِغْثاً </w:t>
      </w:r>
      <w:r>
        <w:rPr>
          <w:rFonts w:eastAsia="Amiri" w:cs="Amiri" w:ascii="Amiri" w:hAnsi="Amiri"/>
          <w:color w:val="111111"/>
          <w:sz w:val="28"/>
          <w:szCs w:val="28"/>
          <w:rtl w:val="true"/>
          <w:lang w:bidi="ar-SA"/>
        </w:rPr>
        <w:t xml:space="preserve">) </w:t>
      </w:r>
      <w:r>
        <w:rPr>
          <w:rStyle w:val="FootnoteAnchor"/>
          <w:rtl w:val="true"/>
        </w:rPr>
        <w:footnoteReference w:id="1947"/>
      </w:r>
      <w:r>
        <w:rPr>
          <w:rFonts w:ascii="Amiri" w:hAnsi="Amiri" w:eastAsia="Amiri" w:cs="Amiri"/>
          <w:color w:val="111111"/>
          <w:sz w:val="28"/>
          <w:sz w:val="28"/>
          <w:szCs w:val="28"/>
          <w:rtl w:val="true"/>
          <w:lang w:bidi="ar-SA"/>
        </w:rPr>
        <w:t>لأيّوب عليه‌السلام ، والضغث هو الشماريخ القائمة على الساق الواحد وهو المسمّى بالعثكال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الحكم مرويّ عندنا في اليمين بشروط خاصّة ، وفي الحدود كذلك ،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وَلِمَنْ جاءَ بِهِ حِمْلُ بَعِيرٍ وَأَنَا بِهِ زَعِيمٌ ، </w:t>
      </w:r>
      <w:r>
        <w:rPr>
          <w:rFonts w:eastAsia="Amiri" w:cs="Amiri" w:ascii="Amiri" w:hAnsi="Amiri"/>
          <w:color w:val="111111"/>
          <w:sz w:val="28"/>
          <w:szCs w:val="28"/>
          <w:rtl w:val="true"/>
          <w:lang w:bidi="ar-SA"/>
        </w:rPr>
        <w:t xml:space="preserve">) </w:t>
      </w:r>
      <w:r>
        <w:rPr>
          <w:rStyle w:val="FootnoteAnchor"/>
          <w:rtl w:val="true"/>
        </w:rPr>
        <w:footnoteReference w:id="1948"/>
      </w:r>
      <w:r>
        <w:rPr>
          <w:rFonts w:ascii="Amiri" w:hAnsi="Amiri" w:eastAsia="Amiri" w:cs="Amiri"/>
          <w:color w:val="111111"/>
          <w:sz w:val="28"/>
          <w:sz w:val="28"/>
          <w:szCs w:val="28"/>
          <w:rtl w:val="true"/>
          <w:lang w:bidi="ar-SA"/>
        </w:rPr>
        <w:t>وعلى صحّة كون عوض الجعالة مجهولا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Style w:val="FootnoteAnchor"/>
          <w:rtl w:val="true"/>
        </w:rPr>
        <w:footnoteReference w:id="1949"/>
      </w:r>
      <w:r>
        <w:rPr>
          <w:rFonts w:ascii="Amiri" w:hAnsi="Amiri" w:eastAsia="Amiri" w:cs="Amiri"/>
          <w:color w:val="111111"/>
          <w:sz w:val="28"/>
          <w:sz w:val="28"/>
          <w:szCs w:val="28"/>
          <w:rtl w:val="true"/>
          <w:lang w:bidi="ar-SA"/>
        </w:rPr>
        <w:t xml:space="preserve">، على اشتراط الإخلاص إن لم نضمّ إليها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دِينُ الْقَيِّمَةِ </w:t>
      </w:r>
      <w:r>
        <w:rPr>
          <w:rFonts w:eastAsia="Amiri" w:cs="Amiri" w:ascii="Amiri" w:hAnsi="Amiri"/>
          <w:color w:val="111111"/>
          <w:sz w:val="28"/>
          <w:szCs w:val="28"/>
          <w:rtl w:val="true"/>
          <w:lang w:bidi="ar-SA"/>
        </w:rPr>
        <w:t xml:space="preserve">) </w:t>
      </w:r>
      <w:r>
        <w:rPr>
          <w:rStyle w:val="FootnoteAnchor"/>
          <w:rtl w:val="true"/>
        </w:rPr>
        <w:footnoteReference w:id="1950"/>
      </w:r>
      <w:r>
        <w:rPr>
          <w:rFonts w:ascii="Amiri" w:hAnsi="Amiri" w:eastAsia="Amiri" w:cs="Amiri"/>
          <w:color w:val="111111"/>
          <w:sz w:val="28"/>
          <w:sz w:val="28"/>
          <w:szCs w:val="28"/>
          <w:rtl w:val="true"/>
          <w:lang w:bidi="ar-SA"/>
        </w:rPr>
        <w:t>فقد يفسّر القيّمة بالثابتة التي لا تنسخ</w:t>
      </w:r>
      <w:r>
        <w:rPr>
          <w:rFonts w:eastAsia="Amiri" w:cs="Amiri" w:ascii="Amiri" w:hAnsi="Amiri"/>
          <w:color w:val="111111"/>
          <w:sz w:val="28"/>
          <w:szCs w:val="28"/>
          <w:rtl w:val="true"/>
          <w:lang w:bidi="ar-SA"/>
        </w:rPr>
        <w:t xml:space="preserve">. </w:t>
      </w:r>
      <w:bookmarkStart w:id="256" w:name="pg14071_149670"/>
    </w:p>
    <w:p>
      <w:pPr>
        <w:pStyle w:val="Heading5"/>
        <w:numPr>
          <w:ilvl w:val="4"/>
          <w:numId w:val="1"/>
        </w:numPr>
        <w:rPr/>
      </w:pPr>
      <w:bookmarkStart w:id="257" w:name="__RefHeading___Toc495175_1738255347"/>
      <w:bookmarkStart w:id="258" w:name="_Toc93"/>
      <w:bookmarkEnd w:id="256"/>
      <w:bookmarkEnd w:id="257"/>
      <w:r>
        <w:rPr>
          <w:rtl w:val="true"/>
        </w:rPr>
        <w:t>قانون</w:t>
      </w:r>
      <w:bookmarkEnd w:id="258"/>
    </w:p>
    <w:p>
      <w:pPr>
        <w:pStyle w:val="BookText"/>
        <w:rPr/>
      </w:pPr>
      <w:r>
        <w:rPr>
          <w:rFonts w:ascii="Amiri" w:hAnsi="Amiri" w:eastAsia="Amiri" w:cs="Amiri"/>
          <w:color w:val="111111"/>
          <w:sz w:val="28"/>
          <w:sz w:val="28"/>
          <w:szCs w:val="28"/>
          <w:rtl w:val="true"/>
          <w:lang w:bidi="ar-SA"/>
        </w:rPr>
        <w:t xml:space="preserve">تقرير المعصوم عليه‌السلام حجّة ، وهو أن يفعل بحضوره فعل ، أو اطّلع على فعل في عصره ولم ينكر ، فهو يدلّ على الجواز إن لم يمنعه مانع من خوف أو تقيّة </w:t>
      </w:r>
      <w:r>
        <w:rPr>
          <w:rStyle w:val="FootnoteAnchor"/>
          <w:rtl w:val="true"/>
        </w:rPr>
        <w:footnoteReference w:id="1951"/>
      </w:r>
      <w:r>
        <w:rPr>
          <w:rFonts w:ascii="Amiri" w:hAnsi="Amiri" w:eastAsia="Amiri" w:cs="Amiri"/>
          <w:color w:val="111111"/>
          <w:sz w:val="28"/>
          <w:sz w:val="28"/>
          <w:szCs w:val="28"/>
          <w:rtl w:val="true"/>
          <w:lang w:bidi="ar-SA"/>
        </w:rPr>
        <w:t>أو سبق منعه عليه أو معلوميّة عدم الفائدة في المنع ، ونحو ذلك من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عدمه تكفي في المقام ، وكذلك إذا اطّلع أنّ المكلّف اعتقد شيئا على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لزوم النّهي عن المنكر سيّما على المعصوم عليه‌السلام ، وأنّ التقرير على الحرام حرام لكونه إعانة على الإثم ، فالظّاهر من السّكوت الرضا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يندر فلا حجّة فيه ، كما روي أنّ بعض الصّحابة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نجامع فنكسل على عهد رسول الله صلى‌الله‌عليه‌وآله فلا نغتسل لجواز أن يخفى فعل ذلك على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سكوته صلى‌الله‌عليه‌وآله عنه دليلا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نفعل ، دليل على عمل الصّحابة أو أكثرهم ، فلا يخفى ذلك عن الرّسول صلى‌الله‌عليه‌وآله لأنّا نمنعه إذ قد يخبر بمثل ذلك عن نفسه أو عن جماعة يمكن أن يخفى حالهم على النبيّ صلى‌الله‌عليه‌وآله</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495177_1738255347"/>
      <w:bookmarkStart w:id="260" w:name="_Toc94"/>
      <w:bookmarkEnd w:id="259"/>
      <w:r>
        <w:rPr>
          <w:rtl w:val="true"/>
        </w:rPr>
        <w:t xml:space="preserve">إيقاظ </w:t>
      </w:r>
      <w:r>
        <w:rPr>
          <w:rtl w:val="true"/>
        </w:rPr>
        <w:t>:</w:t>
      </w:r>
      <w:bookmarkEnd w:id="260"/>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الذي حكم به المعصوم عليه‌السلام في الرّؤيا حجّة ، لما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رآه فقد رآه وأنّ الشيطان لا يتمثّل به</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فرع أن يعرفه بصورته في اليقظة حتّى يصدق عليه أنّه رآه ، فلا يتمّ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ورد أنّه رأى أحد رسول الله صلى‌الله‌عليه‌وآله في المنام في زمان مولانا الرّضا عليه‌السلام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رآه فقد رآه</w:t>
      </w:r>
      <w:r>
        <w:rPr>
          <w:rFonts w:eastAsia="Amiri" w:cs="Amiri" w:ascii="Amiri" w:hAnsi="Amiri"/>
          <w:color w:val="111111"/>
          <w:sz w:val="28"/>
          <w:szCs w:val="28"/>
          <w:rtl w:val="true"/>
          <w:lang w:bidi="ar-SA"/>
        </w:rPr>
        <w:t xml:space="preserve">» </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رزقنا الله شفاعته في الآخرة وزيارته وخدمته في الأولى انّه سميع مجيب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الرّائي لم يره صلى‌الله‌عليه‌وآله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ما نرى في المنام صورتهم ، ويظهر في اليقظة أنّه كان عالما صالحا تروئي بصورته إظهارا لجلالته ، كما في حكاية رؤيا المفيد رحمه‌الله حيث رأى في المنام فاطمة الزهراء صلوات الله عليها والحسنين عليهما‌السلام معها قالت له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علّمهما الفقه </w:t>
      </w:r>
      <w:r>
        <w:rPr>
          <w:rStyle w:val="FootnoteAnchor"/>
          <w:rtl w:val="true"/>
        </w:rPr>
        <w:footnoteReference w:id="1954"/>
      </w:r>
      <w:r>
        <w:rPr>
          <w:rFonts w:ascii="Amiri" w:hAnsi="Amiri" w:eastAsia="Amiri" w:cs="Amiri"/>
          <w:color w:val="111111"/>
          <w:sz w:val="28"/>
          <w:sz w:val="28"/>
          <w:szCs w:val="28"/>
          <w:rtl w:val="true"/>
          <w:lang w:bidi="ar-SA"/>
        </w:rPr>
        <w:t xml:space="preserve">، فجاءت في يومه والدة السيّدين المرتضى والرضيّ </w:t>
      </w:r>
    </w:p>
    <w:p>
      <w:pPr>
        <w:pStyle w:val="BookText"/>
        <w:rPr/>
      </w:pPr>
      <w:r>
        <w:rPr>
          <w:rFonts w:ascii="Amiri" w:hAnsi="Amiri" w:eastAsia="Amiri" w:cs="Amiri"/>
          <w:color w:val="111111"/>
          <w:sz w:val="28"/>
          <w:sz w:val="28"/>
          <w:szCs w:val="28"/>
          <w:rtl w:val="true"/>
          <w:lang w:bidi="ar-SA"/>
        </w:rPr>
        <w:t xml:space="preserve">رحمهم‌الله بهما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علّمهما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فالاعتماد مشكل ، سيّما إذا خالف الأحكام الشرعيّة الواصلة إلينا ، مع أنّ ترك الاعتماد مطلقا حتّى فيما لو لم يخالفه شيء أيضا مشكل ، سيّما إذا حصل الظنّ بصحّته ، وخصوصا لمن كان أغلب رؤياه صادقة ، سيّما بملاحظة ما رواه الكليني رحمه‌الله في الحسن لإبراهيم بن هاشم عن هشام بن سالم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المؤمن ورؤياه في آخر الزمان على سبعين جزء من أجزاء النبوّة</w:t>
      </w:r>
      <w:r>
        <w:rPr>
          <w:rFonts w:eastAsia="Amiri" w:cs="Amiri" w:ascii="Amiri" w:hAnsi="Amiri"/>
          <w:color w:val="111111"/>
          <w:sz w:val="28"/>
          <w:szCs w:val="28"/>
          <w:rtl w:val="true"/>
          <w:lang w:bidi="ar-SA"/>
        </w:rPr>
        <w:t xml:space="preserve">»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معمّر بن خلّاد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كان إذا أصبح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الرؤيا</w:t>
      </w:r>
      <w:r>
        <w:rPr>
          <w:rFonts w:eastAsia="Amiri" w:cs="Amiri" w:ascii="Amiri" w:hAnsi="Amiri"/>
          <w:color w:val="111111"/>
          <w:sz w:val="28"/>
          <w:szCs w:val="28"/>
          <w:rtl w:val="true"/>
          <w:lang w:bidi="ar-SA"/>
        </w:rPr>
        <w:t xml:space="preserve">» </w:t>
      </w:r>
      <w:r>
        <w:rPr>
          <w:rStyle w:val="FootnoteAnchor"/>
          <w:rtl w:val="true"/>
        </w:rPr>
        <w:footnoteReference w:id="1956"/>
      </w:r>
      <w:r>
        <w:rPr>
          <w:rFonts w:ascii="Amiri" w:hAnsi="Amiri" w:eastAsia="Amiri" w:cs="Amiri"/>
          <w:color w:val="111111"/>
          <w:sz w:val="28"/>
          <w:sz w:val="28"/>
          <w:szCs w:val="28"/>
          <w:rtl w:val="true"/>
          <w:lang w:bidi="ar-SA"/>
        </w:rPr>
        <w:t xml:space="preserve">، وفي معناه روايات أخر </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الحمد لله ربّ العالمين أوّلا وآخرا وصلّى الله على سيّدنا ونبيّنا محمّد وآله وسلّم تسليما يا أرحم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تمّ المجلّد الأوّل من القوانين المحكمة في الاصول المتقنة</w:t>
      </w:r>
      <w:r>
        <w:rPr>
          <w:rFonts w:eastAsia="Amiri" w:cs="Amiri" w:ascii="Amiri" w:hAnsi="Amiri"/>
          <w:color w:val="111111"/>
          <w:sz w:val="28"/>
          <w:szCs w:val="28"/>
          <w:rtl w:val="true"/>
          <w:lang w:bidi="ar-SA"/>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4071_149678"/>
      <w:bookmarkStart w:id="262" w:name="pg14071_149678"/>
      <w:bookmarkEnd w:id="262"/>
    </w:p>
    <w:p>
      <w:pPr>
        <w:pStyle w:val="Heading2"/>
        <w:numPr>
          <w:ilvl w:val="1"/>
          <w:numId w:val="1"/>
        </w:numPr>
        <w:rPr/>
      </w:pPr>
      <w:bookmarkStart w:id="263" w:name="pg14071_149678"/>
      <w:bookmarkStart w:id="264" w:name="__RefHeading___Toc495179_1738255347"/>
      <w:bookmarkStart w:id="265" w:name="_Toc95"/>
      <w:bookmarkEnd w:id="263"/>
      <w:bookmarkEnd w:id="264"/>
      <w:r>
        <w:rPr>
          <w:rtl w:val="true"/>
        </w:rPr>
        <w:t>فهرس الآيات</w:t>
      </w:r>
      <w:bookmarkEnd w:id="2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ما وَراءَ ذلِكُمْ أَنْ تَبْتَغُوا بِأَمْوالِكُمْ مُحْصِنِينَ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رَبَّكَ يُبَيِّنْ لَنا ما هِيَ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كُلَّ واحِدٍ مِنْهُما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الْمَرافِقِ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كُلَّ مُخْتالٍ فَخُورٍ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مُبْتَلِيكُمْ بِنَهَرٍ فَمَنْ شَرِبَ مِنْهُ فَلَيْسَ مِنِّي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تَذْبَحُوا بَقَرَةً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لَرَسُولُ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وَالدَّمَ وَلَحْمَ الْخِنْزِيرِ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لَكاذِبُونَ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يَتَّبِعُونَ إِلَّا الظَّنَّ وَإِنَّ الظَّنَّ لا يُغْنِي مِنَ الْحَقِّ شَيْئاً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أَنَ وَلا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أَحْصَنَتْ فَرْجَها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بَهِيمَةُ الْأَنْعامِ إِلَّا ما يُتْلى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ما وَراءَ ذلِكُمْ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عَلَى اللهِ كَذِباً أَمْ بِهِ جِنَّةٌ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بِهِ جِنَّةٌ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تَذْبَحُوا بَقَرَةً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يَعْفُوَا الَّذِي بِيَدِهِ عُقْدَةُ النِّكاحِ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لا فارِضٌ وَلا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تِبْياناً لِكُلِّ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أَوْحَيْنا إِلَيْكَ أَنِ اتَّبِعْ مِلَّةَ إِبْراهِيمَ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وَالدَّمُ وَلَحْمُ الْخِنْزِيرِ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وَبَناتُكُمْ وَأَخَواتُكُمْ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كُلِّ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صَفْراءُ فاقِعٌ لَوْنُها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الْمَغْضُوبِ عَلَيْهِمْ وَلَا الضَّالِّينَ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فاقِعٌ لَوْنُها تَسُرُّ النَّاظِرِينَ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اللهِ وَالرَّسُولِ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إِلَّا عِبادَكَ مِنْهُمُ الْمُخْلَصِينَ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فَبِهُداهُمُ اقْتَدِهْ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فِيهِمْ أَلْفَ سَنَةٍ إِلَّا خَمْسِينَ عاماً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زَيْدٌ مِنْها وَطَراً زَوَّجْناكَها لِكَيْ لا يَكُونَ عَلَى الْمُؤْمِنِينَ حَرَجٌ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الْقِصاصِ حَياةٌ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لَوْنُها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رَجَعْنا إِلَى الْمَدِينَةِ لَيُخْرِجَنَّ الْأَعَزُّ مِنْهَا الْأَذَلَ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تُنْفِقُوا عَلى مَنْ عِنْدَ رَسُولِ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 لِلنَّاسِ ما نُزِّلَ إِلَيْهِمْ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لِتَكُونُوا شُهَداءَ عَلَى 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لِمَنْ كانَ يَرْجُوا اللهَ وَالْيَوْمَ الْآخِرَ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لَهُمْ عَدُوًّا وَحَزَناً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بِكَلِمَةٍ مِنَ اللهِ وَسَيِّداً وَحَصُوراً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وَاتَّبِعُوهُ لَعَلَّكُمْ تَهْتَدُونَ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أَبَداً وَأُولئِكَ هُمُ الْفاسِقُونَ إِلَّا الَّذِينَ تابُوا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بِكُلِّ شَيْءٍ عَلِيمٌ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يَشْهَدُ إِنَّ الْمُنافِقِينَ لَكاذِبُونَ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لَهُ لَحافِظُونَ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خِفْتُمْ أَلَّا تُقْسِطُوا فِي الْيَتامى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حَقَّهُ يَوْمَ حَصادِهِ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الرَّسُولَ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الصَّلاةَ وَآتُوا الزَّكاةَ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تَقُولُوا عَلَى اللهِ ما لا تَعْلَمُونَ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مِنْ أَقْصَى الْمَدِينَةِ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مِنْ أَقْصَى الْمَدِينَةِ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مِنْ أَقْصَى الْمَدِينَةِ يَسْعى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بِيَدِكَ ضِغْثاً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دِينُ الْقَيِّمَةِ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الطَّاغُوتَ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جَعَلْناكُمْ أُمَّةً وَسَطاً لِتَكُونُوا شُهَداءَ عَلَى 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زَيَّنَ لِكَثِيرٍ مِنَ الْمُشْرِكِينَ قَتْلَ أَوْلادِهِمْ شُرَكاؤُهُمْ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وَكَفَّلَها زَكَرِيَّا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مِمَّا لَمْ يُذْكَرِ اسْمُ اللهِ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جاءَ بِهِ حِمْلُ بَعِيرٍ وَأَنَا بِهِ زَعِيمٌ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555</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النَّاسِ وَلَوْ حَرَصْتَ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كادُوا يَفْعَلُونَ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أَنْ يَقْتُلَ مُؤْمِناً إِلَّا خَطَأً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نَهاكُمْ عَنْهُ فَانْتَهُوا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يَلْمِزُكَ فِي الصَّدَقاتِ فَإِنْ أُعْطُوا مِنْها رَضُوا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يَرْغَبُ عَنْ مِلَّةِ إِبْراهِيمَ إِلَّا مَنْ سَفِهَ نَفْسَهُ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يُشاقِقِ الرَّسُولَ مِنْ بَعْدِ ما تَبَيَّنَ لَهُ الْهُدى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الْأَلْبابِ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يَتَرَبَّصْنَ بِأَنْفُسِهِنَّ ثَلاثَةَ قُرُوءٍ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اللهُ مَنْ يَشاءُ وَيَهْدِي مَنْ يَشاءُ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bookmarkStart w:id="266" w:name="pg14071_149690"/>
    </w:p>
    <w:p>
      <w:pPr>
        <w:pStyle w:val="Heading2"/>
        <w:numPr>
          <w:ilvl w:val="1"/>
          <w:numId w:val="1"/>
        </w:numPr>
        <w:rPr/>
      </w:pPr>
      <w:bookmarkStart w:id="267" w:name="__RefHeading___Toc495181_1738255347"/>
      <w:bookmarkStart w:id="268" w:name="_Toc96"/>
      <w:bookmarkEnd w:id="266"/>
      <w:bookmarkEnd w:id="267"/>
      <w:r>
        <w:rPr>
          <w:rtl w:val="true"/>
        </w:rPr>
        <w:t>فهرس الروايات</w:t>
      </w:r>
      <w:bookmarkEnd w:id="268"/>
    </w:p>
    <w:p>
      <w:pPr>
        <w:pStyle w:val="BookText"/>
        <w:rPr/>
      </w:pP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إذا نزلت بكم حادثة لا تجدون حكمها فيما روي 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إنّ القرآن نزل على سبعة أحرف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إنّ القرآن واحد نزل من عند واحد ولكنّ الاختلاف يجيء من قبل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إنّ الله تبارك وتعالى أنزل القرآن على سبعة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إنّ للقرآن ظهرا وبطنا ولبطنه بطنا إلى سبعة أبطن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أتاني آت من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يأمرك أن تقرأ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أسمع الحديث منك فأزيد وأنقص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معانيه فلا بأس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أمّا الأكبر فحرّفناه وبدّلناه وأمّا الأصغر فقتلناه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أنتم أفقه النّاس إذا عرفتم معاني كلامنا ، إنّ الكلمة لتصرف على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أنزلوا داود الرّقّي منّي بمنزلة المقداد عن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خذي لك ولولدك ما يكفيك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خلق الله الماء طهورا لا ينجّسه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رأي المؤمن ورؤياه في آخر الزمان على سبعين جزء من أجزاء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علينا أن نلقي إليكم الأصول وعليكم أن تفرّعوا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فإنّ أمر النبيّ صلى‌الله‌عليه‌وآله مثل القرآن ، منه ناسخ ومنسوخ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فبما سقت السّماء العشر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فربّ حامل فقه إلى من هو أفقه منه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كذبوا أعداء الله ، ولكنّه نزل على حرف واحد من عند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كلّكم جائع إلّا من أطعمته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كنت نبيّا وآدم عليه‌السلام بين الماء والطين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كونوا مع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كيف خلّفتموني في الثّقلين من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لا إلّا أن يكون الماء كثيرا قدر 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لا تجتمع امّتي على الخطأ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لا صيام لمن لم يبت الصيام من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يزال طائفة من امّتي على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مرّ بشاة ميمونة على ما رواه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إهاب دبغ فقد 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لم يكن الله ليجمع امّتي على 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لو عمدوا الى أيّ بقرة أجزأتهم ولكنّهم شدّدوا على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من أدرك ركعة من الوقت فقد أدرك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من بلغه ثواب على عمل ففعله التماس ذلك الثواب أوتيه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من رآه فقد رآه وأنّ الشيطان لا يتمثّل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مه كفّ عن هذه القراءة ، واقرأ كما يقرأها الناس حتّى يقوم القائم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نزل القرآن على سبعة أحرف كلّها كاف 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نزل على حرف واحد من عند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نصر الله من سمع مقالتي فرعاها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واعلموا أنّه ليس من علم الله ولا من أمره أن يأخذ أحد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وقد سئل عن بئر 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الماء طهورا لا ينجّسه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وقد سئل عن بيع الرّطب بالتّمر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أينقص إذا 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وقد سئل عن ماء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الطهور ماؤه ، الحلّ ميتته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ولا تشرب سؤر الكلب إلّا أن يكون حوضا كبيرا يستسقى منه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هل من 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يجيئني القوم فيستمعون منّي حديثكم فأضجر ولا أقوى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 الله على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4071_149697"/>
      <w:bookmarkStart w:id="270" w:name="pg14071_149697"/>
      <w:bookmarkEnd w:id="270"/>
    </w:p>
    <w:p>
      <w:pPr>
        <w:pStyle w:val="Heading2"/>
        <w:numPr>
          <w:ilvl w:val="1"/>
          <w:numId w:val="1"/>
        </w:numPr>
        <w:rPr/>
      </w:pPr>
      <w:bookmarkStart w:id="271" w:name="pg14071_149697"/>
      <w:bookmarkStart w:id="272" w:name="__RefHeading___Toc495183_1738255347"/>
      <w:bookmarkStart w:id="273" w:name="_Toc97"/>
      <w:bookmarkEnd w:id="271"/>
      <w:bookmarkEnd w:id="272"/>
      <w:r>
        <w:rPr>
          <w:rtl w:val="true"/>
        </w:rPr>
        <w:t>فهرس الموضوعات</w:t>
      </w:r>
      <w:bookmarkEnd w:id="273"/>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بعض مباحث 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قصر العام على بعض ما يتناوله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إذا خصّص ففي كونه حقيقة في الباقي أو مجازا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الغرض من وضع الألفاظ المفردة ليس إفادة معانيها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الاستثناء من النفي إثبات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في تقرير الدلالة في الاستثناء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الاستثناء المستغرق لغو</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العام المخصّص بمجمل وبمبيّن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الباقي من الاستثناء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بالعام قبل الفحص عن المخصّص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تعقّب المخصّص عمومات متعدّدة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تعقّب العام ضمير يرجع إلى بعض ما يتاوله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الوارد بعد سؤال يتبع السّؤال في العموم والخصوص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بمفهوم المخالفة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الكتاب بالكتاب والكلام فيه بالإجماع وبالخبر المتواتر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عام وخاص متنافيا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 والمقيّد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المجمل والمبيّن والظّاهر والمأوّل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تأخير بيان المجمل عن وقت الحاجة وتأخيره عن وقت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الإجماع في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الإجماع السّكوتي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العلم بكون المسألة إجماعية في زماننا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لو افتى جماعة من الأصحاب ولم يعلم لهم 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إلحاق المشهور بالمجمع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في إطلاق الإجماع على غير مصطلح الأصولي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الأمّة على قولين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 بخبر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بمحكمات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الاتصاف بالصّدق والكذب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الصّدق والكذب من خواص النسبة الخبرية دون التقييديّة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أقسام الخبر فيما هو معلوم الصّدق والكذب وفيما لا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العلم الحاصل بالتواتر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يتعلّق بالمخبرين وبالسّامع في المتواتر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أقل عدد التواتر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المتواتر بالمعنى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تصوّرات في المتواتر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الواحد العاري عن القرائن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في أدلّة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نَفَرَ مِنْ كُلِّ فِرْقَةٍ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أَنْزَلْنا مِنَ الْبَيِّناتِ وَالْهُدى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اشتهار العمل بخبر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الأدلّة الدالّة على حجّيّة ظنّ المجتهد في حال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في أدلّة النافين لحجيّة خبر الواحد بالخصوص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للعمل بخبر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الأظهر قبول أخبار الموثّقين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حجّة القول بالعمل بخبر مجهول 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في الضبط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شرائط الرّاوي حال الأداء لا حال التحمّل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المزكي والجارح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العدل الحديث إلى المعصوم ولم يلقه أو ذكر واسطة مبهمة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نقل الحديث بالمعنى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في تنويع خبر الواحد باعتبار أحوال رواته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الحسن والموثّق</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أقسام أخرى للخبر الواحد باعتبارات 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مستند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أقسام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والتقرير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المعصوم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المعصوم عليه‌السلام في مقام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المعصوم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تعبّد نبيّنا صلى‌الله‌عليه‌وآله‌وسلم قبل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ثبوت أمر من الشرائع السّابقة ولم يثبت نسخه في شريعتنا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المعصوم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إيقاظ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الرّؤيا وحجّتها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فهرس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يطلق التخصيص على قصر ما ليس بعام حقيقة على بعض ما يشار له ، وذلك مثل لفظ عشرة ، فإنّه ليس عاما حقيقة ، ومع ذلك إذا قصر على خمسة مثلا بالاستثناء المنفصل قد خصّص ، وكذا الكلام في الرغيف والجمع المعهود ، هذا كما في الحاشية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التخصيص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اختيار الشريف المرتضى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وأبي المكارم ابن زهرة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محمّد صالح المازندراني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ادّعى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الاتفاق على جواز التخصص الى الواحد في ألفاظ الاستفهام والمجازات وجعل الخلاف فيما عداهما ولم أجد على موافق له في ذلك ، بل في كلام بعض المحققين تصريح بما ينافيه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هو اختيار الفاضل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نقل بأنّه مذهب القفال في ألفاظ العموم ولكن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اتّفقوا في ألفاظ الاستفهام والمجازاة على جواز انتهائها في التخصيص إلى الواحد ، واختلفوا في الجمع المعرّف بالألف واللّام ، فزعم القفال أنّه لا يجوز تخصيصه بما هو أقل من الثلاثة ، ومنهم من جوّز انتهاءه إلى واحد ومنع ذلك أبو الحسين في جميع ألفاظ العموم ، وأوجب أن يراد به كثرة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زيادة بيان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الحاجبي بعد أن نقل جملة من الأقوال المذكورة القول المذكور وفيه تفصيل في التخصيص بالمتصل بين أن يكون باستثناء أو بدل وبين أن يكون بغيرهما من شرط أو صفة على تفصيل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الاستثناء وبدل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الأمثلة في الشرط وهو ضربان مؤكد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إن اسقطت ، ومبيّن كقوله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أكرمه إن فعل ، وفي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الرجال الطوال ، وفي الغاية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تقربوهنّ حتّى يطهرن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أن يقول القائل قتلت كلّ زنديق وهم ثلاثة وقد قتل اثنين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أكثر الثلاثة اثنان ولذا يصير قريبا من مدلول العام الذي يطلق على الجماعة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كالتشكيك في بعض أفراد العام هل هو فرد له أو لا ، كالشك في شمول وجوب إكرام العلماء على عالم صرفي مثلا ، وكالشّك في ثبوت طهر ماء البئر بالنزح طهر آلات النزح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فمثل الشّك المزبور ليس بعادم النظير ، هذا كما في الحاشية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قانون جواز إرادة أكثر من معنى من معاني المشترك في إطلاق واحد وعدمه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أنّه لا بد في منتهى التخصيص من بقاء جمع يقرب من مدلول العام ، وبذكرهم للمثال المذكور في نفس الباب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وبمثال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من الاستقباح حينئذ مساوق الغلط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كلام الحكيم الذي هو الكتاب المجيد موضوع علم الأصول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القول بأنّ الأقل متيقن الإرادة مع الكلّ ومع الأكثر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النهي عن قتل المجوسي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النهي الثاني وهو النهي عن قتل أهل الكتاب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الجواب عن استدلال المجوّزين للتخصيص الى الواحد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كون المراد هو المستحق الممكن الحصول مقابل الممتنع لا الأرجح كما هو غالب الاستعمال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المستدلّ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بمنزلة الردّ على الجواب ، بل على جلّ استدلاله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والبعض هذا ذكره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في بقاء الأكثر أيضا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كون المراد من مدلول العام كلّ 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والنسبة بين العام والخاص منطقا واصولا هو التباين كما لا يخفى ، والفرق ان الكلي المنطقي جزء للجزئي دون الاصولي ، والأوّل جنس مطلق والثاني هو الأفراد ، والأوّل يصدق على فرده دون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الفرق بينهما انّ المنطقي هو المطلق والاصولي ، هو العام في اصطلاح اهل الاصول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العلاقة فيما نحن فيه علاقة المشابهة الناشئة عن الكثرة اي الاشتراك في صفة 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محسن بن الحسن بن مرتضى الأعرجي الكاظمي والمعروف بالمحقق البغدادي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عالم فقيه أصولي من أعلام العلماء في عصره ، ومصنفاته مشهورة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بأمره صنّف أبو علي كتاب رجاله ، تلمّذ على السيد بحر العلوم وشارك كاشف الغطاء في الدرس، اشتغل بالتجارة الى حدود الأربعين من عمره ثم هاجر الى النجف للتحصيل الى زمان الطاعون بعد ان تفرّق اهل النجف سنة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 عاد الى النجف وجلّ تصانيفه بعد هذا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الحاجبي والآمدي رداها الى الخمسة ، وبعضهم ردها الى اثنين المشابهة وعدمها ، والرّازي الى اثني عشر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إنّ اتّفاق المفسّرين على إرادة الواحد من الناس ، إنّما نقل بخبر غير العدل ، فلا يثبت به حكم ، كذا نقل عنه رحمه‌الله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رد للجواب الثاني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رد للجواب الأوّل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يثبّطهم عن الحرب أي يحبسهم ويشغلهم عنها ، 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كَرِهَ اللهُ انْبِعاثَهُمْ فَثَبَّطَهُمْ</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الوجوه التي احتج بها من يتجوّزونه إلى الواحد ، وذكرها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باب العموم والخصوص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الاطلاقين للنكرة ،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كونها معيّنا عند المتكلّم المبهم عند المخاطب 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رَجُلٌ مِنْ أَقْصَى الْمَدِينَةِ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المبهم عند المتكلّم أيضا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جئني برجل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الجنس والاستغراق والعهد الخارجيّ والذّهني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الجمع المعرّف باللّام وغيره من ألفاظ العموم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قوم من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يصير مجازا كيف كان التخصيص ، وقال أبو علي وأبو هاشم يصير مجازا كيف كان التخصيص ، ومنهم من فصّل ، وقال أبو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القرينة المخصّصة إن استقلّت بنفسها صارت مجازا وإلّا فلا ، وهو مختار الرازي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خصّ العام وأريد به الباقي فهو مجاز مطلقا على الأقوى وفاقا للشيخ والمحقق والعلّامة في أحد قوليه وكثير من أهل الخلاف ، ثمّ فصّل ابن الشهيد بحثه ، وأمّا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 أنّه مجاز إن خصّ بمنفصل عقليا كان أو نقليا ، وحقيقة إن كان متصلا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وتقرير الدّور انّ استفادة المعنى من اللّفظ أي العلم به موقوف على العلم بالوضع ، والعلم بالوضع موقوف على العلم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الأولى فواضحة ، وأما الثانية فلما ذكره المصنّف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العلم بالوضع مستلزم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فالطرفان معلومان ، وما هو مذكور تقريبا للمقدمة الثالثة والدور مصرّح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على هذا القول المحقق الاصفهاني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من الغرابة ما ذكره المصنّف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قاعدة انّ الغرض من وضع الألفاظ معانيها على ما يستفاد من لام الدّلالة ، والقاعدة التي اختارها هنا بأنّ الغرض من وضع الألفاظ هو الضمّ والتركيب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قاعدة جعل الدلالة غرضا للوضع وقاعدة نفي كون استفادة المعاني غرضا في الوضع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آخر لدفع المنافاة بين القاعدتين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وإن أبيت عن ذلك أي ممّا ذكرنا من التوجيه في دفع المنافاة بين جعل الدلالة غرضا للوضع ، ونفي كون استفادة المعاني غرضا في الوضع ، هذا كما في الحاشية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 قطع النظر عن أن يكون ذلك من أجل تصوّر المعنى المراد للّافظ</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الدلالة غالبا لا تنفك عن الإرادة ، بمعنى أنّ المدلول غالبا لا بد أن يكون هو المراد ولا بد أن يكون المراد ما هو مدلول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كون تصوّر معنى المشترك ليس عين تصوّر ما عيّن له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مجرّد عن اعتبار الارادة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النظر نمنع كون الدّلالة تابعة للارادة ، بل تابعة للوضع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المحقق الطوسي المذكور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الناقل بالمعنى هو التفتازاني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فن علم البيان ، ولكنّه بعد نقل هذا الكلام كما هو المذكور هنا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أيضا من كلام الناقل بالمعنى 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فلنفصّل الكلام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إذ كان اللّفظ مشتركا بين الكلّ والجزء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مجرّد تصوّر ذلك مع قطع النظر عن كونه مرادا أم لا ، حين إرادة الكلّ ، لا يستلزم كون ذلك الجزء مدلولا مطابقيا له بالفعل حتى يتوهم اتّحاد المصداقين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تصوّر معنى المشترك ليس عين تصوّر ما عيّن له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صورة استعمل اللّفظ الموضوع المشترك للكلّ والجزء في الكلّ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المراد بالعكس هو أن يكون لازم أحد المعنيين جزء للآخر ، والفرق بين الصورتين هو أن يعتبر في صورة الأصل انتقاض حدّ التضمن بالالتزام على مذاق هؤلاء الجماعة ، وفي صورة العكس العكس ، فلا يرد حينئذ القول بأنّه لا فائدة في قوله أو بالعكس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الرّستاق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 والجمع الرساتيق وهي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ويستعمل الرستاق في الناحية اي طرف الاقليم ، وعن بعضهم الرستاق مولّد وصوابه رزداق وأيضا فيه رسداق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المعترض</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إذا أريد من المشترك أحد معنييه لا يجوز إرادة آخر معه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بآخر ما نقله عنه 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فاللّفظ أبدا لا يدلّ الّا على معنى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المحقق الطوسي قدس‌سره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 التفتازاني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 حتى تطلع على الاعتراضات بتمامها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الحدود والتعاريف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التضمنية تبعيّة غير مرادة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المخصوصة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لإفادة المتصوّر أو فهم معانيها المرادة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اجماعا كما عن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بالعكس أي والعكس 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الاستثناء من الإثبات نفي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كتب الحنفيّة بأنّ الاستثناء من الاثبات ليس نفيا ولا من النفي اثباتا ، بل هو تكلّم بالباقي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أنّه اخراج المستثنى ، وحكم على الباقي من غير حكم على المستثنى هذا ما ذكره التفتازاني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الحكم بالنفي وبين الحكم بالإثبات واسطة وهي عدم الحكم ، وذكر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أبي حنيفة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غيره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ناظر الى ما ذكره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 العضدي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الاستثناء من الإثبات نفي اتفاقا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من كلام الشافعيّة انّ هذا ، أعني ما ذكره العضدي وفاقا ، وإنّما الخلاف في كونه من النفي إثباتا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ربما اعتذر بعضهم لهذا الفرق بأنّ قول الحنفية بإفادة النفي في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عليا عشرة إلّا ثلاثة ، إنّما هو لأجل مطابقته لأصل البراءة لا لأجل دلالة اللّفظ كما هو المراد ، فعدم ثبوت الثلاثة في المثال إنّما هو بحكم البراءة الأصليّة لا بسبب دلالة اللّفظ على عدم الثبوت ، هذا كما في الحاشية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أشار في ذيل مفهوم الوصف الى كلام الفاضل التوني حيث أنكر على القوم قولهم بحجّية المفاهيم إذ ما قالوا من الحكم في جانب المفهوم إنّما جاء من قبل أصل البراءة فراجع في ذلك المقام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 الاستثناء من النفي اثباتا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الاستعمال أعم من الحقيقة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الحنفيّة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لزيادة الإفادة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كانَ لِمُؤْمِنٍ </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لورود حكمين مختلفين نفيا واثباتا على المستثنى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كالحاجبي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وأوجه الأقوال أوسطها أو وأوسط الأقوال أوجهها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تصوّر الاخراج قبل الاسناد في المثال المذكور رجوع الى التناقض الذي فررت منه ، فكيف المناص على مقالتك من اختيار أوسط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الايرادات الواردة على قول العلّامة واردة عليك أيضا فكيف المناص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التخصيص في كلامهم لا يراد من الاخراج الحقيقي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ما ذكرنا من عدم ارادة الاخراج الحقيقي في التخصيص</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فإنّك إن أردت من الاخراج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هذا على تقدير عدم الاسم للباقي وإلا فلا بد فيه من نكتة اخرى ، وسيأتي أنّه إن كان له اسم كما هو موجود في الاعداد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ببعض المدققين هو الفاضل عصام الدّين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واختاره شريف العلماء وجمع من تلاميذه كما عن الحاشية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النسبة الى تمام المتعدّد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 المراد من لفظ العام أوّلا هو الباقي مجازا والاستثناء قرينة له وأنّ الإخراج ناظر الى الظاهر ، فهو إخراج صوري بالنسبة الى ظاهر المعنى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كالتسلسل أو الاستغراق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يراد من لفظ الجارية النصف هو من الضمير تمامها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المدقق الشيرواني ، ويظهر من الفاضل التوني أيضا ، كذا في الحاشية المنسوبة الى المصنّف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الأولويّة ، انّ في مخصّص المتصل لمّا كان المتكلّم مشغول بالكلام فليس لكلامه ظهور إلّا بعد الفراغ منه ، فيتصوّر القول بأنّ الاخراج قبل الإسناد ، بخلاف المنفصل فإنّ الحكم بحسب الظاهر قد ورد على الأفراد ، فبعيد فيه تصوّر الاخراج قبل الإسناد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القول في المخصّص المنفصل لا مطلقا ، وهنا جملة من الاعتراضات الواردة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يرد في الكلام اسناد مفهوم العام الى شيء سواء كان ذلك الإسناد ناقصا نحو الإسناد الإضافي أو تاما بأن يكون جملة خبريّة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الإخراج والإبقاء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 ادعي انّ معنى أكرم العلماء إلّا زيد ، معناه يجب إخراج زيد من جملة العلماء وإكرام الباقي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واثباته يكون بالتبادر ونحوه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فذلك حسابه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أنهاه وفرغ منه ، مخترعة من قوله إذا أجمل حسابه راجع القاموس 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فذلك</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المتبادر من هذا المركب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فالتفتازاني على ما في الحاشية يقول وهذا اعتراف بحقيّة الأوّل ورجوع الأخيرين إليه كلاهما صحيح فعلى اعتبار المعنى بملاحظة المركب يرجع اليها الأوّل ، وعلى اعتباره بملاحظة المفردات يرجع الأخيران إليه فيصح كل من قول العضدي والتفتازاني باعتبار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اما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القاضي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في الاستثناء إثباتا ونفيا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باطل اتّفاقا ، على ما نقله جماعة منهم الرازي والآمدي وأتباعهما ، ولإفضائه إلى اللغو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وجوب كون المستثنى أقلّ من المستثنى منه ، ومقتضاه عدم جواز استثناء الأكثر والمساوي ، فيجوز له عليا عشرة إلّا أربعة دون إلّا خمسة أو ستة ، وهذا القول منسوب الى الحنابلة ، والقاضي كما في الحاشية ، وراجع 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دون جواز أكثر من النصف فيجوز عشرة إلّا خمسة دون إلّا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مذهب المحقّق البهائي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لأنّه بعد أن ذكر في المتن الأقوال الثلاثة المشهورة قال ما أفاده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مذهب رابع نسبه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ابن درستويه وهو منع ما فوق النصف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للقاضي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والأشبه أنّه لا يجوز ، لأنّ العرب تستقبح استثناء الأكثر وتستحمق قول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ألفا إلّا تسعمائة وتسعة وتسعين ، بينما ذهب إلى صحّته الغزالي وإن كان مستكرها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منع منه قوم والأكثر يجوّزونه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الأكثر للإجماع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الآية الثانية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أَكْثَرُ النَّاسِ وَلَوْ حَرَصْتَ بِمُؤْمِنِينَ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ويمكن أن يكون المراد منها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لَأُغْوِيَنَّهُمْ أَجْمَعِينَ إِلَّا عِبادَكَ مِنْهُمُ الْمُخْلَصِينَ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وكون أنّ الأكثر حينئذ غير مؤمن بناء على قول الخصم من لزوم بقاء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أفاده في الحاشية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أراد بهذا إلّا الأئمّة وشيعتهم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جعفر بن محمّد عليهما‌السلام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أهل بيت الرحمة وبيت النعمة وبيت البركة ، ونحن في الأرض بنيان وشيعتنا عرى الإسلام وما كانت دعوة إبراهيم إلّا لنا ولشيعتنا ، ولقد استثنى الله إلى يوم القيامة إلى ابليس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عِبادِي لَيْسَ لَكَ عَلَيْهِمْ 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لزوم بقاء الأكثر وكون المخرج أقلّ في الاستثناء على ما هو مختارهم في المبحث السّابق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ذكرت هنا أي فيما نحن فيه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شاهد لثبوت الوضع الحقيقي في الاستثناء منه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كنظراء الاستثناء او نظراء هذا المقام حيث اشتبه فيه حال الوضع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اثبات كون الاستعمال حقيقة فيه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 الكثير بالقليل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كادعاء الكثرة في المستثنى منه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الصورة المشكوكة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القول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القول ، فراجعه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عِبادِي </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أجاب على هذا الاعتراض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كون المراد من الآية اخراج صنف واحد من الأصناف المتصوّرة من ظاهر العام ، وان كان اطّراد ذلك الصنف المخرج بالنسبة الى سائر الأصناف 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أيضا تكملة للاعتراض والذي أجابه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أجابتهم بإجماع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استثناء الأكثر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الّذين يقولون بجواز استثناء الأقلّ دون غيره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تعرّض لهذا القول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عدم الحكم بذلك بالنسبة الى بناء الباقين لا بالنسبة الى فتوى الأكثرين أيضا ، وإلّا فالمحقّق القائل بكفاية صحة الاستثناء سواء كان الباقي أقلّ أو أكثر كما صرّح 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الإقرار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قال له عليّا عشرة إلّا درهم بالرفع كان إقرارا بالعشرة ولو قال إلا درهما بالنصب كان إقرارا بتسعة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اجابتهم في الحديث القدسي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كلكم جائع إلّا من أطعمته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كالقاضي أبو بكر الباقلّاني ومن 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خصّ العام وأريد به الباقي فهو مجاز مطلقا على الأقوى وفاقا للشيخ والمحقق والعلّامة في أحد قوليه وكثير من أهل الخلاف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الاستثناء على ما مرّ في مذهبهم من أنّ مجموع عشرة إلّا ثلاثة هو اسم للسبعة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وابن الحاجب ومن تبعهم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 خصّ العام وأريد به الباقي فهو مجاز مطلقا على الأقوى وفاقا للشيخ والمحقّق والعلّامة في أحد قوليه وكثير من أهل الخلاف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السّكاكي ومن تبعه وهو المختار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الحنابلة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أبي بكر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أبي الحسن البصري ومن تبعه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القول الثاني للعلّامة اختاره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نقله العضدي أيضا من غير انتسابه الى أحد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جملة المذاهب الكثيرة الّتي أشار إليها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جدوى في التعرّض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بعضها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لفخر الدّين 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واعلم انّ الأقوال المزبورة بكاملها استفدناها مما أفادوه في كتبهم كما عرفت من قبل ،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الحاشية أيضا وهاهنا قول ثامن نقله العضدي عن القاضي عبد الجبّار وهو حقيقة إن خصّص بشرط أو صفة لا استثناء وغيره ونقله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قال التفتازاني هذا بخلاف ما اختاروه في عمدة الأدلّة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أنّه يصير مجازا بأي شيء خصّص ، لأنّه استعمل اللّفظ في غير ما وضع له بقرينة اتصلت أو انفصلت استقلت أو لا ، وهو بهذا الاعتبار يرجع الى القول الأوّل المختار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ذهب إليه الأكثرون والسّكاكي ومن تبعه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للشيخ حسن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الجواب ، وهذا من العضدي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مصدر من آل يؤول بمعنى رجع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يراد من لفظ بني تميم معناه المجازي ، ومن الضمير الرّاجع إليه معناه الحقيقي كما هو طريق الاستخدام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كونه مجازا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ردّ القول الأوّل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المدقق الشيرازي كما في الحاشية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كون المجموع حقيقة في الباقي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مخصّص كان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الحجّتين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نمنع تناول اللفظ العام للباقي بعنوان الحقيقة المصطلحة قبل التخصيص</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المدلول التضمني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جهة انّ الباقي جزء الموضوع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تمسّك به بعضهم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القول الثاني من حجّتي القائلين بأنّه حقيقة مطلقا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سبق الغير والذي هو العموم في حال عدم القرينة ، علامة المجاز في الباقي وعلامة الحقيقة في ذلك الغير ، إذ لو أنّ الباقي أيضا حقيقة لما سبق ذلك الغير الى الفهم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بأنّ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والمجيب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هذا الاشتباه قد وقع لكثير من الأصوليين في مواضع ككون الأمر للوجوب والجمع للإثنين والاستثناء مجازا في المنقطع ، وهذا من باب اشتباه العارض بالمعروض</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أيضا ردّ آخر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القول الأوّل بناء على عدم وضع جديد طارئ على المركب من حيث هو مركب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حقيقة إن خصّ بغير مستقل ، وقد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القاضي أبو بكر ظاهرا ، القائل بالحقيقة في الأعداد كما مرّ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بالقيد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إنّ بعضها شخصي وبعضها نوعي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فلا ينافي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 مفرداتها في المقيس وأجزائها في المقيس عليه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المفردات والمركبات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وجه عدم المناسبة بينهما انّ الكلام في المقيس غير الكلام في المقيس عليه حينئذ إذ المراد بالمقيس على ما هو ظاهر الاستدلال هو نفس العام المقيّد بما لا يستعمل ، والمراد بالمقيس عليه على ما هو المفروض منه ادعاء الوضع المستقل في المفردات هو مجموع القيد والمقيّد ، فيقاس أحدهما على الآخر قياس مع الفارق هذا ما أفاده في الحاشية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جعل المقيس عليه حقيقة بالوضع الشخصي الافرادي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الخصم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هذه الطريقة لا يفرّق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ذهب إليه أبو بكر الباقلّاني ، فإنّه في مراتب التفاصيل في المرتبة الثالثة وإن كان في مراتب الأقوال في المرتبة الخامسة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تجوّز اللفظ</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مقصوده الشيخ البهائي الّذي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العامّ المخصّص بمبيّن حجّة في الباقي ، وفي حاشيته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 الإماميّة متّفقون على ذلك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وللمخالف خمسة أقوال أمثلها في أقلّ الجمع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البلخي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الاثنين والثلاث على اختلاف القولين دون ما زاد عليه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ابو عبد الله البصري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كإنبائه عن غيره كما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فَاقْتُلُوا الْمُشْرِكِينَ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 ينبئ عن الحربي إنبائه على الذمّي وإلّا فلا كما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السَّارِقُ وَالسَّارِقَةُ فَاقْطَعُوا أَيْدِيَهُما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 لا ينبئ عن كون المال نصابا ومخرج عن الحرز</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القاضي عبد الجبّار من العامة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فيستصحب الحكم الثابت به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قصوده الشيخ البهائي الّذي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بقاء ما كان ، وفي حاشيته أي قبل التخصيص من التناول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الاستدلال وما استدلّ به المصنّف من استصحاب حكم التناول الظاهري ، 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التوقف ينقسم الى توقف تقدّم كما في المعلول على العلّة والمشروط على الشرط ، والتوقف من الطرفين بهذا المعنى دور محال ضرورة استلزامه تقدم الشيء على نفسه ، والى توقف معيّة كتوقف كون هذا ابنا لذاك على كون ذاك أبا له وبالعكس ، وكتوقف قيام كل من المعنيين المتساندين على قيام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يلزم من الدّور في الاستدلال إنّما هو من قبيل الثاني لا الأوّل ، وما يطلق عليه المحال هو الأوّل لا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وحاصل الاستدلال ، انّه على تقدير عدم حجّية العام في الباقي لزم أحد المحذورين ، إما الدّور المحال أو الترجيح بلا مرجّح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 الجواب بالتزام الأوّل ، ولكنّه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بمحال لأنّه دور معيّة وهو جائز</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دليل حمل العام المخصّص على أقلّ الجمع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بالحجّية في أقلّ الجمع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الدليل الثاني للمنكر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كان أو مجاز</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اشكال آخر وهو غير الاشكال السّابق</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التوجيه هو لسلطان العلماء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دفع للاشكال الأوّل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وما سيأتي بعده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على القول بأنّ الاسناد وقع بعد الاخراج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 كلاهما يعودان الى ما مرّ في المقدمة الثالثة من القانون السّابق في دفع التناقض</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يعود الى ما مرّ في أصل القانون السّابق فلاحظ أقوالهم وتقريراتهم في استدلالاتهم على كون العام حقيقة في الباقي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مذهب أبي الحسين كما مرّ في القانون السّابق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الانفهام من اللّفظ</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اصالة الظهور في الباقي على الحقيقة والمجازية في السابق ، واصالة عدم الحجيّة في الباقي في هذا المقام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الحقيقة والمجازية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تسليم تصحيح هذا القسم من 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أنّ المراد بكون العام حقيقة هو كونه حقيقة فيما لو لم يخرج عن حكم 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احتمال التعدّد على كل الوجوه والأقوال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الحقيقية والمجازيّة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القانونين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كون المجازيّة مفروغا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الحاشية في الأصل السّابق إذ يلزمه حينئذ الدّور والتناقض لتوقف الاستدلال على الحجيّة أو عدم الحجيّة على المجازية والحقيقية ، وتوقف الاستدلال على المجازية والحقيقية على الحجيّة وعدم الحجيّة ، والحاصل توقف كل من الاستدلالين على الآخر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المدقّق الشيرواني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الحقيقة والمجاز</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القول بكون العام حقيقة في الباقي أو مجازا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بيان لأدلّة القائلين بالحجّية وقد تقدم بيان تلك الأدلّة في أوائل ذلك الأصل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بذلك البعض هو لزوم الذّم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التعميم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ما ذكرنا من كون المراد من التخصيصات هو ملاحظة التعيّنات ينظر كلامنا السّابق في توجيهه استدلال القائل بعدم الحجيّة مطلقا وإجرائه على القول بالحقيقة أيضا ، هذا كما في الحاشية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ادّعى ذلك الحاجبي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في الحاشية قول الحاجبي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نقل الإجماع عليه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هذا ذهب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قول الأكثر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وإليه ذهب فيه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للقاضي الباقلّاني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يورد العام والمراد هو الخاص أو يخصّص والمراد هو العام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قايس الأصحاب والسائلين من الأئمة عليهم‌السلام بالمقلّدين عن المجتهدين في هذا الزمان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كالأعدل والأوثق والأفقه والأورع 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فخذ بما فيه الحائط لدينك واترك ما خالف 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إنّهما معا موافقين للاحتياط او مخالفين له ، فكيف أصنع؟ 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فتخيّر أحدهما فتأخذ به وتدع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عرض يونس بن عبد الرحمن على سيدنا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جماعة من أصحاب الباقر والصادق عليهما‌السلام فأنكر منها أحاديث كثيرة أن يكون من أحاديث أبي عبد الله عليه‌السلام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الخطاب كذب على أبي عبد الله عليه‌السلام ، لعن الله أبا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أصحاب أبي الخطاب يدسّون هذه الأحاديث الى يومنا هذا في كتب أصحاب أبي عبد 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اخرى عن هشام بن الحكم أنّه سمع أبا عبد الله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المغيرة بن سعيد يتعمّد الكذب على أبي ويأخذ كتب أصحابه ، وكان أصحابه المستترون بأصحاب أبي يأخذون الكتب من أصحاب أبي فيدفعونها الى المغيرة ، فكان يدسّ فيها الكفر والزّندقة ويسندها الى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الرجل الملعون بعد أن أخذه السّلطان ليقتل اعترف أنّه أدرج في أخبار الصادق عليه‌السلام أربعة آلاف حديث</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التحريف قد يحصل في الحروف والتبديل في الكلمات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يسمع الرّجل الرّاوي عن إمامه في مجلس ألف مسألة تتعلّق بأبواب الفقه ، وأصحاب الحديث والفقهاء تقطعوا هذه المسائل وكتبوا كلّ مسألة في بابها كالمسألة المتعلّقة بالطهارة في كتاب الطهارة والصوم في كتاب الصوم وهكذا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هذه الأمور الاربعة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كان النهي أو الأمر في زمانهم للتحريم أو الوجوب وفي زماننا صار بالعكس أو بالعكس</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مستأنفة أو 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الفرق الواضح ، وهذا الأخير هو الواضح أو عطف على أنّ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ريب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 أو انّ الواو بمعنى مع متعلق بقوله فنحن في الأخبار ، هذا ما أفاد في الحاشية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نظام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الأدلّة او الأخبار كالموثّق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جميع أطراف الشبهة وذلك لحصول الارتكاب في البعض قطعا في المجموع</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ناظر الى ما مرّ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قلت انّك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الأصل عدم المعارض ، ولا علم لنا بوجوده فيه بخصوصه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عرفت من كون بعض الأحاديث ممّا له معارض وبعضها ممّا ليس له معارض لا يمكن إجراء أصل العدم بالنسبة الى أحدهما دون الآخر ، إذ الأصل عدم كون الحديث الذي نراه أوّلا مما له معارض كما تمسّك به هذا القائل ، ليس بأولى من كون الأصل عدم كونه مما ليس له 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قرّرنا ظهر أنّ في عبارة المتن نوع مسامحة كما لا يخفى على المتأمل ، فالأولى ما ذكرنا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قال في الدرس بعد عرض ذلك على أنّ لفظ العدم في العبارة زائد سهوا من قلم النّاسخ ، فضرب عليه ، فتأمل فإنّه يرجع أيضا الى ما ذكرنا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 يعني انّ العرف قاض أيضا بحمل الألفاظ على ظواهرها من غير بحث عن وجود ما يصرف اللفظ عن حقيقته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مشكوك</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 المجاز في الحقيقة ، والبحث عن المعارض في العام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عرفت في مقدّمته هذا القانون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وقد خصّ</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لابن جنّي وابن مستويه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بالغ في الأمر وانتهى فيه ، والإغراق يضرب مثلا للغلوّ والإفراط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من حيث إنّه مظنون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إمكان وصول اليقين في بعض الأحكام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مطلق الأدلّة بالنسبة الى المعارضات سواء مما يمكن تحصيل العلم فيه أم لا ، وسواء كان ما يمكن تحصيل العلم فيه مركبا أو جزء للعبادات المركبة أو بسيطا أو نفس 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وسواء كان احتمال المعارض في العام أو غيره من سائر الأدلّة ، هذا كما في الحاشية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كفاية الظّن في مطلق معارضات الأدلّة بحيث ثبت منه كفاية العمل بالظنّ مطلقا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فيبحث فيه عموم الفقهاء لأنّه محل لابتلاء عموم المكلّفين ، فلا بد حينئذ ان يبحث عنه كل فقيه في عصره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يعمّ البحث فيه وفيما لا يعمّ البحث فيه كليهما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هذا الأصل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المدقّق الشيرواني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صدر الدّين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الحاشية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الفاضل التوني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الاجماع المدعى على عدم وجوب الفحص</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وجوب الفحص عن المعارض</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33201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للكتاب والكتابين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من كفاية في وجوده في الجملة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وجود نص خاص</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بعدم المخصّص</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استدلّ به بعض المتأخّرين على عدم وجوب البحث عن المخصّص</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واطلاق الظاهر هنا مع الحكم بالاجمال والاحتمال باعتبار ظهوره في نفسه لو لا الاحتمال المذكور المصادقة له الحاصل من القرائن والأمارات الخارجية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وملاحظة مورد الآية أيضا تدل على أنّ الظاهر من الآية هو ما استظهره المصنف كما لا يخفى لوجود التبادر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في الحاشية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احتمال المخصّص</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الميرزا الطباطبائي في حاشيته الى أنّ مراده أنّه لا إطلاق في الآية بالنسبة الى محلّ الكلام حتى يلزم التقييد ، وملخص توضيحه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معنى قوله تعالى فلا تبينوا خبر العدل عدم وجوب الفحص عن خبره ، والفحص عن الخبر هو الفحص عن مطابقته للواقع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إذا أخبر العدل بموت زيد فبمقتضى مفهوم الآية الشريفة هو الحكم بمطابقة هذا الحكم للواقع ، وأما انّ العدل هل أراد من لفظ الموت الحقيقي أو أراد الغشوة مجازا ، وأنّه هل أراد من زيد نفسه او ابنه أو غلامه ، فالآية لا تدل على عدم الفحص عن ذلك ، لأنّ عدم الفحص عن الخبر فرع معرفة انّ الخبر ما هو ونحن الآن في مقام تشخيص الخبر أنّه هل هو موت زيد أو غشوته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الآية تدل على ترك فحص الخبر ، ومن المعلوم انّه بعد تشخيص موضوع الخبر لا دلالة فيها على تعيين نفس الخبر ، نعم يصح الاستدلال بها في نفي المعارض السّندي وسيجيء في محلّه إن شاء الله تعالى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وجوب الفحص</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كانَ الْمُؤْمِنُونَ لِيَنْفِرُوا كَافَّةً فَلَوْ لا نَفَرَ مِنْ كُلِّ فِرْقَةٍ مِنْهُمْ طائِفَةٌ لِيَتَفَقَّهُوا فِي الدِّينِ وَلِيُنْذِرُوا قَوْمَهُمْ إِذا رَجَعُوا إِلَيْهِمْ لَعَلَّهُمْ يَحْذَرُونَ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يلزم الظنّ المتاخم للعلم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باشتراط الظنّ المتاخم للعلم أو أقوى الظنون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لزوم تفويت العمل بالأكثر ولزوم العسر والحرج والضّرر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مثل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الكتب القديمة ، لأنّه ليس في مقام الحصر ، وكذا من الكتب الحديثة لأنّه لم يدركها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الشيخ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ومذهب الشافعي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الشافعي فسّره العضدي بكل واحد من الجمل موردا للإخراج على البدل ، وليس بكون المجموع موردا 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أنّه مذهب أبو الحسن الكرخي وأكثر أصحاب أبي حنيفة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مذهب الوقف ومذهب الاشتراك موافقان لمذهب الحنفيّة في الحكم وهو أنّه إنّما يفيد الإخراج عن مضمون الجملة الأخيرة دون غيرها ، لكن عندهما لعدم الدليل في الغير وعندهم لدليل العدم ، وهذا معنى اختلاف المأخذ هكذا قرّره التفتازاني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الحكم بتعليق الاستثناء على الأخير والحكم في البواقي على العموم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القائلون بالقولين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للاستثناء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الرأي وثمرة الخلاف الآتية بعد أن صرّح بتوهّم قائله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الأقوال الأربعة أنّه على قول الشيخ والشافعية يكون استعمال الاستثناء في الإخراج من الجميع حقيقة ، وفي الإخراج عن الأخيرة خاصة مجازا ، وعلى قول الحنفية بعكس ذلك ، وعلى قول السيد حقيقة فيهما ، وعلى قول الغزالي غير معلوم الحقيقة والمجاز وكذا غير الأخيرة غير معلوم الحال عند الأخيرين ومعلوم العموم عند الثاني ومعلوم الخصوص عند الأوّل ، هذا كما في الحاشية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العمل بالعموم في البواقي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الكلام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الضمير في كونه وفيما عطف عليه أيضا يرجع الى الهيئة ، وتذكيره باعتبار تعبير اللّفظ منها ، ويدلّ على ما ذكرنا قوله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من اللّفظ هل هو العمومات المخصّصة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الأقوال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بيان الى وجه الفرق بين المقامين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المدقق المذكور الّذي نفى الإشكال في موافقة القولين الأخيرين للقول الثاني في الحكم المستفاد من الجمل ، نظرا إلى أنّ اللفظ يدلّ على العموم دلالة معتبرة ، ولم يتحقّق عندهم ما يقتضي التخصيص حيث إنّ التقدير بأنّ أصحاب القولين بحثوا في المسألة فلا يصرف اللفظ عن ظاهره بمجرّد احتمال إرادة خلافه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من المناسب أن لا يقيسه بالبحث الثاني مكان مقايسته بالبحث الأوّل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بالوضع النوعي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واطلاق الخاص على الوضع هنا من باب الصفة بحال المتعلّق ، لأنّ نفس الوضع ليس خاصا ، بل الخاص هو المعنى المتصوّر عند الوضع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الجزئيات الاضافية كالانسان والفرس تحت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والحقيقية كالأفراد الخاصة تحت الانسان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الهاء وبكسرها باختلاس واشباع قال في الالفية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 لمفرد مذكر أشر بذي وذه تي تا على الاثنى اقتصر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إنّ الأفعال التامة باعتبار المادة أي المعنى الحدثي وضعها عام والموضوع له فيه أيضا عام ، وذلك لأنّ الحدث كالضرب مثلا أمر كلّي يندرج تحته جزئيّات ، فحينئذ يكون كل من الوضع والموضوع له فيه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سلطان المحقّقين الى أنّ ما ذكره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الأفعال التامة بالنسبة الى الحدث وضعها خاص ، ليس بشيء راجع حاشيته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وضع المشتقات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السابق المطلق وهو الشامل للقسمين الأوّلين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ناظر الى الوجه الثاني من الوجوه الثلاثة المتصوّرة في وضع المشتقات ، هذا كما في الحاشية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أيضا بيان لعدم كون وضع المشتقات من قبيل وضع الحروف وأسماء الاشارة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لشتات المختلفة الخصوصيّات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سلطان العلماء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حاجة فيما اختاره الى هذا التحقيق ، بل لو كان الموضوع له فيها عاما أيضا لكفى على زعمه ، فإنّ مناط تحقيقه عموم الوضع وهو مما لا خلاف في أدوات الاستثناء ، إذ لا شك أنّها ليست موضوعة لإخراج شيء خاص بخصوصه عن أشياء خاصة بخصوصها ، سواء كانت مشتقة أو جامدة ، فإنّ عموم الوضع لا يختص الى خاصة بخصوصها ، بل لوحظ في حال الوضع هذا المعنى الكلّي ووضعت إمّا لأفراده أو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ذكرنا ظهر أنّه لا حاجة في تحقيقه الى التمهيد الذي مهّده إلا أنّه لبيان الواقع ولا فائدة في هذا التطويل مع أنّه ستعرف حال تحقيقه أنّ العموم الّذي إدّعاه لا ينفعه في شيء ، انتهى</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اسم الاشارة ، لأنّه لا يصلح العود الى الجميع إذا اختلف المستثنى منه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هذا القبيل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وَكُلُوا وَاشْرَبُوا حَتَّى يَتَبَيَّنَ لَكُمُ الْخَيْطُ الْأَبْيَضُ مِنَ الْخَيْطِ الْأَسْوَدِ مِنَ الْفَجْرِ </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الحال وقبل تعيين إرادة الراكب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المثال المذكور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الاشتراك اللّفظي في إلّا أو في الهيئة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السلطان في حاشيته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الظاهر فيه البطلان لمدخول لا للبطلان فيكون رفعا للايجاب الكلي كما يظهر من قوله غالبا في التعليل لا سلبا كليّا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مراده من الهيئة التركيبية الحاصلة من وقوع المخصّص الموصوف عقب العمومات الموصوفة ، لا الحاصلة من الأداة والمستثنى ، فإنّ تلك الهيئة لا تزيد على وضع الأداة شيئا إذ لا تفيد الهيئة إلّا المعنى النسبيّ الاخراجي ، وإخراج المستثنى الخاص من مدلولات المواد لا الهيئة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على هذا التحقيق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المستثنى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يصح الارجاع الى الجميع لا بملاحظة حرف الاستثناء ولا بملاحظة المستثنى</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باستعمال واحد وإرادات يرجع الى الجميع ، لا بإرادة واحدة يرجع الى الجميع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العلماء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المعارضة يرجّح الأوّل لما سيأتي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 قانون إذا خصّص العام ففي كونه حقيقة في الباقي أو مجاز أقوال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ثبت ، أي وإذا لم يثبت من الخارج كون المتعدّدة السّابقة في حكم الواحد ، فلا وجه لإرجاع الأشياء الى الجمل المتعدّدة السّابقة على البدل ، لا حقيقة ولا مجازا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نقله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نقول به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يقوله الشافعيّ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فرضناه بما هو خارج عن المبحث</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يقوله أبو حنيفة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ذلك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صحّ إشارة الى أنّه لا يصحّ ذلك المجاز ، كما مرّ منه سابقا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لإرجاعه إليها لا حقيقة ولا مجازا ، هذا كما في الحاشية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بالإجماع هنا الاتفاق من الخصم ، فإنّ كل من تكلّم في المسألة يقول بتخصيص الأخيرة لكن وجه التخصيص مختلف ، بعضهم خصّص من جهة إدّعاء كون الهيئة التركيبية حقيقة في ذلك ، وبعضهم من أجل دخوله في الكلّ ، وبعضهم بغير ذلك ، فلم يلزم من دعوى الإجماع صيرورة الهيئة التركيبية حقيقة في الدلالة على ذلك ليتنافى ما قدمناه من نفيها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على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أنّه أورد هذا السؤال على نفسه ، وهكذا رأى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كلام إذ لم يرى المعنى والدقة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اعتمادنا في المنع على أنّ التوظيف متبع اي على اتباع التوظيف أي اتباع الوظيفة أي كون الوضع موظفا لازم الاتباع وكذلك الاستعمال لتبعيته الوضع، والمراد التوظيفية الحاصلة من ملاحظة أنّ العقل لا مدخل له في وضع الألفاظ واستعمالها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كلامه وقد تعرّض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مراد السيّد من الأخيرة هو ما تضمنته الجملة الأخيرة بحسب المفهوم ، يعني ومن طعمه فليس مني إلّا من اغترف غرفة بيده ، إذ المراد من الطعم الذّوق والمسّ لا الشرب بعنوان الذي كما هو ظاهر المراد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شَرِبَ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وإلّا فيشكل التمسّك ، فإنّ الاستثناء بالجملة الأولى ألصق وأليق كما فسّره بعض المفسّرين إلا أن يكون المراد من الأخيرة التمثيل ، يعني واحد من الجمل لا كل واحد منها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السيّد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الجواب من العضدي وذكره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فالمضمون والمعنى المتداول غير هذا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 من أنّه لو سلّم فالإجماع فارق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لزوم هذا الحمل الحمل الذي قاله الجميع صيّره إجماعا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دليل على الجميع</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وَأَنْزَلْنا مِنَ السَّماءِ ماءً طَهُوراً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الامتنان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كل واحد من النكرة المثبتة والجمع المنكّر ونحوهما تابع لحصول الفائدة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ذهب الى ذلك بعض المتأخرين إلّا أنّ تعيين كل منهما لا يتوقف على القرينة ، وعند الاطلاق لا توقف كما ذهب إليه المرتضى ، بل الأظهر منه عوده الى الجميع ، وعند الاطلاق يحمل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مانع في أن يكون لفظ موضوعا لمعنيين إذا استعمل في كل منهما كان حقيقة فيه إلّا إذا كان أحدهما ظاهرا متبادرا منه عند الاطلاق ، فإنّه إذا أمكن أن يصير المجاز راجحا والحقيقة مرجوحة بحيث يتبادر المعنى المجازي من اللّفظ عند الاطلاق ، فيمكن بطريق أولى أن يصير أحد المعاني الحقيقية راجحا والآخر مرجوحا ، ولا ريب في أنّ اللّازم حينئذ عند الاطلاق حمله على الحقيقي لا الرّاجح دون المرجوح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سلك هذا المسلك المذكور ويمكن ان يكون هو المعني من بعض المتأخرين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الاشكال باحتمال الترجيح</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كالذهب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السيّد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الهذر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هذر في منطقه أي خلط وتكلّم بما لا ينبغي له ، والهذر بفتحتين اسم منه وهو الهذيان ، وأهذر في كلامه أي أكثر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القائلون بأنّ العام المخصّص في الباقي مجاز مطلقا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رفع التناقض</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 العمل بالدليل يعني بالأصل في الجملة الواحدة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مثله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بلا إرجاعه الى قاعدة الانكار بعد الاقرار وكذا الكلام الّذي بعده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المنافاة على الوجه المذكور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محذور الهذريّة لا يصلح كونه سببا للخروج عن الأصل وإلّا لجاز ذلك في المنفصل عن النطق عرفا أيضا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رجوع الاستثناء الى الجميع أو الى الأخيرة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المراد بمخالفة الاستثناء للأصل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المراد انّ ظاهر المتكلّم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قلنا في الجملة لبطلان احتمال التمسّك في بيان مخالفة الاستثناء للأصل ببيان مخالفته للاستصحاب كما احتمله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الإمكان هو المعنى الأعم المراد به الواجب هنا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وأحد الأمرين الأخيرين هو كون الاستثناء إخراجا من اللّفظ بعد إرادة تمام معناه وقبل الحكم والاسناد كما هو رأي أكثر المتأخرين في تقدير جملة استثنائية ، أو كون المجموع من المستثنى ، والمستثنى منه مع الأداة عبارة عن الباقي ، فله اسمان مفرد ومركب كما ذهب إليه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الاستثناء للإخراج وصيرورته قرينة للمجاز من جهة رخصة الواضع ولكن الثابت هو في الجملة لا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يتعلّق ما في صورة الإجمال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 الأخيرة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حسن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 من اعتراضه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الحاشية ،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تخصيص الجملة الأخيرة ومطمح النظر منها هو ذيل العلاوة المذكور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لو صلح بمجرده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وإلّا فجزؤه الأوّل 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تخصيص الأخيرة قد مرّ دفعه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مما ذكره هو الذكر من حيث الحاصل وليس من حيث نفس اللّفظ وهذا هو ترجيح الأخيرة بالأقربية والقطعية ونحو ذلك</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التقرير الثاني الذي يلزم منه الإقرار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عليه ابتنى التقرير الأوّل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بيان مخالفة الأصل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الاستثناء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الغائلة جمع غوائل الشر والحقد الباطن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 أي الدواهي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في كلامه بين أوّله وآخره تناقض ، وآخر كلامه هنا أيضا مناف لما تقدم من المعترض وإن كان ما تقدم من كلامه مطابقا لأوّل كلامه هنا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صلاح الاستثناء للجميع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دليل الحنفية لا يدل على ما ادّعوه من كون الاستثناء المتعقب للجمل المتعدّدة حقيقة في الإخراج عن الأخيرة فقط</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بحث هذا المبحث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المهم مراجعته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ذهب الى سقوط الجلد بالتوبة ،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الاستثناء يرجع إلى الأمرين فإذا تاب قبلت شهادته حدا ، ولم يحد ، عن ابن عبّاس في رواية الوالبي ومجاهد والزهري ومسروق وعطاء وطاوس وسعيد بن جبير والشعبي وهو اختيار الشافعي وأصحابه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الأخيرة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الشق الثاني هو عدم الإضمار وهو المختار ، هذا والمجيب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برأيه لا من نقله ، ولو كان نقله مستندا الى استنباط عن كلام العرب ولو بالقرائن فإنّ هذا غير الاجتهاد المستند الى الرأي والاستنباط العقلي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أفاده في الحاشية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وحجّتهم لأنّ سيبويه نصّ عليه ، وقوله حجة ، وردّها 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أنّ نصّ سيبويه على أنّه لا يجوز ، معارض بنص الكسائي على أنّه يجوز ، وكذا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وقول الفرّاء في باب التنازع مشهور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لاتفاقهم على افتقار الخبر المشتق الى الضمير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قال الفخر 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حسن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جوزه المستدل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المستدلّين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من باب إطلاق الكلّ في الجزء بتقريب انّ اللّفظ للفرد مع الخصوصيّة ، فاستعمل بعد إرجاع الجميع الى نفس إخراج المطلق الذي هو جزء إخراج الخاص</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يستعمل في مطلق الاخراج</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ذكرنا هنا علاوة مما ذكره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ما ذكرنا سابقا في بيان الوجه المختار أو ما ذكرنا هنا من عدم وجه لتصحيح علاقة المجاز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مما احتجّ بها أبو حنيفة من الوجوه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الاشتراك بين الرجوع الى الأخيرة في صورة الاستثناء من الاستثناء والى الجميع في غير هذه الصورة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لا ندري أنّه حقيقة في أيّ الأمرين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إلى ما ذكر من أنّه لو ثبت فإمّا بالعقل ولا مدخل له ، وإمّا بالنقل فوقوع التواتر منه يوجب عدم الخلاف ، كما أنّ الآحاد منها لا يفيد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 كل هذا يعرف مما مضى</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تخصيصا له ، اختاره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وللعلّامة قولان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أنكره القاضي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ومنعه الشيخ والحاجبي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والآمدي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والبيضاوي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أيضا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المحقق رحمه‌الله عن الشيخ إنكار ذلك وهو قول جماعة من العامة واختار هو التوقف ، ووافقه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المرتضى أيضا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الأقرب عنده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البهائي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والمرتضى والمحقق بالوقف وهو أسلم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بالرجعيّات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بالاستخدام هنا هو أن يراد بالعام معناه الحقيقي أعني تمام ما يتناوله اللّفظ من البائنات والرجعيّات ، ومن الضمير الراجع إليه معناه المجازي أعني بعض ما يتناوله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والاستخدام في الآية من قبيل الاستخدام في قول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نزل السماء بأرض قوم رعيناه وإن كانوا غضابا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أراد بالسماء معناه المجازي وهو المطر ، ومن ضمير رعيناه الرّاجع إليه معناه المجازي الآخر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 والحشيش</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والاستخدام شائع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جانب المتوقف على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سلطان العلماء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ردّ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ردّ الجواب عنه بما سبق</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مراد المجيب وهو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 في أوائل الكتاب في مبحث التعارض بعد تسليمه ترجيح التخصيص على مطلق المجاز ، بل المسلّم ترجيحه على مطلق المجاز في العام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والمجيب أيضا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القول بعدم التخصيص</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إشارة الى ما بيّن المجيب السّابق كلام خصمه عليه ولم يرض به ، كما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منه إشارة الى ما هو الحق عند المجيب ، فالترديد باعتبار الاختلاف الواقع بين المجيب وخصمه في وضع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اسم لأنّ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في معنى كون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 قدّم عليه خبره باعتبار كونه ظرفا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أفاده في الحاشية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قرينة المجاز</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قاعدة مطلق الاستخدام هو أن يراد بلفظ له معنيان سواء كانا حقيقيين أو مجازيين أو مختلفين أحد المعنيين ، ثم يراد بالضمير الراجع إليه معناه الآخر أو يراد بأحد ضميري ذلك اللّفظ أحد المعنيين ، ثم يراد بالضمير الآخر معناه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أمثلة القسم الثاني قول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فسقى القضاء وساكنيه وإن هم شبّوه بين جوانحي وضلوعي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أراد بأحد الضميرين الراجعين الى القضاء وهو المجرور في الساكنين المكان ، وبالآخر وهو المنصوب في شبّوه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سقى الله تعالى القضاء وهو شجر معروف يقال له في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 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والساكنين مكان الذي قريب بذلك القضاء مجاوريه ، وإن كان أهل ذلك المكان والساكنية أوقدوا النار التي مثل نار القضاء في الشّدة بين جوانحي وضلوعي ، بل ولا بأس بأن يجعل ذلك البيت بملاحظة المعنى الحقيقي للّفظ أعني الشجر المعروف ، فيكون من أمثلة القسم الأوّل أيضا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مرّ في القانون السّابق من دفع ما أورده المعترض على استدلال الحنفيّة على مدّعاهم من رجوع الاستثناء المتعقب للجمل المتعدّدة الى الأخيرة خاصة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قانون عدم جواز العمل بالعام قبل الفحص عن المخصّص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ظهر وجود مخصّص ما فلا دليل على وجوب الفحص إن أريد من ذلك لا ظنا ولا قطعا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أن قيد الأقوى هو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اليائسات خاصة لا لما قبله ، هذا كما في الحاشية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إرجاع العام المذكور الى الخاص أو إرجاع الضمير الى العام مع المطابقة في التخصيص</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هذا الظاهر على قاعدة المطابقة ينافي المقصود او انحمل الضمير على قاعدة المطابقة ينافيه هذا الظاهر ، للعلم بأنّ المراد من الضمير غير هذا الظاهر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فالحمل على الأوّل فاعل وضميره للظاهر والمفعول محذوف ، وعلى الثاني مفعول وضميره للضمير ، وفاعله ضمير الظاهر وكلاهما صحيحان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أفاده في الحاشية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تفسير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الماء والميتة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إرجاعه الى صورة الأعم والأخص إلّا أنّه بعيد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بضاعة الباء مضمومة وقد تكسر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بئر في المدينة المشرّفة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الإهاب بكسر الهمزة على وزن كتاب هو الجلد مطلقا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يدبغ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ذكره للتمثيل ويصلح ذلك ، وإن كان غير ثابت عندنا وبه يستدل من أبناء العامة على طهارة جلد الكلب مع الدباغة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يخصص السبب كما في تعبير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ذلك ذهبت طائفة من أصحاب الشافعي ، وإن كان كلام الشافعي محتملا له ولغيره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أحد قوليه ، وصرّح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بأنّه ليس مخصّصا خلافا للشافعي ، هذا وقد ذكر على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 في اصول الفقه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نسب إمام الحرمين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ابن السبكي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السبب مخصّص للجواب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للشافعي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صحّ عندنا من مذهب الشافعي وتبع ابن الحاجب إمام الحرمين في هذه النسبة ، ولكن الحق الصريح والقول الصحيح أنّه الإمام الشافعي لم يقلّ به أبدا ، والفروع الفقهية التي أوردها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تدلّ على أنّه كان يذهب مذهب الجمهور في هذه المسألة ، ومن فهم منه أنّه يقول بخصوص السبب إنّما فهمه على غير حقيقته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أطال ابن السبكي في الكلام عنه في كتابيه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الحاجب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الإبهاج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أنّ مذهبه مذهب الجمهور ، وقال الاسنوي في شرحه على البيضاوي في رده على الجويني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قاله الإمام مردود فإنّ الشافعي قد نصّ على أنّ السبب لا أثر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يقع به الطلاق وما يصنع السّبب شيئا إنّما تصنعه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الأصول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على السّبب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الإخراج الموردي غير صحيح كما أفاد في الحاشية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جواز تخصيص العام بمفهوم الموافقة وهناك من مذهب الى لا ريب فيه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التقديم أي حمل العام عليه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وأجاب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على ما احتجّ به المخالف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ومرادهم تعادلهما في المرجّحات السنديّة التي نص عليها في الأخبار العلاجية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محمد بن الحسين عن محمد بن عيسى عن صفوان بن يحيى عن داود بن الحصين عن عمر بن حنظلة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رجلين من أصحابنا بينهما منازعة في دين أو ميراث ، فتحاكما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كان كل واحد اختار رجلا من أصحابنا ، فرضيا أن يكونا الناظرين في حقّهما واختلفا فيما حكما وكلاهما اختلفا في حديثكم؟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ما حكم به أعدلهما وأفقههما وأصدقهما في الحديث وأورعهما ، ولا يلتفت إلى ما يحكم به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فإنّهما عدلان مرضيّان عند أصحابنا لا يفضل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يتفاضل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منهما على صاحبه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إلى ما كان من روايتهما عنّا في ذلك الّذي حكما به المجمع عليه عند أصحابك فيؤخذ به من حكمنا ويترك الشاذّ الّذي ليس بمشهور عند أصحابك فإنّ المجمع عليه لا ريب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كان الخبران عنكم مشهورين قد رواهما الثقات عنكم؟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 فما وافق حكمه حكم الكتاب والسنّة وخالف العامّة فيؤخذ به ويترك ما خالف حكمه حكم الكتاب والسنّة ووافق العامّة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أرأيت إن كان الفقيهان عرفا حكمه من الكتاب والسنّة ووجدنا أحد الخبرين موافقا للعامّة والآخر مخالفا لهما بأيّ الخبرين يؤخذ؟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خالف العامّة ففيه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جلت فداك فإن وافقهما الخبران جميعا؟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إلى ما هم إليه أميل حكّامهم وقضاتهم فيترك ويؤخذ بالآخر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وافق حكّامهم الخبرين جميعا؟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ذلك فأرجئه حتّى تلقى إمامك ، فإنّ الوقوف عند الشبهات خير من الاقتحام في الهلكات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التخيير وغيره من الأقوال على اختلاف الآراء على ما عرفت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المنجى أو الملجأ والمفرّ 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فَنادَوْا وَلاتَ حِينَ مَناصٍ</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أشار الى أكثر هذه التحقيقات الفاضل البهبهاني في الفائدة الثالثة والعشرين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وأشار الى الى أنّه ألّف رسالة في قواعد الجمع منفردة ، وأشار إليه في حواشي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الرّجوع انّما هو لو أوجب الرّجوع الى المرجّحات ترك أحد الدليلين رأسا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النظر إلى كون أحدهما أقوى والآخر أضعف ، بل يعمل عليهما بمقتضى مدلولهما حقيقة أو مجازا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أحد المدلولين لا في كليهما ، سيّما لما عرفت من العمل بالدليلين مع بقائهما على حقيقتهما ممّا لا يمكن هذا ما قال رحمه‌الله في الدرس كما افاد في الحاشية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لفظ العامّ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التجوّز</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ما مرّ بالمجاز</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مرّ من معنى إرجاع أحدهما إلى الآخر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مرّ من معنى إرجاعهما إلى ثالث</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الفائدة الثالثة والعشرين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للوحيد البهبهاني فإنّ فيها فوائد في مقام التأويل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بالتجوّز</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ثبت التساوي لا أقلّ فهو في محل دفع ما يقال من أنّ مجرّد عدم الأضعفيّة لا ينفع إلّا في مقام ذكر التفصيل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على سلطان المحققين حيث قال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التفصيل بمراتب الظنّ الحاصل بالمفهوم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الخاص</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سلطان العلماء راجع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طرفي المتناقضين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والبعض الآخر هو المنطوق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يمكن الجمع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لم يكن الجمع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تقييد بغير عموم الخصوص فاطلاقها يشمل الترجيح</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تحصل قرينة مفهمة لارادة خلاف الظاهر مطلقا ، يعني لا من نفس المتعارضين ولا من الخارج</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ومع عدم حصول القرينة على الوجه المذكور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جملة ما 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وقع فيها من الاختلاف والتباين والمنافاة والتضاد حتى لا يكاد يتّفق خبر إلّا وبإزائه ما يضاده ، ولا يسلم حديث إلّا وفي مقابلته ما ينافيه حتى جعل مخالفونا ذلك من أعظم الطعون على مذهبنا وتطرّقوا بذلك الى إبطال معتقدنا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دخل على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ليس لهم قوّة في العلم ولا بصيرة بوجوه النّظر ومعاني الالفاظ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شبهة ، وكثير منهم رجع عن اعتقاد الحق لمّا اشتبه عليه الوجه في ذلك وعجز عن حلّ الشبهة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شيخنا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أنّ أبا الحسين الهاروني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كان يعتقد الحق ويدين بالإمامة فرجع عنها لما التبس عليه الأمر في اختلاف الأحاديث وترك المذهب ودان بغيره لما لم يتبيّن وجوه المعاني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فالاشتغال بشرح كتاب يحتوي على تأويل الأخبار المختلفة والاحاديث المتنافية من أعظم المهمّات في الدين ومن أقرب القربات الى الله تعالى لما فيه من كثرة النفع للمبتدى والريّض في العلم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 سابقا في أوّل المبحث</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بجوازه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والمحقّق في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ليس باتفاقي بينهم لوقوع الخلاف فيه ، أي مع أنّ ظاهر كلامه كونه اتفاقيا سيّما بملاحظة اقترانه مع ما وقع الاتفاق فيه ، وهو جواز تخصيص الكتاب بالاجماع وبالخبر 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تخصيص الكتاب بالكتاب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جوازه مطلقا ومنعه بعض مطلقا ، وفصّل جمع من العامّة بأنّه إن علم التاريخ ، فإن كان الخاص متأخّرا خصّص العام ، وإن كان متقدما فلا ، بل كان العام ناسخا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جهل التاريخ فتساقطا ، فيتوقف في مورد الخاص ويطلب فيه 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علم المقارنة فبعضهم على أنّ الحكم فيه كالحكم عند العلم بتأخّر الخاص ، وبعضهم على انّ الحكم فيه كالحكم عند جهل التاريخ ، ومثله قال العضدي أيضا ، ولكن باختلاف يسير بزيادة ونقصان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القول بالتفصيل الى أبي حنيفة والقاضي وإمام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كله كما تراه ينادي بعدم كون جواز تخصيص الكتاب بالكتاب اتفاقيّا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ولا ريب في جواز تخصيص الكتاب بالإجماع ؛ وذلك مثل آية القذف ، فإنّها تدلّ على وجوب ثمانين جلدة للحرّ والعبد مع أنّهم أوجبوا على العبد نصف الثمانين ، والثمانون مخصوصة بالحرّ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المخصّص ، هو الاجماع لا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فَعَلَيْهِنَّ نِصْفُ ما عَلَى الْمُحْصَناتِ مِنَ الْعَذابِ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وذلك لأنّها وردت في حقّ الإماء وقياس العبيد عليها باطل ، مع أنّه لو سلّم صحّته لا ينافي ما ذكرنا ؛ غاية الأمر كونه مسندا للإجماع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أفاده في الحاشية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يعبر بعدم الريب كما فعل المصنّف وإنّما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ما ذكره المانع من عدم الجواز في تخصيصه بالخبر الواحد غير موجود ، فالمقتضى فيها موجود والمانع مفقود ، مضافا الى أنّه واقع، وذلك كتخصيص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يُوصِيكُمُ اللهُ فِي أَوْلادِكُمْ لِلذَّكَرِ مِثْلُ حَظِّ الْأُنْثَيَيْنِ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يرث القاتل ولا يتوارث أهل ملّتين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لعيسى بن أبان ، والثاني للكرخيّ ، والتوقف للقاضي أبي بكر ، والقول بالثبوت للمحققين منّا ومنهم ، حتى نسب الى الفقهاء الأربعة ، والمرتضى منع منه على ما نقل ، وتحققت من ذلك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نذهب إليه انّ أخبار الآحاد لا يجوز تخصيص العموم بها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المخصّص المنفصل فقد يكون دليلا عقليّا وقد يكون سمعيا ، فالسمعي ينقسم إلى ما يوجب العلم وإلى ما يوجب الظن ، كالقياس وأخبار الآحاد وليس يخرج عن هذه الجملة شيء من المخصّصات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ذلك التخصيص بدليل قطعي مطلقا متصلا كان أم منفصلا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مجرّد الجمع بين الدليلين لا يوجب تقدم الخاص</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الكتاب والخبر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هذه الحجج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كلامه تبعا للعضدي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والفهم العرفي 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التخصيص أرجح أنواع المجاز</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كالأخبار وما في منزلتها هو القرآن أو من ما في منزلتها هو الفعل او التقرير وذلك لانصراف إطلاق الخطاب الى القول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لما يقال من أنّ الظاهر عندهم بعينه هو الظاهر عندنا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متصلة ولكن قد خفيت علينا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الخطاب بما له ظاهر وإرادة غيره قبيح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بالأخبار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بما ذكرنا من منع التمسّك بالاجماع في موضع النزاع ظهر لك إمكان ردّ قول المحقّق بنفي التخصيص</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بيان للمعارضة بالقلب على كلام المحقّق</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بعضهم انّه حقيقة في الخصوص وقال بعضهم مشترك بينهما فلا يكون قطعيا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تخصيص الكتاب بالخبر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ضعّف هذا القول للمصنّف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السلطان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ورد عني حديث فاعرضوه على كتاب الله فإن وافقه فاقبلوه وإن خالفه فردوه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كانَ الْمُؤْمِنُونَ لِيَنْفِرُوا كَافَّةً فَلَوْ لا نَفَرَ مِنْ كُلِّ فِرْقَةٍ مِنْهُمْ طائِفَةٌ لِيَتَفَقَّهُوا فِي الدِّينِ وَلِيُنْذِرُوا قَوْمَهُمْ إِذا رَجَعُوا إِلَيْهِمْ لَعَلَّهُمْ يَحْذَرُونَ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لزوم تخصيص تلك الأخبار بالصورة المذكورة لعدم المقاومة للعمومات المذكورة يندفع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القبول بتخصيص الكتاب بالخبر يستلزم عدمه وما هو كذلك فهو باطل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بيان حكم المخالفة بعنوان التخصيص لا المخالفة بعنوان العموم ورفع حكم الكتاب كليّا ورأسا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أنّ هذه الأخبار تدلّ على شيئين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طرح ما خالف الكتاب بعنوان 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وجوب ما خالفه بعنوان التناقض</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بالشق الثاني هو قول المستدلّ وانّ العلّة في التخصيص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السلطان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بما ذكر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سلطان العلماء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ذلك ، فلم يتحقق الفعلية في النسخ</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جواب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 من هذا القيد الاحتراز عما هو متوافقي الظاهر ، بأن يكون كلاهما مشتملين على حكم الإباحي أو التحريمي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العموم من وجه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ان يحتمل البناء وعدمه في مقام الشك</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العموم من وجه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 ومن وجه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الفاضل المدقّق الشيرواني كما في الحاشية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بعض الأعاظم المذكور ، ذكر من الشواهد على تعميم البحث</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وَأُولاتُ الْأَحْمالِ أَجَلُهُنَّ أَنْ يَضَعْنَ حَمْلَهُنَ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وَالَّذِينَ يُتَوَفَّوْنَ مِنْكُمْ وَيَذَرُونَ أَزْواجاً يَتَرَبَّصْنَ بِأَنْفُسِهِنَّ أَرْبَعَةَ أَشْهُرٍ وَعَشْراً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عموم آية الوفاة حيث إنّها مقصورة على غير وأولات الأحمال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عموم آية وأولات الاحمال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قصر أحد العامين من وجه على الآخر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بسبب دلالة لفظ وأولات الأحمال على العموم حيث إنّه جمع مضاف الى الأحمال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والمراد بجزء الحكمة المقترنة بها انّ المصلحة في العدّة هي حفظ المياه والأنساب عن الاختلاط وهي معلومة بالوضع، وبعد خروج المولود وبراءة الرّحم فلا وجه للتربّص</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مبادي الوصول الى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وَالْمُطَلَّقاتُ يَتَرَبَّصْنَ بِأَنْفُسِهِنَّ ثَلاثَةَ قُرُوءٍ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ومن الشواهد التي استشهد بها ذلك المدقّق والذي عبّر عنه ببعض الأعاظم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طيّ القسم الثالث من أقسام مسألة ورود العام بعد ورود الخاص</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عنده وإلّا فحكم الجهل بالتاريخ عندنا غير هذا كما سيجيء</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بناء على جواز النسخ قبل حضور وقت العمل ، وإلّا فهو مشكل بناء على أنّ المصلحة في النسخ قبل حضور وقت العمل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حمل النهي 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القوم ولا تكرم زيدا ، على قلّة الرّجحان كما هو المتعارف في مكروهات العبادات ، بالإضافة الى باقي الأفراد الى غير ذلك من المحامل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أنت خبير بما في العبارة من حيث خصّ احتمال التجوّز المعارض للتخصيص في التجوّز فى الخاص ، مع أنّه ربما يعارضه التجوّز في العام كما في آيتي المسارعة والخيرات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من الشيرواني أيضا ، وذكر سلطان المحققين في تعليقاته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طيّ قول المصنّف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روايات تدلّ على أنّه إذا وردت إليكم روايات منّا متخالفة فاعملوا بما يخالف مذهب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يقتضي انّ الخاص لو كان موافقا لمذهب العامّة يقدّم العام عليه ، إلّا أن يحمل التخالف في الروايات المذكورة على ما لا يمكن الجمع بينهما ، ويجب طرح أحدهما فيطرح ما هو موافق للعامة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وفيما نحن فيه يمكن الجمع بينهما بحمل العام على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كبعض الحنفيّة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كل واحد منهما من جهة العموم والخصوص مع قطع النظر عن المرجّحات الخارجة ، بل للبناء على الآخر فيلزم حينئذ تساقطهما جميعا وبطلانهما رأسا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المستشكل الذي أراده المصنّف هو سلطان العلماء كما يظهر من بعض كلماته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هو السيد صدر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هو الفاضل الشيرواني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 تأخير البيان عن وقت الخطاب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كالسندية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العام ينبئ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 يعني مطلقا سواء كان ورود العام قبل حضور وقت العمل بالخاص أو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الفرق بين الخاص المتأخر والعام المتأخر في صورة ورودهما بعد حضور وقت العمل ، حيث حكم في الأوّل بكونه ناسخا دون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في غاية الوضوح وهو انّه لو كان مخصّصا في الأوّل يلزم تأخير البيان عن وقت الحاجة ولا يلزم ذلك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الحكم بالنسخ في الثاني مستلزم لإلغاء الخاص بالكليّة والحكم به في الأوّل لا يستلزم الغاء العام بالكلّيّة كما لا يخفى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عزاه المحقق إلى الشيخ وهو الظاهر من كلام علم الهدى ، وأمّا في حاشية المولى محمد صالح المازندراني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على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الأخيرة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أنّ مذهبه في هذا القسم هو النسخ ، غير هذا القول بناء العام على الخاص له شرط لا بدّ من اعتباره وهو أن يكونا واردين معا والحال واحدة ، لأنّ تقدم أحدهما على الآخر يقتضي النسخ</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العضدي في جواز تخصيص الكتاب بالكتاب في الأصل ، 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المقام كما في الحاشية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ترجيح المرجوح</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الموضع الذي أشار فيه الى هذا المطلب هو قانون جواز تخصيص الكتاب بالكتاب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الوجه الذي سنذكره من وجوه النسخ وهو الوجه الأوّل منها والمثال هو إذا قال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 زيدا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 المشركين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عبارة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الحاشية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بمعنى جريان 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المصنّف أجوبتها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بتصرّف منه في العبارات مع زيادة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على الفاضل المازندراني حيث قال في عنوان قوله ويتأخر وصف كونه بيانا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الأصوب أن يقول ويقارن وصف كونه بيانا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القسم الثاني على أحد الشقين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 المترتبة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المبحث وغيره مما ذكر فيه مرارا انّ التخصيص شائع وأغلب مما سواه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والمجيب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صورة كون الخاص محتملا لأن يكون مخصّصا أو ناسخا مردودا كما لو كان العام من الكتاب أو السّنة المتواترة والخاص من أخبار الآحاد وجهل التاريخ</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لسلطان العلماء وقد ذكره في ترجيح النسخ حينئذ في مقام الاشكال على الأخذ بالتخصيص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تعليقة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ترجيح التخصيص أيضا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المعرفة منه كزيد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الجنس باعتبار الوجود خارجا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بهذا البعض هو الشارح العميدي على ما صرّح به في الحاشية في مبحث العام والخاص</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فسّرنا الشائع بالحصر ليندفع ما قد يتوهم من ظاهر كثير من العبارات من أنّ المطلق ما يراد به الماهيّة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الحقيقية من حيث هي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وذلك لأنّ الأحكام إنّما تتعلّق بالأفراد لا بالمفهومات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العضدي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أقل هو ما لا يدل على شائع احترازا عما لا يدل أصلا كالمهمل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وإن كانت شائعة بين الرقبات المؤمنات لكنها أخرجت من الشياع بوجه ما ، من حيث كانت شائعة بين المؤمنة وغير المؤمنة ، فأزيل ذلك الشياع عنه وقيّد بالمؤمنة فهو مطلق من وجه مقيّد من وجه آخر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من وجه مقيّد من وجه آخر ، انّ رقبة مؤمنة مطلق بالمعنى الأوّل أعني ما دلّ على شائع، ومقيّد بالمعنى الثاني ، أعني ما أخرج عن شياع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المقيّد بالمعنى الأول والمقيّد بالمعنى الثاني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ولنا على المقام الثاني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بأن يكون أمرين أو نهيين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خبير أنّهم لم يحملوا المطلق على المقيّد وليس بناؤهم على ذلك ، بل لأجل القياس والاستحسان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فاعتق رقبة باطلاقه يدلّ على عتق أي رقبة ، والعتق يدلّ على الملكيّة فتملّك الكافرة ، فقوله هذا ينافي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تملك رقبة الكافرة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فكذلك تلك الكافرة تدلّ على عدم عتقها ، فقوله هذا ينافي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 رقبة ، فكلّ واحد منهما يستلزم عدم الآخر فاللّازم حينئذ حمل المطلق على المقيّد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قالوا انّ العتق فيه جهة عبادة فيعتبر فيه قصد القربة ، فلا يمكن ذلك إذا كان المحل خبيثا كافرا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 حضر وقت العمل يكون ناسخا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سند هذا الاعتراض من إمكان الجمع بوجه آخر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فيه الفاضل المازندراني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 ذكر في سند المنع من الوجهين المذكورين ، كليهما مرجوحا بالنسبة الى ما ذكرنا من شيوع التقييد وشهرته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سيما الأخير من الوجهين المذكورين ، فإنّه أشد مرجوحيّة بالنسبة الى الوجه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للفاضل التوني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الحاشية ، ونقول في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لمّا كان الوجهان المذكوران مخالفين لمذهب المشهور والمنصور ، ولذا قد ذببناهما بقولنا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وبذب أيضا يعني آخر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استدراك على الذي مرّ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دفع لما يقال انّه إنّما يقبح لو لم يأت ببيان الإبهام ، وأما مع مجيء التقييد فلا قبح</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حمل المطلق على المقيّد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الحمل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احتمال الاطلاق والتقييد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الكلام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لوجود النص بالمقيّد هنا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من الوجوه التي ذكروا للجمع بين المطلق والمقيّد من دون تصرّف في المطلق وارتكاب في مجازيّته ، وهو لسلطان العلماء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بالوجهين ما يذكر بعد أسطر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الطبيعة توجد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الأصل براءة الذمّة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عرفته وهو قول السلطان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في حاشيته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يراد من المطلق المقيّد ولم يستعمل اللفظ فيه أو اريد مع الاستعمال والخصوصيّة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الحاشية اي إرادة الاطلاق حقيقة مطلقا أو إرادة المعيّن من القرينة ليكون مجازا صوريا بدون استعمال اللّفظ في التعيين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الانشاء فيما لم يرد التعيين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نبيّ من أنبياء بني 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الصّديقون ثلاثة حبيب النجّار مؤمن آل يس الذي يقول اتبعوا المرسلين وحزقيل مؤمن آل فرعون ، وعلي بن أبي طالب عليه‌السلام وهو أفضلهم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السلطان كما عرفت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السلطان وقد مضى</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للمقيّد مفهوم يستفاد حكمه من الأمر بالمطلق فذكره تأكيدا بخلاف لو قلنا بالمفهوم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الردّ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المعترض</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لأنّه من المسائل اللّغوية ، والاجماع إنّما يثبت به المسائل الفقهيّة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الامكان اعتبار المفهوم في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العالم أيضا بملاحظة ترجيح التأسيس على التأكيد ، 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اقتران الوصف أعني عالما بالذات التي تدلّ عليها الألف واللام ، تدلّ على وجوب إكرام غير العالم ترجيحا للتأسيس على التأكيد ، هذا كما في الحاشية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قيل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كون المقيّد بيانا للمطلق لا ناسخا له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كثير من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وشرحه ،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الاعتراض للتفتازاني كما حكي عنه ، وكذا الأوّل كما حكي أيضا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الحاجبي وغيره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العضدي ،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المولى محمّد صالح المازندراني في حاشيته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المورد هو سلطان العلماء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الكلام تتمّة يمكن الرجوع إليه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هذا القانون أنّ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وَأَحَلَّ اللهُ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وبيع الغرر مقيّد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تقدم في هذا العنوان من كون ذلك المثال أي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رَجُلٌ مِنْ أَقْصَى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القصص والحكايات ، ومحلّ البحث ليس من هذا القبيل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نكرة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ذكره المبدل وهو المثال المعرّف باللّام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الإيراد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الأصولية هذا كما في الحاشية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بملاحظة العام والخاص المختلفين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يختلف موجبهما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اقتضاه القياس ووجد شرائطه أم لا وهذا هو الموافق لمذهب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 منع الحنفيّة منه بالقياس مناف لمذهبهم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الشافعيّة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شرائط القياس ، ومن شرائط حكم الأصل عدم نسخه وعدم ثبوتها بالقياس ، ومن شرائط الفرع مساواته للأصل علّة وحكما ، هذا كما في الحاشية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الواهي جمعها واهون ووهاة وتأنيثها واهية بمعنى ضعيفة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الفيومي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أجملت الشيء إجمالا جمعته من غير 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أجملت الحساب رددته الى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الفيروزآبادي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أجمل جمع، واجمل الشيء جمعه عن التفرقة ، والحساب ردّه الى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الطريحي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أجملت الحساب رددته عن التفصيل الى الجملة ، ومعناه الإجمال وقع على ما انتهى إليه التفصيل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تردّده بين الفاعل والمفعول إنّما هو بسبب الإعلال إذ لو لا الإعلال لكان مختير ، بكسر الياء للفاعل وبفتحها للمفعول فينتفي الاجمال ، هذا كما في الحاشية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مجمل له ظاهر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بعد ظهور القرينة على أنّ الظاهر لم يكن مرادا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إجمال في النظر الثاني أيضا لظهور القرينة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غالبا ما يقع في مقام بيان الأحكام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قد ذكر الى أنّ المجمل قد يكون فعلا وقد يكون قولا والقول إما مفرد أو مركب</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انّه سئل عن أحد من العلماء عن علي وأبي بكر أيّهما خليفة رسول الله صلى‌الله‌عليه‌وآله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بنته في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أمرني معاوية بن أبي سفيان أن ألعن عليا ، ألا فالعنوه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والفخريّ والحاجبي لا إجمال فيها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المجمل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للآمدي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سلطان العلماء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ظاهره كل بعض حتى الأصبع ، والظاهر انّه لم يذهب إليه أحد ، وكان المراد الأبعاض المخصوصة المذكورة ، انتهى كلامه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الأصابع</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والتبادر من اليد إنّما هو المجموع</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واسطة بين النهار واللّيل وما سوى تلك الواسطة من طرف النهار نهار ومن طرف اللّيل ليل ، بخلاف القول بأنّ النهار ما بين طلوع الشمس الى الغروب ، فإنّ الواسطة المذكورة حينئذ 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 الفرق بين القولين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ذلك نظر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جعلها زائدة كالبيضاوي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المسح للجميع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جعلها للتبعيض جعلها للبعض ، وعلى أي من التقديرين مبيّنة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ردّ الباء بين المعنيين جعلها مجملة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ما رواه محمد بن يعقوب عن علي بن ابراهيم عن أبيه ومحمد بن اسماعيل عن الفضل بن شاذان جميعا عن حمّاد بن عيسى عن حريز عن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تخبرني من أين علمت وقلت انّ المسح ببعض الرأس وبعض الرّجلين؟فضحك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زرارة ، قاله رسول الله صلى‌الله‌عليه‌وآله ، ونزل به الكتاب من الله عزوجل ، لأنّ الله عزوجل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فَاغْسِلُوا وُجُوهَكُمْ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فعرفنا ان الوجه كلّه ينبغي ان يغسل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وَأَيْدِيَكُمْ إِلَى الْمَرافِقِ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فوصل اليدين الى المرفقين بالوجه ، فعرفنا انّه ينبغي لهما ان يغسلا الى المرفقين ، ثمّ فصل بين الكلام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وَامْسَحُوا بِرُؤُسِكُمْ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فعرفنا حين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بِرُؤُسِكُمْ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المسح ببعض الرأس لمكان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وصل الرجلين بالرأس، كما وصل اليدين بالوجه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وَأَرْجُلَكُمْ إِلَى الْكَعْبَيْنِ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فعرفنا حين وصلهما بالرأس أنّ المسح على بعضهما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فسّر ذلك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 فضيّعوه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الحنفيّة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منقول عن مالك ومن تبعه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الشافعيّة كما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فذهبوا إلى ما نذهب إليه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ص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والنسبة إلى الكوفيين والأصمعي والفارسي نقلها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جنّي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في اللغة بين أن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مسحت بالرأس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أن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مسحت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الرأس اسم للعضو بتمامه فوجب مسحه بتمامه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ذكرتها وسندها في الحاشية الّتي مرّت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قراءات ثلاثة لم يبيّت ولم يبت ولم يبّتّ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أبو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النيّة في الصيام حديث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القول بعدم الاجمال كما ذهب إليه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أي سواء كان شرعيّا أم لا وسواء كان لغويّا ذا حكم واحد أم لا وهو قول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المنقول عن القاضي القول بالاجمال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إتحاف ذوي البصائر بشرح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ومذهب جمهور العلماء ليس بمجمل وأكثر الحنفيّة والقاضي أبو بكر الباقلاني وأبو عبد الله البصري وأكثر المعتزلة الإجمال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التفصيل وهو ما ذكره المصنف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الفعل المنفي شرعيّا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تفصيل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التفصيل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القول بكون الأسامي أسام للصحيحة وثبوت الحقيقة الشرعيّة فيها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من قبيل العبادات وقلنا بأنّها حقيقة شرعية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قانون ثبوت الحقيقة الشرعية وعدمه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فالمقصود بكثرة التعارف هو كونه شائعا في العرف ، وليس انّه صار حقيقة عرفية ليناقض دعوى المجازيّة التي إدّعاها سابقا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بادئ النظر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في نفي الكمال ونفي الصحة قول بأن لا اجمال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للبهائي ، وصريح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 وذهب منهم أيضا أي عدم الإجمال فيها ابن قدامة وأبو الخطاب الحنبلي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علي وابنه أبو هاشم ، وعبد الجبّار بن أحمد ، وأبو الحسين البصري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المعتزلة وعليه أكثر الشافعيّة وهو مذهب أكثر العلماء كما عن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إلى الإجمال 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الحسن الكرخي وأبو عبد الله البصري ، وبعض الحنفية وبعض الحنابلة وبعض الشافعيّة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هذا الكلام حجّة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الجلد المغلف لجسم الحيوان قبل أن يدبغ</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الأم والبنت والعمة والخالة ونحوهم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إنّ القول بأنّ المراد والمقصود من الأمهات والبنات المنكوح والموطوء لا معنى له ، وذلك لأنّ المقامات يختلف باختلاف العنوانات ، فعنوان الأمّ والبنت لا يناسب مثل النكاح والوطء ، بل المناسب لهما هو عنوان النّسوان ، وكذلك عنوان المرأة اذا كانت في مقابلة الرجل من جهة كون المراد من الرجل ذات ثبت له الرجوليّة ، ومن المرأة ذات ثبت لها الانوثية ، ومقابلتهما يناسب النكاح والوطء ، هذا كما في الحاشية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والمجيب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قد لا يكون هناك فعل ظاهر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من احتجّ بالإجمال كما عرفت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المحكم والمتشابه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المبيّن هو فعله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كالمطلق والمقيّد والمجازات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الخطاب الى البنّاء والحفّار ، والرّكيّة البئر ، وليس معناه وسّع ثم ضيّق بتوهم اقتضاء التضييق سبق التوسعة لمنع الاقتضاء ، بل معناه ابن فم الركيّة من أوّل بنائه أو احفره من ابتداء حفر البئر على الضيّق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يقال في القسم الأوّل من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المراد به بناء اللفظ من أوّل الأمر باعتبار الوضع والاستعمال على البيان ، فكون الشيء مبيّنا بمعنى ما وقع عليه البيان مبيّنا كما في 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كان مبيّنا بنفسه من غير تقدم إجماله فهو ليس بهذه المثابة ، فلا بد حينئذ من تسميته بالمبيّن إما أن يكون من باب المسامحة أو من باب ضيّق فم الركيّة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أفاده في الحاشية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الخلاف الآتي من بعض العامّة حيث منع من جواز كون الفعل بيانا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في الكتب الأربعة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عن النبي صلى‌الله‌عليه‌وآله ولا عن الأئمة صلوات الله وسلامه عليهم ، نعم يوجد رواية عن أبي عبد الله عليه‌السلام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الصدقة فيما سقت السماء والأنهار إذا كانت سيحا أو كان بعلا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بدا لي أنّ المصنّف أراد مثل هذه الرواية فنقلها بتصرّف منه في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سقت السّماء العشر ،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وهو الصحيح بعد تقطيع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ما ذكر في المصنّف من الناسخ وليس 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قوله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سقت السماء العشر وفيما سقي بالسانية نصف العشر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وآتوا الزكاة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آتوا حقه يوم حصاده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مثل ما روي في باب علامة شهر رمضان عن عبد الأعلى بن أعين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رسول الله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 هكذا وهكذا وهكذا ، وأشار بيديه عشرا وعشرا وعشرا ، وهكذا وهكذا وهكذا ، عشرة وعشرة وتسعة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الحج حيث قال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عني مناسككم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كالكرخي وأبي إسحاق الأسفراييني كما عن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فالرّكعتان مثلا من الهيئة لو بيّنت بالقول ربما استدعى زمانا أكثر مما تؤدى صلاة بكثير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على ذلك الإجماع 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ممتنع إجماعا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المعتزلة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خلاف فيه ، وفي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إتحاف ذوي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حكى الاتفاق على عدم جواز ذلك الغزالي ، والباجي ، وابن السمعاني وكثير من الأصوليين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جمهور الأشاعرة وأختاره أكثر الشافعية وبعض الحنفية وبعض المعتزلة ومشهور الخاصّة ، وأما المنع مطلقا فعن كثير الحنفية والظاهرية وبعض الشافعية وجمهور المعتزلة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خيرة العلّامة تبعا لبعض الخاصّة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من المرتضى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المانع عقلا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إيراد على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ردّ ثالث الوجوه التي أريد بها المرتضى ، مقصوده من المنع فيما له ظاهر ، بعد الاشارة الى لزوم الاغراء بالجهل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والشين المعجمة ، وهو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تهييج بعض القوم على بعض</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وقوع تأخير البيان عن وقت الخطاب الى وقت الحاجة في العرف والشرع</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تفسيره للآية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 علما أنّه ليس في الرواية لو ذبحوا أي بقرة لأجزأتهم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في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امروا بأدنى 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عمدوا الى أي بقرة أجزأتهم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في تفسير علي بن ابراهيم ما يعارض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أنّه فهم التعارض مما جاء في 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بني اسرائيل أن يذبحوا تلك البقرة بعينها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هذا واضحا في ذلك</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كالخزانة والصندوق</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ليس له ظاهر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كالعطف التفسيري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إمكانه ووقوعه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ضمن المعنيين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الكبرى</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بهذا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تكليف الآمر مع العلم بانتفاء الشرط</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لفظ العام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والمجيب بهذا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دفع المانع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يقلّ به أحد غيره على ما زعمه المصنّف</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للاستشهاد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كلام المجيب او آخر كلام المتكلّم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التفاوت المذكور الذي ادّعيناه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القول ودفعه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للاستشهاد الثالث وهو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لزوم هذا الإغراء</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لعدم توجه الخطاب إليه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الكتب الحديثية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مقصود الذي ذكره المجيب في قوله حتى يحصل الفحص</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كأخبار الأئمة عليهم‌السلام كما أفاد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تصدق أخبارهم عليهم‌السلام على السنة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العام إن كان مما خوطب به المخاطب من لسان الشارع هو الذي نحن فيه وقد عبّر من قبيل الأول ، وما ذكره المجيب من قبيل الثاني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كان العام من باب الادلّة الواردة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أجاب بالنقض عن الدليل الأوّل للمفصّل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البعض من العامة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السيّد ومثله العلّامة ، ونقله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التنبيه قد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بحث المجمل والمبيّن مفصّلا وشرحه العميدي بأبسط وجه ، وعبارة المتن مطابق له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واصطلاحا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دلّ على معنى دلالة ظنيّة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واضحة ، فعلى الأوّل يكون النص هو ما دلّ دلالة قطعيّة قسيما منه ، وعلى الثاني يكون قسما منه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كالعرفية العامة والخاصة غير الشرعية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غير الواضحة المحتملة الموجبة للتردد بين الحقيقة والمجاز</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الارجاع من آل يئول إذا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واصطلاحا على وجه يتناول الصحيح والفاسد معا ، هو اللّفظ المحمول على معناه المرجوح</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فزد عليه هذا القيد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والقرينة المقتضية قد تجعل أعم من الواضحة وقد تجعل بمعنى الواضحة ، هذا كما في الحاشية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الأصناف الثمانية المذكورة في الآية 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بعدها وهي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منه انّه مشترك بينهما كما هو صريح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 ولكن بلفظ والإعزام ، وفي نسخة والازماع وهو كتعبير 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وما في المتن لغة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ومقصوده جميع ما ذكروه من الحدود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ذكره ابن قدامة وهو تعريف 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علماء العصر من أمّة محمّد صلى‌الله‌عليه‌وآله‌وسلم على أمر من أمور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الاتحاف في شرح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استدلالهم بقضاء العادة على حقيقة اجتماع الخلق الكثير كما عن إمام الحرمين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وخصّ رسول الله صلى‌الله‌عليه‌وآله‌وسلم بأشياء في النكاح وغيره وهي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وجعلت أمته معصومة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وروي عنه عليه‌السلام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تجتمع أمتي على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عدّ هذا من الخصائص نظر ، لأنّ الحديث غير معلوم الثبوت ، وأمته صلى‌الله‌عليه‌وآله‌وسلم مع دخول المعصوم فيهم لا تجتمع على ضلالة ، لكن باعتبار المعصوم فقط ولا دخل لغيره في ذلك ، وبدونه هم كسائر الأمم ، على أنّ الأمم الماضين مع أوصياء أنبيائهم كهذه الأمة مع المعصوم ، فلا اختصاص</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كالعلوم التي لا دخل للشرع فيها كالرياضيات والطبيعيات ، ومثل الإجماع على جوهرية الجسم أو عرضيّة الألوان والطعوم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والطعوم مفرده الطّعم وهو ما تدركه حاسة الذوق من طعام او شراب كالحلاوة والمرارة والحموضة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ليس من الأدلّة الشرعيّة المعرّف في الكتب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الإجماع على أمر عقلي يجب أن يعتقد كالإجماع على حدوث العالم فهو من الأدلّة الشرعية ، فتدخل الاجماعات الثابتة في علم الكلام المتعلّقة بالاعتقاد في التعريف ، ولهذا قال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والدّيني أعمّ من الاعتقادي والفروعي ، فحينئذ لا بدّ أن يكون المراد من المجتهد في الأصول الكلامية أيضا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يناسب مذهب الخاصة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إنّ حدّ العامة خاص مطلقا ، بينما حدّ الخاصة عام مطلقا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من لا يذهب إليه شاذ وإن كانت له حجج فهي سقيمة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مقام إنكار إمكان حصول الاجماع ، وإمكان العلم به ، وإنكار حجّيته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ومآل هذه الطريقة الى دخول نفس المعصوم عليهم‌السلام في المجمعين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مرادهم أعم من دخوله شخصا أو قولا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القول كلام من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العلم الاجمالي من الاجماع نظير العلم الاجمالي الحاصل من كبرى الشكل الأوّل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بالدّور تقدم الشيء على نفسه أو يراد الدّور الاصطلاحي ، ولمزيد المعرفة راجع الحاشية الآتية بعد هذه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سعيد أبو الخير الخراساني ، فقد أورد على اهل الاستدلال مثل 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العلم بالنتيجة موقوف على العلم بكليّة الكبرى ، والعلم بها موقوف على العلم بالنتيجة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باعتبار العلم الاجمالي دون التفصيلي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قياس من الشكل الأوّل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لابديّته دخول شخص المعصوم في الاشخاص</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لعدم الامكان من رؤية صاحب العصر والزمان عليه‌السلام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وأحاديث كثيرة في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هناك في كتاب الحجة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اختلاف الإماميّة على قولين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المعروف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حسين الخوانساري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قول المحقق المذكور نظر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ذكرناه من التحقيق من وجوب الابلاغ ردّ السيّد المرتضى قول الشيخ</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المقصد الخامس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الاولى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الجواب الوسط</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هذا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عدم صحة طريقة الشيخ</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ردع الجميع</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ردّ على المحقق الخوانساري فيما ذكره في الواجب الأوّل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جواب على ما ذكره المجيب المحقق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أنّا نرى خلاف مقتضى اللّطف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المعمولة بين الأمّة لا المتروكة كما في الحاشية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الشيء إمّا القول الآخر الذي انفرد به فلا بد أن يظهر ويظهر خلاف ما اجتمعوا عليه او القول المجمع عليه وهو المطلوب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ذكره الشيخ</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ذكرها الشيخ ، وهي طريقة اللّطف</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المحقق الحلّي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الاجماع، وكذا الشيخ البهائي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وفي عدد من كتبنا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ووجود هذا المعنى في أخبار كثيرة عند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مثله احمد في مسنده ، والطبراني في الكبير وابن أبي خيثمة في تأريخه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المقاصد الحسنة للسخاوي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لي بأنّه الوحيد البهبهاني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الاجماع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بعد الرّاء ويمكن أن تكون هي المناسبة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يروون بالواو بعد الرّاء</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الحدس في اللغة الظنّ والتخمين ، وفي اصطلاح أهل الميزان هو الانتقال الدفعي من المبادئ الى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والحدسيّات من الأمور الغير المشاهدة بالحسّ الظاهري التي تسمى بالحسيّات ، وغير المشاهدة بالحسّ الباطني التي تسمى بالوجدانيّات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حصولها موقوفا على الواسطة لكن لا واسطة ، لا تغيب عن الذهن عند حصول الأطراف ، كما في الفطريات التي تسمى قضايا قياساتها معها بلا واسطة ، تحتاج الى اعمال الحدس كما في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القمر مستفاد من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الوجدانيّات فهي المشاهدات بالحسّ الباطني مثل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لنا جوعا وعطشا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 المصنّف هو الحدس والوجدان إنّ العطف فيه للمغايرة لا أنّ العطف فيه تفسيري كما قد يتوهم في بادئ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فالحدس بالنسبة الى ملاحظة العلم الحاصل لغير الشخص من تلك الملاحظة ، والوجدان بالنسبة الى العلم الحاصل لنفس هذا الشخص ، ويجوز جعل العطف تفسيريا على وجه مع المسامحة في استعمال الوجدان بمعنى الحدس، فتأمل هذا ما في الحاشية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يذهب اليه من الفتوى</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وجوابه قوله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قيل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جواب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قيل لا يمكن حصول العلم من جميع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جملة ضروريات الدّين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والنساء وحلّيتهما من ضروريات المذهب ، بعد أن كان عمر أوّل من حرّمهما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بالتكسب</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 الوحيد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الاجماعيات من الضروريات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معرّب كلاب أي ماء الورد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للاجماع</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كما ذكره المحقق البهبهانى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وبهذا صرّح غير واحد من المحقّقين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بهذا الحكم هو وجوب غسل الثوب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العلّة في هذا الحكم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الخبر الذي يدلّ على نجاسة الماء القليل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الخبر الثاني فهم الطهارة من جهة الأمر بالتوضي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الاشكال في إمكان وقوع الاجماع والعلم به وحجّيته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دون بديهي الدّين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كالتي تحتاج الى التتبع والطلب</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في المتواتر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في الاجماع</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الاجماع على مصطلحهم كما مرّ في أوّل القانون هو اتفاق المجتهدين من هذه الأمة على أمر ديني في عصر من الأعصار ، ولا ريب أنّه اذا ثبت الاجماع بهذا المعنى ، فهو كما انّه حجّة عندهم فهو حجّة عندنا أيضا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سيّار بن هانئ البصري ابو اسحاق النظام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توفي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من أئمة المعتزلة ومن شيوخ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نشاء في البصرة واقام ببغداد تبحّر في الفلسفة وله آراء تبعه فيها فرقة من المعتزلة سميت بالنظامية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وشهرته بالنظام لانه يجيد نظم الكلام ، وأمّا خصومه فقالوا لأنه كان ينظم الخرز في سوق البصرة أيام فقره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كان النظام أصوليا قد أنكر حجية الاجماع وردّه وألّف كتابا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النكث في عدم حجية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إمام الحرمين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اصول الفقه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 من باح برده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كون الاجماع حجة في السمعيات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وذهب النظام الى أنّ الاجماع عبارة على كل قول قامت حجته وان كان قول واحد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أئمة المعتزلة بغدادي أخذ الكلام عن ابي الهذيل العلاف بالبصرة وصنف كتبا ، قال الخطيب البغدادي إنّها معروفة عند المتكلّمين وكان له اختصاص بالواثق العباسي</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كجعفر بن مبشّر بن احمد الثقفي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من كبار المعتزلة له آراء انفرد بها وتصانيف ، مولده ووفاته ببغداد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ذلك عنهم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 ونقل عن إمامهم أحمد في رواية ابنه عبد الله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ادعى الاجماع فهو كاذب وقال ما يفيد غير ذلك راجع ما ذكره القاضي 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الخطاب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ذوي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وجمهورهم على أنّه حجّة شرعيّة يجب العمل به واختلفوا فيه على ثلاثة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قطعيّة وحجّة ظنيّة وقول ثالث على أنّ الإجماع الصريح والنطقي حجّة قطعيّة والإجماع السكوتي حجّة ظنيّة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للزركشي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البهائي في معنى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نجعله واليا لما تولّى من الضلالة ونخلّي بينه وبين ما اختاره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هذا وتتميمه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اثبات حجّية الإجماع بهذه الآية موقوف على حجّية الكتاب ، ودليل حجّية الكتاب ، ودليل حجّية الكتاب إن كان هو الإجماع فيلزم الدّور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الايرادات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تمسّك الشافعي بالآية على مذهبه ، بل وكثير من بعده ، وقد نقلها 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وقد أطنب الغزالي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توجيه الأسئلة على الآية ودفعها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مقصوده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الآية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في غير حال الاجتماع</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بريد بن معاوية العجلي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الأمة الوسطى ونحن شهداء الله على خلقه وحجّته في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لوقوع النزاع في الإجماع وحجيته فحينئذ يجب ردّه ، وهذا من باب القلب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تقرير الاخبار المتواترة بالقياس الشرطي 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إجماع هذه الأمة حجّة لزم اجتماعهم على الخطأ ، والثاني باطل فالمقدم مثله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ألفاظها قريبا من خمسة عشر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المسلمون حسنا فهو عند الله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يجتمع أمتي على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 الله على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ربي أن لا يجتمع أمتي على الضلالة فأعطانيها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بالسواد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خرج من الجماعة فقد خلع ربقة الاسلام من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خرج عن الطاعة وفارق الجماعة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أمّتي على الحق حتى يأتي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ذلك ما ذكره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الحلي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الحجيّة مطلقا والذي يدّعيه المنكر لحجيّة الاجماع</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الجنس</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حاشيته هناك</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الدّين الرّازي ، وهو نسبه في المحصول الى أكثر المخالفين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العموم من لوازم الفردية فلا يراد الجنس حينئذ حتى يكون مطلقا ، ويعود المحذور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إنّا وإن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لفظ الخطاء اسم لما هو خطاء عندهم وإن لم يكن في الواقع كذلك ، فلا تدلّ الرّوايات على أنّ كل ما اجتمعوا عليه فهو ليس بخطاء في نفس الأمر ، بل لو دلّ فإنّما يدل على انّه ليس بخطاء عندهم ، ولا ريب بأنّه أعم مما هو مقصودهم ، هذا كما في الحاشية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طائف من أمتي على الحق حتى يأتي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طائفة من امتي أمة قائمة بأمر الله لا يضرّهم من خذلهم ولا من خالفهم حتّى يأتي أمر الله وهم على ذلك</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الحلي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الاحكام للآمدي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ان العادة تحكم بأنّ العدد الكثير من العلماء والمحققين لا يجتمعون على القطع بمجرد توطؤ وظنّ ، بل لا يكون قطعهم إلّا عن قاطع</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المجمعين في المسألة الفقهية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الاصولية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للوحيد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البهائي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الردّ مذكور في تعليقات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لا دور ، دفع لما قد نصّ من أنّ هذا الدّليل اجماع بالاجماع</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لاستلزام ذلك الاجماع الخاص ثبوت أمر قطعي يدلّ ذلك الأمر القطعي على حجّية مطلق الاجماع</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ينفك عن دليل خاص</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وجوده عليه‌السلام بين المجمعين في المسألة الفقهيّة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بالحجّية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الحكم بأنّ المخالف مخطئ للإجماع المصطلح عندنا لا لأجل قضاء العادة ، وذلك لأنّ في زمان إمكان تحقق الإجماع على مصطلح العامّة يمكن الاستناد بكل واحد من الأمرين ، فلا تظهر ثمرة لهذا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فرض عدم معصوم آخر حال انعقاد الإجماع في عصر النبي صلى‌الله‌عليه‌وآله‌وسلم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كان عدد المجمعين على عدد التواتر أم لا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إمكان حصول الاجماع والعلم به وحجّيته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هذا يردّ حجية الاجماع لا أنّه لا يمكن كما لا يخفى فالأولى عدم ذكر هذا الفرض هنا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بالاجماع</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طمر ، 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طمرت الشيء سترته ، ومن المطمورة وهي حفرة يطمر فيه الطعام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كحجّ البيت ، وهذه كلها من ضروريات الدين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العامة غالبا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 أو منهما والجمع منطقي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مقتضى الاجماع هو ما نعلمه من الله تعالى</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كالعضدي كما نقل ، والرازي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جعلوا الاجماع هو عبارة عن اجتماع جميع الأمّة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الطريق الثالث من الطرق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الكشف عن رضا المعصوم عليه‌السلام باجتماع تبعة الرئيس على حكم ، فإنّه يكشف عن رأي الرئيس وهذا هو الطريق الثالث الذي اختاره المتأخرون ، ولا يلزم فيه دخول المعصوم عليهم‌السلام ونظيره طريقة اللّطف بناء على ما بيّنا وكلاهما مبتنى على الكشف عن رضا المعصوم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مذهب المتأخرين بخلاف الاشتمال على نفس المعصوم الذي اختاره القدماء</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الطريق الأوّل من الطرق الثلاثة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للعوام والخواص</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يمكن لوجود قرائن إفادة القطع عند البعض وعدم وجودها عند البعض الآخر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هذه النسبة ليست بصحيحة عنه أو أنّ لها تأويلا ومقصودا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بوجوب قراءة دعاء هلال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عروج السالكين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أدعية دخول شهر رمضان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تساويه بالنسبة الى الكلّ إمّا يقينا أو ظنّا بحسب كل مرتبة مرتبة ، إذا فلا يلزم أن يكون بالنسبة الى كل واحد على حال واحدة إمّا يقينا قويّا أو يقينا ضعيفا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 والمنقول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هذا ذهب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والبهائي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والرازي والشافعي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بإجماع ولكنّه حجّة ، وقال الجبائي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إجماع وحجّة بعد انقراض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العضدي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أنّه اجماع وحجّة وليس باجماع قطعي ، محتجّا بأنّ سكوتهم ظاهر في موافقتهم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السّكوت أعمّ من الرضا مع قيام الاحتمالات المذكورة ، ونفيه رأسا تعسّف لما نقل عن عادتهم ، كما نقل عن ابن عباس أنّه سكت في مسألة العول أوّلا ثم أظهر الإنكار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الحاشية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لاحتمال كون سكوت السّاكت من أجل الاعتقاد بأنّ كل مجتهد مصيب وهذا إنّما يناسب لمذهب المخالفين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ان يكون اعتقاده على أنّه لو أنكر لكان إنكاره غير مؤثّر عليهم أو ظنّ انّه لو لم ينكر ليقوم غيره مقامه فيه ، فيظنّ سقوطه عنه لعلمه انّه من الواجبات الكفائيّة وغيرهما من الاحتمالات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الاطّلاع عادة على حصول الاجماع في زماننا هذا وما ضاهاه من غير جهة النقل إذ لا سبيل الى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فخر الدين 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اعترضه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الطريقة الثالثة من الطرق الثلاثة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وزيادة على ذلك</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مراده بالاستنباط القياس الذي يكون ثبوت الحكم في الأصل لأجل تلك العلّة بغير النص ، وكذا وجوده في 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بالتفريع عكس ذلك ، وسيشير الى الأخيرين في بحث القياس حيث قال هناك في طرق أقسام القياس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يخرّج المناط ، ووجه تسميته إبداء مناط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وحاصله تعيين العلّة في الأصل بمجرّد إبداء المناسبة بينهما وبين الحكم من دون نص أو غيره كالإسكار لتحريم الخمر ويسمى إحالة أيضا ، وأما تحقيق المناط فهو عبارة عن النظر والاجتهاد في وجود العلّة المعلومة علّيتها بنص أو استنباط في الفروع</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كالقياس ونحوه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يجب على المدّعي إعادة اليمين بعدهما ، بل يشكل ثبوته في زمان الحضور أيضا ، لأنّه إن علم أنّه قال بمثل ما قال سائر الأئمة فلا معنى للاعتماد على اتفاق سائرهم ، فالمعتمد هو قوله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جواب العلّامة على ما 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بعض أهل الخلاف ، وقد تقدم نقل عبارة هذا البعض من علماء أهل الخلاف</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قوله يحصل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حاصل كلام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اعتراضه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والإيراد والاعتراض مع أصل الدعوة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نقلها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الاجماع هو الاتفاق لا عدم العلم بالخلاف والى الأوّل ينظر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المسألة مما لا خلاف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الثاني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نعلم فيه مخالفا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الحاشية انّ مقصوده الاندراس والانمحاء ، كذا أفاده في الدرس</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يعثروا على طريق الى رده بعدم الخدشة فيه من جهة السند أو الدلالة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أصل الحكم وعدمه هذا كما في الحاشية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المجمعين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انّ الظاهر انّ تمسّكهم بما يجدونه في شرائع ابن بابويه لعلّه من جهة انّهم سبروا في المواضع الكثيرة انّ كلماته في طبق الأخبار وانضم إليه قرائن أخر فيحصل لهم الظنّ في موارد الشك انّ المشكوك أيضا مأخوذ من الأخبار إذا لم يكن هناك في طبق خلافه نص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هناك نص آخر على خلافه فحينئذ يضعف الظنّ بكونه نصا فيؤخذ الظنّ بطرح الحاصل من شرائعه ، بل يمكن إيقاع المعارضة بين النص وبين ما وجد في شرائعه لما مرّ إليه الاشارة الدالّة على أنّ حكمه وفتواه كروايته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فالشّهرة كاشفة عن دليل ظنّي السند والاجماع كاشف عن دليل قطعي السند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مشهور قد وجدنا له أصلا ودليلا بعد التتبع ، والظنّ يلحق الشيء بالأعم الأغلب فيكون المشهور حجّة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أيضا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كون المشهور اجماعا حقيقة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كالعطف التفسيري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عدالتهم تمنع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للدليل الثاني أو لاعتبار المخالف هنا لأنّه معلوم بقرينة المقابلة أو لوجود الظنّ في الطرف المخالف أيضا لأنّ الكلام هنا بقرينة المسألة السّابقة هنا فيما لو كان هناك طرف مخالف وهو قد يفيد الظنّ وقد لا ، فلا حاجة الى ذكره كما في الحاشية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العبارة تتمة الرّواية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العدالة إنّما يؤمن معها تعمّد الافتاء كما هو قوله في المسألة السّابقة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اطّلع على هذا الذي بيّنه وحققه من غير تقليد الشيخ الفاضل المحقق سديد الدين محمود الحمصي والسيد رضي الدين بن طاوس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رحمه‌الله في كتابه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بالبهجة في ثمرة المهجة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أخبرني جدّي الصالح ورّام بن أبي فراس أنّ الحمصي حدّثه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يبق في الإماميّة مفت على التحقيق ، بل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السيد عقيب ذلك ؛ والآن فقد ظهر أنّ الذي يفتى به ويجاب على سبيل ما حفظ من كلام العلماء المتقدمين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نقلناه عن الشهيد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عدم ظهور مستند الحكم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قبيل غير ظاهر المستند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كالعطف التفسيري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جملة فقرات الخبر النبوي الذي ذكره الشيخ البهائي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امرأ سمع مقالة ووعاها فأدها كما سمعها فربّ حامل فقه الى من ليس بفقيه وربّ حامل فقه الى من هو أفقه منه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شهرة مطلقة غير منتسبة الى أحد الفريقين وغير مخصوصة بإحداهما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دلّ على حجّية الظنّ المطلق كما سيجيء</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وخرق المركب باطل عندنا مطلقا ؛ لمخالفته المعصوم قطعا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يفسخ النكاح بكل واحد من العيوب التي تكون في كل واحد من الزوج والزوجة خمسة ، ومجموعها سبعة ، ثلاثة مشتركات بينهما وهي الجذام والبرص والجنون ، واثنان من الأربعة الباقية مختصات بالزوج وهي الجب والعنّة واثنان منها مختصات بالزوجة وهي الرتق والقرن ، ولم يذكر بعضهم الجذام والبرص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يصير المشترك بينهما واحدا ومجموعها سبعة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مقام القول بالفصل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جواز الفصل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حكم الموردين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أفراد المياه أو أفراد الظروف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بعد استقرار صار من القسمين الأوّلين ، الأوّل من الأوّل والثاني من الثاني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كما جاءت في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القرد والخنزير والكلب والفيل والذئب والضبّ والفأرة والأرنب والطاوس والدعموص والجري والسرطان والسّلحفاة والوطواط والعنقاء والثعلب والدبّ واليربوع والقنفذ كذا في المجمع ، وهي تسعة عشر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جواز التذكية في المسوخ</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عكس قول ابن سيرين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حكم مجمع عليه وهو اتحاد طريق الحكم فيها ، هذا كما في الحاشية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تفصيل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فمنعوا من الخرق</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سلطان العلماء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جواز الفسخ بها كلّها في مسألة العيوب مثلا ، وهكذا غيرها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الايجاب الكلي يستلزم سلب بطلان السلب الجزئي</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هو أيضا لسلطان العلماء في حاشيته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دلالة في قول من يقول بالايجاب في جميع المسائل إلّا على بطلان القول بالسّلب في بعض المسائل فقط ، لا على بطلان القول بالايجاب في البعض أيضا ، وكذا لا دلالة في قول من يقول بالسّلب في جميع المسائل إلّا على بطلان القول بالايجاب في بعض المسائل ، لا على البطلان بالسّلب في البعض أيضا ، فلم يثبت اجتماع الفريقين على بطلان كل واحد من الجزئيّتين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سلطان العلماء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إلا أنّه عقبه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والموضع محل تأمل ، إذا ربما يقال أمثال هذه المعاني للاعتبارية لا تعد قولا عرفا ، كما ذكر السيد علي القزويني في حاشيته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اثبات الشيء لا ينفي ما عداه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القانون السّابق في الردّ بأنّ اللام حقيقة في الجنس ، ومقتضاه عدم جواز اجتماعهم على جنس الخطاء</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الاجماع</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الأظهرية عدم ملائمة وجه الخدشة من اللّام حقيقة في الجنس كما صرّح به هناك على مذهبهم ، لاقتضائه عدم خلو الزمان عن معصوم لا يخطئ أصلا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المانع ليس المراد منه المانع فيما نحن فيه مقابل المجوّزين ، بل المانع من الاستدلال وهو الرّاد كما لا يخفى</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ذوي البصائر بشرح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ذوي البصائر بشرح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هذا الجواب للحاجبي ومن تبعه إذ إنّه يناسب لمذهبهم من التفصيل في المسألة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لعدم ثبوت الاجماع في هذه المسألة حتى ينافيه مخالفة ابن سيرين وتابعي آخر ، ويمكن أن يراد عدم ثبوت إنكارهم عليهما ، أو لعدم ثبوت مخالفة ابن سيرين عندنا هذا كما في الحاشية فالدقة والمراجعة موكولة هنا إليك</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نصّ الكتاب ، وفي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يستشكل في جعل هذه المسألة عنوانا غير عنوان الإجماع المركّب لعدم ظهور المغايرة بينهما ، فهو ليس إلّا التكرار ، ويمكن دفعه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الأوّل موضوع لبيان حكم القولين والزيادة عليهما اجتهادا ، وهذا موضوع لبيان حكمهما والزيادة عليهما 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المراد من الأمّة هو مجموعهم ، ممّن يعتبر في الاجماع وإن كان حكم اختلاف بعضهم إذا علمنا بكون الامام عليه‌السلام فيهم حكم اختلاف جميعهم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الفريقين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يجوز تعاكس الطائفتين اللّتين انقسم جميع المؤمنين إليهما في القول في المسألة الواحدة بأن يقول الأولى منهما بقول الثانية ، والثانية بقول الاوّل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يرجع كلّ عن قوله ويقول بما قد قال به الآخر ، وهذا جائز عند بعض أهل الخلاف ، وبعضهم وافقنا على عدم جوازه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معك الكلام فيها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نقله واحد أو أكثر من الفقهاء ولم يصل إلى حد التواتر ولم يكن محفوفا بالقرائن التي تفيد القطع والمخالف في المسألة من العامة 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الحنفية ، ونسبه الشوكاني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الجمهور ، ونفى صحّة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ذوي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جملة المستشكلين في الحجّية منّا الشهيد الثاني ، فإنّه قد ألّف رسالة جمع فيها الاجماعات المتناقضة تأييدا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وتوقّف فيه الفاضل التوني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وهذا على غير ما ذهب إليه البهائي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حسن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الحاجب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المنتهى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والبيضاوي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المروي بطريق الآحاد حجّة خلافا لأكثر الناس</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العادل إن جاء بنبإ يصدّق وهو حجّة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طريق المشهور وطريق المختار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على الطريقة التي اخترنا يكون نبأ وخبرا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 جاءَكُمْ فاسِقٌ بِنَبَإٍ فَتَبَيَّنُوا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كانَ الْمُؤْمِنُونَ لِيَنْفِرُوا كَافَّةً فَلَوْ لا نَفَرَ مِنْ كُلِّ فِرْقَةٍ مِنْهُمْ طائِفَةٌ لِيَتَفَقَّهُوا فِي الدِّينِ وَلِيُنْذِرُوا قَوْمَهُمْ إِذا رَجَعُوا إِلَيْهِمْ لَعَلَّهُمْ يَحْذَرُونَ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بالإجماع المنقول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دلالة انسداد باب العلم وانحصار الطريق في الظنّ على الاجماع المنقول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عن الحاجبي على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ذوي البصائر بشرح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أسطر قليلة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ايضاح الفوائد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 يفيد الظنّ ويدخل فيه الاجماع المنقول لظهوره وافادته الظنّ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الاستدلال الأوّل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الاستدلالين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ذوي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للجواب الثاني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عدم جواز العمل بالعام قبل الفحص عن المخصّص</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كالغزالي وبعض الحنفيّة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النبأ وآية النفر كما عرفت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حجيته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الإجماع</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علو الإسناد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مثلا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التقطيع سندا أو متنا كما إذا كان الخبر مشتملا على مسائل متعدّدة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كالتصحيف وهو التغيير بما يناسبه وأما التحريف هو التغيير بما لا يناسبه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كالظنّ في حجية الصحيح دون الضعيف وفي تعيين معنى العدالة مثلا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تمحّل اي احتال فهو متمحّل</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من الظنون الخاصة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هو ما كان قد ذكره في آخر بحث تعارض الأحوال حيث قال ، مع أنّه يظهر من تتبع تضاعيف الأحكام الشرعية والأحاديث اعتبار هذا الظنّ ، فلاحظ وتأمل ، وإن شئت أشير الى موضع واحد منها وهو ما يدلّ على حليّة ما يباع في أسواق المسلمين وإن أخذ من يد رجل مجهول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فروى إسحاق بن عمّار في الموثّق عن العبد الصالح عليه‌السلام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بالصلاة في الفراء اليماني وفيما صنع في أرض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فيها غير أهل الاسلام؟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الغالب عليها المسلمين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لما ظهر سابقا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وبالحدسيات أو انّ الحدسيات أيضا قطعيات</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أخبار الآحاد المرويّة عن الأئمّة عليهم‌السلام وافقوا عليها عندنا كأبي جعفر الطوسي وغيره ، ولم ينكرها سوى المرتضى وأتباعه ،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والفروع</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مصلحة أو حكمة اخرى</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إن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كان ، اي مثل الشيخ وأصحابه محققا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وسيأتي الاشارة الى جواب هذا في القانون هذا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فيه من التنافي مع ما سبق منه عند بيانه هذه الطريقة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ثانيها ما اختاره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له موافقا من أصحابنا أيضا ممن تقدم عليه وممن تأخّر عنه في هذه الطريقة ، إلّا أن يقال انّ الاثبات هنالك مبني على الظهور ، والنفي هنا على التصريح ، هذا كما في الحاشية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ممّن يكون زمانه قبل زمان الشيخ ، فظهر أنّ هذه الطريقة ليس بمختار واحد من قبله ولا من بعده ، بل هي من خواص نفسه ومن يوافقه في زمانه ، هذا كما في الحاشية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 الامام عليه‌السلام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على هذا الإشكال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وحاشاه من ذلك</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انّ الغالبة بالقرائن أو بظهور لفظ الاجماع والاتفاق كما مرّ وهو المصطلح ، فإذا 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بين العلماء مثلا أو ما نشك في إرادته كلا المعنيين ، فالظن يلحق الشيء بالأعم الأغلب</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التنبيه الرابع من التنبيهات الخمسة المذكورة قبل القانون الذي قبل هذا القانون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اشكالا فيه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الإجماع المنقول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في هذا المقام مع القوم بحث وهو انّهم مطبقون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يمكن بالتواتر إثبات غير المحسوس كما يمكن به إثبات المحسوس</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إثبات الصّانع ووحدته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لما احتمله من التقيّة ،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وانّهم صادقون ، دفع لما احتمله من الكذب</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تطابق المجمعين في إظهار الإذعان وعدم اكتفائهم بمجرّد ذكر الفتوى</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الفاضل السيد صدر الدّين في حاشيته على شرحه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كما في حاشية بهاء الدين القمي ، وفي اخرى للشهشهاني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وجدنا في بعض تعليقاته منه انّ المراد السيد ركن الدّين ، ولكن لم أجد فيما عندي من النسخة ذلك لا في الباب ولا في بحث تعارض الأدلّة على ما تفحّصت هذا ، قد نقل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المذكور بعد أن نسبه إلى بعض الأفاضل على طريقة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استجيده وإن استبعد تعميم الرواية إلى نفي الاتفاق على القول الخطاء</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مقام الجواب عن الاشكال الذي أورده المحقّق البهائي</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مبحث الإجماع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وحاشاه ذلك</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ردّ على قول المحقق البهائي في الاشكال حيث قال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فظهر بذلك أي تقسيم الاصوليين الاجماع الى قطعي ثابت بالتواتر وظنّي ثابت بغيره بعيد عن السّداد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عثمان بن عمر بن أبي بكر ، ابو عمرو جمال الدين ابن الحاجب ، من أئمة المالكية ومن علماء العربية والأصول كردي الأصل ولد في أسنا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صعيد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ونشاء في القاهرة ، وسكن دمشق ومات بالاسكندرية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ابوه حاجبا فلذا عرف بابن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تصانيف كثيرة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النحو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انّه استخرجه من ستين كتابا في فقه المالكية ويسمى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الأمهات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في العروض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النحوية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السئول والأمل في علمي الاصول والجدل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السئول والأمل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للزمخشري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المعلّقة عن أبي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الكلام على مواضع من الكتاب العزيز وعلى المقدمة وعلى المفصّل وعلى مسائل وقعت له في القاهرة وعلى أبيات من شعر المتنبي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المعلوم لا المجهول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وتعرّض لهذا القول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الاتفاق على محض اللّفظ</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الأفاضل كما مرّ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قطعي الصدور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البعض من الأفاضل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معلّقا على قول المجيب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ثبت بالتواتر فقطعي وإلّا فظنّي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بظاهره غير مستقيم لورود منع الحصر عليه وهو ظاهر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وتعرّض لهذا الجواب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الفاضل المذكور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الظنّي</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وتعرّض لهذا الردّ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للفاضل المذكور في مقام جوابه الّذي مرّ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يصح القياس بين القطعي الاجماعى والظنّي الخبري</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يتوهّم بأن الاجماع إذا عارض الرواية رجّح عليها على نحو الاطلاق ، وذلك لتعدّد الوسائط في الرواية وعدمها في نقل الاجماع ، وهو من جملة وجوه الترجيح ، وقد لا يستقيم هذا الكلام لأنّ هذا الوجه قد يكون معارضا كما هو في بعض الأحيان إن لم يكن في الغالب بقلّة الضبط في نقل الإجماع بالنسبة إلى نقل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الاعتماد على بعض وجوه الترجيح مشروط بانتفاء ما يساويه أو يزيد عليه في الجانب الآخر وهو 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ما يتعلّق من المباحث في كتاب الله العزيز الحكيم والذي يقال له أيضا القرآن وهو في الأصل مصدر كغفران ومعناه الجمع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الشيء قرآنا أي جمعته جمعا ، وإنّما سمي به الكتاب لجمعه القصص والأمر والنهي والوعد والوعيد والآيات والسّور ، أي يضمّ بعضها الى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القرآن ما يقرأ به كالقربان لما يقرب به فيكون اسما ، وسمي به ما بين الدفتين لأنّه يقرأ به من القراءة بمعنى التلاوة يقال قرأت الكتاب أي تلوته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بشيء منه بقرينة ما بعد ، وإن كان ظاهر اللّفظ سلب العموم لا عموم السلب ، والمراد بالقرينة التفصيل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السيّد المحدّث الجزائري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حكي عنه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 بكله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الفاضل السيد صدر الدّين على ما أفاده في الدرس كما عن الحاشية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أتى على بحثها الكثير من الاصوليين ، وأشبعها بيانا الفاضل الفتوني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عمن سلف ، والغابر هو الماضي كما في الصّحاح</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الفرق بينهما انّه لا إشارة في المعمّى بخلاف اللّغز أو انّ اللّغز ما أورد فيه سؤال بخلاف المعمّى وقيل غير ذلك</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المسلمين ذكروا لنبيّنا صلى‌الله‌عليه‌وآله‌وسلم ألف معجزة منها القرآن وهي أمر خارق للعادة مطابق للدعوى المقرون بالتحدي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وعترتي أهل بيتي ما إن تمسّكتم بهما لن تضلوا بعدي أبدا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قوله صلى‌الله‌عليه‌وآله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فإنّهما لن يفترقا حتى يردا عليّ الحوض</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ذلك ما هو مروي عن ابن عباس انّه قسّم وجوه التفسير على أربعة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لا يقدر أحد إلّا بجهالته ، وقسم يعرفه العرب بكلامها ، وقسم يعرفه العلماء ، وقسم لا يعرفه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من أصول الشرائع والأحكام وحمل دلائل التوحيد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المجمل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المأوّل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النص</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الظواهر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مراده من المنسوخ هو محتمل النسخ لا محقق النسخ</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الآية المذكورة وهو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الَّذِي أَنْزَلَ عَلَيْكَ الْكِتابَ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مستقلة بالافادة فليست من المتشابهات ، يندفع ما يورد على الاستدلال ، هذا كما في الحاشية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عن زيد بن أرقم وهو الحديث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وبتفاوت في بعض الألفاظ وفي كثير من المصادر المهمة ، 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 جميع القرآن ظاهره وباطنه محكمه ومتشابهه ناسخه ومنسوخه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مثل أن يكون للانسان ميل الى شيء فأخذ آية من القرآن وحملها عليه بحيث لولاه لم يفعل كذلك ، كما يوجد في كلام المبدعين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ويمكن أن يكون المراد من تفسير القرآن بالرأي هو عمّن لم يظفر بدقائق القرآن وغرائبها مما يتوقف على النقل والسّماع أو بعض العلوم ، بل فسّره بمجرّد وقوفه على ظاهر العربية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الفاضل السيد صدر الدّين كما مرّ بأنّه من المفصّل ، راجع الشروح والتعليقات القريبة السّابقة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الباقلّاني</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ما هنا نافية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وإن كان استدلال الأخباريين على حرمة العمل بالظّن في مثل هذه الظواهر لا يتمّ لعدم حجّية الكتاب عندهم إلّا أن يكون إلزاما على المجتهدين لأنّهم يقولون بحجّيته ، وإلّا عند هذا المفصّل إن ادعى انّها من المحكمات القطعيّة فإنّه أيضا يقول بحجّية المحكمات القطعيّة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ثم قطعيّتها ممنوعة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بعد كون الأخبار أيضا من باب الخطابات الشّفاهية وكون دلالتها على حجّية الكتاب معلوم الحجّية إنّما هو للمشافهين بتلك الأخبار لا مطلقا حتى بالنسبة إلينا أيضا ، فيدخل ما كان مظنون الحجّية بسبب ظنّ آخر علم حجّيته بالخصوص ، في القسم الآخر الذي كان مظنون الحجّية بسبب الظنّ لم يعلم حجّيته بالخصوص ، هذا كما في الحاشية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منهم البهائي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والحاجبي ، والعضدي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والمعني من القرآن هو ما بين الدفتين مما نزل على النبي محمد صلى‌الله‌عليه‌وآله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الكبرى</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وجوب تواتر جميع ما نزل على محمد صلى‌الله‌عليه‌وآله ، وتقديم ذلك على الأوّل أعني تواتر جميع ما نزل مع كون الأقل أولى بالتقديم من جهة كون الثاني أقلّ أبحاثا بالنسبة الى الأوّل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عند الفريقين فإنّ عند المخالفين أيضا استفاضة الأخبار على ما رواه السيّد عليخان في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عند تفسير الآية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نجّم عليه الدين اي قسّطه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السيّد نعمة الله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الكلام أيضا من السيّد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المتقدم ذكره نعمة الله الجزائري</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إشارة الى ما ورد عن الامام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عن هذه القراءة واقراء كما يقرأها الناس</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أبا عمر الدّاني أحد علماء القراءات المتوفى سنة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التيسير في القراءات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 في رسم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في نقد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المقنع ، جعلها على أربع نسخ ، 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جعله سبع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السيوطي فيرى أنّ المشهور أنّها خمسة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أضفنا إليها المصحف الذي حبسه لنفسه في المدينة أصبحت ستة لأن المذكور ما بعثه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أنّا شاهدته في العام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في مشهد المقدّسة ، وذكر لي بالأمس القريب بأنّه لا زال موجودا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مقدّمة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عن الجزء الثاني</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المدني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الرحمن بن أبي نعيم ، أبو رويم الليثي وأصله من اصبهان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القعقاع المخزومي المدني</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ذلك عنه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القديمة ، والطبعة الجديدة دفتر تبليغات المجلد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فجعلها أربع عشرة ، بزيادة أربع قراءات على العشر التي عرفت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البصري المتوفى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ومحمّد بن عبد الرضا المعروف بابن محيصن المتوفى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ويحيى بن المبارك اليزيدي المتوفى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ومحمّد بن أحمد الشنبوذي المتوفى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المتقدم ذكره السيد نعمة الله الجزائري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وحاشيته هناك ، والمصدّرة بقال محمود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الأواخر على ما نقل الفاضل الآقا محمد باقر والسيّد علي صاحب الرياض</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حكاية ابقاء مصحف عثمان وطبخ غيره من مصاحف كتّاب الوحي ، وحكاية أنّ عثمان أرسل سبع مصاحف الى أهل الأمصار وكلها بخطه فوجد فيها اختلاف كثير وغير ذلك ممّا ذكر في القانون السّابق</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مفرّقة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فحمزة قرأها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الطَّاغُوتَ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الباقون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الطَّاغُوتَ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نقل عن ابن جني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لها عشر 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ابن خالويه تسع عشرة قراءة لتلك الآية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لشواذ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ما رواه وهو أي روى الراوي وفي بعض النسخ ما رووه بصيغة الجمع فيكون حينئذ ضمير الجمع للأصحاب</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الله الجزائري</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القرّاء</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من المخالفين فهم غير عدول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أنّ مجرّد ترك البسملة من القرآن وجزء من السّورة على مذهب القرّاء ، إذ لعلّ ذلك الترك بسبب تجويزهم التبعيض في السّورة لأنّ البسملة ليست من القرآن رأسا ، هذا كما في الحاشية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الثاني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للشهيد الأوّل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قراءة ابن كثير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بتخفيف كفلها مع نصب زكريا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أنّه ابن الجزري</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جواز تركب بعض القراءات في بعض مع ترتب بعضه على بعض آخر بحسب العربيّة أيضا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ابن الجزري اختار ما ذكرناه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ذهب اليه الكثير من الفضلاء من الانكار والتوهم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 في القراءات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كلام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الألفية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الاشكال الواقع على المشهور من اختيارهم في المختلفات</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المحقق البهبهاني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ويبدوا ان هذا الحب اشتهائي فرارا من الكلفة لا حب من جهة الدليل كما في الحاشية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بن عياش بن سالم الكوفي الاسدي النهشلي ولاء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لاشتراط التواتر في القرآن كما نقل وبهذا أيضا قال النووي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تجوز القراءة في الصلاة ولا غيرها بالقراءة الشاذة لأنّها ليست قرآنا ، لأنّ القرآن لا يثبت إلّا بالتواتر والقراءة الشاذة ليست متواترة ومن قال غيره فغالط او 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اتفق فقهاء بغداد على استتابة من قراء بالشاذ ونقل ابن عبد البر اجماع المسلمين على أنّه لا يجوز القراءة بالشواذ ولا يصلى خلف من يقرأ بها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حنيفة وردّه الغزالي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ان جعله من القرآن فهو خطاء قطعا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لَمْ يَجِدْ فَصِيامُ ثَلاثَةِ أَيَّامٍ ذلِكَ كَفَّارَةُ أَيْمانِكُمْ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في اللّغة الطريقة والسيرة ومنه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مَنْ قَدْ أَرْسَلْنا قَبْلَكَ مِنْ رُسُلِنا وَلا تَجِدُ لِسُنَّتِنا تَحْوِيلاً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أمين الله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مستنة بسنن أوليائك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الاصطلاح هو ما ذكره المصنف في المتن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الامور الصادرة عن المعصومين عليهم‌السلام تارة تكون من مقتضى الطبيعة والعادة كصدور الضروريات من الأكل والشرب والحركة ، وتارة ليست من مقتضى الطبيعة لكن وجه صدورها لأجل تكميل العباد وتبليغ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فالأمور التي من السنة هي التي من القسم الثاني لا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القول أنّ غير الأمور الصادرة في مقام التكميل والإبلاغ كلها من العاديات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فالسنّة في طريقة النبي والأوصياء عليهم‌السلام قولا وفعلا وتقريرا في مقام الابلاغ والتكميل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الكلام الصادر من الخالق تعالى حكي عن أحد أنبيائه وأوصيائه عليهم الصلاة والسلام ، مثل ما روي من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لي وأنا أجزي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روي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تعالى أوحى الى نبي انّه قل لقومك لا تلبسوا ملابس أعدائي ولا تأكلوا ما أكل أعدائي ولا تشاكلوا ما شاكل به أعدائي فتكونوا أعدائي كما هم اعدائي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انّ منها ما اتصل الى أحد الانبياء أو الائمة عليهم الصلاة والسّلام بأن يحكيها عن الله تعالى نبي أو امام ، ومنها ما لا يتصل الى أحد الأئمة والأنبياء ، بل حكاها العلماء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 المصنّف حول القسم الأول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ومما يفرق بين القرآن والحديث القدسي انّ القرآن مختص بالسماع من الروح الأمين والحديث القدسي قد يكون إلهاما أو نفثا في الروع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القرآن مسموع بعبارة بعينها وهي المشتملة على الإعجاز بخلاف الحديث القدسي</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في اللّغة بمعنى الخبر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باحتمال كون الاضافية بيانية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في الحاشية ردّ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ويضعف هذا الردّ بأنّ الأغلب في الاضافة عدم البيانية مع أنّ المتبادر من لفظ متن الحديث كونه غيره ، لكن يمكن ان يدعى التبادر بالعكس</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يبحث فيه عن متن الحديث ، ليميّز صحيحه من سقيمه ، والمقصود منه ، ليعرف المقبول منه والمردود ، وهذا بخلاف علم الرجال لأنّ فيه يبحث عن أحوال الرجال لتمييز العادل منهم والثقة في نقله عن غيره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الشريف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ما ذكره بعض المحققين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كما في الحاشية بأن التسلسل الاعتباري لا يضرّ بخلاف الواقعي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والإنشاء بمعنى المقابل للخبر الذي هو النوع الآخر من الكلام لا ما هو فعل المتكلم وهو إلقاء الكلام الإنشائي كالإخبار بمعنى إلقاء الكلام الخبري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الإنشاء بالمعنى المذكور بأنّه كلام ليس لنسبته خارج تطابقه أو لا تطابقه على معنى أن ليس له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هو مشتق من الخبار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اللغة الأرض الرخوة كما عن الجوهري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العلاقة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الخبر يشير الفائدة كما أنّ الأرض الخبار تشير الغبار إذا قرعها الحافر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الاختلاف في تعريف الخبر وقد ذكره الشهيد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رأى بأنّ هذه التعريفات ردّية ، وهي تفضي إلى الدّور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للشهيد الثاني</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اليقين الاصطلاحي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تعريفه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بهذا هو التفتازاني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ضبط أبواب علم المعاني إجمالا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كان عن دليل كالعلم أو عن غير دليل كالجزم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سيار بن هانئ البصري ، أبو اسحاق النظّام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أئمة المعتزلة منطقي ، شاعر ، أصولي من شيوخ الجاحظ له مؤلفات كثيرة ذكر ابن النديم طرفا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أنكر النظام حجّية الاجماع وردّه وألّف كتابا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النكث في عدم حجّية الاجماع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النظام في حق الصحابة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كلاما خبيثا لجعلهم الاجماع حجّة إذ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أصحاب رسول الله صلى‌الله‌عليه‌وآله دعوا الناس الى اتباع الاجماع وراموا أن يتخذوا رءوسا ، فقرّروا الاجماع وأسندوا إليه ما يرون ، وأخذوا يحكمون مسترسلين فيما لا نهاية له وأصول الشريعة مضبوطة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أنكر النظّام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القياس طريقا الى إدراك الأحكام الشرعيّة واثباتها ،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 إذا ورد بحكم من الأحكام فلا يجوز أن يحمل ما شاركه في العلّة عليه ويحكم فيه بمثل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وأنكر أيضا الحجّة من الأخبار التي لا توجب العلم الضروري</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النظام المذكور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مستمرون على هذه الشهادة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ولد وتوفي بالبصرة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فلج في آخر عمره ، ومات والكتاب على صدره ، قتلته مجلّدات من الكتب وقعت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علماء الأدب العربي نسبت إليه فرقة الجاحظية وهي احدى فرق المعتزلة ، وله تصانيف كثيرة منها الحيوان في سبعة أجزاء ، والبيان ، والتبيين ، والبخلاء ، والتاج</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الثاني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العمد</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تفسيري</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كلام الجاحظ</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للمرتضى الذي ذهب الى أنّ الخبر لا يتحقق إلّا مع قصد المخبر استناد الى وجوده من السّاهي والحاكي والنّائم ، ومثل ذلك لا يسمّى خبرا على ما حكى عنه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فحصل في مسألة صدق الكذب قول آخر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كانت الآية منساقة في خبر الكاذب ولم يتحقق منها حقيقة الكذب ، فالصدق الذي كانت الآية غير منساقة له بالأولى</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 قد تستفيد من بعض كلام متنه وحواشيه ما يذكره المصنّف</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فكلامه عن غير قصد وشعور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دفع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أورده المصنّف</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شك المجنون واعتقاده الصدق متلازمان لتبدل صورة المعاني في ذهنه أنا فأنا من الشك الى الاعتقاد ومن الاعتقاد الى الشك ، فكلامه حينئذ مشكوك باعتبار ومعتقد باعتبار بحسب ملاحظة زمانين متقاربين ، بحيث كأنّهما زمان واحد ، فكلامه حينئذ مستلزم للشك والاعتقاد فرضا وتصورا وإنّ لم يمكن اجتماع الشك والاعتقاد بحسب الواقع ، والاستلزام الفرضي مجرّد الاستتباع المبني على فرض الفارض هذا كما في الحاشية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العضدي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أحمد بن عبد الغفار ابو الفضل عضد الدين الإيجي ، نسبة الى إيج ويسمونها إيك ، وهي بنواحي 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بالأصول والمعاني والبيان والعربية وله تصانيف مشهورة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مختصر المنتهى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يعدّ هذا الشرح من عيون المراجع الأصولية حتى انتشر في الآفاق ولهج به الدارسون والمدرّسون ووضعت عليه حواشي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سعد الدين التفتازاني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الشريف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بالسيّد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حسن الهروي</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الندرة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وعبارته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المحققون على أنّ الخبر إمّا صدق أو كذب ، والصدق وهو المطابق للواقع والكذب غير المطابق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الجاحظ بينهما واسطة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 هو المطابق مع اعتقاد كونه مطابقا ، والكذب هو الذي لا يكون مطابقا مع اعتقاد عدم المطابقة ، فأما الذي ليس معه اعتقاد فإنّه لا يوصف بصدق ولا كذب مطابقا كان أم غير مطابق ، فالقسمة عنده ثلاثيّة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ذكره الشيخ البهائي لم يلتفت إليه الجماعة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النظّام والجاحظ</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المختار والجاحظ</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مع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الآتي هو مقدمة لرده على كلام الشيخ البهائي</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الأمر قد صار لكثرة الاستعمال مركبا مزجيّا بمعنى الواقع فثني لذلك واعرب هنا بالألف رفعا هذا كما في الحاشية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شاهد آخر على وصف الخبر بينهما في الواقع لا في الاعتقاد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يتقيّد بمعرفة المتكلّم واعتقاده في لحاظ الاسناد ، فالاعتقاد حينئذ من لوازم الإسناد ويؤول بالآخرة الى كونه لازما للكتابة من حيث أسند الى فلان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البهائي</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مطابق للواقع</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أخذ الاعتقاد طريقا الى الواقع</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غير علم واعتقاد بالمخبر به ولو في ضمن الاعتقاد بخلافه بل هو المتعيّن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اللّوح بحسب اعتقاده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اعتقاد المكتوبية في اللّوح المحفوظ</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تعيّن هذا الخارج بالاعتقاد لكونه طريقا كاشفا عنه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تتوهم رجوع ما ذكرنا في توجيه الاستدلال على مذهب النظّام الى ما ذكروه في الجواب عن استدلاله على المشهور ، من أنّ المراد إنّهم كاذبون في زعمهم وعند أنفسهم ، فيكون التوجيه إفساد للاستدلال لا إصلاحا له ، هذا كما في الحاشية فكيف يريده النّظام وهو مناف لمذهبه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ردّ على النظّام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مراد النظّام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الجواب السادس</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نحملها على ارادة إنّهم كاذبون في زعمهم واعتقادهم مخالفة خبرهم للواقع</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البهائي</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الحق يلزمه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يكونا صادقين ولم أجد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نوع من القياس الاستثنائي قد ركّب من نقيض الأصل ومن الاستثناء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ذلك ، عكس نقيضه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ينتهى كلام الشهيد رحمه‌الله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سالم التغلبي سيف الدين الآمدي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اصولي شافعي ولد بآمد مدينة دياربكر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تصدّر التدريس في القاهرة والشام حيث دفن فيها بقاسيون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مؤلفاته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السّول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أصول الفقه ،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 في أصول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والكتاب الأوّل مختصر للكتاب الثاني حيث جمع فيه زبدة ما في كتب الأصول المؤلفة قبله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كلام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بقرينة الأمثلة الآتية انّه أراد بالمسائل الأصولية ما يعمّ ما يكون من قبيل نفس المسائل أو من قبيل مبادئها اللّغوية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المضاف إليه أي الدرهم مثلا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المضاف كالألف مثلا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كالاطلاق والتقييد والإجمال والبيان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البحث عن هذه الأوضاع من وظيفة علماء متون اللّغة ، ومحلّه كتب اللّغة عادة لا كتب أصول الفقه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وفتح الفاء والحاء المهملة الخفيفة أو الشديدة كرش الجدي والحمل ما لم يأكلان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 يقطع النزاع ، دليلنا على ما ذهبنا اليه من اعتبار الواقع دون الاعتقاد ، بحيث لا يمكن للنظّام الفرار عنه وكذا الجاحظ</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الحاجب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عمر بن أبي بكر بن يونس ابو عمرو جمال الدين ابن الحاجب ، من أئمة المالكية ومن كبار علماء اصول الفقه ، له مصنفات مشهورة منها 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السّؤل والأمل في علمي الأصول والجدل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ومختصره الذي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منتهى السّؤل والأمل في علمي الأصول والجدل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الكتاب يعد من عيون مراجع اصول الفقه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ولو لم نعلم بالمطابقة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حقّق فيه وكأنّه لم يرتضه بتمامه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ابن الحاجب</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كانت الصفة تقييدية أو توضيحيّة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فصادق على مذهب النظّام من هذه الجهة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الشريف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تدل صريحا بحسب ذات نفس الكلام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 تستلزم وجودها في الواقع</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المركّبات الانشائية كاضرب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الاستلزام انّ النسبة الانشائية المقصودة من الكلام الإنشائي على ما قدمناه سابقا عبارة عن نسبة الضرب مثلا الى المخاطب من حيث إنّه مطلوب منه للمتكلّم ، وهذه النسبة تتضمن نسبة فاعليّة غير مقصودة افادتها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ينتهي كلام السيد الشريف الجرجاني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النزاع السّابق</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أيضا قسمان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الشّهشهاني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في بعض النسخ في مقام خمسة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الخامس السادس ولكلّ وجه ، ولعلّ هذه النسخة هي الأكثر كما 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أقسام ستة ، والظاهر السبعة لأنّ معلوم الكذب على قسمين ضروري ونظري كأخبار بعض المنافيات للعصمة على الأئمة الاثني عشر وغيرهم عليهم‌السلام من بعض الناس، فبعد أن شئت العصمة والصدق فيهم بالنظر فيما ينافي ذلك معلوم الكذب بالنظر ، وهذه من حاشية چهاردهي الميرزا محمد علي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معلوم الصدق</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المتواتر وهي في اللّغة عبارة عن مجيء الواحد بعد الواحد بفترة بينهما ، ومنه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أَرْسَلْنا رُسُلَنا تَتْرا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رسول بعد رسول بفترة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والنظري من هذا القسم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تقريبا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بلغوا الى المرتبة الكثيرة المعهودة أو لا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مانع لدخول خبر ثلاثة مثلا يعلم صدقهم بسبب القرائن الداخلة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بسبب الكثرة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التناسخ الذي أطبق المسلمون على بطلانه هو تعلّق الأرواح بعد خراب أجسامها بأجسام أخر في هذا العالم مطردة في الأجسام العنصرية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بوقوع التواتر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لا بد في التواتر من النقل والأخبار الكثيرة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التواتر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الاجماع لا التواتر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بخلاف كل واحد واحد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لمنكرين التواتر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لأننا نقول بعدم حصول العلم من جهة التواتر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 بالباطل ومنه البهتان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احمد الكعبي البلخي الخراساني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أئمة الاعتزال ورأس طائفة منهم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آراء ومقالات في علم الكلام بعيدة انفرد بها وكذا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اعتاد الاصوليون ذكر وايراد نظريته المتعلقة بالمباح وهي نظرية اختلفت عبارات الأصوليين في تصويرها وغاية ما يرومه الكعبي من نظريته هي الإفضاء الى إثبات كون المباح غير موجود في الأحكام الشرعية ، بل المباح من قسم الواجب ، وقد أثارت هذه النظرية الكعبية مناقشات وردود مختلفة وكلّها تتضمن في محتواها توجيه حكم المباح غير هذا التوجيه الذي أبداه الكعبي وسار عليه إلّا ما كان ممن وافقه على رأيه هذا ، له كتب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تأييد مقالة أبي الهذيل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الأخبار ومعرفة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الطعن على المحدثين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البصري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الطيّب شيخ المعتزلة في عصره ، وأحد الاصوليين ، ومن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مطبوع في مجلدين وهو من أمّهات مراجع علم أصول الفقه ، ومن الكتب التي لخّص منها فخر الدين الرازي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 في أصول الفقه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الجويني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يوسف بن محمد بن حيويه من كبار علماء الشافعيّة وأئمتهم في الفقه والاصول والأدب والعربية ، وهو والد إمام الحرمين عبد الملك الجويني ، له مصنفات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رسالة الامام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نيسابور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الحرمين عبد الملك بن عبد الله بن يوسف بن محمد ضياء الدين أبو المعالي الجويني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أحد كبار شيوخ الشافعيّة له مصنفات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البرهان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الورقات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نيسابور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 وله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 نسب فيه إلى الغزالي قوله إلى أنّه نظري</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محمد بن محمد الغزالي الطوسي ويعرف بحجّة الاسلام ، من كبار رجال التصوّف ، ونظرياته كثيرة الشهرة في الفلسفة والفقه والأصول وله نحو مائتي كتاب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المنخول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صنّفه في أوّل حياته العلميّة ، وهو كتاب في حقيقة الأمر كان تابعا فيه لآراء أستاذه إمام الحرمين ، مدوّنا لأفكاره مرتبا لتعاليقه دون أن يزيد عليها أو ينقص منها كما أشار فيه ، وله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أكبر كتبه في أصول الفقه ، وله أيضا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وسطا بين الايجاز والاطناب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بطوس ودفن بظاهر قصبة طابران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النظري والضروري ،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وراجع المبحث المذكور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وجوابات المسائل التبانيات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الاولى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بعض العلوم الحاصلة من التواتر ضروري وبعضها نظري بالنسبة الى الموارد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الصغرى والكبرى</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القول بأنّ العلم بالمتواترات ضروري هو القسم الذي لا يتزلزل القطع بعد حصوله فنعم الوفاق</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بعينها هي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الى السيّد ، ولم أظفر بعينها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يمكن تحصيل مضمونها راجع هناك</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يحتاج الى الكسب وترتيب المقدمات</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جعلنا المتواترات على قسمين كما أشرنا ، وكلام السيد أيضا ناظر الى ذلك ، بل هو متوقف في القسم الذي أشرنا أنّه ضروري ، من أنّه ضروري أو فطري</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أنّ العلم الحاصل لأجل المقدمات لو تزلزلت المقدمات لتزلزل العلم ، 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قسمي التواتر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احتج بأنّه لو كان نظريّا لما حصل لمن لا قدرة له على النظر كالعوام والصبيان ، فجاء دفعه بكلامه هذا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ترتيبها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ذكر من حجتهم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يلزم ان لا يعلمه من ترك النظر قصدا إذ كل علم نظري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تعلم أنّ هذا التفصيل ليس على اطلاقه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مسعود بن عمر بن عبد الله التفتازاني من فقهاء الشافعية الكبار تقدّم في النحو والصرف والمنطق والمعاني والبيان والأصول وفي كثير من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حكي أنّه كان في ابتداء طلبه للعلم بعيد الفهم جدا ولم يكن في جماعة استاذه عضد الدين أبلد منه ، ومع ذلك كان كثير الاجتهاد ، ولم يؤيسه جمود فهمه من الطلب ، وكان استاذه يضرب به المثل في البلادة ، حتى برع في العلوم وأصبح يضرب به المثل في الجدّ ، وأكثر العلماء في الثناء عليه وكذا الفضلاء الذين وصفوه بأوصاف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على شرح عضد الدين على مختصر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الفقه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التلويح في كشف حقائق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شرح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لصدر الشريعة المحبوبي ، وهما من أجلّ مصنفاته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الأوّليات هي القضايا التي يحكم بصدقها العقل لا بمجرد ذلك بل بواسطة ، غاية الامر أنّ تلك الواسطة لا تغيب عن الذهن عند تصوّرها كقولنا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 زوج فإنّ من يتصوّر الأربعة والزوج تصوّر الانقسام بمتساويين في الحال وترتب في ذهنه أنّ الأربعة منقسمة بمتساويين ، وكل ما هو كذلك فهو زوج فهي قضية قياساتها معها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استواء الطرفين يعني طرفي السلسلة في النقل ، وأما الواسطة فيما لو كان هناك أكثر من طبقتين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هذا من تتمة كلام القائلين المذكورين ردّا للبعض المذكور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ايراد آخر قالوه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الشرط كثرة الجماعة لا الكثرة المطلقة بقرينة المخبرين بذلك ، وما يستفاد من تعريف التواتر الكثرة المطلقة لأنّهم قالوا خبر جماعة ، وبالجملة إنّ التعريف يصدق على الثلاثة بخلاف هذا الشرط</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تقييد الكثرة بالقيد المذكور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الإيراد الأوّل</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أخذ الكثرة في الحد</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وتفهم الكثرة من قيد أقوام أيضا فضلا عن قيد حصول العلم بقولهم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الشرط الثاني وهو ما يتعلّق بالسّامع</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وجيّد في موضعه ، كما ذهب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يكون الشرط المذكور غالبا وليس بدائم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منهم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 باثنين اعتمادا على نصاب الشهادة ، وقياسا على البيّنة المالية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أنّه للقاضي واستفيد هذا القول وحجته انّ ما دونه الأربعة لا يفيد العلم وإلّا لحصل بقول شهود الزنا ولم يحتاج الى التزكية وهو باطل بالاجماع ، نسب ابن السمعاني هذا القول إلى أكثر أصحاب الشافعي ، ونسبه ابن السبكي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جميع الشافعية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عدد نقباء بني اسرائيل لقوله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وَبَعَثْنا مِنْهُمُ اثْنَيْ عَشَرَ نَقِيباً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وَاخْتارَ مُوسى قَوْمَهُ سَبْعِينَ رَجُلاً لِمِيقاتِنا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جماعة الى أنّه ثلاثمائة وثلاثة عشر عدد أهل بدر ، وهناك أقوال اخرى في هذه المسألة غير ما ذكر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يحصل التواتر إلّا بخبر عشرة ، فلا يحصل العلم إذا كان المخبرون عشرة فصاعدا ، ونسب هذا القول الى الإصطخري وهناك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يحصل إلّا بخبر عدد بيعة الرضوان ، وقد بلغ من بايع بيعة الرضوان ألف وخمسمائة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وأربعمائة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الأقوال للعامة ووجوبها مذكور في شرح العضدي</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فيها من الايرادات</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هذا المذهب إلى عبد الله بن عبدان الشافعي قاله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الشرائط</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يحصرهم عدد ولا يحويهم بلد ذهب إلى ذلك البزودي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أصوله مع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ابن مفلح الحنبلي عن بعض الفقهاء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أوطانهم وأديانهم حتّى يحصل العلم بخبرهم لتندفع التهمة بصورة آكد ، وشرط قوم أن يكونوا أولياء مؤمنين ، وشرط قوم أن لا يكونوا محمولين بالسيف على الإخبار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عبر عنهم بالروافض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حكى بعض الأشعرية والمعتزلة ان الإمامية تعتبر قول المعصوم عليه‌السلام في التواتر وهو فرية عليهم أو غلط في حقّهم وإنّما يعتبرون ذلك في الاجماع</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 المتواتر المعنوي أيضا قبالا للمتواتر اللّفظي</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الأعمال بالنيّات وإنّما لامرئ ما 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الطبراني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الرائد في تحقيق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مجمع على صحته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والذهبي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التلخيص</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كيفيّاتها من ناحية الشدّة والضعف أو بالسّوط أو بغيره فيثبت الضرب ولا يثبت نفس كيفيّته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علي القزويني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من المسامحة في التعبير ما لا يخفى ضرورة انّ الأشياء المذكورة في الأخبار المتكاثرة التي هي عبارة عن الوقائع المرويّة لوازم لملزوم واحد لا أنّها ملزومات للازم واحد ، خصوصا مع فرض كون ذلك الواحد منشأ لتلك الأشياء ، فإنّ المنشأ عبارة عن العلّة ، والعلّة ملزوم والمعلول لازم ، والأشياء المذكورة معلولات لا أنّها علل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 الوجهين كما في حاشية ، وفي اخرى عبّر بالمذكور في طيّ الوجه الرابع الكافل لبيان التضمنيّة فتأمّل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الوجه الثاني من القسم السادس ، وهو كون الدلالة على القدر المشترك بالالتزام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الرابعة والخامسة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الثاني من السادس</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الظهور انّ الحاجبي وغيره مثّلوا للمتواتر المعنوي بالمثالين ، والعضدي عند شرح عبارة الحاجبي وصفهما بما ذكر من أنّ الدلالة على القدر المشترك إنّما تحصل من ملاحظة المجموع لا من كل واحد ، وهذا في معنى حصر الممثّل في الوجه المذكور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للوجه الثاني المذكور في كلام العضدي</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كان هنا خبر كان السّابقة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مدرك الخبر وهو موجب علم المخبرين بالحكم بالحسّ بصرا أو سمعا أو غيرهما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الاقسام الثلاثة الأول</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الرابع</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الوجه الثاني من القسم السادس</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 من وجهي القسم السادس</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الأقسام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هذا القانون الى هنا كما رأينا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المتواتر وخبر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مؤدى العبارة أنّه يمكن دخول بعض أقسامه في المتواتر ، وبعض أقسامه في خبر الواحد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يرجع النزاع المستفاد من اختلافهم في تعريف خبر الواحد من جهة انّ بعضهم قالوا هو ما أفاد الظنّ ، فمعناه أنّه لا يفيد العلم أصلا أو أنّه لا يفيد العلم بنفسه ، فمعناه انّه قد يفيده بغيره من القرائن الخارجية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يفهم من تعريف بعضهم بأنّه ما لم ينته الى حدّ التواتر وجعل ما يفيد العلم بنفسه لا من جهة الكثرة ، بل من جهة القرائن الداخلة كما حققناه ، فيرجع النزاع الى الأقوال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إفادة العلم أصلا لا بالنظر الى القرائن الداخلة ولا الزّائدة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إفادته العلم بالنسبة الى الزّائدة دون الداخلة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إفادته بالنسبة الى الداخلة أيضا ومطّردا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غير مطّرد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عليّة بين الأشياء أصلا للقول بالجبر ، وانّ كل ما يحصل إنّما هو فعل الله تعالى كما هو مذهب الأشاعرة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انّ</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هو المحقق السلطان في حاشيته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والمراد من دعوى الملازمة دعوى الحصر في القياس، وإنّما يكون لغوا لأنّ الاطّراد جهة مشتركة بين العلم العادي والعلم العقلي ، بل الثاني أولى بالاطّراد ، لأنّه عبارة عن كون الترتب بين العلم وخبر العدل عقليّا ، باعتبار كون خبر العدل بنفسه مؤثّرا وعلّة تامة للعلم ، ومن المستحيل عقلا تخلّف المعلول عن العلّة التامة ، بخلاف العادة ، فإنّ التخلّف فيها ممكن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وقضية الاطراد في العلمين هو إلغاء دعوى الحصر بإسقاط الملازمة الأولى والاقتصار على دعوى الملازمة الثانية ، فيقرّر الدليل حينئذ بأنّه لو حصل به العلم لكان مطّردا سواء في ذلك العادي والعقلي ، هذا كما في الحاشية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بحصول العلم المطابق الواقعي من كل منهما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المطابق</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بالخبر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المطابق من الخبر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لكلا الجوابين الشق الأوّل للأوّل والثاني للثاني أو للجواب الثاني باعتبار الشق الأخير ، وعلى هذا يكون أصل التعليل 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أفاده في الحاشية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قوم الى المنع ، وكأنّه المشهور بين القدماء من العامة كما يظهر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نسبوا القول بنعم الى النظّام والجويني والغزالي ،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وأنكره الباقون ، وعن الحاجبيين نسبة الإنكار الى الأكثر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العدل الخالي عن القرائن الخارجية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مقدّمته كان قد عقد بحثا في أقسام الحديث ومحامله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عن استخدام في الضميرين لعود ضمير نفسه الى الخبر من حيث إنّه حكاية ، وعود ضمير مضمونه الى المحكي القول عن الامام عليه‌السلام ، ويقال له متن الحديث ، وقد يطلق عليه لفظ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ومضمونه عبارة عن الحكم المدلول عليه بهذا اللّفظ ، ويعبّر عنه غالبا بالمصدر المضاف الى الفاعل أو المفعول كوجوب الصلاة في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ونجاسة الكلب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 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وتحريم الخمر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عليكم الخمر ، وما شابه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صدقه أي مطابقته للواقع، كما أنّ معنى صدق الخبر مطابقة قول الرّاوي حين حكاية المعصوم عليه‌السلام بقوله ؛ قال الصادق عليه‌السلام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بالجواز هنا الإمكان العقلي في مقابلة عدم الإمكان ، بمعنى الامتناع العرضي كالظلم على الله تعالى ، لا الامتناع الذّاتي كاجتماع النقيضين ، والإمكان أعم من الوقوع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وفتح الباء من المتكلّمين ، وكذا حكاه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الكلام منهم الجبّائيّان وغيرهما ، حيث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بامتناع التعبد به في الشريعة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حسنا ذاتيا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عن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الأحيان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الأقرب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وهؤلاء الجماعة على ما حكاه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الطوسي وأكثر المعتزلة والأشاعرة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وأعلم أنّ بعض المخالفين كأبي علي الجبّائي ذهب إلى عدم جواز التعبد به عقلا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فتبيّنوا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وقراء حمزة والكسائي فتثبّتوا أي فتوقفوا الى يتبين لكم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قراء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الباقون فقرءوها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فَتَبَيَّنُوا </w:t>
      </w:r>
      <w:r>
        <w:rPr>
          <w:rFonts w:eastAsia="IRNazanin" w:cs="IRNazanin"/>
          <w:b w:val="false"/>
          <w:bCs w:val="false"/>
          <w:i w:val="false"/>
          <w:iCs w:val="false"/>
          <w:color w:val="333333"/>
          <w:sz w:val="20"/>
          <w:szCs w:val="20"/>
          <w:rtl w:val="true"/>
        </w:rPr>
        <w:t>) .</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الى هنا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وليعرف أنّ ما ذكره كثير من الأصوليين منطبق على ما يستفاد من العرف ، فإنّ أصحاب الأذهان الصافية لا يفهمون من القضية المذكورة إلّا ما ذكر ، ولكن بحسب التدقيق وقواعد العربية انّ المستفاد من القضية المذكورة ما ذكره المصنف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الاستدلال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وجّهه له 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حاشيته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سالبة بانتفاء الموضوع المركب من جزءين ، وانتفاؤه تارة بانتفاء الجزء الأوّل واخرى بانتفاء الجزء الثاني هذا كما في الحاشية</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تفاوت بينهما إلّا في انتفاء الشرط</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الأصوليين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وجود قرينة في المقام حالية أو مقالية ، ولكن الكلام هنا هو في وجود القرينة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في أصول الفقه وغيره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مسألة معروفة وهي أنّ الأصول هل يثبت بالظنّ أم لا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عرفت في المباحث السابقة من حجّية بعض المفاهيم دون بعض ، وستعرف التحقيق في الثاني أيضا ، أي أنّ مسائل الأصول كالفقه يثبت بالظنّ الثابت الحجّية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أخو عثمان لأمّه ، وقد ولّاه عثمان الكوفة من بعد سعد بن أبي وقّاص ، وهو في غاية الانحراف والفسق والفجور حتّى صلّى بالناس صلاة الفجر وهو سكران أربعا ، وهو يقول صل أزيدكم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بينه وبينهم جناية في الجاهلية ، فلما أخبروا بمجيئه ركبوا إليه تعظيما وإجلالا ووضعوا العداوة في زاوية النسيان ، فلما سمع بهم خاف منهم ورجع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القوم قد ارتدوا وهمّوا القتل ومنعوا صدقاتهم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رسول الله صلى‌الله‌عليه‌وآله خالد بن الوليد مع الغزاة إليهم وأمرهم بالتبيّن والاحتياط فانطلق حتى أتاهم ليلا فبعث عيونه فعادوا واخبروه بأنّهم على الاسلام وأنّهم سمعوا أذانهم وصلواتهم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العبرة بخصوص المورد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الثاني من الوجوه التي استدلّ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أيضا استدل به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جعله الوجه الأوّل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حروف التحضيض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ويشاركها في التحضيض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للمكودي ولابن عقيل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تسليم ظهور لفظ الأمر في الوجوب ومنع كون ما عداه من الألفاظ الدالّة على الطلب في معنى الأمر ليكون ظاهرا في الوجوب</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والرّاد هو سلطان المحققين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هذا المعنى كلام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معناه يستحب العمل بغير الحجّة ، وهذا مما لا معنى له ؛ لأنّه نظير ما لو قيل يستحب فعل الحرام</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سبيل الكليّة وبلا ملاحظة أصل خاص أو مدلول خبر خاص</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تخيير بين الواجبين</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هذا التخيير الحاصل بين الأصل ومدلول الخبر الذي به أوّل استحباب الحذر في المقام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معيّنا من العلم بأنّ أحدهما حكم الشارع وقد انشأه وقرّره في عالم الواقع إلّا انّه اشتبه المعيّن الواقعي بين هذين الحكمين في عالم الظاهر وهذا بخلاف ما نحن فيه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التخيير الذي</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سلطان المحقّقين حيث وجّه ندب الحذر بإرجاعه الى صورة احتمال وجود المقتضي وهو على ما زعمه إما الوجوب أو الحرمة في الخبر الدّال على أحدهما ، أو تابع مفسدة الترك أو الفعل ، والقرينة على أنّه بني على كون رجحان الحذر المستفاد من الآية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وسيجيء بأن لا معنى للتخيير هنا فما لو كانت المسألة أصولية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منافاة لما مرّ إلّا أنّه استدرك بقوله لكن اعتقاد جواز العمل بخبر الواحد لا ينافي استحباب العمل أي بالخبر في مقابل جواز العمل بالأصل</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وجوب الفحص في العام لكونه من الأدلّة اللّفظية التي هي أقوى من الأصل</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 لأنّ الاستعارة التبعيّة ليست من المجاز اللّغوي ، بل هي أشبه شيء بالمجاز العقليّ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والضرورة قاضية بأنّ كلمة لعلّ في الآية على اعتبار الاستعارة مستعملة في الطلب وهي موضوعة للترجّي ، فالتشبيه اعتبار حصل بينهما لا بين متعلقيهما ، فقد شبّه الطلب في كون المطلوب به قد يحصل وقد لا يحصل بالترجّي في كون المرجوّ به قد يحصل وقد لا يحصل ، واستعير له كلمة لعلّ ، فهي أوفق بالاستعارة التحقيقيّة لتحقق معناها المستعمل فيه بكونه أمرا معلوما يمكن أن يشار إليه إشارة عقلية ، هذا كما في حاشية القزويني</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يصحّ الوجوب العيني</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على الاعتراض المذكور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الى سادس الايرادات على الآية المذكورة وهو كون التفقه والانذار مراد من النافرين ، والحذر والقبول مقصودا من المتخلّفين كما هو ظاهر الآية وصريح الرواية ، ومن ذلك ما رواه عبد المؤمن الأنصاري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إنّ قوما يروون أنّ رسول الله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أمتي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اختلافهم رحمة فاجتماعهم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حيث تذهب وذهبوا ، إنّما أراد قول الله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فَلَوْ لا نَفَرَ مِنْ كُلِّ فِرْقَةٍ مِنْهُمْ طائِفَةٌ لِيَتَفَقَّهُوا فِي الدِّينِ وَلِيُنْذِرُوا قَوْمَهُمْ إِذا رَجَعُوا إِلَيْهِمْ لَعَلَّهُمْ يَحْذَرُونَ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فأمرهم أن ينفروا الى رسول الله صلى‌الله‌عليه‌وآله فيتعلّمون ثم يرجعوا الى قومهم فيعلموهم ، إنّما أراد اختلافهم في البلدان لا اختلافا في دين الله ، إنّما الدّين واحد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كثيرة جدا وقريبة من التواتر ، بل عن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كونها 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القليل منها تبرّكا بحديثهم عليهم الصلاة والسلام ، فعن أمير المؤمنين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ارحم خلفائي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ومن خلفاؤك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يأتون من بعدي ويروون عني أحاديثي وسنتي فيعلّمونها الناس من بعدي</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التوقيع عنه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عذر لأحد من موالينا في التشكيك فيما يرويه عنّا ثقاتنا ، قد عرفوا بأنّا نفاوضهم سرنا ونحملهم إيّاه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العمري وابنه ثقتان فما أديا إليك عني ، فعنّي يؤديان وما قالا لك فعنّي يقولان ، فاسمع لهما وأطعهما فإنّهما الثقتان المأمونان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إذا كان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تتمة كلام الشيخ أيضا</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تتمة كلام الشيخ أيضا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الكلام للمصنّف</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بقوله الأخباريين الفرقة المعهودة لدى العلماء والمخالفة في طريقة الاستنباط ، ويفهم ذلك أيضا من قرينة مقابلة الأصوليين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هذا أيضا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العمل بخبر الواحد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من تتبع</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الأدلّة الدالة على حجيّة الخبر الواحد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السيّد ومن تبعه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والأشهر من القولين عند المصنّف هو العمل بأخبار الآحاد ونحوها في زمن غيبة الامام عليه‌السلام من باب الظنّ المطلق لا الخاص</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الجهتان المذكورتان تجريان في كل من المقامات المذكورة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يمكن القول بأنّه فرد من أفراد الظنّ المطلق</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بهذه الثلاثة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دون الآخر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فالظانّان الفعليان المتخالفان لا يجتمعان في محل واحد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أورد هذا الايراد هو سلطان المحققين في حاشيته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الايراد من العلامة جمال الدّين الخوانساري في حواشي شرح العضدي على ما نقل</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الظنّ الخاص</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المفيدة للظنّ المطلق</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المصنّف حمل الوجهين على الضرورة والاجماع وغفل عن قوله الّا بالعلم به أو ظن يقوم على اعتباره دليل يفيد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اللذين أحدهما الظنّ الخاص</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أصل البراءة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قول الخوانساري</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الاحتياط</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عملوا في مقام الافتاء في كل مقام عند الترجيح بالظنّ ولو بالقرائن المقاميّة</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للاشتباه بينه وبين الفتوى</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لأصل البراءة أي أنّ هذه الأدلّة لا يفيد أزيد من كون مقتضى البراءة ظنيا ، بل مقتضى بعضهما انّ هذا الأصل تعبدي غير منوط على إفادة الظنّ أيضا ، كما أفاده في الحاشية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للبراءة من جهة القول بالاحتياط</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يرد عنا عن الحكم</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ورود الخبر الصحيح مع عدم الحجّية والاعتبار كما هو المفروض بمنزلة عدمه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ذلك</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حجيّة الكتاب من أنّ دلالتها ظنّية ولو أنّنا سلّمنا بالقطعية أيضا فهي تكون ظاهرة في الأصول دون الفروع ويظهر ذلك بما مرّ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متعلّقات الشّق الثاني وليس شقا على حدة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بالأخبار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طلبه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فالجواب عن هذا الجواب يظهر مما قدمنا أيضا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فالمورد لا يقول به حتى يجعل ذلك من باب الالزام والتبكيت له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خصال الكفارة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مقام الاستدلال بآية النفر وغير ذلك</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ملجأ ولا مهرب ، وفي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وَلاتَ حِينَ مَناصٍ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لات حين مهرب أي ليس وقت تأخر وفرار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كالمصالح المرسلة وغيرها من البدع أعاذنا الله منها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مثالا للمنفي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حيث الظنّ الحاصل بهما ، هذا ولعلّ المراد من غير الفتوى والاقرار مثل قول ذي اليد في الإخبار بالطهارة أو النجاسة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أدلّة حجيّة الظنّ المطلق</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سها قلمه في هذا المقام ، ففسّر المرجوح بالقول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الموهوم حكم الله ، مع أنّه عبارة عن نفس الموهوم ، كما أنّ الرّاجح عبارة عن المظنون ، وما ذكره هو معنى اختيار المرجوح على الرّاجح لا معنى المرجوح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فملخّص 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اختيار المرجوح على الرّاجح إما قولي وهو القول بأنّ حكم الله تعالى في الواقعة هو الموهوم أو عملي وهو تطبيق الحركات الخارجية على الموهوم على أنّه حكم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أفاده السيّد القزويني في حاشيته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 الصدق واختيار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أي ولا يصح أو يقبح أو يحرم لا أنّه غير ممكن</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وجوب الامتثال العلمي التفصيلي للأحكام المعلومة بالإجمال ، والعقل مستقلّ بذلك الوجوب على تقدير إمكان العلم وانفتاح بابه ، ولا حاجة معه الى التمسّك بالظواهر المذكورة حتى يخدش بما ذكره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حجية الأخبار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 والنبأ</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وجوب التبيّن عند مجيء الفاسق بالنباء معلّل بمخافة إصابة القوم بجهالة والوقوع في خلاف الواقع الموجب للوقوع في النّدم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الظنّ الحاصل من الأخبار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زمان الصّحابة والتابعين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لكثرة المسلمين وانتشارهم في البلدان البعيدة ، وكون الاجماع لا يعلم إلّا بالمشافهة لهم أو التواتر عنهم ، وهما متعذران فيمن بلغ هذا الحد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شطري مورد الاجماع المركب وهو بالنسبة الى زماننا أيضا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القائلين بالحجّية مطلقا ، لا يمكنهم الاستناد الى الاجماع مطلقا ، لأنّه لم يتحقق إلّا في الصدر الأوّل وهو زمان الصحابة والتابعين ، فيبقى الشطر الآخر وهو الحجّية في أزمنة الغيبة بلا دليل الاجماع</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فلا بد من العمل بالظنّ الحاصل من الأخبار وغيرها لا التوقف والاحتياط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 ذلك لا يستلزم العمل بها من باب الظنّ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 الحق كفاية الظنّ الخاص وعدم الدليل على اعتبار أزيد من ذلك فتأمل ، كما أفاد في الحاشية</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تنصيفه أو تثليثه مثلا</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المسألة حيث إنّ مستند السيّد في جعل أولاد الابن وأولاد البنت مقام أولاد الجدّ ، يعني أنّ أولاد الأولاد يقومون مقام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الأصل انّ الاستعمال دليل الحقيقة إذا لم يكن هناك قرينة المجازية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الفرض</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ثبطه عن الأمر أي أثقله وأقعده 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كَرِهَ اللهُ انْبِعاثَهُمْ فَثَبَّطَهُمْ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 وشرعا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العلم إما لأنّه من باب اللّطف الواجب عليه سبحانه وتعالى وانّه يجب عليه إرسال الرّسل وانزال الكتب ونصب الأوصياء ، وإمّا لقبح التكليف بلا بيان والعقاب مع عدم إقامة البرهان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خبر الكافر والفاسق</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المنع من المحقق العلّامة جمال الدّين الخوانساري في حاشيته على شرح العضدي</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للعلم الاجمالي المانع من الرجوع الى أصل البراءة ، لئلّا بتركه يلزم المخالفة القطعيّة والخروج عن طاعة الله تعالى</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الرّاد المذكور الذي منع</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لما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هذا الاعتضاد</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الأدلّة الظنيّة والتي يستعملها المجتهدون في المسائل الفرعيّة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فالوجه الأوّل على التقرير الأوّل والوجه الثاني على التقرير الثاني</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الوجه الثاني المبني على التقرير الثاني للدليل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محذور فيه لو قلنا بذلك أيضا على ما عرفت</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 ذكرناه من التوجيه لتصحيح استثناء خبر الفاسق ، والقياس يجري في دليل الانسداد أيضا على تقدير كون موضوعه أسباب الظنّ لا نفس الظنّ ، ويندفع به شبهة التخصيص في الدليل العقلي ، هذا كما في الحاشية للسيّد القزويني</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إقرار من المصنّف بأنّ الدليل العقلي قابل للاستثناء</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وجوب العمل بالقياس</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بالوحي القلبي بإلقاء الشيء في 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في قصة ابراهيم عليه‌السلام في رؤياه ذبح ولده اسماعيل عليه‌السلام إلّا أنّ ذلك ليس غالبا</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الواقعية في أنفسها لا الحاصلة من الظنون من باب التصويب كما يقول العامة ، فإنّ الأحكام على هذا تكون اعتبارية لا حقيقية ، هذا كما في الحاشية</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بعد سلف الى يوم القيامة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الظنّ الخاص</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الظنّ الحاصل من الكتاب حينئذ من باب الظنّ المطلق لا الخاص</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المخصوصة بالمخاطبين 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 وهذا في مقابل الخطابات غير الشفاهية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القزويني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لفظ الجواز زيادة وقعت في العبارة من سهو القلم ، ومحصّل المراد حينئذ انّ غاية ما يحصل من هذه الأخبار الآمرة بالتمسّك بالكتاب ، إنّما هو الظنّ بجواز العمل بالظن الحاصل من الظواهر لهم ولنا ، وهذا الظن غير معلوم الحجّية لنا لاستناده الى الأخبار الغير العلميّة صدورا أو دلالة ، فيلزم انتهاء الظن الحاصل من ظواهر الكتاب بالنسبة الى الظن الغير المعلوم الحجّية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وردت روايات كثيرة تنهى عن التفسير بالرأي ، بل يجب الأخذ من أهل الذكر الرّاسخون في العلم ، وإلّا فمن فسّر القرآن برأيه 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اخرى من فسّر القرآن برأيه فاصاب لقد أخطاء ، ومثل هذه كثير</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مطلقا حتى في الصورة الآتية ليكون من باب الظنّ الخاص</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المذكور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زمان خاص كزمان الحضور وفي نوع خاص كخبر العادل</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تسنح سنوحا أي عرض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تسنح لي رأي في كذا ، والجمع سوانح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سنح الشيء أي سهل وتيسّر</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قولك المعارضات والاشكالات مثل الأخبار التي رواها العدل الآخر ، فالرّاء حينئذ مكسور والواو بمعنى مع فيكون الفرق بين هذا والسابق باضافة الاشكالات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إنّما هو بتعدّد المعارض هنا أو المراد هو تعارض أخبار العلاج فيكون عطف الاشكالات تفسيريّا والرّاء مفتوح حينئذ ، أو المراد من المعارضات ما فيها من تعارض العموم والخصوص أو الاطلاق والتقييد لا التعارض بنحو التناقض المباين ، فالعطف حينئذ للمغايرة فتأمّل</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والاطلاقات أيضا</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القرائن الخارجية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الخبر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لزوم الفحص</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 خبر العادل الموصوف بما ذكر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الأخبار مثل حمل العام على الخاص</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الأخبار المطلقة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لقوله كذلك أو علّة لما يفهم من قول إن سلمنا من إمكان عدم التسليم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بعض الموارد أو الأفراد</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 تام في نفسه ، وليس جزء حكم كما في الصلاة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كالمصالح المرسلة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البدع المستحدثة والتي حدثت</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الفقهية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الحذو والحذوة والحذوة الإزاء ، يقال داري حذاء داره أي إزاءها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قلنا هناك إنّ الأصل جواز العمل بالظنّ إلّا ما أخرجه الدليل</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لرجوعه الى اجتماع النقيضين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الظنّ المطلق والأخباريين</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الموصولة عام وعمومها ليس من جهة النفي ، والنفي الوارد على العام يفيد سلب العموم الذي يقال له رفع الايجاب الكلي ، ولا ريب إنّه لا ينافي الايجاب الجزئي</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بعض ما ذكر في الاستدلال بها ، أي في الاستدلال السابق</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بتقديم الباء الموحّدة على التاء ، 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البتان كغراب اسم قرية ينسب اليها ابو الفضل البتاني الفقيه الزاهد ، والبتان بكسر الباء وبالفتح وتشديد التاء أيضا قرية من مضافات حرّان وإليها ينسب احمد بن جابر البتّاني المنجّم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الصحيح التبانيات وهي أجوبة للسيّد على أسئلة ابو عبد الله محمّد بن عبد الملك التباني وهي أسئلة في الاجماع المصطلح عندهم وعن القياس وعن ادلّة عدم قبول السيّد للخبر الواحد وهي رسالة مهمة لأهميّة السّائل والأسئلة المسئول</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تفسير أيضا أي ولا دليل ، كما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التعويل عليها عطف تفسير</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الاحتجاج ، وهذه قرينة واضحة على صدق ما استبعده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فيما بعد ذلك عن الصواب لأنّه ظاهر كالصريح في أنّ كلام الأصحاب إنّما هو على ما يراه المخالفين من تجويز العمل بأخبار الآحاد ، وليست إلّا الأخبار المرويّة بطرقهم لأنّهم لا يعملون بغير هذه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كابن قبة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السيّد المرتضى</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بكر في رواية اختلقها على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الأنبياء لا نورّث ، ما تركناه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فمنع الصديقة الزهراء عليها‌السلام حقها مفتريا بذلك على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كرجوع ابو بكر في توريث الجدة الى خبر المغيرة ، ورجوع عمر الى رواية عبد الرحمن في سيرة المجوس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سيروا بهم سنة أهل الكتاب ، ومنع من توريث المرأة من دية زوجها ورجع عن ذلك بخبر الضحاك بن قيس، كما لم يكن عثمان بأفضل منهما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الاجماع</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تحصيل العلم</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في الزّمان الأوّل</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إثبات حجية الخبر مطلقا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جواز العمل بخبر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الشيخ والسيّد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ذلك البعض ابن قبة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مراد ابن قبة في كلامه السّابق الذي ذكر فيه استحالة التعبد بخبر الواحد ، هو كون الأمر كذلك في الأصول لا في الفروع، وإن نزّل القوم كلامه على الفروع ، فحينئذ يصح كلام ابن قبة وإن كان فيه إشكال أيضا عند المصنف فيما لم يحصل العلم بالأصول ولم يكن تحصيله أيضا أو كان المكلّف غافلا مثلا ، هذا كما في الحاشية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وجه المخالفة</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السّمرة والسمرة الأوّل بالفتح فالضم والثاني بالضم والسكون كلاهما صحيحان والظاهر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والاختلاق بمعنى الافتراء ومنه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سَمِعْنا بِهذا فِي الْمِلَّةِ الْآخِرَةِ إِنْ هذا إِلَّا اخْتِلاقٌ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أخبارهم الموضوعة من جهة التهمة ، أو عن اتهامهم لأصحابنا بالتشيّع من جهة تكذيبهم لهم في نقل هذه الأخبار ، فالتهمة مستعملة في موضع المصدر المبني من الفاعل أو المفعول هذا كما في الحاشية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وموافقيه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عن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وجهة الدّورية أنّ الإجماع المنقول أيضا خبر واحد ، فلا يثبت حجّيته إلّا بثبوت حجّية الخبر الواحد ، فيتوقّف حجّيّة الإجماع المنقول على حجّيّة نفسه ، وكذا حجّيّة الخبر الواحد</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العلم بجواز العمل بالإجماع المنقول وبالأخبار غير معلوم ، بمعنى غير متحقّق</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الإجماع المنقول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لحجّيّة الظنّ المطلق</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مقصوده الفاضل التوني لما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تفسير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اتحاف ذوي البصائر بشرح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أصالة عدم قبلوه ، ظاهرا هذا الذي يقصده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يستدل على جواز قبول خبر الصبي المميّز بأنّه ليس بفاسق فلا يجوز ردّ خبره ، ويجب قبوله لعموم مفهوم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جاءَكُمْ فاسِقٌ بِنَبَإٍ فَتَبَيَّنُوا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بعض العامة ،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فهناك فارق بين قبول الخبر وجواز الاقتداء به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 إذ لم يعلم أنّ الصحابة قبلوا من ابن عبّاس أخباره التي سمعها قبل البلوغ ، بل الظاهر انّ قبولهم إنّما لأخباره الّتي سمعها بعده ولعدم قبول الرّواية المسموعة قبل البلوغ وجه مثل ما ذكر بعض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المصنّف لا وجه له ، لا وجه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كعبد الله بن جعفر بن أبي طالب وكان له اثني عشر عاما تقريبا حينما ارتحل النبي صلى‌الله‌عليه‌وآله‌وسلم وسبطي النبي الرحمة الحسن والحسين عليهم الصلاة والسلام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نقله الوحيد البهبهاني على ما حكي عنه في تعليقة رجاله 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وتوضيح المقام أنّ محمد بن عيسى بن عبيد بن يقطين يروي عن كتب يونس بن عبد الرحمن وعن أبي جعفر بن بابويه عن شيخه محمد بن الحسن بن الوليد أنّه قال في شأنه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تفرّد به محمد بن عيسى من كتب يونس وحديثه لا يعتمد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ضعيف استثناه أبو جعفر بن بابويه من رجال نوادر الحكمة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أروي ما يختص بروايته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يذهب مذهب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في وجه هذا التضعيف فقد يحتمل كونه لأجل رميه بالغلوّ كما 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التعليقة قال 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تضعيف الشيخ لتضعيف الصدوق ، وتضعيفه لتضعيف ابن الوليد ، وتضعيف ابن الوليد لاعتقاده انّه يعتبر في الاجازة أن يقرأ على الشيخ أو يقرأ الشيخ ويكون السّامع فاهما لما 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لا يعتبر الاجازة المشهورة 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أجزت لك أن تروي عني ، وكان محمد صغير السّن ولا يعتمدون على فهمه عند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على إجازة يونس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ذكر غلوّه ، فذكر الشيخ بقيل ولم ينقلوا عنه ما يشعر به ، بل مع تتبعي كتب الأخبار جميعا لم اطّلع على شيء يوجب طرح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بعض الاصحاب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 وكأنّه تعريض على جدّ البهبهاني أراد به منع كون الوجه في ردّ الصدوق تبعا لشيخه ما تفرّد به محمد بن عيسى عن كتب يونس عدم قبول روايات من تحمّلها قبل البلوغ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 المنع لعلّه ما احتمله بعضهم في توجيه عدم اعتماده على ما تفرّد به من كتب يونس انقطاع الاسناد إليه كما هو الحال في استثنائه أي استثناء الصدوق محمدا من رجال نوادر الحكمة كما تقدم حكايته عن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 إنّما استثناه لانقطاع الاسناد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 للسيد علي القزويني</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واستندوا في الآية هذه بناء على شمولها للكافر كما 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أي فسق أعظم من الكفر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يوجب دعوى الإجماع ضعف الظنّ الحاصل بخبر الكافر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يمكن</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الجهالة الحاصلة في الشرط الباعثة للشك في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يسمى الأوّل بالشك في المصداق والثاني بالشك في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وضابط الفرق انّ الشك في صدق مفهوم كلي على فرد خارجي قد يكون لجهالة حال الفرد باعتبار الشك في اتصافه بما أخذ في مفهوم كلي فهو الشك في المصداق ، كما لو شك في زيد المسلم المؤمن هل هو فاسق أو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لجهالة حال الكلي باعتبار الشك في وصف هل أخذ في مفهومه أو لا فهو الشك في الصدق كالكافر المشكوك في صدق الفاسق عليه ، وعدمه باعتبار الشك في كونه بحسب الوضع لما يعمّ الخارج عن طاعة الله باعتقاده وعدمه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دون قرينة على ارادة الأفراد المعلوم الفردية كما في التكاليف</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الشك في الشرط</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العامة عند الأكثر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أهل المذهب ، له كتاب معتمد عند أصحابنا وهو القاضي الكوفي النخعي ، روى عن الصادق وعن الكاظم عليهما الصلاة والسلام وولّى القضاء 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الأخبار ما يشهد بتشيّعه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 وقيل موثّق بشهادة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فيهس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الضعفاء ويشمّ من رواياته كونه عاميّا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منه أنّه كان عاميّا موثّقا ، لكن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كان من الشيعة ،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منسوب الى قبيلة من عرب اليمن ،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المشهورات التي لا أصل لها تضعيف السّكوني أو جعله عاميّا ، وقد أجمع الطائفة على العمل برواياته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عامي المذهب بلا خلاف وهو كوفي</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الشيخ</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حجية الظن المطلق</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يقولون بعبد الله بن جعفر وهو الأكبر بعد إسماعيل ، الذي هو أكبر أولاده عليه‌السلام ومات بعده بسبعين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أكثر المشايخ والفقهاء الأجلّة ، ولكن جلّهم رجعوا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والفطح أي عريض الرأس أو الرجلين أو كان رئيسهم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وعلى القياس ان يقال الأفطحيّة إلا أنّه بنى على الترخيم عند النسبة</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يقولون بأنّ موسى عليه‌السلام هو المهدي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سمي بذلك من وقف على الامام موسى الكاظم عليه‌السلام ، والسبب الذي من أجله قيل بالوقوف هو انّه استشهد عليه‌السلام وليس له من قوّامه أحد إلّا وعنده المال الكثير ، وكان ذلك سبب وقفهم وجحودهم لموته ، فكان عند زياد القندي سبعون ألف دينار ، وكذا مآل كثير عند عثمان بن عيسى الكلابي أو العامري أو الرؤاسي الذي قال للامام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أباك لم يمت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الامام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الزيديّة والواقفيّة والنصّاب بمنزلة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والواقفة حمر الشيعة ثم تلا هذه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هُمْ إِلَّا كَالْأَنْعامِ بَلْ هُمْ أَضَلُّ سَبِيلاً </w:t>
      </w:r>
      <w:r>
        <w:rPr>
          <w:rFonts w:eastAsia="IRNazanin" w:cs="IRNazanin"/>
          <w:b w:val="false"/>
          <w:bCs w:val="false"/>
          <w:i w:val="false"/>
          <w:iCs w:val="false"/>
          <w:color w:val="333333"/>
          <w:sz w:val="20"/>
          <w:szCs w:val="20"/>
          <w:rtl w:val="true"/>
        </w:rPr>
        <w:t>) .</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الى رجل من أهل البصرة يقال له عبد الله ناووس أو الى قرية ناووس ، وهم قائلون بأنّ الصادق عليه الصلاة والسلام لم يمت وهو القائم المنتظر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كالبتريّة والكيسانيّة والزيديّة والاسماعيليّة والخطابيّة الى غير ذلك</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الرجال ، أنّ الطاطري ابن علي بن الحسن بن محمد ، وانّه يقال له ذلك لبيعه ثياب يقال له طاطر ، وانّه كان فقيها عالما له كتب ، من وجوه الواقفة ، شديد العناد مع الإماميّة ، ولعلّه هو رئيس هذه الطائفة ، ويمكن أن يقال بأنّهم صنف من الواقفة ، 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الطرطور قلنسوة للأعراب طويلة دقيقة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لمن يبيع الكرابيس والثياب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دمشق ومصر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طاطري والكرابيس جمع كرباس وهو القطن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المراد سلب العموم وليس عموم السلب</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التثبت في الخبر أعمّ من أن يكون بلا واسطة أو مع الواسطة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 التثبت في حال الرّجل تثبت في الخبر وداخل في منطوق الآية</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الميزان حينئذ هو الظنّ الحاصل بأخبار هؤلاء أيضا</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خلوص الشيء عن الانحراف والاعوجاج</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معنى آخر للعدالة ، وهو خلوص الشيء عن الميل الى الزّيادة والنقصان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جمهرة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الجربز من كلام العرب ، إنّما هو فارسي معرّب</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الشين المعجمة والرّاء المهملة مصدر شره ، اشتد ميله إليه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وتمنعها من الإصرار على الصغائر</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لتلك الكيفية من العدالة</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ابن أبي يعفور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يعرف عدالة الرّجل من المسلمين حتى يقبل شهادته لهم وعليهم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يعرفوه بالسّتر والعفاف ، وكفّ البطن والفرج واليد واللّسان ، ويعرف باجتناب الكبائر التي أوعد الله تعالى عليها النار ، من شرب الخمر والزّنا والرّبا وعقوق الوالدين والفرار من الزّحف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والدلالة على ذلك كلّه أن يكون ساترا لجميع عيوبه حتى يحرم على المسلمين تفتيش ما وراء ذلك من عثراته وعيوبه ، ويجب عليهم تزكيته وإظهار عدالته بين الناس، الى أن قال عليه‌السلام بعد ذكر مواظبته على الصّلوات الخمس وعدم تخلّفه عن جماعة المسلمين إلّا من 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سئل عنه في قبيلته ومحلّته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رأينا منه إلّا خيرا ، مواظبا على الصلاة معاهدا لأوقاتها في مصلّاه ، فإنّ ذلك يجيز شهادته وعدالته بين المسلمين ، الى أن قال بعد التأكيد على حضور الجماعة ، ومن لزم جماعتهم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عليهم غيبته وثبت عدالته بينهم</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الجنيد والمفيد والشيخ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مدّعيا فيه الإجماع على ما حكي</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غير الفرض النّادر فالرّاوي في نفس الأمر إما عادل أو فاسق ولا واسطة بينهما ، فانتفاء كونه فاسقا يلازم كونه عادلا</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الوصف</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تُصِيبُوا قَوْماً بِجَهالَةٍ فَتُصْبِحُوا عَلى ما فَعَلْتُمْ نادِمِينَ </w:t>
      </w:r>
      <w:r>
        <w:rPr>
          <w:rFonts w:eastAsia="IRNazanin" w:cs="IRNazanin"/>
          <w:b w:val="false"/>
          <w:bCs w:val="false"/>
          <w:i w:val="false"/>
          <w:iCs w:val="false"/>
          <w:color w:val="333333"/>
          <w:sz w:val="20"/>
          <w:szCs w:val="20"/>
          <w:rtl w:val="true"/>
        </w:rPr>
        <w:t>) .</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العرف</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المتصدي هو الفاضل التنكابني المشهور بالسّرابي على ما في الحاشية المنسوبة إليه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من الواقع انّه مع قطع النظر عن علم المخاطب</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كما لا يدخل علم المخاطب في معنى زيد وصالح ، فكذلك لا يدخل فيه أيضا علم المتكلّم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به وضع الجملة الخبريّة ويجوز على وجه بعيد جعل الضمير فيه لظاهر المتكلم في النسبة الخبرية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أفاد في الحاشية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ذكره المستدل</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حاصل ردّ التمسّك المذكور وحاصل المعارضة المذكورة وحاصل كلامنا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الحاشية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تذكية الحيوان</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كأصالة الطهارة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كفاية التحرّز</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استدلال الشيخ بالآية لا بعمل الطائفة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بخبره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الضّرر</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ذلك الخوف</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الوجوه السّابقة ، فإنّ غيره يوجب ترك المعصية في بعض الحالات دون بعضها</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الفسق بالجوارح</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كفاية التحرّز</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الخبر الموثّق</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المدح أو ما ذكروه أو التثبت ، كما في الحاشية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بضم الدّال هو التذكر القلبي ، مقابل الذّكر بالكسر بمعنى الذّكر اللّساني</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وحذف التنوين ومثل ذلك يصحّ في نحو المقام قال في الألفية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يكونا مفردين فأضف حتما وإلّا اتبع الذي ردف</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تخليطهم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مقلاص بالصاد المهملة على ما ضبطه العلّامة أو مقلاس بالسّين المهملة كما ضبطه أبو جعفر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ملعون غال مطرود ، بعد ما كان من أصحاب الصادق عليه‌السلام ، وذكرت أحاديث متعدّدة في ذمّه ولعنه ، لعنه الله وأخزاه وجعل النار مثواه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انّ من بدعه تأخير صلاة المغرب حتى تستبين النجوم</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رستاق كبيرة بين النّهروان والبصرة وقالوا انّه غال ، وقيل غال ورد فيه ذمّ كثير من الامام أبي محمّد العسكري عليه‌السلام ، وربما رمي الى النصب حتى قيل فيه انّه ما رأينا ولا سمعنا بمتشيّع خرج عن التشيّع الى النصب إلّا أحمد بن هلال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الإجماع بينهما بالقول بأنّه يحتمل أن يكون غلوّه بالنسبة الى بعض الأئمة ونصبه الى بعض</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والزّاء المعجمة ثم القاف والرّاء المهملة بعدها وهو محمد بن علي الشلمغاني ، قالوا في وصفه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روايات ، وكان مستقيم الطريقة متقدّما في أصحابنا فحمله الحسد لأبي القاسم بن روح على ترك المذهب والدخول في المذاهب الردّية حتى خرجت فيه توقيعات ، وقد أخذه مرّة السلطان فقتله وصلبه ببغداد ، وله من الكتب التي عملها حال الاستقامة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التكليف</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شيخ الواقفية ووجهها وأحد الوكلاء المستبدّين بمال الامام موسى بن جعفر عليهما‌السلام ، وقيل انّه كان عنده مآل كثير للكاظم عليه الصلاة والسلام ، وكتب إليه الإمام الرضا صلوات الله وسلامه عليه وآله فيها ، فأبى عليه أن يردّها</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البطائني عن النجاشي أنّه روى عن أبي الحسن موسى وعن أبي عبد الله عليهما‌السلام ثم وقف ، وهو أحد عمد 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علي بن الحسين بن فضّال انّه كذّاب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انّه كان عنده ثلاثون ألف دينار للكاظم عليه‌السلام فجحدها فكان ذلك سبب وقفه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ضعّف السيد الخوئي الرواية بمحمّد بن جمهور وبأحمد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الكشي انّه روي عن يونس بن عبد الرحمن انّه كان عند زياد بن مروان سبعون ألف دينار من مال الكاظم عليه‌السلام ، وعند علي بن أبي حمزة ثلاثون ألف دينار ، فلمّا رأيت ذلك وتبيّن لي الحق وعرفت من أمر أبي الحسن الرضا عليه‌السلام ما علمت ، فكلّمت ودعوت الناس إليه فبعثا إليّ وقالا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 تريد المال فنحن نغنيك ، وضمنا لي عشرة آلاف دينار ، وقالا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بالباء الموحّدة والشّين وربما قرء بالسّين المهملة مع الياء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بالوقف ونقل رجوعه الى الحق ، وفيه رواية دالّة على كلّ من وقفه ورجوعه غير أنّها غير سالم سندها</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الفطحيّة ثم رجع الى الاستقامة ، وربما قيل ببقائه على مذهبه وموته فيه إلّا أنّه وثّقه غير واحد ، فحديثه إن لم يكن صحيحا فهو من الموثّق</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 بن رباح كان ثقة في الحديث واقفا في المذهب صحيح الرواية كما قال النجاشي</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البطائني وقد مرّ ذكره وهو المقصود هنا ، وليس المقصود علي بن ابي حمزة الثمالي لأنّه ثقة فاضل</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البجلي فالأقوى عندي التوقف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وإكسير السّعادتين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الشيخ البهائي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الشمسيين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بالملازمة عدم التفارق مطلقا ، ومن الصحبة هو المصاحبة مع وجود التفارق أحيانا ، والمتأكدة أي المتكرّرة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الملكة الباطنية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العلماء هنا إمّا الفقهاء ، فالعطف للتفسير أو المراد علماء الرّجال أو المراد علماء الحديث أي الرّواة أو المراد مطلق العلماء ولو كانوا من أهل الأصول الدينية أو الفقهيّة ، ويحتمل ذلك الوجه أيضا فيما مرّ من قوله بين العلماء ، هذا على ما أفاده في الحاشية</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في اللّغة الحكاية ، والفتوى في اللّغة هو ما أفتى به الفقيه من أخبار عن مسائل ، والشهادة إخبار بما شاهده عن اليقين</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الأوّل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لا يقبل التقسيم</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الأهلّة الماضية والآتية</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الأقوى انّها من باب الشهادة</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واقعة</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عام حينئذ</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خاص حينئذ</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يقبل على قول بعض ، او المراد انّه لا يقبل قول واحد فيه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فيقبل في الطهارة لأصالة الطهارة ولا يقبل في النجاسة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الكاذب ، والخرص هو الكذب يقال خرص يخرص بالضمّ خرصا وتخرّص أي كذّب ، ومنه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 الْخَرَّاصُونَ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والخرص بالفتح حزر ما على النخل من الرطب تمرا ، يقال كم خرص أرضك ، وهو من الخرص الظنّ ، لأنّ الحزر إنّما هو تقدير بظنّ</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الثالث والرابع لا قوّة عند الشهيد لأحد الطرفين ، كما في الحاشية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هدية فلان إليك</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 ان يقول للشهادة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الشهيد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أصلا وهو قيد للنفي</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الايراد الأوّل</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الايراد الثاني</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الايراد الثالث ، فهو أيضا مردود ان اعتبر ذلك</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تحقيق المصنّف</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للأخبار وظاهر حال المسلم وظاهر العرف الجاري</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عطف تفسيري</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كالتزكية</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عقبة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جميع الأخبار حتى في الشهادة والتزكية وغيرهما</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التزكية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الهلال</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الوصية والاستهلال</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الصائم في هلال شهر رمضان والمفطر في هلال شوال</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البخاري كتاب الشفعة الحديث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الشفعة فيما لم يقسم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وكنت قد أتيت على مثل هذا الحديث بكلام تفصيلي من قبل في هذا الكتاب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لرواية محمّد بن مسلم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رأيتم الهلال فصوموا واذ رأيتموه فافطروا وليس بالرأي ولا بالتظنّي ولكن بالرؤية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لغيرها من الروايات</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الشرعية الواردة في الأخبار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الاجماعية او الأصولية العملية الفقاهية الأربعة كما في الحاشية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له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الميراث كما هو مذهب العامّة والمبني على الاستحسان أو غير ذلك</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الفتوى</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الشهيد</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وتبعه الشيخ حسن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ذهب إلى أنّ قول المحقّق هو الحق</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تزكية الرّاوي</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القاضي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يشترط في الشهادة العدد في تزكية الشاهد ولا في تزكية الراوي وإن كان الأحوط في الشهادة الاستظهار بعدد المزكّي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في الشهادة دون الرّواية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أفاد الظنّ أم لا أو المراد من الاطلاق هو قوله سواء كان رواية مصطلحة أو شهادة أو غيرهما هذا كما في الحاشية</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يلزم فيها من الشاهدين وغير ذلك من الأمور التعبديّة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متى</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المزكي اثنين لكل عادل شرط تعبدي لقبول العدلين في الشهادة</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كفاية المزكّي الواحد</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لأصحاب الظنّ المطلق</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حجية الخبر الواحد</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لأصحاب الظنّ الخاص</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أورده 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سوى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ينتهي كلام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نقله المصنف بتصرّف منه في بعض الألفاظ</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الآية الكبيرة في الدّين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وَاسْتَشْهِدُوا شَهِيدَيْنِ مِنْ رِجالِكُمْ فَإِنْ لَمْ يَكُونا رَجُلَيْنِ فَرَجُلٌ وَامْرَأَتانِ مِمَّنْ تَرْضَوْنَ مِنَ الشُّهَداءِ أَنْ تَضِلَّ إِحْداهُما فَتُذَكِّرَ إِحْداهُمَا الْأُخْرى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فالظنّ قائم مقام العلم عند الانسداد مطلقا</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لسلطان العلماء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مبحث وجوه معرفة الرّاوي</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ان المنطوق أقوى وأولى من المفهوم ، لأنّ المنطوق هو الأصل بينما المفهوم يتبعه فهو تابع للمنطوق</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كفاية المزكي الواحد في التزكية</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في قبول الرّواية</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 مثله واقع كثيرا كوجوب الحد للزاني فإنّه يثبت بالرّاوي الواحد وشرطه بثبوت الزنى وهو لا يثبت إلّا بأربعة وهكذا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ضعفه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والفاضل الجواد ، والمازندراني</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الأولوية منعها أيضا الفاضل الجواد والمازندراني المولى محمّد صالح في حاشيته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الجواب في دفع الاستدلال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المولى صالح في حاشية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كناية للولد يصوّت أوّل الولادة او انّ الناس تصوّت عند ولادته كما انّ الناس تصوّت في الاستهلال عند رؤية الهلال</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المولى محمّد صالح في حاشيته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أيضا للمولى محمّد صالح في أواخر هذا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نقل عنه المولى محمّد صالح المازندراني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باثبات أحدهما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المولى محمّد صالح في حاشية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هنا أيضا للمولى المازندراني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 المولى محمّد صالح المازندراني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كوفي كثير العلم جيّد وكثير التصانيف واسع الاخبار وقد وقع في اسناد كثير من الروايات تبلغ خمسمائة وعشرة موارد كما نقل السيد الخوئي ولكن عيبه انّه فطحي المذهب</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مأخوذ من قول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ومليحة شهدت لها ضرّاتها والحسن ما شهدت به 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وفضيلة شهدت لها أعدائها والفضل ما شهدت به الأعداء</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الاكتفاء بالظنّ بصدق راويه وإن لم يكن عادلا</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القبول مطلقا من الامامي وغير الامامي إذا ما أفاد الظنّ كما عرفت</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البجلي</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بن الحسن 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أبان بن عثمان من الناووسيّة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ابو عمرو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العصابة أجمعت على تصحيح ما يصح عن أبان بن عثمان والاقرار له بالفقه ، فالأقرب عندي قبول روايته وان كان فاسد المذهب للإجماع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المقدس الأردبيلي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الكفالة من شرح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كونه ناووسيا بل قيل كان ناووسيا وفي الكشي الذي عندي قيل كان قادسيّا اي من القادسية فكأنّه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جرح به لم يثبت لأنّ الأصل فيه علي بن الحسن ابن فضّال المتقرّر في كلام الأصحاب انّه من الفطحيّة فلو قبل طعنه في ابان لم يتجه المنع من قبول رواية ابان إذ الجرح ليس إلا لفساد المذهب وهو مشترك بين الجارح والمجروح</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سئل والده عن أبان بن عثمان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الاقرب عندي عدم قبول روايته لقوله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جاءَكُمْ فاسِقٌ بِنَبَإٍ فَتَبَيَّنُوا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فسق أعظم من عدم الايمان وأشار الى ما رواه الكشي من أنّ أبانا كان من الناووسية</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العلّامة والد فخر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المعالم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الكلام عن والده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الفسق وما يؤدي الى عدم العدالة</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ولزيادة المعرفة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الاتحاف بشرح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فعند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ذكر سبب الجرح دون التعديل ، 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ذكر سبب التعديل دون الجرح ، 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السّبب فيهما جميعا ، وقال القاضي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ذكر السّبب فيها جميعا ، وعند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 أنّ هذا يختلف باختلاف أحوال المزكّى ، وهو اختيار 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والآمدي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الثانية في الجرح والتعديل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المزكي او الجارح</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توضيح الجواب لهذا الاشكال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التوضيح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فكلما كان الزّمان بعيدا كلما كان اعتبار الكتاب أكثر ، وأمّا لو كان قريبا فتضعيفه أظهر</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هنا جواب لقوله فلو قيل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وجه الفرق بينهما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فترى الأغلب يسرعون الى التفسيق وظنّ السّوء لعدم اجتنابهم للظن كثيرا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جعل العدالة حسن الظاهر وليس الملكة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لوضوح ذلك</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الأكثر كما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وقدم العمل بالجرح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 عليه منهم الكثير ، منهم 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الآمدي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الصّلاح في مقدمته ، ونقله الخطيب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جمهور العلماء ، وجزم به الماوردي والروياني وابن القشيري كما حكاه الزركشي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المعدل</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وروى مثله الكشي من طريق فيه يونس بن عبد الرحمن عمن ذكره</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ضعيف جدا ، والغلاة تروي عنه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صورة إمكان الجمع</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قول من لم يجعل النصوصيّة مرجحا وإلا جعلت النصوصية هي أيضا مرجحا</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الآتي ذكره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الضعفاء كثيرا وفي مذهبه ضعف</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الأصول أيضا لما مرّ سابقا بأنّه اجتهاد لا تقليد وكذلك في اللّغة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فعبر عنه ببعض الأصحاب</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كمن يبحث عن مجهول فهو عقيم لا ينفع</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 قول المحقّق</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 مقبول عند مالك وأبي حنيفة والجماهير ، ومردود عند الشافعي والقاضي وهو المختار عند الغزالي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خالد البرقي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منسوب الى برقة قم وبعد كوفي ثقة غير انّه أكثر الرّواية عن الضعفاء واعتمد المراسيل قال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عليه القمّيون وليس الطعن فيه إنّما الطعن فيمن يروى عنه فإنّه كان لا يبالي عمّن أخذ على طريقة أهل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احمد بن محمّد بن عيسى أبعده عن قم ثم أعاده اليها واعتذر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توفي مشى أحمد بن محمّد بن عيسى في جنازته حافيا حاسرا ليبرئ نفسه مما قذفه به</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نقل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الاعتماد على هذا التعديل</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غاية الارسال المزبور</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أبي نصر المعروف بالبزنطي ثقة جليل القدر اختصّ بالامام الرضا عليه‌السلام وابي جعفر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أصحابنا على تصحيح ما يصح عنه وأقروا له بالفقه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 البجلي كوفي ثقة ثقة روى عن الامام الرضا عليه‌السلام وكانت له منزلة عنده شريفة كما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أوثق أهل زمانه عند أهل الحديث وأعبدهم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شريكا لعبد الله بن جنوب وعلي بن النعمان وإنّهم تعاقدوا في بيت الله الحرام أنّه من مات منهم صلى من بقي صلاته وصام صيامه وزكّى عنه زكاته ، فماتا وبقي صفوان فكان يصلّي كل يوم مائة وخمسين ركعة ويصوم في السنة ثلاثة أشهر ويزكّي زكاته ثلاث دفعات ، وكلّ ما يتبرّع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نفسه به ممّا عدا ما ذكرناه تبرّع عنهما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أصحابنا أنّ انسانا كلّفه حمل دينارين الى اهله الى الكوفة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جمالي مكريّة وأنا أستأذن الأجراء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الورع والعبادة على ما لم يكن عليه أحد من طبقته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الكشي إجماع العصابة على تصحيح ما يصح عنه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عثمان الناب ثقة جليل القدر من أصحاب الكاظم والرضا عليهما‌السلام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الكشي عن حمدويه عن أشياخه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ممّن أجمعت العصابة على تصحيح ما يصح عنه والإقرار له بالفقه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وحمّاد بن عيسى الجهني كان ثقة في حديثه صدوقا وهو ممن أجمعت العصابة على تصحيح ما يصحّ عنهم وتصديقهم لما يقولون والإقرار لهم بالفقه كما ذكر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بأنّه غريق الجحفة وجاء كما في قصة تطلب في ترجمته مات بوادي القناة بالمدينة وهو واد يسيل من الشجرة الى المدينة غرقا في حجّة الواحد والخمسين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كجميل بن درّاج وعبد الله مسكان وعبد الله بن بكير وأبان بن عثمان</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الاستدلال</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الذي حصل من مجرّد خبر المسلم</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المقصود ليس ثبوت العدالة بل حصول خبر معتمد يعمل به وهو حاصل هنا لكونه من باب التثبت الإجمالي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لم يكن الرّاوي ممّن لا يروي إلّا عن ثقة كما عرفت من قبل</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عملهم بالمراسيل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بالمرادف وغير المرادف ، قال 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الحديث بالمعنى دون اللفظ حرام على الجاهل بمواقع الخطاب ودقائق الألفاظ ، أمّا العالم بالفرق بين المحتمل وغير المحتمل والظاهر والأظهر والعام والأعم فقد جوّز له الشافعي ومالك وأبو حنيفة وجماهير الفقهاء ان ينقله على المعنى إذا فهمه ، وقال فريق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له إلّا إبدال اللفظ بما يرادفه ويساويه في المعنى ، كما يبدل القعود بالجلوس والعلم بالمعرفة والاستطاعة بالقدرة </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افادة المراد أو بما نقله من نفس اللّفظ</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العميدي حيث علّل الشرط الأخير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هذا التعليل وهذا الشرط هذا كما أفاد في الحاشية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ملاحظة الخفاء والجلاء</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آخر هذا القانون في بيان حال الرّاوي المخاطب إذا ذكر المتشابه ثم فسّره</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مكي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النبي صلى‌الله‌عليه‌وآله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أدرك ركعة من الصلاة فقد أدرك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المتداولة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أَرْسَلْنا مِنْ رَسُولٍ إِلَّا بِلِسانِ قَوْمِهِ لِيُبَيِّنَ 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محمد بن يعقوب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الكتب والحديث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جواز النقل بالمعنى</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الشروط تصبح كفيلة بمراعاتها لعدم الاختلال بالمقصود واستحالة المعنى رغم كثرة الطبقات وتطاول الأزمنة</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من مرّة مع فرق باللّفظ وجيز ، وأورد هذا الحديث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كثير من مصادر العامة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غير أنّ الشيخ الممقاني ردّه بمنع صحة السّند وباضطراب المتن كما ذكر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لمعارضتها مما هو أقوى منها سندا ودلالة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الأفكار شرح تنقيح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للصنعاني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تعليقات محي الدين عبد الحميد</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يدل على النقل بالمعنى</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الاشكال على اشتراط المساواة في الخفاء والجلاء كما ذكر عند النقل بالمعنى من أن ذكر اللفظ المجمل المتشابه وتعقيبه بالتفسير الذي فهمه الرّاوي ، يسمى نقلا بالمعنى ، وانّ ذلك عنوان مسألة اخرى وسنشير الى ما ذكر</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قوله</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هذه الأمور المتصفة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بعدم سقوط شيء من السند مع الاتصال بالمعصوم عليهم‌السلام</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عرّفوا الحديث الصحيح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اختصار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المسند الذي يتصل إسناده بنقل العدل الضابط حتى ينتهي الى رسول الله صلى‌الله‌عليه‌وآله او الى منتهاه من صحابي أو من دونه ولا يكون شاذا ولا معلّلا</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جميل بن درّاج كان قاضيا في الكوفة نقل السيّد الخوئي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الرّجل شيعي صحيح الاعتقاد وكان يفتي ويقضي بالحق ولكنّه مع ذلك فقد عده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الطائفة عملت بروايته ان لم تعارضها رواية اخرى من طرقنا</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مكاتبة كما ذكره النجاشي في ترجمة محمّد بن عبد الله بن جعفر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 أخوة جعفر والحسين وأحمد كلّهم كان له مكاتبة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هذا الاجماع محمد بن عمر بن عبد العزيز المعروف بالكشي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ثمانية عشر رجلا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في ستة منهم نقل الاجماع على تصديق ما يصح عنهم ، ومنهم من لم يفرّق بين التصديق والتصحيح فحكي عنه في الجميع إجماع العصابة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هؤلاء الثمانية عشر 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أعين وبريد العجلي ومحمد بن مسلم وابو بصير المرادي ليث بن البختري وفضيل بن يسار ومعروف بن خرّبوذ وجميل بن درّاج وأبان بن عثمان وعبد الله بن مسكان وعبد الله بن المغيرة وحمّاد بن عثمان وحمّاد بن عيسى وصفوان بن يحيى ويونس بن عبد الرحمن والحسن بن محبوب ومحمد بن أبي عمير وعبد الله بن بكير وأحمد بن محمد بن أبي نصر البزنطي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منظومة السيد بحر العلوم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أجمع الكل على تصحيح ما يصح عن جماعة ، فليعلما وهم أولوا نجابة ورفعة ، أربعة وخمسة وتسعة ، فالستة الأولى من الأمجاد ، أربعة منهم من الأوتاد ، زرارة كذا بريد قد اتى ، ثم محمد وليث يا فتى ، كذا فضيل بعده معروف وهو الذي ما بيننا معروف ، والستة الوسطى أولوا الفضائل ، رتبتهم أدنى من الأوائل ، جميل الجميل مع أبان ، والعبد لان ثم حمّادان ، والستة الاخرى هم صفوان ، ويونس عليهما الرضوان ، ثم ابن محبوب كذا محمد ، كذاك عبد الله ثم أحمد ، وما ذكرناه الأصح عندنا ، وشذّ من به خالفنا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اشارة الى من خالف فزاد فضالة بن أيوب ليصيروا تسعة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أحد وعشرون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 وعشرون ، وهناك من ذكر مكان ابي بصير المرادي أبي بصير الأسدي ، ومكان ابن محبوب الحسن بن علي بن فضال أو عثمان بن عيسى مكان فضالة بن ايوب</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فضلا عصره على ما حكي</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الصحيح</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والموثّق</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احاديث في ذلك كما في كتاب الطهارة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تسمية الفقهاء من أصحاب أبي جعفر وأبي عبد الله عليهما‌السلام ذكر الكشي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وافقه الستة زرارة ، وفي تسمية الفقهاء من أصحاب أبي عبد الله عليه‌السلام ذكر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وزعم ابو اسحاق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ثعلبة ابن 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أفقه هؤلاء جميل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تسمية الفقهاء من أصحاب أبي ابراهيم وأبي الحسن الرضا عليهما‌السلام وافقه هؤلاء يونس بن عبد الرحمن وصفوان بن يحيى</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عبيد الله كما في ترجمته 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مصنّف معمول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 وقيل إنه عرض على الصادق عليه‌السلام ، فلما راه استحسنه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المخالفين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داود بن القاسم أنّ أبا جعفر الجعفري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أدخلت كتاب يوم وليلة الذي الّفه يونس بن عبد الرحمن على أبي الحسن العسكري عليه‌السلام فنظر فيه وتصفّحه كلّه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ديني ودين آبائي وهو الحق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روى الكشي عن الملقب بخورا من أهل نيسابور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محمد الفضل بن شاذان كان وجّهه الى العراق فذكر انّه دخل على أبي محمد العسكري عليه‌السلام ، فلما أراد أن يخرج سقط عنه كتاب وكان من تصنيف الفضل فتناوله ابو محمد ونظر فيه فترحّم عليه</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من ابني سعيد الحسن والحسين الأهوازيين ثلاثة وثلاثون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لعلي بن مهزيار الأهوازي ، وله زيادة كتاب حروف القرآن ، كتاب القائم ، كتاب البشارات ، كتاب الأنبياء ، كتاب النوادر ، رسائل علي بن أسباط</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الحسين بن عبيد الله السعدي وكتاب القبلة لعلي بن الحسن الطاطري</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الكتاب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وكثيرها أو أكثرها قال الشهيد 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أبا عبد الله عليه‌السلام كتب في جواب مسائله أربعمائة مصنّف لأربعمائة مصنّف ، ودوّن من رجاله المعروفين أربعة آلاف رجل من أهل العراق والحجاز وخراسان والشام ، وكذلك عن مولانا الباقر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وذكر اندراس كتب محمد بن أبي عمير وسببه وقصص نصير الملّة والدين وجمعه للأصول وسبب زوالها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يعرف انّ الأحاديث كانت أضعافا كثيرة مما في أيدينا اليوم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الحق والدين الحسن بن المطهّر الحلي 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نلاحظ من خلال كتب الحديث كالتي هي للشيخ نجد أن تنويع الحديث الى الصحيح والحسن والموثّق كان شائعا في زمن الشيخ فكيف يكون العلّامة أوّل من سلك هذا الطريق</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مثل عبد الله بن حمّاد فإنّ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رواية يعقوب بن شعيب الحدّاد في كتاب الزّكاة في مسألة جواز إعطائه الزّكاة بغير المؤمنين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نادرة وفي طريقها أبان بن عثمان وفيه ضعف ، مع ان في طريقها عبد الله بن حمّاد ولم يتعرّض له ، وكذلك ابراهيم بن اسحاق ولم يقدح في صحته أيضا ، وفي ذلك دلالة على حسنهما بل وثاقتهما سيما مع كون أبان جليلا من أجمعت العصابة على تصحيح ما يصح عنه ، منه كما في الحاشية</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كاف يجمع فيه من جميع فنون علم الدين ما يكتفي به المتعلّم ويرجع إليه المسترشد ويأخذ منه من يريد علم الدين والعمل به بالآثار الصحيحة عن الصادقين عليهم‌السلام والسنن القائمة التي عليها العمل</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كون هذه الصفة توثيقا اشكال</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سعيد بن عقدة الهمداني الكوفي</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لعبد الله وابنه محمد وهما من علماء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أشهر من أبيه</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كابن حجر الشافعي وغيره ، منه رحمه‌الله كما في الحاشية</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العامة ما أضيف الى النبي صلى‌الله‌عليه‌وآله</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 الشيخ في كتابيه والصدوق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يعقوب ، أو أحمد بن محمّد ثم يذكر في آخر الكتاب طريقه الى كل واحد ممن ذكر في أوّل الاسناد مثل انّه قال الشيخ الطوسي في مشيخته في 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فما ذكرناه في هذا الكتاب عن محمد بن يعقوب الكليني رحمه‌الله فقد أخبرنا به الشيخ ابو عبد الله محمد بن محمد النعمان رحمه‌الله عن أبي القاسم جعفر بن محمد بن قولويه رحمه‌الله عن محمد بن يعقوب رحمه‌الله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قبيل ثلاثيّات الكليني وهي الأحاديث التي يكون عدد رواتها ثلاثة وقد وقع منه بهذا الاسناد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 عن هارون بن مسلم عن مسعدة بن صدقة عن أبي عبد 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الكليني توفي بعد شهادة الامام الصادق عليه‌السلام بمائة وثمانين عاما</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استعمله أكثر المحدثين مريدين به الاتّصال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وأكثرهم لا يقول بالمرسل ، وقال الحاكم لا يسمى مرسلا بل منقطعا كما في معرفة علوم الحديث والنووي يرى انّ عدّ المعنعن من قبيل المرسل مردود بإجماع السّلف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مسلم للنووي</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للشهيد الثاني ذكره المدرج بغير تشديد خلافا لما عليه هنا</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الحديث</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لجمعه بين الشذوذ وعدم الثقة</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الدار قطني انّ أبا بكر الصوليّ أملى في الجامع حديث أبي أيوب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صام رمضان واتبعه ستا من 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 بالشيء والياء بدل 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فنّ جليل إنّما ينهض بأعبائه الحذّاق من العلماء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اصول الحديث</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أوّل من صنّف فيه النضر بن شميل وقيل ابو عبيدة معمر بن المثنى وبعدهما ابو عبيد القاسم بن سلام ثم ابن قتيبة ثم الخطابي فهذه امّهاته ثم تبعهم غيرهم بزوائد كابن الاثير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الزمخشري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والهرويّ احمد بن محمد بن عبد الرحمن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القرآن مع الحديث</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أمثلته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لنا الأرض مسجدا وترابها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الزّيادة تفرّد بها بعض الرّواة ، ورواية الأكثر لفظها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لنا الأرض مسجدا وطهورا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رواه الأكثر يشمل لجميع أصناف الأرض من الحجر والمدر والرّمل والتراب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تفرّد بالزيادة مخصوص بالتراب فقط وهذا نوع من المخالفة يختلف به الحكم</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بالأصابع</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كأخذ شعر اللحية بأن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فلان شعره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فلان شعره ، وهكذا الى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ابو عبد الله عليه الصلاة والسلام شعره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أرسل شعره او من أصلح شعره كان له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حاشية السيد علي القزويني</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كالتلقيم بلقمة في فيه والاطعام والسّقي ونحو ذلك ، فإنّه يتضمّن الوصف بالقول كقول كل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لقمني فلان بيده لقمة لقمة</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بحسب الاتصال فيقال مسلسل النصف أو مسلسل الرّبع أو غيرهما أو بحسب النقص وقدره</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المتأخرين</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لا يعرف ضعفه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 رفعه ، عن أبان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فتاة منّا بها قرحة في فرجها والدم سائل لا تدري من دم الحيض أو من دم القرحة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مرها ، فلتستلق على ظهرها ، ثم ترفع رجليها ثم تستدخل اصبعها الوسطى ، فإن خرج الدّم من الجانب الأيمن فهو من الحيض ، وإن خرج من الجانب الأيسر فهو من القرحة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الكليني وافتى به ابن الجنيد وفي كثير من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بلفظها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الحيض من الأيسر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بعض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الجديدة كذلك ، وقطع بأنّه تدليس</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يقع القلب في المتن كحديث السبعة الّذين يظلّهم الله يوم لا ظلّ إلّا ظلّه 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تصدّق بصدقة فأخفاها حتى لا تعلم يمينه ما تنفق 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مما انقلب على بعض الرّواة وإنّما الحديث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يظلّهم الله في ظلّه يوم لا ظلّ إلا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العادل ، وشاب نشأ في عبادة ربّه ، ورجل قلبه معلّق بالمساجد ورجلان تحابا في الله واجتمعا عليه وتفرّقا عليه ورجل طلبته امرأة ذات منصب وجمال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أخاف الله عزوجل ، ورجل تصدق بصدقة أخفاها حتى لا تعلم شماله ما ذا تنفق يمينه ورجل ذكر الله خاليا ففاضت عيناه</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المصنوع المكذوب وهو شرّ أقسام الضعيف</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الرّاوي</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الشيخ</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السماع</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السماع</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الاجازة</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أعلاها كما ذهب الشهيد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لانضباتها بالتعيين حتى زعم بعضهم انّه لا خلاف في جوازها وإنّما الخلاف في غير هذا النوع</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فائدة الاجازة</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انواع التعبيرات</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ناولت فلانا شيئا مناولة إذا عاطيته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انّ المناولة أعلى أنواع الاجازة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الكتاب الفلاني من كتب الأخبار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يناوله كتابا ويقول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مقتصرا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يجوز له الرّواية بها ، وبه قال الفقهاء وأهل الأصول وعابوا من جوّزه من المحدثين</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وجوّزها بعض المحدثين وأما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يجوّزها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فالصحيح أنّه لا يجوز الرّواية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نعيم الاصبهاني والمرزباني وغيرهما جوازه في الاجازة المجرّدة عن المناولة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الحديث ، وحكى الخطيب عن بعضهم جوازها ، وقال الشيخ الحارثي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بجوازها وهو غير بعيد لحصول العلم بكونه مرويّا له مع اشعارها بالإذن له في الرّواية ،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القاعدة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الجلسة على الورك الأيسر وقد يطلق عليها الجلسة التي بعد السجدتين</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ذاب الشّحم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فيه قرأته معلوما فضمير الفاعل راجع الى بعض العامة أو مجهولا فما بعده نائب فاعله وعلى الثاني داخل في الزّعم وعلى الأوّل عطف على قوله 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الحاشية</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الخلقة قال قيس بن الخطيم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شكول النساء خلقتها قصد فلا جبلة ولا قضف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الشكول الضروب ؛ قال ابن 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شعر قيس بن الخطيم جبلة بالفتح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اسم الفاعل من جبل بجبل فهو جبل حبل إذا غلظ ، والقضف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الدّقة وقلّة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لفعل الطبيعة</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مع المدّ وهي الثنيّة العليا بها مما يلي المقابر وهي المعلّى وخروجه من ثنية كدا بالضم والقصر الثنية السّفلى مما يلي باب العمرة 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 كما في الحاشية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فرقد رقدة بالمحصّب وهو بضم الميم وتشديد الصّاد موضع الجمار عند أهل اللغة والمراد به هنا كما نص عليه بعض شراح الحديث الأبطح ، إذ المحصّب يصح أن يقال لكل موضع كثيرة حصاؤه ، والأبطح ميل واسع فيه دقاق الحص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الموضع تارة يسمى بالأبطح واخرى بالمحصّب ، أوّله عند منقطع الشعب من وادي منى وآخره متصل بالمقبرة التي تسمى عند أهل مكة بالمعلّى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المراد المحصّب موضع الجمار بمنى وذلك لأنّ السّنة يوم النفر من منى أن ينفر بعد رمي الجمّار وأوّل وقته بعد الزّوال وليس له أن يلبث حتى يمسي ، وقد صلى به النبي صلى‌الله‌عليه‌وآله المغرب والعشاء الآخرة وقد رقد به رقدة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والتحصيب المستحب هو النزول في مسجد المحصبة والاستلقاء فيه وهو في الأبطح وهذا الفعل مستحب تأسّيا بالنبي صلى‌الله‌عليه‌وآله ، وليس لهذا المسجد أثر في هذا الزمان ، فتتأدى السّنة بالنزول بالأبطح قليلا ثم يدخل البيوت من غير ان ينام بالأبطح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كما صرّح به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 وأردت ان اشبع الكلمة هنا بالشّرح لعموم الفائدة</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التعريس نزول المسافر آخر الليل للنوم والاستراحة والمعرس هو موضع التعريس ، وبه يسمى معرس ذي الحليفة ، لأنّ النبي صلى‌الله‌عليه‌وآله عرس فيه وصلّى الصبح فيه ثم رحل والمعرس فرسخ من المدينة بقرب مسجد الشجرة بإزائه مما يلي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أتيت ذا الحليفة فأت معرس النبي صلى‌الله‌عليه‌وآله فان رسول الله صلى‌الله‌عليه‌وآله كان يعرس فيه ويصلّي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أي شيء نصنع؟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تصلّي وتضطجع قليلا ليلا أو نهارا وإن كان التعريس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المعرس مسجد ذي الحليفة على ستة أميال من المدينة كان رسول الله يعرس فيه ثم يرحل للغزاة أو غيرها</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فبالاسناد الى أبي هارون بن موسى التلعكبري عن علي بن موسى بن جعفر بن محمد عليهما‌السلام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يا سيّدي إنّا نروي عن النبي صلى‌الله‌عليه‌وآله‌وسلم أنّه كان إذا أخذ في طريق لم يرجع فيه ورجع في غيره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كان نبي الله صلى‌الله‌عليه‌وآله يفعل وهكذا أفعل أنا وهكذا كان أبي عليه‌السلام يفعل وهكذا فافعل فإنّه أرزق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نبي الله صلى‌الله‌عليه‌وآله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أرزق للعباد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أيام أو أقلّ</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الأفعال الطبيعية وغير ما علم اختصاصه به صلى‌الله‌عليه‌وآله</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بكلا قسميه او بالقسم الثاني او بالقسم الأوّل ، ولعلّ الأوّل هو الأظهر بل المتعين</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القول بالاستحباب</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الوجوب</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ثبت اختصاصه بالنبي صلى‌الله‌عليه‌وآله</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مرّ من الاستدلال على ما اختاره ، فلا وجه للرجوع الى الأصل أو التوقف</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العبادات والمعاملات</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فصّل بين العبادات والمعاملات</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او اشارة او فعل كمثل قوله صلى‌الله‌عليه‌وآله ، صلوا كما رأيتموني أصلي</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 لأوّل مرّة أمام الآخرين مثلا</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كغير الكثير الفاحش</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قول الظنّ الخاص في الأغلب وان كان بعضهم أيضا يجري البراءة هنا أيضا</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ولو لم يكن عبادة إذ الشرعية أعم من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في الحاشية</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الفتوى</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مضمونها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جواد مغنية في تفسيره للآية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الممتحنة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على القصة ولكن لم يذكر اجابته صلى‌الله‌عليه‌وآله كما هو في متن المصنّف</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أحيا أرضا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إحياء الموات والارضين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الارضين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احياء أرض الموات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سعيد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مذاهب هؤلاء القائلين</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التعبد وعدمه او بين تلك الشرائع كما في الحاشية</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يصح الاقتداء فيها جميعا وهي مختلفة</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مدح نبي الله يحيى عليه وعلى نبينا الصلاة والسلام بالحصور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والتقيّة في غير النبي صلى‌الله‌عليه‌وآله</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علي بن الحسن بن فضال عن الامام الرضا عليه‌السلام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حدثني أبي عن جدي عن أبيه عليهم‌السلام أن رسول الله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رآني في منامه فقد رآني لأنّ الشيطان لا يتمثّل في صورتي ولا في صورة أحد من أوصيائي ولا في صورة واحد من شيعتهم ، وانّ الرّؤيا الصّادقة جزء من سبعين جزأ من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بالشيعة هو الخلّص منهم كسلمان وأبي ذرّ وعمّار وأمثالهم</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رواها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ابراهيم الطالقاني عن ابن عقدة عن علي بن الحسن بن فضال عن أبيه عن الرضا عليه‌السلام انّه قال له رجل من أهل خراسان يا بن رسول الله ، رأيت رسول صلى‌الله‌عليه‌وآله في المنام كأنّه يقول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أنتم اذا دفن في أرضكم بضعتي ، واستحفظتم وديعتي وغيّب في ثراكم نجمي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المدفون في أرضكم وأنا بضعة من نبيّكم وأنا الوديعة والنجم ألا فمن زارني وهو يعرف ما أوجب الله تبارك وتعالى في حقي وطاعتي فأنا وآبائي شفعاؤه يوم القيامة ومن كنّا شفعاؤه يوم القيامة نجا ولو كان عليه مثل وزر الثقلين الأنس والجنّ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للنّوري ونقله عن ابن ابي الحديد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فخّار بن معد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ليس في عبارة السيدة الزهراء عليها‌السلام يا شيخ</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روى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النوري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 الرّؤيا روايات كثيرة في هذا المقام</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في فوائد الرّؤيا النوري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الائمة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الوحي وبقي المبشرات ألا وهي نوم الصالحين والصالحات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السنة باسناده عن عبادة بن الصامت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رسول الله صلى‌الله‌عليه‌وآله عن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لَهُمُ الْبُشْرى فِي الْحَياةِ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الرّؤيا الصالحة يراها المؤمن أو يرى 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image" Target="media/image2.jpeg"/><Relationship Id="rId592" Type="http://schemas.openxmlformats.org/officeDocument/2006/relationships/image" Target="media/image2.jpeg"/><Relationship Id="rId593" Type="http://schemas.openxmlformats.org/officeDocument/2006/relationships/footer" Target="footer586.xml"/><Relationship Id="rId594" Type="http://schemas.openxmlformats.org/officeDocument/2006/relationships/footnotes" Target="footnotes.xml"/><Relationship Id="rId595" Type="http://schemas.openxmlformats.org/officeDocument/2006/relationships/numbering" Target="numbering.xml"/><Relationship Id="rId596" Type="http://schemas.openxmlformats.org/officeDocument/2006/relationships/fontTable" Target="fontTable.xml"/><Relationship Id="rId597" Type="http://schemas.openxmlformats.org/officeDocument/2006/relationships/settings" Target="settings.xml"/><Relationship Id="rId5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591</Pages>
  <Words>142388</Words>
  <Characters>575090</Characters>
  <CharactersWithSpaces>714202</CharactersWithSpaces>
  <Paragraphs>5799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2026-08-24T12:03:49Z</dcterms:created>
  <dc:creator>ghaemiyeh.com</dc:creator>
  <dc:description/>
  <dc:language>en-US</dc:language>
  <cp:lastModifiedBy/>
  <dcterms:modified xsi:type="dcterms:W3CDTF">2026-08-24T15:34:22Z</dcterms:modified>
  <cp:revision>1</cp:revision>
  <dc:subject/>
  <dc:title>القوانین المحکمة فی الاصول المتقنة جلد 2</dc:title>
</cp:coreProperties>
</file>

<file path=docProps/custom.xml><?xml version="1.0" encoding="utf-8"?>
<Properties xmlns="http://schemas.openxmlformats.org/officeDocument/2006/custom-properties" xmlns:vt="http://schemas.openxmlformats.org/officeDocument/2006/docPropsVTypes"/>
</file>