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مسائل سوال برانگیز در تاریخ 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3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5_2616395394">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807_2616395394">
            <w:r>
              <w:rPr>
                <w:webHidden/>
                <w:rStyle w:val="IndexLink"/>
              </w:rPr>
              <w:t>1</w:t>
            </w:r>
            <w:r>
              <w:rPr>
                <w:rStyle w:val="IndexLink"/>
                <w:rtl w:val="true"/>
              </w:rPr>
              <w:t xml:space="preserve">. </w:t>
            </w:r>
            <w:r>
              <w:rPr>
                <w:rStyle w:val="IndexLink"/>
                <w:rtl w:val="true"/>
              </w:rPr>
              <w:t>اسناد حدیث دوات و قلم</w:t>
            </w:r>
            <w:r>
              <w:rPr>
                <w:rStyle w:val="IndexLink"/>
                <w:rtl w:val="true"/>
              </w:rPr>
              <w:tab/>
            </w:r>
            <w:r>
              <w:rPr>
                <w:rStyle w:val="IndexLink"/>
              </w:rPr>
              <w:t>8</w:t>
            </w:r>
          </w:hyperlink>
        </w:p>
        <w:p>
          <w:pPr>
            <w:pStyle w:val="Contents2"/>
            <w:tabs>
              <w:tab w:val="clear" w:pos="8743"/>
              <w:tab w:val="right" w:pos="9026" w:leader="dot"/>
            </w:tabs>
            <w:rPr/>
          </w:pPr>
          <w:hyperlink w:anchor="__RefHeading___Toc809_2616395394">
            <w:r>
              <w:rPr>
                <w:webHidden/>
                <w:rStyle w:val="IndexLink"/>
              </w:rPr>
              <w:t>2</w:t>
            </w:r>
            <w:r>
              <w:rPr>
                <w:rStyle w:val="IndexLink"/>
                <w:rtl w:val="true"/>
              </w:rPr>
              <w:t xml:space="preserve">. </w:t>
            </w:r>
            <w:r>
              <w:rPr>
                <w:rStyle w:val="IndexLink"/>
                <w:rtl w:val="true"/>
              </w:rPr>
              <w:t>تعبیرات مختلفی که در مخالفت با رسول خدا صلی الله علیه و آله گفته شد</w:t>
            </w:r>
            <w:r>
              <w:rPr>
                <w:rStyle w:val="IndexLink"/>
                <w:rtl w:val="true"/>
              </w:rPr>
              <w:tab/>
            </w:r>
            <w:r>
              <w:rPr>
                <w:rStyle w:val="IndexLink"/>
              </w:rPr>
              <w:t>13</w:t>
            </w:r>
          </w:hyperlink>
        </w:p>
        <w:p>
          <w:pPr>
            <w:pStyle w:val="Contents2"/>
            <w:tabs>
              <w:tab w:val="clear" w:pos="8743"/>
              <w:tab w:val="right" w:pos="9026" w:leader="dot"/>
            </w:tabs>
            <w:rPr/>
          </w:pPr>
          <w:hyperlink w:anchor="__RefHeading___Toc811_2616395394">
            <w:r>
              <w:rPr>
                <w:webHidden/>
                <w:rStyle w:val="IndexLink"/>
              </w:rPr>
              <w:t>3</w:t>
            </w:r>
            <w:r>
              <w:rPr>
                <w:rStyle w:val="IndexLink"/>
                <w:rtl w:val="true"/>
              </w:rPr>
              <w:t xml:space="preserve">. </w:t>
            </w:r>
            <w:r>
              <w:rPr>
                <w:rStyle w:val="IndexLink"/>
                <w:rtl w:val="true"/>
              </w:rPr>
              <w:t>نزاع و درگیری در محضر آن حضرت</w:t>
            </w:r>
            <w:r>
              <w:rPr>
                <w:rStyle w:val="IndexLink"/>
                <w:rtl w:val="true"/>
              </w:rPr>
              <w:tab/>
            </w:r>
            <w:r>
              <w:rPr>
                <w:rStyle w:val="IndexLink"/>
              </w:rPr>
              <w:t>16</w:t>
            </w:r>
          </w:hyperlink>
        </w:p>
        <w:p>
          <w:pPr>
            <w:pStyle w:val="Contents2"/>
            <w:tabs>
              <w:tab w:val="clear" w:pos="8743"/>
              <w:tab w:val="right" w:pos="9026" w:leader="dot"/>
            </w:tabs>
            <w:rPr/>
          </w:pPr>
          <w:hyperlink w:anchor="__RefHeading___Toc813_2616395394">
            <w:r>
              <w:rPr>
                <w:webHidden/>
                <w:rStyle w:val="IndexLink"/>
              </w:rPr>
              <w:t>4</w:t>
            </w:r>
            <w:r>
              <w:rPr>
                <w:rStyle w:val="IndexLink"/>
                <w:rtl w:val="true"/>
              </w:rPr>
              <w:t xml:space="preserve">. </w:t>
            </w:r>
            <w:r>
              <w:rPr>
                <w:rStyle w:val="IndexLink"/>
                <w:rtl w:val="true"/>
              </w:rPr>
              <w:t>عکس العمل پیامبر چگونه بود؟</w:t>
            </w:r>
            <w:r>
              <w:rPr>
                <w:rStyle w:val="IndexLink"/>
                <w:rtl w:val="true"/>
              </w:rPr>
              <w:tab/>
            </w:r>
            <w:r>
              <w:rPr>
                <w:rStyle w:val="IndexLink"/>
              </w:rPr>
              <w:t>18</w:t>
            </w:r>
          </w:hyperlink>
        </w:p>
        <w:p>
          <w:pPr>
            <w:pStyle w:val="Contents2"/>
            <w:tabs>
              <w:tab w:val="clear" w:pos="8743"/>
              <w:tab w:val="right" w:pos="9026" w:leader="dot"/>
            </w:tabs>
            <w:rPr/>
          </w:pPr>
          <w:hyperlink w:anchor="__RefHeading___Toc815_2616395394">
            <w:r>
              <w:rPr>
                <w:webHidden/>
                <w:rStyle w:val="IndexLink"/>
              </w:rPr>
              <w:t>5</w:t>
            </w:r>
            <w:r>
              <w:rPr>
                <w:rStyle w:val="IndexLink"/>
                <w:rtl w:val="true"/>
              </w:rPr>
              <w:t xml:space="preserve">. </w:t>
            </w:r>
            <w:r>
              <w:rPr>
                <w:rStyle w:val="IndexLink"/>
                <w:rtl w:val="true"/>
              </w:rPr>
              <w:t>اندوه فراوان ابن‌عباس برای چه بود؟</w:t>
            </w:r>
            <w:r>
              <w:rPr>
                <w:rStyle w:val="IndexLink"/>
                <w:rtl w:val="true"/>
              </w:rPr>
              <w:tab/>
            </w:r>
            <w:r>
              <w:rPr>
                <w:rStyle w:val="IndexLink"/>
              </w:rPr>
              <w:t>19</w:t>
            </w:r>
          </w:hyperlink>
        </w:p>
        <w:p>
          <w:pPr>
            <w:pStyle w:val="Contents2"/>
            <w:tabs>
              <w:tab w:val="clear" w:pos="8743"/>
              <w:tab w:val="right" w:pos="9026" w:leader="dot"/>
            </w:tabs>
            <w:rPr/>
          </w:pPr>
          <w:hyperlink w:anchor="__RefHeading___Toc817_2616395394">
            <w:r>
              <w:rPr>
                <w:webHidden/>
                <w:rStyle w:val="IndexLink"/>
              </w:rPr>
              <w:t>6</w:t>
            </w:r>
            <w:r>
              <w:rPr>
                <w:rStyle w:val="IndexLink"/>
                <w:rtl w:val="true"/>
              </w:rPr>
              <w:t xml:space="preserve">. </w:t>
            </w:r>
            <w:r>
              <w:rPr>
                <w:rStyle w:val="IndexLink"/>
                <w:rtl w:val="true"/>
              </w:rPr>
              <w:t>آیا می‌توان چنین نسبت‌هایی را به پیامبر داد و نافرمانی کرد؟</w:t>
            </w:r>
            <w:r>
              <w:rPr>
                <w:rStyle w:val="IndexLink"/>
                <w:rtl w:val="true"/>
              </w:rPr>
              <w:tab/>
            </w:r>
            <w:r>
              <w:rPr>
                <w:rStyle w:val="IndexLink"/>
              </w:rPr>
              <w:t>21</w:t>
            </w:r>
          </w:hyperlink>
        </w:p>
        <w:p>
          <w:pPr>
            <w:pStyle w:val="Contents2"/>
            <w:tabs>
              <w:tab w:val="clear" w:pos="8743"/>
              <w:tab w:val="right" w:pos="9026" w:leader="dot"/>
            </w:tabs>
            <w:rPr/>
          </w:pPr>
          <w:hyperlink w:anchor="__RefHeading___Toc819_2616395394">
            <w:r>
              <w:rPr>
                <w:webHidden/>
                <w:rStyle w:val="IndexLink"/>
              </w:rPr>
              <w:t>7</w:t>
            </w:r>
            <w:r>
              <w:rPr>
                <w:rStyle w:val="IndexLink"/>
                <w:rtl w:val="true"/>
              </w:rPr>
              <w:t xml:space="preserve">. </w:t>
            </w:r>
            <w:r>
              <w:rPr>
                <w:rStyle w:val="IndexLink"/>
                <w:rtl w:val="true"/>
              </w:rPr>
              <w:t>مسأله مهم‌تر</w:t>
            </w:r>
            <w:r>
              <w:rPr>
                <w:rStyle w:val="IndexLink"/>
                <w:rtl w:val="true"/>
              </w:rPr>
              <w:t>!</w:t>
              <w:tab/>
            </w:r>
            <w:r>
              <w:rPr>
                <w:rStyle w:val="IndexLink"/>
              </w:rPr>
              <w:t>24</w:t>
            </w:r>
          </w:hyperlink>
        </w:p>
        <w:p>
          <w:pPr>
            <w:pStyle w:val="Contents2"/>
            <w:tabs>
              <w:tab w:val="clear" w:pos="8743"/>
              <w:tab w:val="right" w:pos="9026" w:leader="dot"/>
            </w:tabs>
            <w:rPr/>
          </w:pPr>
          <w:hyperlink w:anchor="__RefHeading___Toc821_2616395394">
            <w:r>
              <w:rPr>
                <w:webHidden/>
                <w:rStyle w:val="IndexLink"/>
                <w:rtl w:val="true"/>
              </w:rPr>
              <w:t>فهرست منابع</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3_146192"/>
      <w:bookmarkStart w:id="1" w:name="pg13363_146192"/>
      <w:bookmarkEnd w:id="1"/>
    </w:p>
    <w:p>
      <w:pPr>
        <w:pStyle w:val="Heading2"/>
        <w:numPr>
          <w:ilvl w:val="1"/>
          <w:numId w:val="1"/>
        </w:numPr>
        <w:rPr/>
      </w:pPr>
      <w:bookmarkStart w:id="2" w:name="pg13363_146192"/>
      <w:bookmarkStart w:id="3" w:name="__RefHeading___Toc801_2616395394"/>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سوال برانگیز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سعید داودی؛ زیر نظر گروه معارف و علوم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narration of pen &amp; ink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رفتارشناسی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نفرهک یک تحلیل منطقی با استفاده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۱۶۳۳۷۸۰</w:t>
      </w:r>
    </w:p>
    <w:p>
      <w:pPr>
        <w:pStyle w:val="Heading2"/>
        <w:numPr>
          <w:ilvl w:val="1"/>
          <w:numId w:val="1"/>
        </w:numPr>
        <w:rPr/>
      </w:pPr>
      <w:bookmarkStart w:id="5" w:name="__RefHeading___Toc803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دوات و قلم</w:t>
      </w:r>
    </w:p>
    <w:p>
      <w:pPr>
        <w:pStyle w:val="BookText"/>
        <w:rPr/>
      </w:pPr>
      <w:r>
        <w:rPr>
          <w:rFonts w:ascii="IRNazanin" w:hAnsi="IRNazanin" w:eastAsia="IRNazanin"/>
          <w:color w:val="111111"/>
          <w:sz w:val="28"/>
          <w:sz w:val="28"/>
          <w:szCs w:val="28"/>
          <w:rtl w:val="true"/>
          <w:lang w:bidi="fa-IR"/>
        </w:rPr>
        <w:t>بخوانید و داوری کنید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p>
    <w:p>
      <w:pPr>
        <w:pStyle w:val="BookText"/>
        <w:rPr/>
      </w:pP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دوات و قلم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pStyle w:val="BookText"/>
        <w:rPr/>
      </w:pPr>
      <w:r>
        <w:rPr>
          <w:rFonts w:eastAsia="Times New Roman" w:cs="Times New Roman" w:ascii="Times New Roman" w:hAnsi="Times New Roman"/>
          <w:color w:val="111111"/>
          <w:sz w:val="28"/>
          <w:szCs w:val="28"/>
          <w:lang w:val="en-US" w:bidi="en-US"/>
        </w:rPr>
        <w:t>www.imamalipub.ir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bookmarkStart w:id="7" w:name="pg13363_146196"/>
    </w:p>
    <w:p>
      <w:pPr>
        <w:pStyle w:val="Heading2"/>
        <w:numPr>
          <w:ilvl w:val="1"/>
          <w:numId w:val="1"/>
        </w:numPr>
        <w:rPr/>
      </w:pPr>
      <w:bookmarkStart w:id="8" w:name="__RefHeading___Toc805_2616395394"/>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حدیث دوات و قلم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تعبیرات مختلفی که در مخالفت با رسول خدا صلی الله علیه و آله گفته شد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 و درگیری در محضر آن حضرت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العمل پیامبر چگونه بود؟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فراوان ابن‌عباس برای چه بود؟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چنین نسبت‌هایی را به پیامبر داد و نافرمانی کرد؟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مهم‌تر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اسلام نشانه‌های فراوانی از عظمت این آیین و حقانیت پیامبر اکرم صلی الله علیه و آله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مملو از نکاتی است که اگر به خوبی تبیین گردد، برای جلب افراد دور افتاده از دین اسلام، بسیار کارساز است و چه مناسب و زیباست که بزرگان علمای اسلام سعی بلیغ در نشان دادن این نکات نمایند؛ نکاتی از خلق و خوی پیامبر اکرم صلی الله علیه و آله و رحمت و رأفت او که سبب پیشرفت سریع اسلام در جهان شد و در برابر دشمنان نیرومند، لجوج و متعصّب ایستاد و سرانجام موجب تأثیر اسلام در پیشبرد علوم و دانش‌ها و تمدن بشری گردید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برخی نقاط تاریک نیز وجود دارد که بر دانشمندان دینی لازم است، بدون تعصب و پیش‌داوری آنها را تبیین کنند و به ویژه، به جوانان جستجوگر و حقیقت طلب پاسخ قانع کننده‌ای دهند، تا سبب رمیدن آنها از اسلام ناب</w:t>
      </w:r>
      <w:bookmarkStart w:id="10" w:name="pg13363_146202"/>
    </w:p>
    <w:p>
      <w:pPr>
        <w:pStyle w:val="BookText"/>
        <w:rPr/>
      </w:pPr>
      <w:bookmarkEnd w:id="10"/>
      <w:r>
        <w:rPr>
          <w:rFonts w:ascii="IRNazanin" w:hAnsi="IRNazanin" w:eastAsia="IRNazanin"/>
          <w:color w:val="111111"/>
          <w:sz w:val="28"/>
          <w:sz w:val="28"/>
          <w:szCs w:val="28"/>
          <w:rtl w:val="true"/>
          <w:lang w:bidi="fa-IR"/>
        </w:rPr>
        <w:t>نگردد، و ما در این مجموعه به بخشی از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سراغ داستان عجیب دوات و قلم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یکی از این نقاط سؤال برانگیز،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چند گفتار آن را مورد بررسی قرار می‌دهیم ودرآینده به‌خواست خدابه نقاط دیگری خواهیم پرداخت</w:t>
      </w:r>
      <w:r>
        <w:rPr>
          <w:rFonts w:eastAsia="IRNazanin" w:cs="IRNazanin"/>
          <w:color w:val="111111"/>
          <w:sz w:val="28"/>
          <w:szCs w:val="28"/>
          <w:rtl w:val="true"/>
          <w:lang w:bidi="fa-IR"/>
        </w:rPr>
        <w:t>.</w:t>
      </w:r>
    </w:p>
    <w:p>
      <w:pPr>
        <w:pStyle w:val="Heading2"/>
        <w:numPr>
          <w:ilvl w:val="1"/>
          <w:numId w:val="1"/>
        </w:numPr>
        <w:rPr/>
      </w:pPr>
      <w:bookmarkStart w:id="11" w:name="__RefHeading___Toc807_2616395394"/>
      <w:bookmarkStart w:id="12" w:name="_Toc4"/>
      <w:bookmarkEnd w:id="11"/>
      <w:r>
        <w:rPr/>
        <w:t>1</w:t>
      </w:r>
      <w:r>
        <w:rPr>
          <w:rtl w:val="true"/>
        </w:rPr>
        <w:t xml:space="preserve">. </w:t>
      </w:r>
      <w:r>
        <w:rPr>
          <w:rtl w:val="true"/>
        </w:rPr>
        <w:t>اسناد حدیث دوات و قلم</w:t>
      </w:r>
      <w:bookmarkEnd w:id="12"/>
    </w:p>
    <w:p>
      <w:pPr>
        <w:pStyle w:val="BookText"/>
        <w:rPr/>
      </w:pPr>
      <w:r>
        <w:rPr>
          <w:rFonts w:ascii="IRNazanin" w:hAnsi="IRNazanin" w:eastAsia="IRNazanin"/>
          <w:color w:val="111111"/>
          <w:sz w:val="28"/>
          <w:sz w:val="28"/>
          <w:szCs w:val="28"/>
          <w:rtl w:val="true"/>
          <w:lang w:bidi="fa-IR"/>
        </w:rPr>
        <w:t>داستان از این قرار است که در روزهای پایانی عمر رسول خدا صلی الله علیه و آله آن حضرت به جمعی از اصحاب که به عیادتش رفته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دواتی برایم حاضر کنید تا برای شما نامه‌ای بنویسم که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صحابه به مخالفت برخاستند و مانع نوشتن این نامه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شش مورد از صحیح بخاری </w:t>
      </w:r>
      <w:r>
        <w:rPr>
          <w:rStyle w:val="FootnoteAnchor"/>
          <w:rtl w:val="true"/>
        </w:rPr>
        <w:footnoteReference w:id="2"/>
      </w:r>
      <w:r>
        <w:rPr>
          <w:rFonts w:ascii="IRNazanin" w:hAnsi="IRNazanin" w:eastAsia="IRNazanin"/>
          <w:color w:val="111111"/>
          <w:sz w:val="28"/>
          <w:sz w:val="28"/>
          <w:szCs w:val="28"/>
          <w:rtl w:val="true"/>
          <w:lang w:bidi="fa-IR"/>
        </w:rPr>
        <w:t>و سه مورد از</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3"/>
      </w:r>
      <w:r>
        <w:rPr>
          <w:rFonts w:ascii="IRNazanin" w:hAnsi="IRNazanin" w:eastAsia="IRNazanin"/>
          <w:color w:val="111111"/>
          <w:sz w:val="28"/>
          <w:sz w:val="28"/>
          <w:szCs w:val="28"/>
          <w:rtl w:val="true"/>
          <w:lang w:bidi="fa-IR"/>
        </w:rPr>
        <w:t>که هر دو از معتبرترین کتب روائی اهل سنت</w:t>
      </w:r>
    </w:p>
    <w:p>
      <w:pPr>
        <w:pStyle w:val="BookText"/>
        <w:rPr/>
      </w:pPr>
      <w:r>
        <w:rPr>
          <w:rFonts w:ascii="IRNazanin" w:hAnsi="IRNazanin" w:eastAsia="IRNazanin"/>
          <w:color w:val="111111"/>
          <w:sz w:val="28"/>
          <w:sz w:val="28"/>
          <w:szCs w:val="28"/>
          <w:rtl w:val="true"/>
          <w:lang w:bidi="fa-IR"/>
        </w:rPr>
        <w:t xml:space="preserve">است،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این ماجرا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خود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 و ما یوم الخمیس، ثم جعل تسیل دموعه حتی رأیت علی خدّیه کأنّها نظام اللّؤلُو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ائتونی بالکتف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اللوح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لکم کتابآ لن تضلّوا بعده ابدآ؛ پنج شنبه و چه روز پنجشنبه سختی 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آنگاه ابن عباس</w:t>
      </w:r>
    </w:p>
    <w:p>
      <w:pPr>
        <w:pStyle w:val="BookText"/>
        <w:rPr/>
      </w:pPr>
      <w:r>
        <w:rPr>
          <w:rFonts w:ascii="IRNazanin" w:hAnsi="IRNazanin" w:eastAsia="IRNazanin"/>
          <w:color w:val="111111"/>
          <w:sz w:val="28"/>
          <w:sz w:val="28"/>
          <w:szCs w:val="28"/>
          <w:rtl w:val="true"/>
          <w:lang w:bidi="fa-IR"/>
        </w:rPr>
        <w:t>گریست و سیل اشک او را دیدم که همچون رشته مروارید بر گونه‌هایش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کاغذ و قلمی بیاورید تا برای شما نوشته‌ای بنگارم که پس از آن هرگز گمراه نشوید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چنین به نظر می‌رسد که همه اصحاب که حضور داشتند با شنیدن این خواسته رسول خدا صلی الله علیه و آله ، با شوق</w:t>
      </w:r>
    </w:p>
    <w:p>
      <w:pPr>
        <w:pStyle w:val="BookText"/>
        <w:rPr/>
      </w:pPr>
      <w:r>
        <w:rPr>
          <w:rFonts w:ascii="IRNazanin" w:hAnsi="IRNazanin" w:eastAsia="IRNazanin"/>
          <w:color w:val="111111"/>
          <w:sz w:val="28"/>
          <w:sz w:val="28"/>
          <w:szCs w:val="28"/>
          <w:rtl w:val="true"/>
          <w:lang w:bidi="fa-IR"/>
        </w:rPr>
        <w:t>و علاقه فراوان قلم و دواتی حاضر کردند، تا پیامبر اکرم صلی الله علیه و آله وصیت‌نامه‌اش را بنویسد؛ زیرا از یک سو اطاعت فرمان رسول خدا صلی الله علیه و آله واجب است و از سوی دیگر، این نوشته به هدایت جاویدان و ترک ضلالت آنان پیوند می‌خورد؛ و از سوی سوم، پیامبر صلی الله علیه و آله در بستر بیماری و رحلتش نزدیک بود و طبعآ کلماتی جامع و هدایت ویژه‌ای را عرضه می‌کرد؛ از این رو، باید برای دریافت این دستورالعمل از سوی پیامبر و پیشوای خود، سر از پا نشناسند و بدون فوت وقت، قلم و دوات حاضر کنند؛ ولی شگفت‌آور آنکه جمعی از صحابه با آن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عکس العمل بعضی از آنان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دارد، زیرا در کتب صحاح و کتاب‌های معروف تاریخی 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روایت، در حضور آن حضرت نزاع و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را حاضر کنید و برخی گفتند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روایات، نام آنان که مخالفت کرده‌اند، نیامده است </w:t>
      </w:r>
      <w:r>
        <w:rPr>
          <w:rStyle w:val="FootnoteAnchor"/>
          <w:rtl w:val="true"/>
        </w:rPr>
        <w:footnoteReference w:id="6"/>
      </w:r>
      <w:r>
        <w:rPr>
          <w:rFonts w:ascii="IRNazanin" w:hAnsi="IRNazanin" w:eastAsia="IRNazanin"/>
          <w:color w:val="111111"/>
          <w:sz w:val="28"/>
          <w:sz w:val="28"/>
          <w:szCs w:val="28"/>
          <w:rtl w:val="true"/>
          <w:lang w:bidi="fa-IR"/>
        </w:rPr>
        <w:t>؛ ولی در پاره‌ای از روایات تصریح</w:t>
      </w:r>
    </w:p>
    <w:p>
      <w:pPr>
        <w:pStyle w:val="BookText"/>
        <w:rPr/>
      </w:pPr>
      <w:r>
        <w:rPr>
          <w:rFonts w:ascii="IRNazanin" w:hAnsi="IRNazanin" w:eastAsia="IRNazanin"/>
          <w:color w:val="111111"/>
          <w:sz w:val="28"/>
          <w:sz w:val="28"/>
          <w:szCs w:val="28"/>
          <w:rtl w:val="true"/>
          <w:lang w:bidi="fa-IR"/>
        </w:rPr>
        <w:t xml:space="preserve">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صحیح بخاری آمده است که پس از درخواست رسول خدا صلی الله علیه و آله برای مهیا ساختن قلم و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غلب علیه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وعندکم القرآن، حسبنا کتاب الله؛ بیماری بر پیامبر چیره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نزد شماست و کتاب خدا ما را کافی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جای دیگر از کتابش نیز همین سخن را با اندکی تفاوت از عمر نقل کرده است؛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وقتی که بیماری پیامبر شدت یافت،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اکتب لکم کتابآ لا تضلّوا بعده،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غلبه الوجع، وعندنا کتاب الله حسبنا؛ برای من کاغذی حاضر کنید، تا برای شما نامه‌ای بنویسم که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پیامبر چیره شده و کتاب الهی که ما را کافی است، نزد ماست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صحیح مسلم نیز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معترض را عمر ذکر کرده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ولی با توجه به شباهت دیگر گفتارها با یکدیگر در مخالفت عمر با سخن رسول خدا صلی الله علیه و آله تردیدی نیست و اگر در نقل‌هایی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معلوم است که یکی از مخالفت کنندگان با نوشتن وصیت‌نامه،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قبلا اشاره شد، این ماجرا را بخاری شش بار و مسلم سه بار در کتاب خود آورده‌اند و از این احادیث استفاده می‌شود که بعد از مخالفت عمر، بعضی به حمایت از او و جمعی به مخالفت با او برخاستند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را بسیاری دیگر از دانشمندان اهل سنّت نیز در کتاب‌های خود نقل کرده‌اند </w:t>
      </w:r>
      <w:r>
        <w:rPr>
          <w:rStyle w:val="FootnoteAnchor"/>
          <w:rtl w:val="true"/>
        </w:rPr>
        <w:footnoteReference w:id="12"/>
      </w:r>
      <w:r>
        <w:rPr>
          <w:rFonts w:ascii="IRNazanin" w:hAnsi="IRNazanin" w:eastAsia="IRNazanin"/>
          <w:color w:val="111111"/>
          <w:sz w:val="28"/>
          <w:sz w:val="28"/>
          <w:szCs w:val="28"/>
          <w:rtl w:val="true"/>
          <w:lang w:bidi="fa-IR"/>
        </w:rPr>
        <w:t>؛ ولی ما تنها احادیثی را که در</w:t>
      </w:r>
      <w:bookmarkStart w:id="13" w:name="pg13363_146212"/>
    </w:p>
    <w:p>
      <w:pPr>
        <w:pStyle w:val="BookText"/>
        <w:rPr/>
      </w:pPr>
      <w:bookmarkEnd w:id="13"/>
      <w:r>
        <w:rPr>
          <w:rFonts w:ascii="IRNazanin" w:hAnsi="IRNazanin" w:eastAsia="IRNazanin"/>
          <w:color w:val="111111"/>
          <w:sz w:val="28"/>
          <w:sz w:val="28"/>
          <w:szCs w:val="28"/>
          <w:rtl w:val="true"/>
          <w:lang w:bidi="fa-IR"/>
        </w:rPr>
        <w:t xml:space="preserve">صحیح بخاری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صحیح‌ترین کتاب نزد برادران اهل سنت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w:t>
      </w:r>
      <w:r>
        <w:rPr>
          <w:rFonts w:eastAsia="IRNazanin" w:cs="IRNazanin"/>
          <w:color w:val="111111"/>
          <w:sz w:val="28"/>
          <w:szCs w:val="28"/>
          <w:rtl w:val="true"/>
          <w:lang w:bidi="fa-IR"/>
        </w:rPr>
        <w:t>.</w:t>
      </w:r>
    </w:p>
    <w:p>
      <w:pPr>
        <w:pStyle w:val="Heading2"/>
        <w:numPr>
          <w:ilvl w:val="1"/>
          <w:numId w:val="1"/>
        </w:numPr>
        <w:rPr/>
      </w:pPr>
      <w:bookmarkStart w:id="14" w:name="__RefHeading___Toc809_2616395394"/>
      <w:bookmarkStart w:id="15" w:name="_Toc5"/>
      <w:bookmarkEnd w:id="14"/>
      <w:r>
        <w:rPr/>
        <w:t>2</w:t>
      </w:r>
      <w:r>
        <w:rPr>
          <w:rtl w:val="true"/>
        </w:rPr>
        <w:t xml:space="preserve">. </w:t>
      </w:r>
      <w:r>
        <w:rPr>
          <w:rtl w:val="true"/>
        </w:rPr>
        <w:t>تعبیرات مختلفی که در مخالفت با رسول خدا صلی الله علیه و آله گفته شد</w:t>
      </w:r>
      <w:bookmarkEnd w:id="15"/>
    </w:p>
    <w:p>
      <w:pPr>
        <w:pStyle w:val="BookText"/>
        <w:rPr/>
      </w:pPr>
      <w:r>
        <w:rPr>
          <w:rFonts w:ascii="IRNazanin" w:hAnsi="IRNazanin" w:eastAsia="IRNazanin"/>
          <w:color w:val="111111"/>
          <w:sz w:val="28"/>
          <w:sz w:val="28"/>
          <w:szCs w:val="28"/>
          <w:rtl w:val="true"/>
          <w:lang w:bidi="fa-IR"/>
        </w:rPr>
        <w:t>اکنون به کلماتی که در مخالفت با فرمان حضرت بیان شده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می‌کنیم همه اینها در صحیح بخاری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غلبه الوجع، وعندکم القرآن، حسبنا کتاب الله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تعبیر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قد غلب علیه الوجع، وعندکم القرآن، حسبنا کتاب الله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تعبیری شبیه به همان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قد غلب علیه الوجع، وعندکم القرآن، حسبنا کتاب الله</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نیز به این صورت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غلبه الوجع، وعندنا کتاب الله، حسبنا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مطابق این تعبیرات، عمر برای جلوگیری از نوشتن نامه رسول خدا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بر رسول خدا صلی الله علیه و آله چیره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که نزد شما هست، برای هدایت ما و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هذیان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البته در پاره‌ای موارد به صورت استفهامی و یک مورد به صورت 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رسول الله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دو مورد</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استفهموه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اهل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که به بیمار نسبت داده شود، به معنای هذیان‌گویی دانسته‌اند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المریض فی کلامه هجرآ ایضآ خلط وهذی؛ مریض در کلامش هجر گفت یعنی نامیزان حرف زد و هذیان گفت و به پرت و پلاگویی</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لسان العرب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 والهُجْر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الاهجار وهو الافحاش وهَجَر فی نومه ومرضه یهجُر هجرآ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هذیان‌گویی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مصدر است به معنای سخن زشت است و هنگامی که این واژه به آدم خوابیده و یا بیمار نسبت داده شود، مفهومش این است که او در خواب و یا حالت بیماری هذیان گفت و حرف‌های نامربوط زد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چگونه می‌توان درباره حضرت محمد صلی الله علیه و آله که فرستاده خدا و رابط میان خدا و خلق شمرده می‌شود، این کلمات و سخنان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 شأن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هرگز از روی هوای نفس سخن نمی‌گوید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نیز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نهی</w:t>
      </w:r>
      <w:bookmarkStart w:id="16" w:name="pg13363_146217"/>
    </w:p>
    <w:p>
      <w:pPr>
        <w:pStyle w:val="BookText"/>
        <w:rPr/>
      </w:pPr>
      <w:bookmarkEnd w:id="16"/>
      <w:r>
        <w:rPr>
          <w:rFonts w:ascii="IRNazanin" w:hAnsi="IRNazanin" w:eastAsia="IRNazanin"/>
          <w:color w:val="111111"/>
          <w:sz w:val="28"/>
          <w:sz w:val="28"/>
          <w:szCs w:val="28"/>
          <w:rtl w:val="true"/>
          <w:lang w:bidi="fa-IR"/>
        </w:rPr>
        <w:t>کرده خودداری نمایید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17" w:name="__RefHeading___Toc811_2616395394"/>
      <w:bookmarkStart w:id="18" w:name="_Toc6"/>
      <w:bookmarkEnd w:id="17"/>
      <w:r>
        <w:rPr/>
        <w:t>3</w:t>
      </w:r>
      <w:r>
        <w:rPr>
          <w:rtl w:val="true"/>
        </w:rPr>
        <w:t xml:space="preserve">. </w:t>
      </w:r>
      <w:r>
        <w:rPr>
          <w:rtl w:val="true"/>
        </w:rPr>
        <w:t>نزاع و درگیری در محضر آن حضرت</w:t>
      </w:r>
      <w:bookmarkEnd w:id="18"/>
    </w:p>
    <w:p>
      <w:pPr>
        <w:pStyle w:val="BookText"/>
        <w:rPr/>
      </w:pPr>
      <w:r>
        <w:rPr>
          <w:rFonts w:ascii="IRNazanin" w:hAnsi="IRNazanin" w:eastAsia="IRNazanin"/>
          <w:color w:val="111111"/>
          <w:sz w:val="28"/>
          <w:sz w:val="28"/>
          <w:szCs w:val="28"/>
          <w:rtl w:val="true"/>
          <w:lang w:bidi="fa-IR"/>
        </w:rPr>
        <w:t>علاوه بر این سخنان ناروا، بعضی از صحابه در محضر رسول خدا صلی الله علیه و آله به نزاع و کشمکش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عمر همراهی کردند و گروهی با او به مخالفت برخاستند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بگذاریدرسول خدا صلی الله علیه و آله وصیت نامه‌اش را بنویسد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بعضی از روایات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فاختلفوا وکثُر اللَّغَط؛ آنها اختلاف کردند و هیاهو و داد</w:t>
      </w:r>
    </w:p>
    <w:p>
      <w:pPr>
        <w:pStyle w:val="BookText"/>
        <w:rPr/>
      </w:pPr>
      <w:r>
        <w:rPr>
          <w:rFonts w:ascii="IRNazanin" w:hAnsi="IRNazanin" w:eastAsia="IRNazanin"/>
          <w:color w:val="111111"/>
          <w:sz w:val="28"/>
          <w:sz w:val="28"/>
          <w:szCs w:val="28"/>
          <w:rtl w:val="true"/>
          <w:lang w:bidi="fa-IR"/>
        </w:rPr>
        <w:t>و فریاد زیاد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چهار روایت در صحیح بخاری و صحیح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 ولاینبغی عند نبیّ تنازع؛ به نزاع و کشمکش پرداختند در حالی که این کار در محضر پیامبر صلی الله علیه و آله شایسته نبود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روایت در صحیح 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اختلاف در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اهلُالبیت فاختصموا، فکان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النبیّ کتابآ لن تضلوا بعده، ومنهم من یقول ما قال عمر؛ اهل خانه اختلاف کردند و با هم به درگیری و خصومت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دوات را حاضر کنید تا برای شما نامه‌ای بنویسد که پس از آن هرگز گمراه نشوید و برخی نیز سخن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بیماری بر پیامبر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Fonts w:eastAsia="IRNazanin" w:cs="IRNazanin"/>
          <w:color w:val="111111"/>
          <w:sz w:val="28"/>
          <w:szCs w:val="28"/>
          <w:rtl w:val="true"/>
          <w:lang w:bidi="fa-IR"/>
        </w:rPr>
        <w:t xml:space="preserve">». </w:t>
      </w:r>
      <w:r>
        <w:rPr>
          <w:rStyle w:val="FootnoteAnchor"/>
          <w:rtl w:val="true"/>
        </w:rPr>
        <w:footnoteReference w:id="26"/>
      </w:r>
      <w:bookmarkStart w:id="19" w:name="pg13363_146221"/>
    </w:p>
    <w:p>
      <w:pPr>
        <w:pStyle w:val="BookText"/>
        <w:rPr/>
      </w:pPr>
      <w:bookmarkEnd w:id="19"/>
      <w:r>
        <w:rPr>
          <w:rFonts w:ascii="IRNazanin" w:hAnsi="IRNazanin" w:eastAsia="IRNazanin"/>
          <w:color w:val="111111"/>
          <w:sz w:val="28"/>
          <w:sz w:val="28"/>
          <w:szCs w:val="28"/>
          <w:rtl w:val="true"/>
          <w:lang w:bidi="fa-IR"/>
        </w:rPr>
        <w:t>این مطالب کاملا گویای آن است که در نزد آن حضرت به خصومت و کشمکش و نزاع پرداختند و سخنان بالا ردّ و بدل شد</w:t>
      </w:r>
      <w:r>
        <w:rPr>
          <w:rFonts w:eastAsia="IRNazanin" w:cs="IRNazanin"/>
          <w:color w:val="111111"/>
          <w:sz w:val="28"/>
          <w:szCs w:val="28"/>
          <w:rtl w:val="true"/>
          <w:lang w:bidi="fa-IR"/>
        </w:rPr>
        <w:t>!</w:t>
      </w:r>
    </w:p>
    <w:p>
      <w:pPr>
        <w:pStyle w:val="Heading2"/>
        <w:numPr>
          <w:ilvl w:val="1"/>
          <w:numId w:val="1"/>
        </w:numPr>
        <w:rPr/>
      </w:pPr>
      <w:bookmarkStart w:id="20" w:name="__RefHeading___Toc813_2616395394"/>
      <w:bookmarkStart w:id="21" w:name="_Toc7"/>
      <w:bookmarkEnd w:id="20"/>
      <w:r>
        <w:rPr/>
        <w:t>4</w:t>
      </w:r>
      <w:r>
        <w:rPr>
          <w:rtl w:val="true"/>
        </w:rPr>
        <w:t xml:space="preserve">. </w:t>
      </w:r>
      <w:r>
        <w:rPr>
          <w:rtl w:val="true"/>
        </w:rPr>
        <w:t>عکس العمل پیامبر چگونه بود؟</w:t>
      </w:r>
      <w:bookmarkEnd w:id="21"/>
    </w:p>
    <w:p>
      <w:pPr>
        <w:pStyle w:val="BookText"/>
        <w:rPr/>
      </w:pPr>
      <w:r>
        <w:rPr>
          <w:rFonts w:ascii="IRNazanin" w:hAnsi="IRNazanin" w:eastAsia="IRNazanin"/>
          <w:color w:val="111111"/>
          <w:sz w:val="28"/>
          <w:sz w:val="28"/>
          <w:szCs w:val="28"/>
          <w:rtl w:val="true"/>
          <w:lang w:bidi="fa-IR"/>
        </w:rPr>
        <w:t>عکس العملی که رسول خدا صلی الله علیه و آله در برابر برخوردهای ناروای جمعی از صحابه و نزاع و درگیری آنان از خود نشان داد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صحیح بخاری و مسلم آمده، دو نوع عکس العمل از آن حضرت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عنّی ولاینبغی عندی التنازع؛ از نزد من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محضر من نزاع و کشمکش سزاوار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تعبیر کاملا خشم و ناراحتی رسول خدا صلی الله علیه و آله از سخنان، اعمال و رفتار آنها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نزاع و کشمکش پیش آمد و حرف‌های</w:t>
      </w:r>
      <w:bookmarkStart w:id="22" w:name="pg13363_146223"/>
    </w:p>
    <w:p>
      <w:pPr>
        <w:pStyle w:val="BookText"/>
        <w:rPr/>
      </w:pPr>
      <w:bookmarkEnd w:id="22"/>
      <w:r>
        <w:rPr>
          <w:rFonts w:ascii="IRNazanin" w:hAnsi="IRNazanin" w:eastAsia="IRNazanin"/>
          <w:color w:val="111111"/>
          <w:sz w:val="28"/>
          <w:sz w:val="28"/>
          <w:szCs w:val="28"/>
          <w:rtl w:val="true"/>
          <w:lang w:bidi="fa-IR"/>
        </w:rPr>
        <w:t>زشتی به آن حضرت زده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فالّذی أنا فیه خیر ممّا تدعونی إلیه؛ مرا به حال خودم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حالتی که من در آن هستم بهتر از چیزی است که مرا بدان فرا می‌خوانید</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حالت توجه مخصوص به خدا در آخرین ساعات عمر است</w:t>
      </w:r>
      <w:r>
        <w:rPr>
          <w:rFonts w:eastAsia="IRNazanin" w:cs="IRNazanin"/>
          <w:color w:val="111111"/>
          <w:sz w:val="28"/>
          <w:szCs w:val="28"/>
          <w:rtl w:val="true"/>
          <w:lang w:bidi="fa-IR"/>
        </w:rPr>
        <w:t>)</w:t>
      </w:r>
    </w:p>
    <w:p>
      <w:pPr>
        <w:pStyle w:val="Heading2"/>
        <w:numPr>
          <w:ilvl w:val="1"/>
          <w:numId w:val="1"/>
        </w:numPr>
        <w:rPr/>
      </w:pPr>
      <w:bookmarkStart w:id="23" w:name="__RefHeading___Toc815_2616395394"/>
      <w:bookmarkStart w:id="24" w:name="_Toc8"/>
      <w:bookmarkEnd w:id="23"/>
      <w:r>
        <w:rPr/>
        <w:t>5</w:t>
      </w:r>
      <w:r>
        <w:rPr>
          <w:rtl w:val="true"/>
        </w:rPr>
        <w:t xml:space="preserve">. </w:t>
      </w:r>
      <w:r>
        <w:rPr>
          <w:rtl w:val="true"/>
        </w:rPr>
        <w:t>اندوه فراوان ابن‌عباس برای چه بود؟</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پنج روایت از روایات صحاح، هنگامی که ابن‌عباس می‌خواهد گزارشی از ماجرای آن روز بدهد، نخست با تأثر و اندوه از آن یاد می‌کند و سپس به نقل حادثه می‌پردازد، 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ابن 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 و ما یوم الخمیس؛ روز پنج‌شنبه، چه روز پنج‌شنبه دردناکی؟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سعید بن جبیر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بکی حتّی بلَّ دمعه الحصی؛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 که قطرات اشک چشمش روی سنگریزه‌های زمین افتاد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روشن است که تأسف ابن‌عباس و اشک فراوان او، هم به سبب توهینی است که به رسول خدا صلی الله علیه و آله شد و هم به خاطر جلوگیری از نوشتن آن حضرت؛ که در صورت نوشتن، از گمراهی امت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درچهارنقل دیگردرصحیح بخاری ومسلم از این حادثه آمده است که ابن‌عباس پس از نقل این ماجرا، در پایان برای ممانعت از کتابت آن نامه، بسیار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عبیدالله بن عبدالله از ابن عباس نقل می‌کند، پس از بیان ماجرای جلوگیری از ممانعت کتابت نامه،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وبین أن یکتُبَ لهم ذلک الکتاب، من اختلافهم ولَغَطهم؛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w:t>
      </w:r>
      <w:bookmarkStart w:id="25" w:name="pg13363_146225"/>
    </w:p>
    <w:p>
      <w:pPr>
        <w:pStyle w:val="BookText"/>
        <w:rPr/>
      </w:pPr>
      <w:bookmarkEnd w:id="25"/>
      <w:r>
        <w:rPr>
          <w:rFonts w:ascii="IRNazanin" w:hAnsi="IRNazanin" w:eastAsia="IRNazanin"/>
          <w:color w:val="111111"/>
          <w:sz w:val="28"/>
          <w:sz w:val="28"/>
          <w:szCs w:val="28"/>
          <w:rtl w:val="true"/>
          <w:lang w:bidi="fa-IR"/>
        </w:rPr>
        <w:t>خسارت سنگین و حقیقتآ خسارت تام، آن است که آنان به سبب اختلاف، هیاهو و کشمکش مانع شدند که رسول خدا صلی الله علیه و آله آن نامه را بنویسد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26" w:name="__RefHeading___Toc817_2616395394"/>
      <w:bookmarkStart w:id="27" w:name="_Toc9"/>
      <w:bookmarkEnd w:id="26"/>
      <w:r>
        <w:rPr/>
        <w:t>6</w:t>
      </w:r>
      <w:r>
        <w:rPr>
          <w:rtl w:val="true"/>
        </w:rPr>
        <w:t xml:space="preserve">. </w:t>
      </w:r>
      <w:r>
        <w:rPr>
          <w:rtl w:val="true"/>
        </w:rPr>
        <w:t>آیا می‌توان چنین نسبت‌هایی را به پیامبر داد و نافرمانی کرد؟</w:t>
      </w:r>
      <w:bookmarkEnd w:id="27"/>
    </w:p>
    <w:p>
      <w:pPr>
        <w:pStyle w:val="BookText"/>
        <w:rPr/>
      </w:pPr>
      <w:r>
        <w:rPr>
          <w:rFonts w:ascii="IRNazanin" w:hAnsi="IRNazanin" w:eastAsia="IRNazanin"/>
          <w:color w:val="111111"/>
          <w:sz w:val="28"/>
          <w:sz w:val="28"/>
          <w:szCs w:val="28"/>
          <w:rtl w:val="true"/>
          <w:lang w:bidi="fa-IR"/>
        </w:rPr>
        <w:t xml:space="preserve">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احادیث تصریح کرده‌اند که پیامبر صلی الله علیه و آله در سلامت و بیماری معصوم است و همیشه سخنش عین حقیقت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سخن انسان بیمار است که درست حرف نمی‌زند و لذا به حرف او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ووقوع ذلک من النبی صلی الله علیه و آله مستحیل لانّه معصوم فی صحّته ومرضه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صلی الله علیه و آله إنّی لااقول فی الغضب والرضا إلّا حَقّآ؛ وقوع 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محال است؛ زیرا آن حضرت در</w:t>
      </w:r>
    </w:p>
    <w:p>
      <w:pPr>
        <w:pStyle w:val="BookText"/>
        <w:rPr/>
      </w:pPr>
      <w:r>
        <w:rPr>
          <w:rFonts w:ascii="IRNazanin" w:hAnsi="IRNazanin" w:eastAsia="IRNazanin"/>
          <w:color w:val="111111"/>
          <w:sz w:val="28"/>
          <w:sz w:val="28"/>
          <w:szCs w:val="28"/>
          <w:rtl w:val="true"/>
          <w:lang w:bidi="fa-IR"/>
        </w:rPr>
        <w:t>سلامت و بیماریش معصوم است، به دلیل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هوا و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سخن خود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 خشم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نمی‌گویم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بدرالدین عینی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صحیح بخاری است، دقیقآ همین مطلب را می‌گوید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دانشمند معروف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انّ النبی معصوم من الکذب و من تغییر شیء من الاحکام الشرعیة فی حال صحته وحال مرضه؛ بدان که پیامبر صلی الله علیه و آله یقینآ از سخن دروغ و ناروا و تغییر احکام شرعی چه در حال صحت و چه در بیماری معصوم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اضافه بر آیات متعددی از قرآن مجید که قبلا به آن اشاره شد، اینها همگی گواه است که مقام پیغمبر اکرم صلی الله علیه و آله فراتر از این بود که سخن نادرستی در تمام عمر از او سر 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گروهی از دانشمندان اهل سنت دست به</w:t>
      </w:r>
    </w:p>
    <w:p>
      <w:pPr>
        <w:pStyle w:val="BookText"/>
        <w:rPr/>
      </w:pPr>
      <w:r>
        <w:rPr>
          <w:rFonts w:ascii="IRNazanin" w:hAnsi="IRNazanin" w:eastAsia="IRNazanin"/>
          <w:color w:val="111111"/>
          <w:sz w:val="28"/>
          <w:sz w:val="28"/>
          <w:szCs w:val="28"/>
          <w:rtl w:val="true"/>
          <w:lang w:bidi="fa-IR"/>
        </w:rPr>
        <w:t>توجیهاتی برای این مسأله مسلم تاریخی زده‌اند، که راستی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به این روشنی توجیه ندارد، آیا بهتر نبود به جای توجیهات غیر منطقی، پیشداوری‌های خود را کنار می‌گذاشتندومی‌گفتندخطای بزرگی ازشخص یااشخاصی سر زده که همه می‌دانیم آنها جایز الخطا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کتب نزد این برادران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متفقند که قول عمر 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قوت فقه و دقت نظر او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جمله قبل از آن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بر پیامبر صلی الله علیه و آله چیره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پریشان‌گویی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فقه و دقت نظر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آیا کتاب الله بدون سنت پیامبر صلی الله علیه و آله کافی است در حالی که حتی عدد رکعات نماز، و نصاب زکاة، و عدد اشواط طواف و عدد سعی و رمی جمرات و بسیاری از احکام دیگر فقط در سنت پیامبر صلی الله علیه و آله آمده، آیا نفی این امور</w:t>
      </w:r>
      <w:bookmarkStart w:id="28" w:name="pg13363_146228"/>
    </w:p>
    <w:p>
      <w:pPr>
        <w:pStyle w:val="BookText"/>
        <w:rPr/>
      </w:pPr>
      <w:bookmarkEnd w:id="28"/>
      <w:r>
        <w:rPr>
          <w:rFonts w:ascii="IRNazanin" w:hAnsi="IRNazanin" w:eastAsia="IRNazanin"/>
          <w:color w:val="111111"/>
          <w:sz w:val="28"/>
          <w:sz w:val="28"/>
          <w:szCs w:val="28"/>
          <w:rtl w:val="true"/>
          <w:lang w:bidi="fa-IR"/>
        </w:rPr>
        <w:t xml:space="preserve">نشانه فقه و دقت نظر است؟ آیا اعتراف به واقعیت‌ها بهتر از این گونه توجهات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w:t>
      </w:r>
    </w:p>
    <w:p>
      <w:pPr>
        <w:pStyle w:val="Heading2"/>
        <w:numPr>
          <w:ilvl w:val="1"/>
          <w:numId w:val="1"/>
        </w:numPr>
        <w:rPr/>
      </w:pPr>
      <w:bookmarkStart w:id="29" w:name="__RefHeading___Toc819_2616395394"/>
      <w:bookmarkStart w:id="30" w:name="_Toc10"/>
      <w:bookmarkEnd w:id="29"/>
      <w:r>
        <w:rPr/>
        <w:t>7</w:t>
      </w:r>
      <w:r>
        <w:rPr>
          <w:rtl w:val="true"/>
        </w:rPr>
        <w:t xml:space="preserve">. </w:t>
      </w:r>
      <w:r>
        <w:rPr>
          <w:rtl w:val="true"/>
        </w:rPr>
        <w:t>مسأله مهم‌تر</w:t>
      </w:r>
      <w:r>
        <w:rPr>
          <w:rtl w:val="true"/>
        </w:rPr>
        <w:t>!</w:t>
      </w:r>
      <w:bookmarkEnd w:id="30"/>
    </w:p>
    <w:p>
      <w:pPr>
        <w:pStyle w:val="BookText"/>
        <w:rPr/>
      </w:pPr>
      <w:r>
        <w:rPr>
          <w:rFonts w:ascii="IRNazanin" w:hAnsi="IRNazanin" w:eastAsia="IRNazanin"/>
          <w:color w:val="111111"/>
          <w:sz w:val="28"/>
          <w:sz w:val="28"/>
          <w:szCs w:val="28"/>
          <w:rtl w:val="true"/>
          <w:lang w:bidi="fa-IR"/>
        </w:rPr>
        <w:t xml:space="preserve">از این سخنان ناروا و حیرت‌انگیز که در شش مورد از کتاب صحیح بخاری و سه مورد صحیح مسلم آمده است، که بگذریم این سؤال پیش می‌آید که پیغمبر اکرم صلی الله علیه و آله چه چیز مهمی را می‌خواست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دستور دهد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مخالفت شدید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آن مطلب اولا تناسب با آخرین روزهای حیات پیامبر صلی الله علیه و آله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مهمی بوده که اگر به آن عمل می‌شد هرگونه گمراهی و اختلاف ناشی از آن برطرف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خوشایند بعضی از حاضران نبود، و با آن مخالف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می‌کنیم خواننده گرامی می‌تواند حدس زند که آن مسأله چیزی جز مسأله خلافت و ولایت نبود، خلافت چه کسی جز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پیامبر اسلام صلی الله علیه و آله پس از بیانات گوناگون در جهت معرفی امام علی علیه السلام به ولایت امّت و به ویژه پس از ماجرای غدیر، در پی تثبیت امر امامت و خلافت آن حضرت بود؛این نکته را می‌توان از کلمات مشابه این حدیث و کلمات دیگری از آن حضرت که درباره عترت گرامی‌اش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مخصوصآ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که به خواست خداوند در نوشته‌های بعد درباره حدیث غدیر و حدیث ثقلین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این جزوه را مطالعه فرمایید، ما قضاوتی نمی‌کنیم بهتر است خودتان داوری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bookmarkStart w:id="31" w:name="pg13363_146230"/>
    </w:p>
    <w:p>
      <w:pPr>
        <w:pStyle w:val="Heading2"/>
        <w:numPr>
          <w:ilvl w:val="1"/>
          <w:numId w:val="1"/>
        </w:numPr>
        <w:rPr/>
      </w:pPr>
      <w:bookmarkStart w:id="32" w:name="__RefHeading___Toc821_2616395394"/>
      <w:bookmarkStart w:id="33" w:name="_Toc11"/>
      <w:bookmarkEnd w:id="31"/>
      <w:bookmarkEnd w:id="32"/>
      <w:r>
        <w:rPr>
          <w:rtl w:val="true"/>
        </w:rPr>
        <w:t>فهرست منابع</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مؤسّسه اعلمی، بیروت،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دمشقی، دارالاندلس،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ابن حبان، تحقیق شعیب الأرنؤوط، مؤسسة الرسالة،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 بن اسماعیل بخاری، تحقیق صدقی جمیل العطّار، دارالفکر، بیروت، چاپ اوّل،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ابوالحسین مسلم بن حجّاج نیشابوری، تحقیق صدقی جمیل العطّار، دارالفکر، بیروت، چاپ اوّل،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شرح محیی الدین نووی، شرکة ابناء شریف الأنصاری، 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شرح صحیح بخاری، بدرالدین عینی، دارالفکر، بیروت، چاپ اوّل،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احمد بن علی بن حجر عسقلانی، مکتبة العبیکان، ریاض،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جزری، تحقیق أبی الفداء عبدالله القاضی، دارالکتب العلمیة، بیروت، چاپ سوم،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افریقی، دار صادر، بیروت،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ابی‌یعلی، ابویعلی موصلی، تحقیق حسین سلیم اسد، دارالمأمون للتراث،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المنیر، فیّومی، تصحیح محمد عبدالحمید،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الجهادوالسیر؛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الجزیة،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مرض النبی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مرض النبی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المرضی،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مسلم؛کتاب‌الوصیة،باب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در روز پنج‌شنبه اتفاق افتاد و مطابق نقل طبری آن حضرت درروز دوشنبه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روز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حوادث سنه یازدهمهجری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رسول خدا رحلت فرمود همه مورخین اتفاقدارند که روز دوشنبه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الباری نیز ابن حجر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آنحضرت روز پنج‌شنبه بیمار شد و روز دوشنبه رحلت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الجهاد و السیر،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الجزیه،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 و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بخاری،کتاب‌المرضی،باب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قول‌المریض قوموا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ابی‌یعلی،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دیگر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الجهاد و السیر،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 الوصیة،باب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واژه هجر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واژه هجر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 خدا صلی الله علیه و آله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که قرآن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تُصِیبَهُمْ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فی قلوبهم من کفر او نفاق او بدعة؛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 رسول خدا صلی الله علیه و آله سبب فتنهمی‌شود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چنین افرادی در قلبشان به کفر، یا نفاق، و یا به بدعت دچارمی‌شوند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والسیر،باب</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؛کتاب‌المغازی،باب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الجزیه،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الجزیه،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الجهاد والسیر، 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نیز 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دعونی فالّذی أنا فیه خیر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الجزیه،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مضمون در چندنقل دیگر نیز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نقل گریستن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المرضی،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شبیه به همین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العلم،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بیروت، چاپ اوّل،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الامام محیی الدین نووی،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المرضی و صحیح مسلم، کتاب الوصیة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4029</Words>
  <Characters>15807</Characters>
  <CharactersWithSpaces>19624</CharactersWithSpaces>
  <Paragraphs>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2026-08-24T06:57:05Z</dcterms:created>
  <dc:creator>ghaemiyeh.com</dc:creator>
  <dc:description/>
  <dc:language>en-US</dc:language>
  <cp:lastModifiedBy/>
  <dcterms:modified xsi:type="dcterms:W3CDTF">2026-08-24T10:27:07Z</dcterms:modified>
  <cp:revision>1</cp:revision>
  <dc:subject/>
  <dc:title>مسائل سوال برانگیز در تاریخ اسلام جلد 1</dc:title>
</cp:coreProperties>
</file>

<file path=docProps/custom.xml><?xml version="1.0" encoding="utf-8"?>
<Properties xmlns="http://schemas.openxmlformats.org/officeDocument/2006/custom-properties" xmlns:vt="http://schemas.openxmlformats.org/officeDocument/2006/docPropsVTypes"/>
</file>