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تحریرات فی الاصول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9316_3244359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59318_3244359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59320_3244359995">
            <w:r>
              <w:rPr>
                <w:webHidden/>
                <w:rStyle w:val="IndexLink"/>
                <w:rtl w:val="true"/>
              </w:rPr>
              <w:t>المقصد الرابع فی المفاهیم</w:t>
            </w:r>
            <w:r>
              <w:rPr>
                <w:rStyle w:val="IndexLink"/>
                <w:rtl w:val="true"/>
              </w:rPr>
              <w:tab/>
            </w:r>
            <w:r>
              <w:rPr>
                <w:rStyle w:val="IndexLink"/>
              </w:rPr>
              <w:t>12</w:t>
            </w:r>
          </w:hyperlink>
        </w:p>
        <w:p>
          <w:pPr>
            <w:pStyle w:val="Contents3"/>
            <w:tabs>
              <w:tab w:val="clear" w:pos="8459"/>
              <w:tab w:val="right" w:pos="9026" w:leader="dot"/>
            </w:tabs>
            <w:rPr/>
          </w:pPr>
          <w:hyperlink w:anchor="__RefHeading___Toc559322_324435999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59324_3244359995">
            <w:r>
              <w:rPr>
                <w:webHidden/>
                <w:rStyle w:val="IndexLink"/>
                <w:rtl w:val="true"/>
              </w:rPr>
              <w:t>تمهید</w:t>
            </w:r>
            <w:r>
              <w:rPr>
                <w:rStyle w:val="IndexLink"/>
                <w:rtl w:val="true"/>
              </w:rPr>
              <w:tab/>
            </w:r>
            <w:r>
              <w:rPr>
                <w:rStyle w:val="IndexLink"/>
              </w:rPr>
              <w:t>13</w:t>
            </w:r>
          </w:hyperlink>
        </w:p>
        <w:p>
          <w:pPr>
            <w:pStyle w:val="Contents4"/>
            <w:tabs>
              <w:tab w:val="clear" w:pos="8176"/>
              <w:tab w:val="right" w:pos="9026" w:leader="dot"/>
            </w:tabs>
            <w:rPr/>
          </w:pPr>
          <w:hyperlink w:anchor="__RefHeading___Toc559326_3244359995">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559328_3244359995">
            <w:r>
              <w:rPr>
                <w:webHidden/>
                <w:rStyle w:val="IndexLink"/>
                <w:rtl w:val="true"/>
              </w:rPr>
              <w:t>الجهة الأولی</w:t>
            </w:r>
            <w:r>
              <w:rPr>
                <w:rStyle w:val="IndexLink"/>
                <w:rtl w:val="true"/>
              </w:rPr>
              <w:t xml:space="preserve">: </w:t>
            </w:r>
            <w:r>
              <w:rPr>
                <w:rStyle w:val="IndexLink"/>
                <w:rtl w:val="true"/>
              </w:rPr>
              <w:t>فی تعریف المنطوق و المفهوم</w:t>
            </w:r>
            <w:r>
              <w:rPr>
                <w:rStyle w:val="IndexLink"/>
                <w:rtl w:val="true"/>
              </w:rPr>
              <w:tab/>
            </w:r>
            <w:r>
              <w:rPr>
                <w:rStyle w:val="IndexLink"/>
              </w:rPr>
              <w:t>13</w:t>
            </w:r>
          </w:hyperlink>
        </w:p>
        <w:p>
          <w:pPr>
            <w:pStyle w:val="Contents4"/>
            <w:tabs>
              <w:tab w:val="clear" w:pos="8176"/>
              <w:tab w:val="right" w:pos="9026" w:leader="dot"/>
            </w:tabs>
            <w:rPr/>
          </w:pPr>
          <w:hyperlink w:anchor="__RefHeading___Toc559330_3244359995">
            <w:r>
              <w:rPr>
                <w:webHidden/>
                <w:rStyle w:val="IndexLink"/>
                <w:rtl w:val="true"/>
              </w:rPr>
              <w:t>الجهة الثانیة</w:t>
            </w:r>
            <w:r>
              <w:rPr>
                <w:rStyle w:val="IndexLink"/>
                <w:rtl w:val="true"/>
              </w:rPr>
              <w:t xml:space="preserve">: </w:t>
            </w:r>
            <w:r>
              <w:rPr>
                <w:rStyle w:val="IndexLink"/>
                <w:rtl w:val="true"/>
              </w:rPr>
              <w:t>فی أنّ نزاع المفهوم صغرویّ أو کبرویّ</w:t>
            </w:r>
            <w:r>
              <w:rPr>
                <w:rStyle w:val="IndexLink"/>
                <w:rtl w:val="true"/>
              </w:rPr>
              <w:tab/>
            </w:r>
            <w:r>
              <w:rPr>
                <w:rStyle w:val="IndexLink"/>
              </w:rPr>
              <w:t>18</w:t>
            </w:r>
          </w:hyperlink>
        </w:p>
        <w:p>
          <w:pPr>
            <w:pStyle w:val="Contents4"/>
            <w:tabs>
              <w:tab w:val="clear" w:pos="8176"/>
              <w:tab w:val="right" w:pos="9026" w:leader="dot"/>
            </w:tabs>
            <w:rPr/>
          </w:pPr>
          <w:hyperlink w:anchor="__RefHeading___Toc559332_3244359995">
            <w:r>
              <w:rPr>
                <w:webHidden/>
                <w:rStyle w:val="IndexLink"/>
                <w:rtl w:val="true"/>
              </w:rPr>
              <w:t>الجهة الثالثة</w:t>
            </w:r>
            <w:r>
              <w:rPr>
                <w:rStyle w:val="IndexLink"/>
                <w:rtl w:val="true"/>
              </w:rPr>
              <w:t xml:space="preserve">: </w:t>
            </w:r>
            <w:r>
              <w:rPr>
                <w:rStyle w:val="IndexLink"/>
                <w:rtl w:val="true"/>
              </w:rPr>
              <w:t>فی أنّ المقصود نفی سنخ الحکم لا شخصه</w:t>
            </w:r>
            <w:r>
              <w:rPr>
                <w:rStyle w:val="IndexLink"/>
                <w:rtl w:val="true"/>
              </w:rPr>
              <w:tab/>
            </w:r>
            <w:r>
              <w:rPr>
                <w:rStyle w:val="IndexLink"/>
              </w:rPr>
              <w:t>21</w:t>
            </w:r>
          </w:hyperlink>
        </w:p>
        <w:p>
          <w:pPr>
            <w:pStyle w:val="Contents5"/>
            <w:tabs>
              <w:tab w:val="clear" w:pos="7892"/>
              <w:tab w:val="right" w:pos="9026" w:leader="dot"/>
            </w:tabs>
            <w:rPr/>
          </w:pPr>
          <w:hyperlink w:anchor="__RefHeading___Toc559334_3244359995">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559336_3244359995">
            <w:r>
              <w:rPr>
                <w:webHidden/>
                <w:rStyle w:val="IndexLink"/>
                <w:rtl w:val="true"/>
              </w:rPr>
              <w:t>شبهة و حلّ</w:t>
            </w:r>
            <w:r>
              <w:rPr>
                <w:rStyle w:val="IndexLink"/>
                <w:rtl w:val="true"/>
              </w:rPr>
              <w:tab/>
            </w:r>
            <w:r>
              <w:rPr>
                <w:rStyle w:val="IndexLink"/>
              </w:rPr>
              <w:t>22</w:t>
            </w:r>
          </w:hyperlink>
        </w:p>
        <w:p>
          <w:pPr>
            <w:pStyle w:val="Contents5"/>
            <w:tabs>
              <w:tab w:val="clear" w:pos="7892"/>
              <w:tab w:val="right" w:pos="9026" w:leader="dot"/>
            </w:tabs>
            <w:rPr/>
          </w:pPr>
          <w:hyperlink w:anchor="__RefHeading___Toc559338_3244359995">
            <w:r>
              <w:rPr>
                <w:webHidden/>
                <w:rStyle w:val="IndexLink"/>
                <w:rtl w:val="true"/>
              </w:rPr>
              <w:t>تنبیه</w:t>
            </w:r>
            <w:r>
              <w:rPr>
                <w:rStyle w:val="IndexLink"/>
                <w:rtl w:val="true"/>
              </w:rPr>
              <w:t xml:space="preserve">: </w:t>
            </w:r>
            <w:r>
              <w:rPr>
                <w:rStyle w:val="IndexLink"/>
                <w:rtl w:val="true"/>
              </w:rPr>
              <w:t>فی خروج بعض أنحاء المفهوم المخالف و الموافق عن محلّ النزاع</w:t>
            </w:r>
            <w:r>
              <w:rPr>
                <w:rStyle w:val="IndexLink"/>
                <w:rtl w:val="true"/>
              </w:rPr>
              <w:tab/>
            </w:r>
            <w:r>
              <w:rPr>
                <w:rStyle w:val="IndexLink"/>
              </w:rPr>
              <w:t>23</w:t>
            </w:r>
          </w:hyperlink>
        </w:p>
        <w:p>
          <w:pPr>
            <w:pStyle w:val="Contents4"/>
            <w:tabs>
              <w:tab w:val="clear" w:pos="8176"/>
              <w:tab w:val="right" w:pos="9026" w:leader="dot"/>
            </w:tabs>
            <w:rPr/>
          </w:pPr>
          <w:hyperlink w:anchor="__RefHeading___Toc559340_3244359995">
            <w:r>
              <w:rPr>
                <w:webHidden/>
                <w:rStyle w:val="IndexLink"/>
                <w:rtl w:val="true"/>
              </w:rPr>
              <w:t>الجهة الرابعة</w:t>
            </w:r>
            <w:r>
              <w:rPr>
                <w:rStyle w:val="IndexLink"/>
                <w:rtl w:val="true"/>
              </w:rPr>
              <w:t xml:space="preserve">: </w:t>
            </w:r>
            <w:r>
              <w:rPr>
                <w:rStyle w:val="IndexLink"/>
                <w:rtl w:val="true"/>
              </w:rPr>
              <w:t>حول مختار السیّد الأستاذ البروجردیّ فی البحث عن الواحد الجامع بین الجمل</w:t>
            </w:r>
            <w:r>
              <w:rPr>
                <w:rStyle w:val="IndexLink"/>
                <w:rtl w:val="true"/>
              </w:rPr>
              <w:tab/>
            </w:r>
            <w:r>
              <w:rPr>
                <w:rStyle w:val="IndexLink"/>
              </w:rPr>
              <w:t>24</w:t>
            </w:r>
          </w:hyperlink>
        </w:p>
        <w:p>
          <w:pPr>
            <w:pStyle w:val="Contents3"/>
            <w:tabs>
              <w:tab w:val="clear" w:pos="8459"/>
              <w:tab w:val="right" w:pos="9026" w:leader="dot"/>
            </w:tabs>
            <w:rPr/>
          </w:pPr>
          <w:hyperlink w:anchor="__RefHeading___Toc559342_3244359995">
            <w:r>
              <w:rPr>
                <w:webHidden/>
                <w:rStyle w:val="IndexLink"/>
                <w:rtl w:val="true"/>
              </w:rPr>
              <w:t>المبحث الأوّل فی القضیّة الشرطیّة</w:t>
            </w:r>
            <w:r>
              <w:rPr>
                <w:rStyle w:val="IndexLink"/>
                <w:rtl w:val="true"/>
              </w:rPr>
              <w:tab/>
            </w:r>
            <w:r>
              <w:rPr>
                <w:rStyle w:val="IndexLink"/>
              </w:rPr>
              <w:t>28</w:t>
            </w:r>
          </w:hyperlink>
        </w:p>
        <w:p>
          <w:pPr>
            <w:pStyle w:val="Contents4"/>
            <w:tabs>
              <w:tab w:val="clear" w:pos="8176"/>
              <w:tab w:val="right" w:pos="9026" w:leader="dot"/>
            </w:tabs>
            <w:rPr/>
          </w:pPr>
          <w:hyperlink w:anchor="__RefHeading___Toc559344_3244359995">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559346_3244359995">
            <w:r>
              <w:rPr>
                <w:webHidden/>
                <w:rStyle w:val="IndexLink"/>
                <w:rtl w:val="true"/>
              </w:rPr>
              <w:t>وجوه فی دلالة الجملة الشرطیّة علی المفهوم</w:t>
            </w:r>
            <w:r>
              <w:rPr>
                <w:rStyle w:val="IndexLink"/>
                <w:rtl w:val="true"/>
              </w:rPr>
              <w:tab/>
            </w:r>
            <w:r>
              <w:rPr>
                <w:rStyle w:val="IndexLink"/>
              </w:rPr>
              <w:t>30</w:t>
            </w:r>
          </w:hyperlink>
        </w:p>
        <w:p>
          <w:pPr>
            <w:pStyle w:val="Contents4"/>
            <w:tabs>
              <w:tab w:val="clear" w:pos="8176"/>
              <w:tab w:val="right" w:pos="9026" w:leader="dot"/>
            </w:tabs>
            <w:rPr/>
          </w:pPr>
          <w:hyperlink w:anchor="__RefHeading___Toc559348_3244359995">
            <w:r>
              <w:rPr>
                <w:webHidden/>
                <w:rStyle w:val="IndexLink"/>
                <w:rtl w:val="true"/>
              </w:rPr>
              <w:t>الوجوه المستدلّ بها علی العلّیة المنحصرة</w:t>
            </w:r>
            <w:r>
              <w:rPr>
                <w:rStyle w:val="IndexLink"/>
                <w:rtl w:val="true"/>
              </w:rPr>
              <w:tab/>
            </w:r>
            <w:r>
              <w:rPr>
                <w:rStyle w:val="IndexLink"/>
              </w:rPr>
              <w:t>40</w:t>
            </w:r>
          </w:hyperlink>
        </w:p>
        <w:p>
          <w:pPr>
            <w:pStyle w:val="Contents4"/>
            <w:tabs>
              <w:tab w:val="clear" w:pos="8176"/>
              <w:tab w:val="right" w:pos="9026" w:leader="dot"/>
            </w:tabs>
            <w:rPr/>
          </w:pPr>
          <w:hyperlink w:anchor="__RefHeading___Toc559350_3244359995">
            <w:r>
              <w:rPr>
                <w:webHidden/>
                <w:rStyle w:val="IndexLink"/>
                <w:rtl w:val="true"/>
              </w:rPr>
              <w:t>تذنیب</w:t>
            </w:r>
            <w:r>
              <w:rPr>
                <w:rStyle w:val="IndexLink"/>
                <w:rtl w:val="true"/>
              </w:rPr>
              <w:t xml:space="preserve">: </w:t>
            </w:r>
            <w:r>
              <w:rPr>
                <w:rStyle w:val="IndexLink"/>
                <w:rtl w:val="true"/>
              </w:rPr>
              <w:t>حول ثبوت المفهوم لبعض القضایا الشرطیّة</w:t>
            </w:r>
            <w:r>
              <w:rPr>
                <w:rStyle w:val="IndexLink"/>
                <w:rtl w:val="true"/>
              </w:rPr>
              <w:tab/>
            </w:r>
            <w:r>
              <w:rPr>
                <w:rStyle w:val="IndexLink"/>
              </w:rPr>
              <w:t>48</w:t>
            </w:r>
          </w:hyperlink>
        </w:p>
        <w:p>
          <w:pPr>
            <w:pStyle w:val="Contents4"/>
            <w:tabs>
              <w:tab w:val="clear" w:pos="8176"/>
              <w:tab w:val="right" w:pos="9026" w:leader="dot"/>
            </w:tabs>
            <w:rPr/>
          </w:pPr>
          <w:hyperlink w:anchor="__RefHeading___Toc559352_3244359995">
            <w:r>
              <w:rPr>
                <w:webHidden/>
                <w:rStyle w:val="IndexLink"/>
                <w:rtl w:val="true"/>
              </w:rPr>
              <w:t>ذنابة</w:t>
            </w:r>
            <w:r>
              <w:rPr>
                <w:rStyle w:val="IndexLink"/>
                <w:rtl w:val="true"/>
              </w:rPr>
              <w:t xml:space="preserve">: </w:t>
            </w:r>
            <w:r>
              <w:rPr>
                <w:rStyle w:val="IndexLink"/>
                <w:rtl w:val="true"/>
              </w:rPr>
              <w:t>حول الاستدلال علی المفهوم بالقضایا المستعملة فی الوصایا</w:t>
            </w:r>
            <w:r>
              <w:rPr>
                <w:rStyle w:val="IndexLink"/>
                <w:rtl w:val="true"/>
              </w:rPr>
              <w:tab/>
            </w:r>
            <w:r>
              <w:rPr>
                <w:rStyle w:val="IndexLink"/>
              </w:rPr>
              <w:t>50</w:t>
            </w:r>
          </w:hyperlink>
        </w:p>
        <w:p>
          <w:pPr>
            <w:pStyle w:val="Contents4"/>
            <w:tabs>
              <w:tab w:val="clear" w:pos="8176"/>
              <w:tab w:val="right" w:pos="9026" w:leader="dot"/>
            </w:tabs>
            <w:rPr/>
          </w:pPr>
          <w:hyperlink w:anchor="__RefHeading___Toc559354_3244359995">
            <w:r>
              <w:rPr>
                <w:webHidden/>
                <w:rStyle w:val="IndexLink"/>
                <w:rtl w:val="true"/>
              </w:rPr>
              <w:t>تنبیهات</w:t>
            </w:r>
            <w:r>
              <w:rPr>
                <w:rStyle w:val="IndexLink"/>
                <w:rtl w:val="true"/>
              </w:rPr>
              <w:tab/>
            </w:r>
            <w:r>
              <w:rPr>
                <w:rStyle w:val="IndexLink"/>
              </w:rPr>
              <w:t>51</w:t>
            </w:r>
          </w:hyperlink>
        </w:p>
        <w:p>
          <w:pPr>
            <w:pStyle w:val="Contents5"/>
            <w:tabs>
              <w:tab w:val="clear" w:pos="7892"/>
              <w:tab w:val="right" w:pos="9026" w:leader="dot"/>
            </w:tabs>
            <w:rPr/>
          </w:pPr>
          <w:hyperlink w:anchor="__RefHeading___Toc559356_3244359995">
            <w:r>
              <w:rPr>
                <w:webHidden/>
                <w:rStyle w:val="IndexLink"/>
                <w:rtl w:val="true"/>
              </w:rPr>
              <w:t>التنبیه الأوّل</w:t>
            </w:r>
            <w:r>
              <w:rPr>
                <w:rStyle w:val="IndexLink"/>
                <w:rtl w:val="true"/>
              </w:rPr>
              <w:t xml:space="preserve">: </w:t>
            </w:r>
            <w:r>
              <w:rPr>
                <w:rStyle w:val="IndexLink"/>
                <w:rtl w:val="true"/>
              </w:rPr>
              <w:t>حول الإشکال فی مفهوم طائفة من القضایا الشرطیّة</w:t>
            </w:r>
            <w:r>
              <w:rPr>
                <w:rStyle w:val="IndexLink"/>
                <w:rtl w:val="true"/>
              </w:rPr>
              <w:tab/>
            </w:r>
            <w:r>
              <w:rPr>
                <w:rStyle w:val="IndexLink"/>
              </w:rPr>
              <w:t>51</w:t>
            </w:r>
          </w:hyperlink>
        </w:p>
        <w:p>
          <w:pPr>
            <w:pStyle w:val="Contents6"/>
            <w:tabs>
              <w:tab w:val="clear" w:pos="7609"/>
              <w:tab w:val="right" w:pos="9026" w:leader="dot"/>
            </w:tabs>
            <w:rPr/>
          </w:pPr>
          <w:hyperlink w:anchor="__RefHeading___Toc559358_3244359995">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559360_3244359995">
            <w:r>
              <w:rPr>
                <w:webHidden/>
                <w:rStyle w:val="IndexLink"/>
                <w:rtl w:val="true"/>
              </w:rPr>
              <w:t>تذنیب</w:t>
            </w:r>
            <w:r>
              <w:rPr>
                <w:rStyle w:val="IndexLink"/>
                <w:rtl w:val="true"/>
              </w:rPr>
              <w:t xml:space="preserve">: </w:t>
            </w:r>
            <w:r>
              <w:rPr>
                <w:rStyle w:val="IndexLink"/>
                <w:rtl w:val="true"/>
              </w:rPr>
              <w:t>حول دلالة بعض الطوائف من القضایا الشرطیّة علی المفهوم</w:t>
            </w:r>
            <w:r>
              <w:rPr>
                <w:rStyle w:val="IndexLink"/>
                <w:rtl w:val="true"/>
              </w:rPr>
              <w:tab/>
            </w:r>
            <w:r>
              <w:rPr>
                <w:rStyle w:val="IndexLink"/>
              </w:rPr>
              <w:t>57</w:t>
            </w:r>
          </w:hyperlink>
        </w:p>
        <w:p>
          <w:pPr>
            <w:pStyle w:val="Contents5"/>
            <w:tabs>
              <w:tab w:val="clear" w:pos="7892"/>
              <w:tab w:val="right" w:pos="9026" w:leader="dot"/>
            </w:tabs>
            <w:rPr/>
          </w:pPr>
          <w:hyperlink w:anchor="__RefHeading___Toc559362_3244359995">
            <w:r>
              <w:rPr>
                <w:webHidden/>
                <w:rStyle w:val="IndexLink"/>
                <w:rtl w:val="true"/>
              </w:rPr>
              <w:t>التنبیه الثانی</w:t>
            </w:r>
            <w:r>
              <w:rPr>
                <w:rStyle w:val="IndexLink"/>
                <w:rtl w:val="true"/>
              </w:rPr>
              <w:t xml:space="preserve">: </w:t>
            </w:r>
            <w:r>
              <w:rPr>
                <w:rStyle w:val="IndexLink"/>
                <w:rtl w:val="true"/>
              </w:rPr>
              <w:t>حول اشتمال الجملة الشرطیّة علی العلّة المصرّح بها</w:t>
            </w:r>
            <w:r>
              <w:rPr>
                <w:rStyle w:val="IndexLink"/>
                <w:rtl w:val="true"/>
              </w:rPr>
              <w:tab/>
            </w:r>
            <w:r>
              <w:rPr>
                <w:rStyle w:val="IndexLink"/>
              </w:rPr>
              <w:t>59</w:t>
            </w:r>
          </w:hyperlink>
        </w:p>
        <w:p>
          <w:pPr>
            <w:pStyle w:val="Contents5"/>
            <w:tabs>
              <w:tab w:val="clear" w:pos="7892"/>
              <w:tab w:val="right" w:pos="9026" w:leader="dot"/>
            </w:tabs>
            <w:rPr/>
          </w:pPr>
          <w:hyperlink w:anchor="__RefHeading___Toc559364_3244359995">
            <w:r>
              <w:rPr>
                <w:webHidden/>
                <w:rStyle w:val="IndexLink"/>
                <w:rtl w:val="true"/>
              </w:rPr>
              <w:t>التنبیه الثالث</w:t>
            </w:r>
            <w:r>
              <w:rPr>
                <w:rStyle w:val="IndexLink"/>
                <w:rtl w:val="true"/>
              </w:rPr>
              <w:t xml:space="preserve">: </w:t>
            </w:r>
            <w:r>
              <w:rPr>
                <w:rStyle w:val="IndexLink"/>
                <w:rtl w:val="true"/>
              </w:rPr>
              <w:t>فی المراد من العلّة المنحصرة</w:t>
            </w:r>
            <w:r>
              <w:rPr>
                <w:rStyle w:val="IndexLink"/>
                <w:rtl w:val="true"/>
              </w:rPr>
              <w:tab/>
            </w:r>
            <w:r>
              <w:rPr>
                <w:rStyle w:val="IndexLink"/>
              </w:rPr>
              <w:t>60</w:t>
            </w:r>
          </w:hyperlink>
        </w:p>
        <w:p>
          <w:pPr>
            <w:pStyle w:val="Contents5"/>
            <w:tabs>
              <w:tab w:val="clear" w:pos="7892"/>
              <w:tab w:val="right" w:pos="9026" w:leader="dot"/>
            </w:tabs>
            <w:rPr/>
          </w:pPr>
          <w:hyperlink w:anchor="__RefHeading___Toc559366_3244359995">
            <w:r>
              <w:rPr>
                <w:webHidden/>
                <w:rStyle w:val="IndexLink"/>
                <w:rtl w:val="true"/>
              </w:rPr>
              <w:t>التنبیه الرابع</w:t>
            </w:r>
            <w:r>
              <w:rPr>
                <w:rStyle w:val="IndexLink"/>
                <w:rtl w:val="true"/>
              </w:rPr>
              <w:t xml:space="preserve">: </w:t>
            </w:r>
            <w:r>
              <w:rPr>
                <w:rStyle w:val="IndexLink"/>
                <w:rtl w:val="true"/>
              </w:rPr>
              <w:t>حول ما إذا تعدّد الشرط و اتحد الجزاء</w:t>
            </w:r>
            <w:r>
              <w:rPr>
                <w:rStyle w:val="IndexLink"/>
                <w:rtl w:val="true"/>
              </w:rPr>
              <w:tab/>
            </w:r>
            <w:r>
              <w:rPr>
                <w:rStyle w:val="IndexLink"/>
              </w:rPr>
              <w:t>62</w:t>
            </w:r>
          </w:hyperlink>
        </w:p>
        <w:p>
          <w:pPr>
            <w:pStyle w:val="Contents6"/>
            <w:tabs>
              <w:tab w:val="clear" w:pos="7609"/>
              <w:tab w:val="right" w:pos="9026" w:leader="dot"/>
            </w:tabs>
            <w:rPr/>
          </w:pPr>
          <w:hyperlink w:anchor="__RefHeading___Toc559368_3244359995">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559370_3244359995">
            <w:r>
              <w:rPr>
                <w:webHidden/>
                <w:rStyle w:val="IndexLink"/>
                <w:rtl w:val="true"/>
              </w:rPr>
              <w:t>المسألة الأولی</w:t>
            </w:r>
            <w:r>
              <w:rPr>
                <w:rStyle w:val="IndexLink"/>
                <w:rtl w:val="true"/>
              </w:rPr>
              <w:t xml:space="preserve">: </w:t>
            </w:r>
            <w:r>
              <w:rPr>
                <w:rStyle w:val="IndexLink"/>
                <w:rtl w:val="true"/>
              </w:rPr>
              <w:t>فی بیان المختار بناء علی عدم المفهوم</w:t>
            </w:r>
            <w:r>
              <w:rPr>
                <w:rStyle w:val="IndexLink"/>
                <w:rtl w:val="true"/>
              </w:rPr>
              <w:tab/>
            </w:r>
            <w:r>
              <w:rPr>
                <w:rStyle w:val="IndexLink"/>
              </w:rPr>
              <w:t>62</w:t>
            </w:r>
          </w:hyperlink>
        </w:p>
        <w:p>
          <w:pPr>
            <w:pStyle w:val="Contents6"/>
            <w:tabs>
              <w:tab w:val="clear" w:pos="7609"/>
              <w:tab w:val="right" w:pos="9026" w:leader="dot"/>
            </w:tabs>
            <w:rPr/>
          </w:pPr>
          <w:hyperlink w:anchor="__RefHeading___Toc559372_3244359995">
            <w:r>
              <w:rPr>
                <w:webHidden/>
                <w:rStyle w:val="IndexLink"/>
                <w:rtl w:val="true"/>
              </w:rPr>
              <w:t>المسألة الثانیة</w:t>
            </w:r>
            <w:r>
              <w:rPr>
                <w:rStyle w:val="IndexLink"/>
                <w:rtl w:val="true"/>
              </w:rPr>
              <w:t xml:space="preserve">: </w:t>
            </w:r>
            <w:r>
              <w:rPr>
                <w:rStyle w:val="IndexLink"/>
                <w:rtl w:val="true"/>
              </w:rPr>
              <w:t>فی بیان المختار بناء علی ثبوت المفهوم</w:t>
            </w:r>
            <w:r>
              <w:rPr>
                <w:rStyle w:val="IndexLink"/>
                <w:rtl w:val="true"/>
              </w:rPr>
              <w:tab/>
            </w:r>
            <w:r>
              <w:rPr>
                <w:rStyle w:val="IndexLink"/>
              </w:rPr>
              <w:t>64</w:t>
            </w:r>
          </w:hyperlink>
        </w:p>
        <w:p>
          <w:pPr>
            <w:pStyle w:val="Contents6"/>
            <w:tabs>
              <w:tab w:val="clear" w:pos="7609"/>
              <w:tab w:val="right" w:pos="9026" w:leader="dot"/>
            </w:tabs>
            <w:rPr/>
          </w:pPr>
          <w:hyperlink w:anchor="__RefHeading___Toc559374_3244359995">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559376_3244359995">
            <w:r>
              <w:rPr>
                <w:webHidden/>
                <w:rStyle w:val="IndexLink"/>
                <w:rtl w:val="true"/>
              </w:rPr>
              <w:t>المرحلة الأولی</w:t>
            </w:r>
            <w:r>
              <w:rPr>
                <w:rStyle w:val="IndexLink"/>
                <w:rtl w:val="true"/>
              </w:rPr>
              <w:t xml:space="preserve">: </w:t>
            </w:r>
            <w:r>
              <w:rPr>
                <w:rStyle w:val="IndexLink"/>
                <w:rtl w:val="true"/>
              </w:rPr>
              <w:t>فی تشخیص مصبّ التعارض</w:t>
            </w:r>
            <w:r>
              <w:rPr>
                <w:rStyle w:val="IndexLink"/>
                <w:rtl w:val="true"/>
              </w:rPr>
              <w:tab/>
            </w:r>
            <w:r>
              <w:rPr>
                <w:rStyle w:val="IndexLink"/>
              </w:rPr>
              <w:t>65</w:t>
            </w:r>
          </w:hyperlink>
        </w:p>
        <w:p>
          <w:pPr>
            <w:pStyle w:val="Contents6"/>
            <w:tabs>
              <w:tab w:val="clear" w:pos="7609"/>
              <w:tab w:val="right" w:pos="9026" w:leader="dot"/>
            </w:tabs>
            <w:rPr/>
          </w:pPr>
          <w:hyperlink w:anchor="__RefHeading___Toc559378_3244359995">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559380_3244359995">
            <w:r>
              <w:rPr>
                <w:webHidden/>
                <w:rStyle w:val="IndexLink"/>
                <w:rtl w:val="true"/>
              </w:rPr>
              <w:t>تنبیه و توضیح</w:t>
            </w:r>
            <w:r>
              <w:rPr>
                <w:rStyle w:val="IndexLink"/>
                <w:rtl w:val="true"/>
              </w:rPr>
              <w:t xml:space="preserve">: </w:t>
            </w:r>
            <w:r>
              <w:rPr>
                <w:rStyle w:val="IndexLink"/>
                <w:rtl w:val="true"/>
              </w:rPr>
              <w:t>فی بیان ثمرة النزاع</w:t>
            </w:r>
            <w:r>
              <w:rPr>
                <w:rStyle w:val="IndexLink"/>
                <w:rtl w:val="true"/>
              </w:rPr>
              <w:tab/>
            </w:r>
            <w:r>
              <w:rPr>
                <w:rStyle w:val="IndexLink"/>
              </w:rPr>
              <w:t>66</w:t>
            </w:r>
          </w:hyperlink>
        </w:p>
        <w:p>
          <w:pPr>
            <w:pStyle w:val="Contents6"/>
            <w:tabs>
              <w:tab w:val="clear" w:pos="7609"/>
              <w:tab w:val="right" w:pos="9026" w:leader="dot"/>
            </w:tabs>
            <w:rPr/>
          </w:pPr>
          <w:hyperlink w:anchor="__RefHeading___Toc559382_3244359995">
            <w:r>
              <w:rPr>
                <w:webHidden/>
                <w:rStyle w:val="IndexLink"/>
                <w:rtl w:val="true"/>
              </w:rPr>
              <w:t>إیقاظ</w:t>
            </w:r>
            <w:r>
              <w:rPr>
                <w:rStyle w:val="IndexLink"/>
                <w:rtl w:val="true"/>
              </w:rPr>
              <w:t xml:space="preserve">: </w:t>
            </w:r>
            <w:r>
              <w:rPr>
                <w:rStyle w:val="IndexLink"/>
                <w:rtl w:val="true"/>
              </w:rPr>
              <w:t>حول استفادة المفهوم من الإطلاق</w:t>
            </w:r>
            <w:r>
              <w:rPr>
                <w:rStyle w:val="IndexLink"/>
                <w:rtl w:val="true"/>
              </w:rPr>
              <w:tab/>
            </w:r>
            <w:r>
              <w:rPr>
                <w:rStyle w:val="IndexLink"/>
              </w:rPr>
              <w:t>69</w:t>
            </w:r>
          </w:hyperlink>
        </w:p>
        <w:p>
          <w:pPr>
            <w:pStyle w:val="Contents6"/>
            <w:tabs>
              <w:tab w:val="clear" w:pos="7609"/>
              <w:tab w:val="right" w:pos="9026" w:leader="dot"/>
            </w:tabs>
            <w:rPr/>
          </w:pPr>
          <w:hyperlink w:anchor="__RefHeading___Toc559384_3244359995">
            <w:r>
              <w:rPr>
                <w:webHidden/>
                <w:rStyle w:val="IndexLink"/>
                <w:rtl w:val="true"/>
              </w:rPr>
              <w:t>المرحلة الثانیة</w:t>
            </w:r>
            <w:r>
              <w:rPr>
                <w:rStyle w:val="IndexLink"/>
                <w:rtl w:val="true"/>
              </w:rPr>
              <w:t xml:space="preserve">: </w:t>
            </w:r>
            <w:r>
              <w:rPr>
                <w:rStyle w:val="IndexLink"/>
                <w:rtl w:val="true"/>
              </w:rPr>
              <w:t>فی کیفیّة العلاج بین المنطوقین</w:t>
            </w:r>
            <w:r>
              <w:rPr>
                <w:rStyle w:val="IndexLink"/>
                <w:rtl w:val="true"/>
              </w:rPr>
              <w:tab/>
            </w:r>
            <w:r>
              <w:rPr>
                <w:rStyle w:val="IndexLink"/>
              </w:rPr>
              <w:t>70</w:t>
            </w:r>
          </w:hyperlink>
        </w:p>
        <w:p>
          <w:pPr>
            <w:pStyle w:val="Contents6"/>
            <w:tabs>
              <w:tab w:val="clear" w:pos="7609"/>
              <w:tab w:val="right" w:pos="9026" w:leader="dot"/>
            </w:tabs>
            <w:rPr/>
          </w:pPr>
          <w:hyperlink w:anchor="__RefHeading___Toc559386_3244359995">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559388_3244359995">
            <w:r>
              <w:rPr>
                <w:webHidden/>
                <w:rStyle w:val="IndexLink"/>
                <w:rtl w:val="true"/>
              </w:rPr>
              <w:t>أحدها</w:t>
            </w:r>
            <w:r>
              <w:rPr>
                <w:rStyle w:val="IndexLink"/>
                <w:rtl w:val="true"/>
              </w:rPr>
              <w:t xml:space="preserve">: </w:t>
            </w:r>
            <w:r>
              <w:rPr>
                <w:rStyle w:val="IndexLink"/>
                <w:rtl w:val="true"/>
              </w:rPr>
              <w:t>فی عدم اختلاف البحث بناء علی الطریقیّة و الموضوعیّة</w:t>
            </w:r>
            <w:r>
              <w:rPr>
                <w:rStyle w:val="IndexLink"/>
                <w:rtl w:val="true"/>
              </w:rPr>
              <w:tab/>
            </w:r>
            <w:r>
              <w:rPr>
                <w:rStyle w:val="IndexLink"/>
              </w:rPr>
              <w:t>70</w:t>
            </w:r>
          </w:hyperlink>
        </w:p>
        <w:p>
          <w:pPr>
            <w:pStyle w:val="Contents6"/>
            <w:tabs>
              <w:tab w:val="clear" w:pos="7609"/>
              <w:tab w:val="right" w:pos="9026" w:leader="dot"/>
            </w:tabs>
            <w:rPr/>
          </w:pPr>
          <w:hyperlink w:anchor="__RefHeading___Toc559390_3244359995">
            <w:r>
              <w:rPr>
                <w:webHidden/>
                <w:rStyle w:val="IndexLink"/>
                <w:rtl w:val="true"/>
              </w:rPr>
              <w:t>ثانیها</w:t>
            </w:r>
            <w:r>
              <w:rPr>
                <w:rStyle w:val="IndexLink"/>
                <w:rtl w:val="true"/>
              </w:rPr>
              <w:t xml:space="preserve">: </w:t>
            </w:r>
            <w:r>
              <w:rPr>
                <w:rStyle w:val="IndexLink"/>
                <w:rtl w:val="true"/>
              </w:rPr>
              <w:t>حول التشبّث بالإطلاق المنتهی إلی إثبات أصل علیّة المقدم للتالی</w:t>
            </w:r>
            <w:r>
              <w:rPr>
                <w:rStyle w:val="IndexLink"/>
                <w:rtl w:val="true"/>
              </w:rPr>
              <w:tab/>
            </w:r>
            <w:r>
              <w:rPr>
                <w:rStyle w:val="IndexLink"/>
              </w:rPr>
              <w:t>71</w:t>
            </w:r>
          </w:hyperlink>
        </w:p>
        <w:p>
          <w:pPr>
            <w:pStyle w:val="Contents6"/>
            <w:tabs>
              <w:tab w:val="clear" w:pos="7609"/>
              <w:tab w:val="right" w:pos="9026" w:leader="dot"/>
            </w:tabs>
            <w:rPr/>
          </w:pPr>
          <w:hyperlink w:anchor="__RefHeading___Toc559392_3244359995">
            <w:r>
              <w:rPr>
                <w:webHidden/>
                <w:rStyle w:val="IndexLink"/>
                <w:rtl w:val="true"/>
              </w:rPr>
              <w:t>ثالثها</w:t>
            </w:r>
            <w:r>
              <w:rPr>
                <w:rStyle w:val="IndexLink"/>
                <w:rtl w:val="true"/>
              </w:rPr>
              <w:t xml:space="preserve">: </w:t>
            </w:r>
            <w:r>
              <w:rPr>
                <w:rStyle w:val="IndexLink"/>
                <w:rtl w:val="true"/>
              </w:rPr>
              <w:t>فی لزوم حمل بعض الشرطیّات علی العلّیة التامّة</w:t>
            </w:r>
            <w:r>
              <w:rPr>
                <w:rStyle w:val="IndexLink"/>
                <w:rtl w:val="true"/>
              </w:rPr>
              <w:tab/>
            </w:r>
            <w:r>
              <w:rPr>
                <w:rStyle w:val="IndexLink"/>
              </w:rPr>
              <w:t>72</w:t>
            </w:r>
          </w:hyperlink>
        </w:p>
        <w:p>
          <w:pPr>
            <w:pStyle w:val="Contents6"/>
            <w:tabs>
              <w:tab w:val="clear" w:pos="7609"/>
              <w:tab w:val="right" w:pos="9026" w:leader="dot"/>
            </w:tabs>
            <w:rPr/>
          </w:pPr>
          <w:hyperlink w:anchor="__RefHeading___Toc559394_3244359995">
            <w:r>
              <w:rPr>
                <w:webHidden/>
                <w:rStyle w:val="IndexLink"/>
                <w:rtl w:val="true"/>
              </w:rPr>
              <w:t>رابعها</w:t>
            </w:r>
            <w:r>
              <w:rPr>
                <w:rStyle w:val="IndexLink"/>
                <w:rtl w:val="true"/>
              </w:rPr>
              <w:t xml:space="preserve">: </w:t>
            </w:r>
            <w:r>
              <w:rPr>
                <w:rStyle w:val="IndexLink"/>
                <w:rtl w:val="true"/>
              </w:rPr>
              <w:t>فی تمحّض البحث عن إمکان الجمع بین المنطوقین و عدمه</w:t>
            </w:r>
            <w:r>
              <w:rPr>
                <w:rStyle w:val="IndexLink"/>
                <w:rtl w:val="true"/>
              </w:rPr>
              <w:tab/>
            </w:r>
            <w:r>
              <w:rPr>
                <w:rStyle w:val="IndexLink"/>
              </w:rPr>
              <w:t>73</w:t>
            </w:r>
          </w:hyperlink>
        </w:p>
        <w:p>
          <w:pPr>
            <w:pStyle w:val="Contents6"/>
            <w:tabs>
              <w:tab w:val="clear" w:pos="7609"/>
              <w:tab w:val="right" w:pos="9026" w:leader="dot"/>
            </w:tabs>
            <w:rPr/>
          </w:pPr>
          <w:hyperlink w:anchor="__RefHeading___Toc559396_3244359995">
            <w:r>
              <w:rPr>
                <w:webHidden/>
                <w:rStyle w:val="IndexLink"/>
                <w:rtl w:val="true"/>
              </w:rPr>
              <w:t>الوجوه الموجبة للتصرّف فی الإطلاق المثبت للمفهوم و الانحصار</w:t>
            </w:r>
            <w:r>
              <w:rPr>
                <w:rStyle w:val="IndexLink"/>
                <w:rtl w:val="true"/>
              </w:rPr>
              <w:tab/>
            </w:r>
            <w:r>
              <w:rPr>
                <w:rStyle w:val="IndexLink"/>
              </w:rPr>
              <w:t>73</w:t>
            </w:r>
          </w:hyperlink>
        </w:p>
        <w:p>
          <w:pPr>
            <w:pStyle w:val="Contents6"/>
            <w:tabs>
              <w:tab w:val="clear" w:pos="7609"/>
              <w:tab w:val="right" w:pos="9026" w:leader="dot"/>
            </w:tabs>
            <w:rPr/>
          </w:pPr>
          <w:hyperlink w:anchor="__RefHeading___Toc559398_3244359995">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559400_3244359995">
            <w:r>
              <w:rPr>
                <w:webHidden/>
                <w:rStyle w:val="IndexLink"/>
                <w:rtl w:val="true"/>
              </w:rPr>
              <w:t>وهم و دفع</w:t>
            </w:r>
            <w:r>
              <w:rPr>
                <w:rStyle w:val="IndexLink"/>
                <w:rtl w:val="true"/>
              </w:rPr>
              <w:tab/>
            </w:r>
            <w:r>
              <w:rPr>
                <w:rStyle w:val="IndexLink"/>
              </w:rPr>
              <w:t>81</w:t>
            </w:r>
          </w:hyperlink>
        </w:p>
        <w:p>
          <w:pPr>
            <w:pStyle w:val="Contents5"/>
            <w:tabs>
              <w:tab w:val="clear" w:pos="7892"/>
              <w:tab w:val="right" w:pos="9026" w:leader="dot"/>
            </w:tabs>
            <w:rPr/>
          </w:pPr>
          <w:hyperlink w:anchor="__RefHeading___Toc559402_3244359995">
            <w:r>
              <w:rPr>
                <w:webHidden/>
                <w:rStyle w:val="IndexLink"/>
                <w:rtl w:val="true"/>
              </w:rPr>
              <w:t>التنبیه الخامس</w:t>
            </w:r>
            <w:r>
              <w:rPr>
                <w:rStyle w:val="IndexLink"/>
                <w:rtl w:val="true"/>
              </w:rPr>
              <w:t xml:space="preserve">: </w:t>
            </w:r>
            <w:r>
              <w:rPr>
                <w:rStyle w:val="IndexLink"/>
                <w:rtl w:val="true"/>
              </w:rPr>
              <w:t>فی تداخل الأسباب و المسبّبات</w:t>
            </w:r>
            <w:r>
              <w:rPr>
                <w:rStyle w:val="IndexLink"/>
                <w:rtl w:val="true"/>
              </w:rPr>
              <w:tab/>
            </w:r>
            <w:r>
              <w:rPr>
                <w:rStyle w:val="IndexLink"/>
              </w:rPr>
              <w:t>83</w:t>
            </w:r>
          </w:hyperlink>
        </w:p>
        <w:p>
          <w:pPr>
            <w:pStyle w:val="Contents6"/>
            <w:tabs>
              <w:tab w:val="clear" w:pos="7609"/>
              <w:tab w:val="right" w:pos="9026" w:leader="dot"/>
            </w:tabs>
            <w:rPr/>
          </w:pPr>
          <w:hyperlink w:anchor="__RefHeading___Toc559404_3244359995">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559406_3244359995">
            <w:r>
              <w:rPr>
                <w:webHidden/>
                <w:rStyle w:val="IndexLink"/>
                <w:rtl w:val="true"/>
              </w:rPr>
              <w:t>الأمر الأوّل</w:t>
            </w:r>
            <w:r>
              <w:rPr>
                <w:rStyle w:val="IndexLink"/>
                <w:rtl w:val="true"/>
              </w:rPr>
              <w:t xml:space="preserve">: </w:t>
            </w:r>
            <w:r>
              <w:rPr>
                <w:rStyle w:val="IndexLink"/>
                <w:rtl w:val="true"/>
              </w:rPr>
              <w:t xml:space="preserve">حول المراد من </w:t>
            </w:r>
            <w:r>
              <w:rPr>
                <w:rStyle w:val="IndexLink"/>
                <w:rtl w:val="true"/>
              </w:rPr>
              <w:t>«</w:t>
            </w:r>
            <w:r>
              <w:rPr>
                <w:rStyle w:val="IndexLink"/>
                <w:rtl w:val="true"/>
              </w:rPr>
              <w:t>تداخل الأسباب و المسبّبات</w:t>
            </w:r>
            <w:r>
              <w:rPr>
                <w:rStyle w:val="IndexLink"/>
                <w:rtl w:val="true"/>
              </w:rPr>
              <w:t>»</w:t>
              <w:tab/>
            </w:r>
            <w:r>
              <w:rPr>
                <w:rStyle w:val="IndexLink"/>
              </w:rPr>
              <w:t>84</w:t>
            </w:r>
          </w:hyperlink>
        </w:p>
        <w:p>
          <w:pPr>
            <w:pStyle w:val="Contents6"/>
            <w:tabs>
              <w:tab w:val="clear" w:pos="7609"/>
              <w:tab w:val="right" w:pos="9026" w:leader="dot"/>
            </w:tabs>
            <w:rPr/>
          </w:pPr>
          <w:hyperlink w:anchor="__RefHeading___Toc559408_3244359995">
            <w:r>
              <w:rPr>
                <w:webHidden/>
                <w:rStyle w:val="IndexLink"/>
                <w:rtl w:val="true"/>
              </w:rPr>
              <w:t>الأمر الثانی</w:t>
            </w:r>
            <w:r>
              <w:rPr>
                <w:rStyle w:val="IndexLink"/>
                <w:rtl w:val="true"/>
              </w:rPr>
              <w:t xml:space="preserve">: </w:t>
            </w:r>
            <w:r>
              <w:rPr>
                <w:rStyle w:val="IndexLink"/>
                <w:rtl w:val="true"/>
              </w:rPr>
              <w:t>فی أنحاء تداخل المسبّبات</w:t>
            </w:r>
            <w:r>
              <w:rPr>
                <w:rStyle w:val="IndexLink"/>
                <w:rtl w:val="true"/>
              </w:rPr>
              <w:tab/>
            </w:r>
            <w:r>
              <w:rPr>
                <w:rStyle w:val="IndexLink"/>
              </w:rPr>
              <w:t>85</w:t>
            </w:r>
          </w:hyperlink>
        </w:p>
        <w:p>
          <w:pPr>
            <w:pStyle w:val="Contents6"/>
            <w:tabs>
              <w:tab w:val="clear" w:pos="7609"/>
              <w:tab w:val="right" w:pos="9026" w:leader="dot"/>
            </w:tabs>
            <w:rPr/>
          </w:pPr>
          <w:hyperlink w:anchor="__RefHeading___Toc559410_3244359995">
            <w:r>
              <w:rPr>
                <w:webHidden/>
                <w:rStyle w:val="IndexLink"/>
                <w:rtl w:val="true"/>
              </w:rPr>
              <w:t>الأمر الثالث</w:t>
            </w:r>
            <w:r>
              <w:rPr>
                <w:rStyle w:val="IndexLink"/>
                <w:rtl w:val="true"/>
              </w:rPr>
              <w:t xml:space="preserve">: </w:t>
            </w:r>
            <w:r>
              <w:rPr>
                <w:rStyle w:val="IndexLink"/>
                <w:rtl w:val="true"/>
              </w:rPr>
              <w:t>حول ارتباط هذه المسألة بمسألة تعدّد الشرط و اتحاد الجزاء</w:t>
            </w:r>
            <w:r>
              <w:rPr>
                <w:rStyle w:val="IndexLink"/>
                <w:rtl w:val="true"/>
              </w:rPr>
              <w:tab/>
            </w:r>
            <w:r>
              <w:rPr>
                <w:rStyle w:val="IndexLink"/>
              </w:rPr>
              <w:t>86</w:t>
            </w:r>
          </w:hyperlink>
        </w:p>
        <w:p>
          <w:pPr>
            <w:pStyle w:val="Contents6"/>
            <w:tabs>
              <w:tab w:val="clear" w:pos="7609"/>
              <w:tab w:val="right" w:pos="9026" w:leader="dot"/>
            </w:tabs>
            <w:rPr/>
          </w:pPr>
          <w:hyperlink w:anchor="__RefHeading___Toc559412_3244359995">
            <w:r>
              <w:rPr>
                <w:webHidden/>
                <w:rStyle w:val="IndexLink"/>
                <w:rtl w:val="true"/>
              </w:rPr>
              <w:t>الأمر الرابع</w:t>
            </w:r>
            <w:r>
              <w:rPr>
                <w:rStyle w:val="IndexLink"/>
                <w:rtl w:val="true"/>
              </w:rPr>
              <w:t xml:space="preserve">: </w:t>
            </w:r>
            <w:r>
              <w:rPr>
                <w:rStyle w:val="IndexLink"/>
                <w:rtl w:val="true"/>
              </w:rPr>
              <w:t>فی اعتبار الوحدة الجنسیّة و النوعیّة دون الشخصیّة و الاعتباریّة فی السبب و المسبّب</w:t>
            </w:r>
            <w:r>
              <w:rPr>
                <w:rStyle w:val="IndexLink"/>
                <w:rtl w:val="true"/>
              </w:rPr>
              <w:tab/>
            </w:r>
            <w:r>
              <w:rPr>
                <w:rStyle w:val="IndexLink"/>
              </w:rPr>
              <w:t>87</w:t>
            </w:r>
          </w:hyperlink>
        </w:p>
        <w:p>
          <w:pPr>
            <w:pStyle w:val="Contents6"/>
            <w:tabs>
              <w:tab w:val="clear" w:pos="7609"/>
              <w:tab w:val="right" w:pos="9026" w:leader="dot"/>
            </w:tabs>
            <w:rPr/>
          </w:pPr>
          <w:hyperlink w:anchor="__RefHeading___Toc559414_3244359995">
            <w:r>
              <w:rPr>
                <w:webHidden/>
                <w:rStyle w:val="IndexLink"/>
                <w:rtl w:val="true"/>
              </w:rPr>
              <w:t>الأمر الخامس</w:t>
            </w:r>
            <w:r>
              <w:rPr>
                <w:rStyle w:val="IndexLink"/>
                <w:rtl w:val="true"/>
              </w:rPr>
              <w:t xml:space="preserve">: </w:t>
            </w:r>
            <w:r>
              <w:rPr>
                <w:rStyle w:val="IndexLink"/>
                <w:rtl w:val="true"/>
              </w:rPr>
              <w:t xml:space="preserve">فی المراد من </w:t>
            </w:r>
            <w:r>
              <w:rPr>
                <w:rStyle w:val="IndexLink"/>
                <w:rtl w:val="true"/>
              </w:rPr>
              <w:t>«</w:t>
            </w:r>
            <w:r>
              <w:rPr>
                <w:rStyle w:val="IndexLink"/>
                <w:rtl w:val="true"/>
              </w:rPr>
              <w:t>وحدة الجزاء</w:t>
            </w:r>
            <w:r>
              <w:rPr>
                <w:rStyle w:val="IndexLink"/>
                <w:rtl w:val="true"/>
              </w:rPr>
              <w:t>»</w:t>
              <w:tab/>
            </w:r>
            <w:r>
              <w:rPr>
                <w:rStyle w:val="IndexLink"/>
              </w:rPr>
              <w:t>89</w:t>
            </w:r>
          </w:hyperlink>
        </w:p>
        <w:p>
          <w:pPr>
            <w:pStyle w:val="Contents6"/>
            <w:tabs>
              <w:tab w:val="clear" w:pos="7609"/>
              <w:tab w:val="right" w:pos="9026" w:leader="dot"/>
            </w:tabs>
            <w:rPr/>
          </w:pPr>
          <w:hyperlink w:anchor="__RefHeading___Toc559416_3244359995">
            <w:r>
              <w:rPr>
                <w:webHidden/>
                <w:rStyle w:val="IndexLink"/>
                <w:rtl w:val="true"/>
              </w:rPr>
              <w:t>الأمر السادس</w:t>
            </w:r>
            <w:r>
              <w:rPr>
                <w:rStyle w:val="IndexLink"/>
                <w:rtl w:val="true"/>
              </w:rPr>
              <w:t xml:space="preserve">: </w:t>
            </w:r>
            <w:r>
              <w:rPr>
                <w:rStyle w:val="IndexLink"/>
                <w:rtl w:val="true"/>
              </w:rPr>
              <w:t>فی سقوط النزاع بناء علی رجوع الشرطیة إلی البتّیة</w:t>
            </w:r>
            <w:r>
              <w:rPr>
                <w:rStyle w:val="IndexLink"/>
                <w:rtl w:val="true"/>
              </w:rPr>
              <w:tab/>
            </w:r>
            <w:r>
              <w:rPr>
                <w:rStyle w:val="IndexLink"/>
              </w:rPr>
              <w:t>90</w:t>
            </w:r>
          </w:hyperlink>
        </w:p>
        <w:p>
          <w:pPr>
            <w:pStyle w:val="Contents6"/>
            <w:tabs>
              <w:tab w:val="clear" w:pos="7609"/>
              <w:tab w:val="right" w:pos="9026" w:leader="dot"/>
            </w:tabs>
            <w:rPr/>
          </w:pPr>
          <w:hyperlink w:anchor="__RefHeading___Toc559418_3244359995">
            <w:r>
              <w:rPr>
                <w:webHidden/>
                <w:rStyle w:val="IndexLink"/>
                <w:rtl w:val="true"/>
              </w:rPr>
              <w:t>الأمر السابع</w:t>
            </w:r>
            <w:r>
              <w:rPr>
                <w:rStyle w:val="IndexLink"/>
                <w:rtl w:val="true"/>
              </w:rPr>
              <w:t xml:space="preserve">: </w:t>
            </w:r>
            <w:r>
              <w:rPr>
                <w:rStyle w:val="IndexLink"/>
                <w:rtl w:val="true"/>
              </w:rPr>
              <w:t>حول الأقوال و الاحتمالات فی المسألة</w:t>
            </w:r>
            <w:r>
              <w:rPr>
                <w:rStyle w:val="IndexLink"/>
                <w:rtl w:val="true"/>
              </w:rPr>
              <w:tab/>
            </w:r>
            <w:r>
              <w:rPr>
                <w:rStyle w:val="IndexLink"/>
              </w:rPr>
              <w:t>91</w:t>
            </w:r>
          </w:hyperlink>
        </w:p>
        <w:p>
          <w:pPr>
            <w:pStyle w:val="Contents6"/>
            <w:tabs>
              <w:tab w:val="clear" w:pos="7609"/>
              <w:tab w:val="right" w:pos="9026" w:leader="dot"/>
            </w:tabs>
            <w:rPr/>
          </w:pPr>
          <w:hyperlink w:anchor="__RefHeading___Toc559420_3244359995">
            <w:r>
              <w:rPr>
                <w:webHidden/>
                <w:rStyle w:val="IndexLink"/>
                <w:rtl w:val="true"/>
              </w:rPr>
              <w:t>الأمر الثامن</w:t>
            </w:r>
            <w:r>
              <w:rPr>
                <w:rStyle w:val="IndexLink"/>
                <w:rtl w:val="true"/>
              </w:rPr>
              <w:t xml:space="preserve">: </w:t>
            </w:r>
            <w:r>
              <w:rPr>
                <w:rStyle w:val="IndexLink"/>
                <w:rtl w:val="true"/>
              </w:rPr>
              <w:t>فی مقتضی الأصول العملیّة فی المقام</w:t>
            </w:r>
            <w:r>
              <w:rPr>
                <w:rStyle w:val="IndexLink"/>
                <w:rtl w:val="true"/>
              </w:rPr>
              <w:tab/>
            </w:r>
            <w:r>
              <w:rPr>
                <w:rStyle w:val="IndexLink"/>
              </w:rPr>
              <w:t>93</w:t>
            </w:r>
          </w:hyperlink>
        </w:p>
        <w:p>
          <w:pPr>
            <w:pStyle w:val="Contents6"/>
            <w:tabs>
              <w:tab w:val="clear" w:pos="7609"/>
              <w:tab w:val="right" w:pos="9026" w:leader="dot"/>
            </w:tabs>
            <w:rPr/>
          </w:pPr>
          <w:hyperlink w:anchor="__RefHeading___Toc559422_3244359995">
            <w:r>
              <w:rPr>
                <w:webHidden/>
                <w:rStyle w:val="IndexLink"/>
                <w:rtl w:val="true"/>
              </w:rPr>
              <w:t>الأمر التاسع</w:t>
            </w:r>
            <w:r>
              <w:rPr>
                <w:rStyle w:val="IndexLink"/>
                <w:rtl w:val="true"/>
              </w:rPr>
              <w:t xml:space="preserve">: </w:t>
            </w:r>
            <w:r>
              <w:rPr>
                <w:rStyle w:val="IndexLink"/>
                <w:rtl w:val="true"/>
              </w:rPr>
              <w:t xml:space="preserve">حول المراد من </w:t>
            </w:r>
            <w:r>
              <w:rPr>
                <w:rStyle w:val="IndexLink"/>
                <w:rtl w:val="true"/>
              </w:rPr>
              <w:t>«</w:t>
            </w:r>
            <w:r>
              <w:rPr>
                <w:rStyle w:val="IndexLink"/>
                <w:rtl w:val="true"/>
              </w:rPr>
              <w:t>المسبّب</w:t>
            </w:r>
            <w:r>
              <w:rPr>
                <w:rStyle w:val="IndexLink"/>
                <w:rtl w:val="true"/>
              </w:rPr>
              <w:t>»</w:t>
              <w:tab/>
            </w:r>
            <w:r>
              <w:rPr>
                <w:rStyle w:val="IndexLink"/>
              </w:rPr>
              <w:t>94</w:t>
            </w:r>
          </w:hyperlink>
        </w:p>
        <w:p>
          <w:pPr>
            <w:pStyle w:val="Contents6"/>
            <w:tabs>
              <w:tab w:val="clear" w:pos="7609"/>
              <w:tab w:val="right" w:pos="9026" w:leader="dot"/>
            </w:tabs>
            <w:rPr/>
          </w:pPr>
          <w:hyperlink w:anchor="__RefHeading___Toc559424_3244359995">
            <w:r>
              <w:rPr>
                <w:webHidden/>
                <w:rStyle w:val="IndexLink"/>
                <w:rtl w:val="true"/>
              </w:rPr>
              <w:t>تذنیب</w:t>
            </w:r>
            <w:r>
              <w:rPr>
                <w:rStyle w:val="IndexLink"/>
                <w:rtl w:val="true"/>
              </w:rPr>
              <w:tab/>
            </w:r>
            <w:r>
              <w:rPr>
                <w:rStyle w:val="IndexLink"/>
              </w:rPr>
              <w:t>94</w:t>
            </w:r>
          </w:hyperlink>
        </w:p>
        <w:p>
          <w:pPr>
            <w:pStyle w:val="Contents6"/>
            <w:tabs>
              <w:tab w:val="clear" w:pos="7609"/>
              <w:tab w:val="right" w:pos="9026" w:leader="dot"/>
            </w:tabs>
            <w:rPr/>
          </w:pPr>
          <w:hyperlink w:anchor="__RefHeading___Toc559426_3244359995">
            <w:r>
              <w:rPr>
                <w:webHidden/>
                <w:rStyle w:val="IndexLink"/>
                <w:rtl w:val="true"/>
              </w:rPr>
              <w:t>المسألة الأولی</w:t>
            </w:r>
            <w:r>
              <w:rPr>
                <w:rStyle w:val="IndexLink"/>
                <w:rtl w:val="true"/>
              </w:rPr>
              <w:t xml:space="preserve">: </w:t>
            </w:r>
            <w:r>
              <w:rPr>
                <w:rStyle w:val="IndexLink"/>
                <w:rtl w:val="true"/>
              </w:rPr>
              <w:t>فی تعدّد الجزاء حکما</w:t>
            </w:r>
            <w:r>
              <w:rPr>
                <w:rStyle w:val="IndexLink"/>
                <w:rtl w:val="true"/>
              </w:rPr>
              <w:tab/>
            </w:r>
            <w:r>
              <w:rPr>
                <w:rStyle w:val="IndexLink"/>
              </w:rPr>
              <w:t>94</w:t>
            </w:r>
          </w:hyperlink>
        </w:p>
        <w:p>
          <w:pPr>
            <w:pStyle w:val="Contents6"/>
            <w:tabs>
              <w:tab w:val="clear" w:pos="7609"/>
              <w:tab w:val="right" w:pos="9026" w:leader="dot"/>
            </w:tabs>
            <w:rPr/>
          </w:pPr>
          <w:hyperlink w:anchor="__RefHeading___Toc559428_3244359995">
            <w:r>
              <w:rPr>
                <w:webHidden/>
                <w:rStyle w:val="IndexLink"/>
                <w:rtl w:val="true"/>
              </w:rPr>
              <w:t>الجهة الأولی</w:t>
            </w:r>
            <w:r>
              <w:rPr>
                <w:rStyle w:val="IndexLink"/>
                <w:rtl w:val="true"/>
              </w:rPr>
              <w:t xml:space="preserve">: </w:t>
            </w:r>
            <w:r>
              <w:rPr>
                <w:rStyle w:val="IndexLink"/>
                <w:rtl w:val="true"/>
              </w:rPr>
              <w:t>فی الأسباب</w:t>
            </w:r>
            <w:r>
              <w:rPr>
                <w:rStyle w:val="IndexLink"/>
                <w:rtl w:val="true"/>
              </w:rPr>
              <w:tab/>
            </w:r>
            <w:r>
              <w:rPr>
                <w:rStyle w:val="IndexLink"/>
              </w:rPr>
              <w:t>94</w:t>
            </w:r>
          </w:hyperlink>
        </w:p>
        <w:p>
          <w:pPr>
            <w:pStyle w:val="Contents6"/>
            <w:tabs>
              <w:tab w:val="clear" w:pos="7609"/>
              <w:tab w:val="right" w:pos="9026" w:leader="dot"/>
            </w:tabs>
            <w:rPr/>
          </w:pPr>
          <w:hyperlink w:anchor="__RefHeading___Toc559430_3244359995">
            <w:r>
              <w:rPr>
                <w:webHidden/>
                <w:rStyle w:val="IndexLink"/>
                <w:rtl w:val="true"/>
              </w:rPr>
              <w:t>الجهة الثانیة</w:t>
            </w:r>
            <w:r>
              <w:rPr>
                <w:rStyle w:val="IndexLink"/>
                <w:rtl w:val="true"/>
              </w:rPr>
              <w:t xml:space="preserve">: </w:t>
            </w:r>
            <w:r>
              <w:rPr>
                <w:rStyle w:val="IndexLink"/>
                <w:rtl w:val="true"/>
              </w:rPr>
              <w:t>فی المسبّبات</w:t>
            </w:r>
            <w:r>
              <w:rPr>
                <w:rStyle w:val="IndexLink"/>
                <w:rtl w:val="true"/>
              </w:rPr>
              <w:tab/>
            </w:r>
            <w:r>
              <w:rPr>
                <w:rStyle w:val="IndexLink"/>
              </w:rPr>
              <w:t>97</w:t>
            </w:r>
          </w:hyperlink>
        </w:p>
        <w:p>
          <w:pPr>
            <w:pStyle w:val="Contents6"/>
            <w:tabs>
              <w:tab w:val="clear" w:pos="7609"/>
              <w:tab w:val="right" w:pos="9026" w:leader="dot"/>
            </w:tabs>
            <w:rPr/>
          </w:pPr>
          <w:hyperlink w:anchor="__RefHeading___Toc559432_3244359995">
            <w:r>
              <w:rPr>
                <w:webHidden/>
                <w:rStyle w:val="IndexLink"/>
                <w:rtl w:val="true"/>
              </w:rPr>
              <w:t>المسألة الثانیة</w:t>
            </w:r>
            <w:r>
              <w:rPr>
                <w:rStyle w:val="IndexLink"/>
                <w:rtl w:val="true"/>
              </w:rPr>
              <w:t xml:space="preserve">: </w:t>
            </w:r>
            <w:r>
              <w:rPr>
                <w:rStyle w:val="IndexLink"/>
                <w:rtl w:val="true"/>
              </w:rPr>
              <w:t>فی تعدّد الامتثال</w:t>
            </w:r>
            <w:r>
              <w:rPr>
                <w:rStyle w:val="IndexLink"/>
                <w:rtl w:val="true"/>
              </w:rPr>
              <w:tab/>
            </w:r>
            <w:r>
              <w:rPr>
                <w:rStyle w:val="IndexLink"/>
              </w:rPr>
              <w:t>98</w:t>
            </w:r>
          </w:hyperlink>
        </w:p>
        <w:p>
          <w:pPr>
            <w:pStyle w:val="Contents6"/>
            <w:tabs>
              <w:tab w:val="clear" w:pos="7609"/>
              <w:tab w:val="right" w:pos="9026" w:leader="dot"/>
            </w:tabs>
            <w:rPr/>
          </w:pPr>
          <w:hyperlink w:anchor="__RefHeading___Toc559434_3244359995">
            <w:r>
              <w:rPr>
                <w:webHidden/>
                <w:rStyle w:val="IndexLink"/>
                <w:rtl w:val="true"/>
              </w:rPr>
              <w:t>التحقیق فی أصل مسألة تداخل الأسباب و المسبّبات</w:t>
            </w:r>
            <w:r>
              <w:rPr>
                <w:rStyle w:val="IndexLink"/>
                <w:rtl w:val="true"/>
              </w:rPr>
              <w:tab/>
            </w:r>
            <w:r>
              <w:rPr>
                <w:rStyle w:val="IndexLink"/>
              </w:rPr>
              <w:t>100</w:t>
            </w:r>
          </w:hyperlink>
        </w:p>
        <w:p>
          <w:pPr>
            <w:pStyle w:val="Contents6"/>
            <w:tabs>
              <w:tab w:val="clear" w:pos="7609"/>
              <w:tab w:val="right" w:pos="9026" w:leader="dot"/>
            </w:tabs>
            <w:rPr/>
          </w:pPr>
          <w:hyperlink w:anchor="__RefHeading___Toc559436_3244359995">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559438_3244359995">
            <w:r>
              <w:rPr>
                <w:webHidden/>
                <w:rStyle w:val="IndexLink"/>
                <w:rtl w:val="true"/>
              </w:rPr>
              <w:t>الجهة الأولی</w:t>
            </w:r>
            <w:r>
              <w:rPr>
                <w:rStyle w:val="IndexLink"/>
                <w:rtl w:val="true"/>
              </w:rPr>
              <w:t xml:space="preserve">: </w:t>
            </w:r>
            <w:r>
              <w:rPr>
                <w:rStyle w:val="IndexLink"/>
                <w:rtl w:val="true"/>
              </w:rPr>
              <w:t>فی الوجوه الدالّة علی التصرّف فی المقدّم أو التالی</w:t>
            </w:r>
            <w:r>
              <w:rPr>
                <w:rStyle w:val="IndexLink"/>
                <w:rtl w:val="true"/>
              </w:rPr>
              <w:tab/>
            </w:r>
            <w:r>
              <w:rPr>
                <w:rStyle w:val="IndexLink"/>
              </w:rPr>
              <w:t>100</w:t>
            </w:r>
          </w:hyperlink>
        </w:p>
        <w:p>
          <w:pPr>
            <w:pStyle w:val="Contents6"/>
            <w:tabs>
              <w:tab w:val="clear" w:pos="7609"/>
              <w:tab w:val="right" w:pos="9026" w:leader="dot"/>
            </w:tabs>
            <w:rPr/>
          </w:pPr>
          <w:hyperlink w:anchor="__RefHeading___Toc559440_3244359995">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559442_3244359995">
            <w:r>
              <w:rPr>
                <w:webHidden/>
                <w:rStyle w:val="IndexLink"/>
                <w:rtl w:val="true"/>
              </w:rPr>
              <w:t>وهم و دفع</w:t>
            </w:r>
            <w:r>
              <w:rPr>
                <w:rStyle w:val="IndexLink"/>
                <w:rtl w:val="true"/>
              </w:rPr>
              <w:tab/>
            </w:r>
            <w:r>
              <w:rPr>
                <w:rStyle w:val="IndexLink"/>
              </w:rPr>
              <w:t>102</w:t>
            </w:r>
          </w:hyperlink>
        </w:p>
        <w:p>
          <w:pPr>
            <w:pStyle w:val="Contents6"/>
            <w:tabs>
              <w:tab w:val="clear" w:pos="7609"/>
              <w:tab w:val="right" w:pos="9026" w:leader="dot"/>
            </w:tabs>
            <w:rPr/>
          </w:pPr>
          <w:hyperlink w:anchor="__RefHeading___Toc559444_3244359995">
            <w:r>
              <w:rPr>
                <w:webHidden/>
                <w:rStyle w:val="IndexLink"/>
                <w:rtl w:val="true"/>
              </w:rPr>
              <w:t>وهم آخر و دفع</w:t>
            </w:r>
            <w:r>
              <w:rPr>
                <w:rStyle w:val="IndexLink"/>
                <w:rtl w:val="true"/>
              </w:rPr>
              <w:tab/>
            </w:r>
            <w:r>
              <w:rPr>
                <w:rStyle w:val="IndexLink"/>
              </w:rPr>
              <w:t>102</w:t>
            </w:r>
          </w:hyperlink>
        </w:p>
        <w:p>
          <w:pPr>
            <w:pStyle w:val="Contents6"/>
            <w:tabs>
              <w:tab w:val="clear" w:pos="7609"/>
              <w:tab w:val="right" w:pos="9026" w:leader="dot"/>
            </w:tabs>
            <w:rPr/>
          </w:pPr>
          <w:hyperlink w:anchor="__RefHeading___Toc559446_3244359995">
            <w:r>
              <w:rPr>
                <w:webHidden/>
                <w:rStyle w:val="IndexLink"/>
                <w:rtl w:val="true"/>
              </w:rPr>
              <w:t>تذییل</w:t>
            </w:r>
            <w:r>
              <w:rPr>
                <w:rStyle w:val="IndexLink"/>
                <w:rtl w:val="true"/>
              </w:rPr>
              <w:t xml:space="preserve">: </w:t>
            </w:r>
            <w:r>
              <w:rPr>
                <w:rStyle w:val="IndexLink"/>
                <w:rtl w:val="true"/>
              </w:rPr>
              <w:t>فی التمسّک بالارتکاز العقلائیّ لإثبات تعدّد الأسباب</w:t>
            </w:r>
            <w:r>
              <w:rPr>
                <w:rStyle w:val="IndexLink"/>
                <w:rtl w:val="true"/>
              </w:rPr>
              <w:tab/>
            </w:r>
            <w:r>
              <w:rPr>
                <w:rStyle w:val="IndexLink"/>
              </w:rPr>
              <w:t>113</w:t>
            </w:r>
          </w:hyperlink>
        </w:p>
        <w:p>
          <w:pPr>
            <w:pStyle w:val="Contents6"/>
            <w:tabs>
              <w:tab w:val="clear" w:pos="7609"/>
              <w:tab w:val="right" w:pos="9026" w:leader="dot"/>
            </w:tabs>
            <w:rPr/>
          </w:pPr>
          <w:hyperlink w:anchor="__RefHeading___Toc559448_3244359995">
            <w:r>
              <w:rPr>
                <w:webHidden/>
                <w:rStyle w:val="IndexLink"/>
                <w:rtl w:val="true"/>
              </w:rPr>
              <w:t>حول اختیار الوالد المحقّق لتعدّد السبب و المسبّب</w:t>
            </w:r>
            <w:r>
              <w:rPr>
                <w:rStyle w:val="IndexLink"/>
                <w:rtl w:val="true"/>
              </w:rPr>
              <w:tab/>
            </w:r>
            <w:r>
              <w:rPr>
                <w:rStyle w:val="IndexLink"/>
              </w:rPr>
              <w:t>114</w:t>
            </w:r>
          </w:hyperlink>
        </w:p>
        <w:p>
          <w:pPr>
            <w:pStyle w:val="Contents6"/>
            <w:tabs>
              <w:tab w:val="clear" w:pos="7609"/>
              <w:tab w:val="right" w:pos="9026" w:leader="dot"/>
            </w:tabs>
            <w:rPr/>
          </w:pPr>
          <w:hyperlink w:anchor="__RefHeading___Toc559450_3244359995">
            <w:r>
              <w:rPr>
                <w:webHidden/>
                <w:rStyle w:val="IndexLink"/>
                <w:rtl w:val="true"/>
              </w:rPr>
              <w:t>تنبیه</w:t>
            </w:r>
            <w:r>
              <w:rPr>
                <w:rStyle w:val="IndexLink"/>
                <w:rtl w:val="true"/>
              </w:rPr>
              <w:t xml:space="preserve">: </w:t>
            </w:r>
            <w:r>
              <w:rPr>
                <w:rStyle w:val="IndexLink"/>
                <w:rtl w:val="true"/>
              </w:rPr>
              <w:t xml:space="preserve">فی اندفاع شبهة </w:t>
            </w:r>
            <w:r>
              <w:rPr>
                <w:rStyle w:val="IndexLink"/>
                <w:rtl w:val="true"/>
              </w:rPr>
              <w:t>«</w:t>
            </w:r>
            <w:r>
              <w:rPr>
                <w:rStyle w:val="IndexLink"/>
                <w:rtl w:val="true"/>
              </w:rPr>
              <w:t>العوائد</w:t>
            </w:r>
            <w:r>
              <w:rPr>
                <w:rStyle w:val="IndexLink"/>
                <w:rtl w:val="true"/>
              </w:rPr>
              <w:t xml:space="preserve">» </w:t>
            </w:r>
            <w:r>
              <w:rPr>
                <w:rStyle w:val="IndexLink"/>
                <w:rtl w:val="true"/>
              </w:rPr>
              <w:t xml:space="preserve">بما فی </w:t>
            </w:r>
            <w:r>
              <w:rPr>
                <w:rStyle w:val="IndexLink"/>
                <w:rtl w:val="true"/>
              </w:rPr>
              <w:t>«</w:t>
            </w:r>
            <w:r>
              <w:rPr>
                <w:rStyle w:val="IndexLink"/>
                <w:rtl w:val="true"/>
              </w:rPr>
              <w:t>المطارح</w:t>
            </w:r>
            <w:r>
              <w:rPr>
                <w:rStyle w:val="IndexLink"/>
                <w:rtl w:val="true"/>
              </w:rPr>
              <w:t>»</w:t>
              <w:tab/>
            </w:r>
            <w:r>
              <w:rPr>
                <w:rStyle w:val="IndexLink"/>
              </w:rPr>
              <w:t>117</w:t>
            </w:r>
          </w:hyperlink>
        </w:p>
        <w:p>
          <w:pPr>
            <w:pStyle w:val="Contents6"/>
            <w:tabs>
              <w:tab w:val="clear" w:pos="7609"/>
              <w:tab w:val="right" w:pos="9026" w:leader="dot"/>
            </w:tabs>
            <w:rPr/>
          </w:pPr>
          <w:hyperlink w:anchor="__RefHeading___Toc559452_3244359995">
            <w:r>
              <w:rPr>
                <w:webHidden/>
                <w:rStyle w:val="IndexLink"/>
                <w:rtl w:val="true"/>
              </w:rPr>
              <w:t>بحث و تفصیل</w:t>
            </w:r>
            <w:r>
              <w:rPr>
                <w:rStyle w:val="IndexLink"/>
                <w:rtl w:val="true"/>
              </w:rPr>
              <w:t xml:space="preserve">: </w:t>
            </w:r>
            <w:r>
              <w:rPr>
                <w:rStyle w:val="IndexLink"/>
                <w:rtl w:val="true"/>
              </w:rPr>
              <w:t>فی حکم صورتی التعاقب و التقارن</w:t>
            </w:r>
            <w:r>
              <w:rPr>
                <w:rStyle w:val="IndexLink"/>
                <w:rtl w:val="true"/>
              </w:rPr>
              <w:tab/>
            </w:r>
            <w:r>
              <w:rPr>
                <w:rStyle w:val="IndexLink"/>
              </w:rPr>
              <w:t>118</w:t>
            </w:r>
          </w:hyperlink>
        </w:p>
        <w:p>
          <w:pPr>
            <w:pStyle w:val="Contents6"/>
            <w:tabs>
              <w:tab w:val="clear" w:pos="7609"/>
              <w:tab w:val="right" w:pos="9026" w:leader="dot"/>
            </w:tabs>
            <w:rPr/>
          </w:pPr>
          <w:hyperlink w:anchor="__RefHeading___Toc559454_3244359995">
            <w:r>
              <w:rPr>
                <w:webHidden/>
                <w:rStyle w:val="IndexLink"/>
                <w:rtl w:val="true"/>
              </w:rPr>
              <w:t>الجهة الثانیة</w:t>
            </w:r>
            <w:r>
              <w:rPr>
                <w:rStyle w:val="IndexLink"/>
                <w:rtl w:val="true"/>
              </w:rPr>
              <w:t xml:space="preserve">: </w:t>
            </w:r>
            <w:r>
              <w:rPr>
                <w:rStyle w:val="IndexLink"/>
                <w:rtl w:val="true"/>
              </w:rPr>
              <w:t>فی حکم التعدّد الشخصی للشرط</w:t>
            </w:r>
            <w:r>
              <w:rPr>
                <w:rStyle w:val="IndexLink"/>
                <w:rtl w:val="true"/>
              </w:rPr>
              <w:tab/>
            </w:r>
            <w:r>
              <w:rPr>
                <w:rStyle w:val="IndexLink"/>
              </w:rPr>
              <w:t>118</w:t>
            </w:r>
          </w:hyperlink>
        </w:p>
        <w:p>
          <w:pPr>
            <w:pStyle w:val="Contents6"/>
            <w:tabs>
              <w:tab w:val="clear" w:pos="7609"/>
              <w:tab w:val="right" w:pos="9026" w:leader="dot"/>
            </w:tabs>
            <w:rPr/>
          </w:pPr>
          <w:hyperlink w:anchor="__RefHeading___Toc559456_3244359995">
            <w:r>
              <w:rPr>
                <w:webHidden/>
                <w:rStyle w:val="IndexLink"/>
                <w:rtl w:val="true"/>
              </w:rPr>
              <w:t>الجهة الثالثة</w:t>
            </w:r>
            <w:r>
              <w:rPr>
                <w:rStyle w:val="IndexLink"/>
                <w:rtl w:val="true"/>
              </w:rPr>
              <w:t xml:space="preserve">: </w:t>
            </w:r>
            <w:r>
              <w:rPr>
                <w:rStyle w:val="IndexLink"/>
                <w:rtl w:val="true"/>
              </w:rPr>
              <w:t>حول تعدّد المسبّب و عدمه</w:t>
            </w:r>
            <w:r>
              <w:rPr>
                <w:rStyle w:val="IndexLink"/>
                <w:rtl w:val="true"/>
              </w:rPr>
              <w:tab/>
            </w:r>
            <w:r>
              <w:rPr>
                <w:rStyle w:val="IndexLink"/>
              </w:rPr>
              <w:t>121</w:t>
            </w:r>
          </w:hyperlink>
        </w:p>
        <w:p>
          <w:pPr>
            <w:pStyle w:val="Contents6"/>
            <w:tabs>
              <w:tab w:val="clear" w:pos="7609"/>
              <w:tab w:val="right" w:pos="9026" w:leader="dot"/>
            </w:tabs>
            <w:rPr/>
          </w:pPr>
          <w:hyperlink w:anchor="__RefHeading___Toc559458_3244359995">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559460_3244359995">
            <w:r>
              <w:rPr>
                <w:webHidden/>
                <w:rStyle w:val="IndexLink"/>
                <w:rtl w:val="true"/>
              </w:rPr>
              <w:t>المقام الأوّل</w:t>
            </w:r>
            <w:r>
              <w:rPr>
                <w:rStyle w:val="IndexLink"/>
                <w:rtl w:val="true"/>
              </w:rPr>
              <w:t xml:space="preserve">: </w:t>
            </w:r>
            <w:r>
              <w:rPr>
                <w:rStyle w:val="IndexLink"/>
                <w:rtl w:val="true"/>
              </w:rPr>
              <w:t>فی إمکان تداخل المسبّب ثبوتا</w:t>
            </w:r>
            <w:r>
              <w:rPr>
                <w:rStyle w:val="IndexLink"/>
                <w:rtl w:val="true"/>
              </w:rPr>
              <w:tab/>
            </w:r>
            <w:r>
              <w:rPr>
                <w:rStyle w:val="IndexLink"/>
              </w:rPr>
              <w:t>123</w:t>
            </w:r>
          </w:hyperlink>
        </w:p>
        <w:p>
          <w:pPr>
            <w:pStyle w:val="Contents6"/>
            <w:tabs>
              <w:tab w:val="clear" w:pos="7609"/>
              <w:tab w:val="right" w:pos="9026" w:leader="dot"/>
            </w:tabs>
            <w:rPr/>
          </w:pPr>
          <w:hyperlink w:anchor="__RefHeading___Toc559462_3244359995">
            <w:r>
              <w:rPr>
                <w:webHidden/>
                <w:rStyle w:val="IndexLink"/>
                <w:rtl w:val="true"/>
              </w:rPr>
              <w:t>المقام الثانی</w:t>
            </w:r>
            <w:r>
              <w:rPr>
                <w:rStyle w:val="IndexLink"/>
                <w:rtl w:val="true"/>
              </w:rPr>
              <w:t xml:space="preserve">: </w:t>
            </w:r>
            <w:r>
              <w:rPr>
                <w:rStyle w:val="IndexLink"/>
                <w:rtl w:val="true"/>
              </w:rPr>
              <w:t>فی مقتضی القواعد الأوّلیّة بعد إمکان التداخل عقلا</w:t>
            </w:r>
            <w:r>
              <w:rPr>
                <w:rStyle w:val="IndexLink"/>
                <w:rtl w:val="true"/>
              </w:rPr>
              <w:tab/>
            </w:r>
            <w:r>
              <w:rPr>
                <w:rStyle w:val="IndexLink"/>
              </w:rPr>
              <w:t>126</w:t>
            </w:r>
          </w:hyperlink>
        </w:p>
        <w:p>
          <w:pPr>
            <w:pStyle w:val="Contents6"/>
            <w:tabs>
              <w:tab w:val="clear" w:pos="7609"/>
              <w:tab w:val="right" w:pos="9026" w:leader="dot"/>
            </w:tabs>
            <w:rPr/>
          </w:pPr>
          <w:hyperlink w:anchor="__RefHeading___Toc559464_3244359995">
            <w:r>
              <w:rPr>
                <w:webHidden/>
                <w:rStyle w:val="IndexLink"/>
                <w:rtl w:val="true"/>
              </w:rPr>
              <w:t>المقام الثالث</w:t>
            </w:r>
            <w:r>
              <w:rPr>
                <w:rStyle w:val="IndexLink"/>
                <w:rtl w:val="true"/>
              </w:rPr>
              <w:t xml:space="preserve">: </w:t>
            </w:r>
            <w:r>
              <w:rPr>
                <w:rStyle w:val="IndexLink"/>
                <w:rtl w:val="true"/>
              </w:rPr>
              <w:t>فی الدلیل الخارجیّ علی التداخل</w:t>
            </w:r>
            <w:r>
              <w:rPr>
                <w:rStyle w:val="IndexLink"/>
                <w:rtl w:val="true"/>
              </w:rPr>
              <w:tab/>
            </w:r>
            <w:r>
              <w:rPr>
                <w:rStyle w:val="IndexLink"/>
              </w:rPr>
              <w:t>128</w:t>
            </w:r>
          </w:hyperlink>
        </w:p>
        <w:p>
          <w:pPr>
            <w:pStyle w:val="Contents5"/>
            <w:tabs>
              <w:tab w:val="clear" w:pos="7892"/>
              <w:tab w:val="right" w:pos="9026" w:leader="dot"/>
            </w:tabs>
            <w:rPr/>
          </w:pPr>
          <w:hyperlink w:anchor="__RefHeading___Toc559466_3244359995">
            <w:r>
              <w:rPr>
                <w:webHidden/>
                <w:rStyle w:val="IndexLink"/>
                <w:rtl w:val="true"/>
              </w:rPr>
              <w:t>التنبیه السادس</w:t>
            </w:r>
            <w:r>
              <w:rPr>
                <w:rStyle w:val="IndexLink"/>
                <w:rtl w:val="true"/>
              </w:rPr>
              <w:t xml:space="preserve">: </w:t>
            </w:r>
            <w:r>
              <w:rPr>
                <w:rStyle w:val="IndexLink"/>
                <w:rtl w:val="true"/>
              </w:rPr>
              <w:t>فی استعراض بعض الشرطیّات و بیان أحکامها</w:t>
            </w:r>
            <w:r>
              <w:rPr>
                <w:rStyle w:val="IndexLink"/>
                <w:rtl w:val="true"/>
              </w:rPr>
              <w:tab/>
            </w:r>
            <w:r>
              <w:rPr>
                <w:rStyle w:val="IndexLink"/>
              </w:rPr>
              <w:t>130</w:t>
            </w:r>
          </w:hyperlink>
        </w:p>
        <w:p>
          <w:pPr>
            <w:pStyle w:val="Contents6"/>
            <w:tabs>
              <w:tab w:val="clear" w:pos="7609"/>
              <w:tab w:val="right" w:pos="9026" w:leader="dot"/>
            </w:tabs>
            <w:rPr/>
          </w:pPr>
          <w:hyperlink w:anchor="__RefHeading___Toc559468_3244359995">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559470_3244359995">
            <w:r>
              <w:rPr>
                <w:webHidden/>
                <w:rStyle w:val="IndexLink"/>
                <w:rtl w:val="true"/>
              </w:rPr>
              <w:t>الجهة الأولی</w:t>
            </w:r>
            <w:r>
              <w:rPr>
                <w:rStyle w:val="IndexLink"/>
                <w:rtl w:val="true"/>
              </w:rPr>
              <w:t xml:space="preserve">: </w:t>
            </w:r>
            <w:r>
              <w:rPr>
                <w:rStyle w:val="IndexLink"/>
                <w:rtl w:val="true"/>
              </w:rPr>
              <w:t>فی القضیة السالبة المشتمل جزاؤها علی ألفاظ العموم</w:t>
            </w:r>
            <w:r>
              <w:rPr>
                <w:rStyle w:val="IndexLink"/>
                <w:rtl w:val="true"/>
              </w:rPr>
              <w:tab/>
            </w:r>
            <w:r>
              <w:rPr>
                <w:rStyle w:val="IndexLink"/>
              </w:rPr>
              <w:t>131</w:t>
            </w:r>
          </w:hyperlink>
        </w:p>
        <w:p>
          <w:pPr>
            <w:pStyle w:val="Contents6"/>
            <w:tabs>
              <w:tab w:val="clear" w:pos="7609"/>
              <w:tab w:val="right" w:pos="9026" w:leader="dot"/>
            </w:tabs>
            <w:rPr/>
          </w:pPr>
          <w:hyperlink w:anchor="__RefHeading___Toc559472_3244359995">
            <w:r>
              <w:rPr>
                <w:webHidden/>
                <w:rStyle w:val="IndexLink"/>
                <w:rtl w:val="true"/>
              </w:rPr>
              <w:t>الجهة الثانیة</w:t>
            </w:r>
            <w:r>
              <w:rPr>
                <w:rStyle w:val="IndexLink"/>
                <w:rtl w:val="true"/>
              </w:rPr>
              <w:t xml:space="preserve">: </w:t>
            </w:r>
            <w:r>
              <w:rPr>
                <w:rStyle w:val="IndexLink"/>
                <w:rtl w:val="true"/>
              </w:rPr>
              <w:t>فی القضیّة السالبة الواقعة فی سیاقها النکرة</w:t>
            </w:r>
            <w:r>
              <w:rPr>
                <w:rStyle w:val="IndexLink"/>
                <w:rtl w:val="true"/>
              </w:rPr>
              <w:tab/>
            </w:r>
            <w:r>
              <w:rPr>
                <w:rStyle w:val="IndexLink"/>
              </w:rPr>
              <w:t>133</w:t>
            </w:r>
          </w:hyperlink>
        </w:p>
        <w:p>
          <w:pPr>
            <w:pStyle w:val="Contents6"/>
            <w:tabs>
              <w:tab w:val="clear" w:pos="7609"/>
              <w:tab w:val="right" w:pos="9026" w:leader="dot"/>
            </w:tabs>
            <w:rPr/>
          </w:pPr>
          <w:hyperlink w:anchor="__RefHeading___Toc559474_3244359995">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559476_3244359995">
            <w:r>
              <w:rPr>
                <w:webHidden/>
                <w:rStyle w:val="IndexLink"/>
                <w:rtl w:val="true"/>
              </w:rPr>
              <w:t>تذنیب</w:t>
            </w:r>
            <w:r>
              <w:rPr>
                <w:rStyle w:val="IndexLink"/>
                <w:rtl w:val="true"/>
              </w:rPr>
              <w:t xml:space="preserve">: </w:t>
            </w:r>
            <w:r>
              <w:rPr>
                <w:rStyle w:val="IndexLink"/>
                <w:rtl w:val="true"/>
              </w:rPr>
              <w:t>حول انعکاس الموجبة الکلّیة إلی السالبة الکلّیة و بالعکس</w:t>
            </w:r>
            <w:r>
              <w:rPr>
                <w:rStyle w:val="IndexLink"/>
                <w:rtl w:val="true"/>
              </w:rPr>
              <w:tab/>
            </w:r>
            <w:r>
              <w:rPr>
                <w:rStyle w:val="IndexLink"/>
              </w:rPr>
              <w:t>137</w:t>
            </w:r>
          </w:hyperlink>
        </w:p>
        <w:p>
          <w:pPr>
            <w:pStyle w:val="Contents6"/>
            <w:tabs>
              <w:tab w:val="clear" w:pos="7609"/>
              <w:tab w:val="right" w:pos="9026" w:leader="dot"/>
            </w:tabs>
            <w:rPr/>
          </w:pPr>
          <w:hyperlink w:anchor="__RefHeading___Toc559478_3244359995">
            <w:r>
              <w:rPr>
                <w:webHidden/>
                <w:rStyle w:val="IndexLink"/>
                <w:rtl w:val="true"/>
              </w:rPr>
              <w:t>الجهة الثالثة</w:t>
            </w:r>
            <w:r>
              <w:rPr>
                <w:rStyle w:val="IndexLink"/>
                <w:rtl w:val="true"/>
              </w:rPr>
              <w:t xml:space="preserve">: </w:t>
            </w:r>
            <w:r>
              <w:rPr>
                <w:rStyle w:val="IndexLink"/>
                <w:rtl w:val="true"/>
              </w:rPr>
              <w:t>فی قوله علیه السلام</w:t>
            </w:r>
            <w:r>
              <w:rPr>
                <w:rStyle w:val="IndexLink"/>
                <w:rtl w:val="true"/>
              </w:rPr>
              <w:t>: «</w:t>
            </w:r>
            <w:r>
              <w:rPr>
                <w:rStyle w:val="IndexLink"/>
                <w:rtl w:val="true"/>
              </w:rPr>
              <w:t>إذا کان الماء قدر کرّ لا ینجّسه شی‌ء</w:t>
            </w:r>
            <w:r>
              <w:rPr>
                <w:rStyle w:val="IndexLink"/>
                <w:rtl w:val="true"/>
              </w:rPr>
              <w:t>»</w:t>
              <w:tab/>
            </w:r>
            <w:r>
              <w:rPr>
                <w:rStyle w:val="IndexLink"/>
              </w:rPr>
              <w:t>138</w:t>
            </w:r>
          </w:hyperlink>
        </w:p>
        <w:p>
          <w:pPr>
            <w:pStyle w:val="Contents6"/>
            <w:tabs>
              <w:tab w:val="clear" w:pos="7609"/>
              <w:tab w:val="right" w:pos="9026" w:leader="dot"/>
            </w:tabs>
            <w:rPr/>
          </w:pPr>
          <w:hyperlink w:anchor="__RefHeading___Toc559480_3244359995">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559482_3244359995">
            <w:r>
              <w:rPr>
                <w:webHidden/>
                <w:rStyle w:val="IndexLink"/>
                <w:rtl w:val="true"/>
              </w:rPr>
              <w:t>تذنیب</w:t>
            </w:r>
            <w:r>
              <w:rPr>
                <w:rStyle w:val="IndexLink"/>
                <w:rtl w:val="true"/>
              </w:rPr>
              <w:t xml:space="preserve">: </w:t>
            </w:r>
            <w:r>
              <w:rPr>
                <w:rStyle w:val="IndexLink"/>
                <w:rtl w:val="true"/>
              </w:rPr>
              <w:t>حول بعض مناقشات قضیّة الکرّ</w:t>
            </w:r>
            <w:r>
              <w:rPr>
                <w:rStyle w:val="IndexLink"/>
                <w:rtl w:val="true"/>
              </w:rPr>
              <w:tab/>
            </w:r>
            <w:r>
              <w:rPr>
                <w:rStyle w:val="IndexLink"/>
              </w:rPr>
              <w:t>140</w:t>
            </w:r>
          </w:hyperlink>
        </w:p>
        <w:p>
          <w:pPr>
            <w:pStyle w:val="Contents6"/>
            <w:tabs>
              <w:tab w:val="clear" w:pos="7609"/>
              <w:tab w:val="right" w:pos="9026" w:leader="dot"/>
            </w:tabs>
            <w:rPr/>
          </w:pPr>
          <w:hyperlink w:anchor="__RefHeading___Toc559484_3244359995">
            <w:r>
              <w:rPr>
                <w:webHidden/>
                <w:rStyle w:val="IndexLink"/>
                <w:rtl w:val="true"/>
              </w:rPr>
              <w:t>تنبیه</w:t>
            </w:r>
            <w:r>
              <w:rPr>
                <w:rStyle w:val="IndexLink"/>
                <w:rtl w:val="true"/>
              </w:rPr>
              <w:t xml:space="preserve">: </w:t>
            </w:r>
            <w:r>
              <w:rPr>
                <w:rStyle w:val="IndexLink"/>
                <w:rtl w:val="true"/>
              </w:rPr>
              <w:t xml:space="preserve">حول قضیّة </w:t>
            </w:r>
            <w:r>
              <w:rPr>
                <w:rStyle w:val="IndexLink"/>
                <w:rtl w:val="true"/>
              </w:rPr>
              <w:t>«</w:t>
            </w:r>
            <w:r>
              <w:rPr>
                <w:rStyle w:val="IndexLink"/>
                <w:rtl w:val="true"/>
              </w:rPr>
              <w:t>إن جاءک زید فأکرم واحدا</w:t>
            </w:r>
            <w:r>
              <w:rPr>
                <w:rStyle w:val="IndexLink"/>
                <w:rtl w:val="true"/>
              </w:rPr>
              <w:t>»</w:t>
              <w:tab/>
            </w:r>
            <w:r>
              <w:rPr>
                <w:rStyle w:val="IndexLink"/>
              </w:rPr>
              <w:t>142</w:t>
            </w:r>
          </w:hyperlink>
        </w:p>
        <w:p>
          <w:pPr>
            <w:pStyle w:val="Contents5"/>
            <w:tabs>
              <w:tab w:val="clear" w:pos="7892"/>
              <w:tab w:val="right" w:pos="9026" w:leader="dot"/>
            </w:tabs>
            <w:rPr/>
          </w:pPr>
          <w:hyperlink w:anchor="__RefHeading___Toc559486_3244359995">
            <w:r>
              <w:rPr>
                <w:webHidden/>
                <w:rStyle w:val="IndexLink"/>
                <w:rtl w:val="true"/>
              </w:rPr>
              <w:t>التنبیه السابع</w:t>
            </w:r>
            <w:r>
              <w:rPr>
                <w:rStyle w:val="IndexLink"/>
                <w:rtl w:val="true"/>
              </w:rPr>
              <w:t xml:space="preserve">: </w:t>
            </w:r>
            <w:r>
              <w:rPr>
                <w:rStyle w:val="IndexLink"/>
                <w:rtl w:val="true"/>
              </w:rPr>
              <w:t>حول تعاقب الشرطیّتین فی کلام واحد مع تعرّض الثانیة لأحد مصادیق المفهوم الأوّل</w:t>
            </w:r>
            <w:r>
              <w:rPr>
                <w:rStyle w:val="IndexLink"/>
                <w:rtl w:val="true"/>
              </w:rPr>
              <w:tab/>
            </w:r>
            <w:r>
              <w:rPr>
                <w:rStyle w:val="IndexLink"/>
              </w:rPr>
              <w:t>142</w:t>
            </w:r>
          </w:hyperlink>
        </w:p>
        <w:p>
          <w:pPr>
            <w:pStyle w:val="Contents6"/>
            <w:tabs>
              <w:tab w:val="clear" w:pos="7609"/>
              <w:tab w:val="right" w:pos="9026" w:leader="dot"/>
            </w:tabs>
            <w:rPr/>
          </w:pPr>
          <w:hyperlink w:anchor="__RefHeading___Toc559488_3244359995">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559490_3244359995">
            <w:r>
              <w:rPr>
                <w:webHidden/>
                <w:rStyle w:val="IndexLink"/>
                <w:rtl w:val="true"/>
              </w:rPr>
              <w:t>المسألة الأولی</w:t>
            </w:r>
            <w:r>
              <w:rPr>
                <w:rStyle w:val="IndexLink"/>
                <w:rtl w:val="true"/>
              </w:rPr>
              <w:t xml:space="preserve">: </w:t>
            </w:r>
            <w:r>
              <w:rPr>
                <w:rStyle w:val="IndexLink"/>
                <w:rtl w:val="true"/>
              </w:rPr>
              <w:t>فیما کانت القضیّتان مستقلّتین</w:t>
            </w:r>
            <w:r>
              <w:rPr>
                <w:rStyle w:val="IndexLink"/>
                <w:rtl w:val="true"/>
              </w:rPr>
              <w:tab/>
            </w:r>
            <w:r>
              <w:rPr>
                <w:rStyle w:val="IndexLink"/>
              </w:rPr>
              <w:t>143</w:t>
            </w:r>
          </w:hyperlink>
        </w:p>
        <w:p>
          <w:pPr>
            <w:pStyle w:val="Contents6"/>
            <w:tabs>
              <w:tab w:val="clear" w:pos="7609"/>
              <w:tab w:val="right" w:pos="9026" w:leader="dot"/>
            </w:tabs>
            <w:rPr/>
          </w:pPr>
          <w:hyperlink w:anchor="__RefHeading___Toc559492_3244359995">
            <w:r>
              <w:rPr>
                <w:webHidden/>
                <w:rStyle w:val="IndexLink"/>
                <w:rtl w:val="true"/>
              </w:rPr>
              <w:t>المسألة الثانیة</w:t>
            </w:r>
            <w:r>
              <w:rPr>
                <w:rStyle w:val="IndexLink"/>
                <w:rtl w:val="true"/>
              </w:rPr>
              <w:t xml:space="preserve">: </w:t>
            </w:r>
            <w:r>
              <w:rPr>
                <w:rStyle w:val="IndexLink"/>
                <w:rtl w:val="true"/>
              </w:rPr>
              <w:t>فی ورود القضیّتین فی کلام واحد</w:t>
            </w:r>
            <w:r>
              <w:rPr>
                <w:rStyle w:val="IndexLink"/>
                <w:rtl w:val="true"/>
              </w:rPr>
              <w:tab/>
            </w:r>
            <w:r>
              <w:rPr>
                <w:rStyle w:val="IndexLink"/>
              </w:rPr>
              <w:t>146</w:t>
            </w:r>
          </w:hyperlink>
        </w:p>
        <w:p>
          <w:pPr>
            <w:pStyle w:val="Contents3"/>
            <w:tabs>
              <w:tab w:val="clear" w:pos="8459"/>
              <w:tab w:val="right" w:pos="9026" w:leader="dot"/>
            </w:tabs>
            <w:rPr/>
          </w:pPr>
          <w:hyperlink w:anchor="__RefHeading___Toc559494_3244359995">
            <w:r>
              <w:rPr>
                <w:webHidden/>
                <w:rStyle w:val="IndexLink"/>
                <w:rtl w:val="true"/>
              </w:rPr>
              <w:t>المبحث الثانی فی مفهوم التعلیل</w:t>
            </w:r>
            <w:r>
              <w:rPr>
                <w:rStyle w:val="IndexLink"/>
                <w:rtl w:val="true"/>
              </w:rPr>
              <w:tab/>
            </w:r>
            <w:r>
              <w:rPr>
                <w:rStyle w:val="IndexLink"/>
              </w:rPr>
              <w:t>147</w:t>
            </w:r>
          </w:hyperlink>
        </w:p>
        <w:p>
          <w:pPr>
            <w:pStyle w:val="Contents4"/>
            <w:tabs>
              <w:tab w:val="clear" w:pos="8176"/>
              <w:tab w:val="right" w:pos="9026" w:leader="dot"/>
            </w:tabs>
            <w:rPr/>
          </w:pPr>
          <w:hyperlink w:anchor="__RefHeading___Toc559496_3244359995">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559498_3244359995">
            <w:r>
              <w:rPr>
                <w:webHidden/>
                <w:rStyle w:val="IndexLink"/>
                <w:rtl w:val="true"/>
              </w:rPr>
              <w:t>تذنیب</w:t>
            </w:r>
            <w:r>
              <w:rPr>
                <w:rStyle w:val="IndexLink"/>
                <w:rtl w:val="true"/>
              </w:rPr>
              <w:t xml:space="preserve">: </w:t>
            </w:r>
            <w:r>
              <w:rPr>
                <w:rStyle w:val="IndexLink"/>
                <w:rtl w:val="true"/>
              </w:rPr>
              <w:t>حول تعارض مفهوم التعلیل مع المنطوق</w:t>
            </w:r>
            <w:r>
              <w:rPr>
                <w:rStyle w:val="IndexLink"/>
                <w:rtl w:val="true"/>
              </w:rPr>
              <w:tab/>
            </w:r>
            <w:r>
              <w:rPr>
                <w:rStyle w:val="IndexLink"/>
              </w:rPr>
              <w:t>149</w:t>
            </w:r>
          </w:hyperlink>
        </w:p>
        <w:p>
          <w:pPr>
            <w:pStyle w:val="Contents3"/>
            <w:tabs>
              <w:tab w:val="clear" w:pos="8459"/>
              <w:tab w:val="right" w:pos="9026" w:leader="dot"/>
            </w:tabs>
            <w:rPr/>
          </w:pPr>
          <w:hyperlink w:anchor="__RefHeading___Toc559500_3244359995">
            <w:r>
              <w:rPr>
                <w:webHidden/>
                <w:rStyle w:val="IndexLink"/>
                <w:rtl w:val="true"/>
              </w:rPr>
              <w:t>المبحث الثالث فی مفهوم الوصف</w:t>
            </w:r>
            <w:r>
              <w:rPr>
                <w:rStyle w:val="IndexLink"/>
                <w:rtl w:val="true"/>
              </w:rPr>
              <w:tab/>
            </w:r>
            <w:r>
              <w:rPr>
                <w:rStyle w:val="IndexLink"/>
              </w:rPr>
              <w:t>151</w:t>
            </w:r>
          </w:hyperlink>
        </w:p>
        <w:p>
          <w:pPr>
            <w:pStyle w:val="Contents3"/>
            <w:tabs>
              <w:tab w:val="clear" w:pos="8459"/>
              <w:tab w:val="right" w:pos="9026" w:leader="dot"/>
            </w:tabs>
            <w:rPr/>
          </w:pPr>
          <w:hyperlink w:anchor="__RefHeading___Toc559502_3244359995">
            <w:r>
              <w:rPr>
                <w:webHidden/>
                <w:rStyle w:val="IndexLink"/>
                <w:rtl w:val="true"/>
              </w:rPr>
              <w:t>المبحث الرابع فی مفهوم الغایة</w:t>
            </w:r>
            <w:r>
              <w:rPr>
                <w:rStyle w:val="IndexLink"/>
                <w:rtl w:val="true"/>
              </w:rPr>
              <w:tab/>
            </w:r>
            <w:r>
              <w:rPr>
                <w:rStyle w:val="IndexLink"/>
              </w:rPr>
              <w:t>154</w:t>
            </w:r>
          </w:hyperlink>
        </w:p>
        <w:p>
          <w:pPr>
            <w:pStyle w:val="Contents4"/>
            <w:tabs>
              <w:tab w:val="clear" w:pos="8176"/>
              <w:tab w:val="right" w:pos="9026" w:leader="dot"/>
            </w:tabs>
            <w:rPr/>
          </w:pPr>
          <w:hyperlink w:anchor="__RefHeading___Toc559504_3244359995">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559506_3244359995">
            <w:r>
              <w:rPr>
                <w:webHidden/>
                <w:rStyle w:val="IndexLink"/>
                <w:rtl w:val="true"/>
              </w:rPr>
              <w:t>وهم و دفع</w:t>
            </w:r>
            <w:r>
              <w:rPr>
                <w:rStyle w:val="IndexLink"/>
                <w:rtl w:val="true"/>
              </w:rPr>
              <w:t xml:space="preserve">: </w:t>
            </w:r>
            <w:r>
              <w:rPr>
                <w:rStyle w:val="IndexLink"/>
                <w:rtl w:val="true"/>
              </w:rPr>
              <w:t>حول ما إذا کانت الغایة من حدود الحکم و الطلب</w:t>
            </w:r>
            <w:r>
              <w:rPr>
                <w:rStyle w:val="IndexLink"/>
                <w:rtl w:val="true"/>
              </w:rPr>
              <w:tab/>
            </w:r>
            <w:r>
              <w:rPr>
                <w:rStyle w:val="IndexLink"/>
              </w:rPr>
              <w:t>159</w:t>
            </w:r>
          </w:hyperlink>
        </w:p>
        <w:p>
          <w:pPr>
            <w:pStyle w:val="Contents4"/>
            <w:tabs>
              <w:tab w:val="clear" w:pos="8176"/>
              <w:tab w:val="right" w:pos="9026" w:leader="dot"/>
            </w:tabs>
            <w:rPr/>
          </w:pPr>
          <w:hyperlink w:anchor="__RefHeading___Toc559508_3244359995">
            <w:r>
              <w:rPr>
                <w:webHidden/>
                <w:rStyle w:val="IndexLink"/>
                <w:rtl w:val="true"/>
              </w:rPr>
              <w:t>تذنیب</w:t>
            </w:r>
            <w:r>
              <w:rPr>
                <w:rStyle w:val="IndexLink"/>
                <w:rtl w:val="true"/>
              </w:rPr>
              <w:t xml:space="preserve">: </w:t>
            </w:r>
            <w:r>
              <w:rPr>
                <w:rStyle w:val="IndexLink"/>
                <w:rtl w:val="true"/>
              </w:rPr>
              <w:t>حول وجه التفصیل بین کون المنشأ جزئیّا أو کلّیا</w:t>
            </w:r>
            <w:r>
              <w:rPr>
                <w:rStyle w:val="IndexLink"/>
                <w:rtl w:val="true"/>
              </w:rPr>
              <w:tab/>
            </w:r>
            <w:r>
              <w:rPr>
                <w:rStyle w:val="IndexLink"/>
              </w:rPr>
              <w:t>161</w:t>
            </w:r>
          </w:hyperlink>
        </w:p>
        <w:p>
          <w:pPr>
            <w:pStyle w:val="Contents4"/>
            <w:tabs>
              <w:tab w:val="clear" w:pos="8176"/>
              <w:tab w:val="right" w:pos="9026" w:leader="dot"/>
            </w:tabs>
            <w:rPr/>
          </w:pPr>
          <w:hyperlink w:anchor="__RefHeading___Toc559510_3244359995">
            <w:r>
              <w:rPr>
                <w:webHidden/>
                <w:rStyle w:val="IndexLink"/>
                <w:rtl w:val="true"/>
              </w:rPr>
              <w:t>إعادة و إفادة</w:t>
            </w:r>
            <w:r>
              <w:rPr>
                <w:rStyle w:val="IndexLink"/>
                <w:rtl w:val="true"/>
              </w:rPr>
              <w:tab/>
            </w:r>
            <w:r>
              <w:rPr>
                <w:rStyle w:val="IndexLink"/>
              </w:rPr>
              <w:t>162</w:t>
            </w:r>
          </w:hyperlink>
        </w:p>
        <w:p>
          <w:pPr>
            <w:pStyle w:val="Contents4"/>
            <w:tabs>
              <w:tab w:val="clear" w:pos="8176"/>
              <w:tab w:val="right" w:pos="9026" w:leader="dot"/>
            </w:tabs>
            <w:rPr/>
          </w:pPr>
          <w:hyperlink w:anchor="__RefHeading___Toc559512_3244359995">
            <w:r>
              <w:rPr>
                <w:webHidden/>
                <w:rStyle w:val="IndexLink"/>
                <w:rtl w:val="true"/>
              </w:rPr>
              <w:t>تذنیب</w:t>
            </w:r>
            <w:r>
              <w:rPr>
                <w:rStyle w:val="IndexLink"/>
                <w:rtl w:val="true"/>
              </w:rPr>
              <w:t xml:space="preserve">: </w:t>
            </w:r>
            <w:r>
              <w:rPr>
                <w:rStyle w:val="IndexLink"/>
                <w:rtl w:val="true"/>
              </w:rPr>
              <w:t>حول دخول الغایة فی المغیا</w:t>
            </w:r>
            <w:r>
              <w:rPr>
                <w:rStyle w:val="IndexLink"/>
                <w:rtl w:val="true"/>
              </w:rPr>
              <w:tab/>
            </w:r>
            <w:r>
              <w:rPr>
                <w:rStyle w:val="IndexLink"/>
              </w:rPr>
              <w:t>164</w:t>
            </w:r>
          </w:hyperlink>
        </w:p>
        <w:p>
          <w:pPr>
            <w:pStyle w:val="Contents4"/>
            <w:tabs>
              <w:tab w:val="clear" w:pos="8176"/>
              <w:tab w:val="right" w:pos="9026" w:leader="dot"/>
            </w:tabs>
            <w:rPr/>
          </w:pPr>
          <w:hyperlink w:anchor="__RefHeading___Toc559514_3244359995">
            <w:r>
              <w:rPr>
                <w:webHidden/>
                <w:rStyle w:val="IndexLink"/>
                <w:rtl w:val="true"/>
              </w:rPr>
              <w:t>ذنابة</w:t>
            </w:r>
            <w:r>
              <w:rPr>
                <w:rStyle w:val="IndexLink"/>
                <w:rtl w:val="true"/>
              </w:rPr>
              <w:t xml:space="preserve">: </w:t>
            </w:r>
            <w:r>
              <w:rPr>
                <w:rStyle w:val="IndexLink"/>
                <w:rtl w:val="true"/>
              </w:rPr>
              <w:t>حول التهافت بین انتفاء سنخ الحکم فی الغایة و بین القول بوجوب المقدّمة</w:t>
            </w:r>
            <w:r>
              <w:rPr>
                <w:rStyle w:val="IndexLink"/>
                <w:rtl w:val="true"/>
              </w:rPr>
              <w:tab/>
            </w:r>
            <w:r>
              <w:rPr>
                <w:rStyle w:val="IndexLink"/>
              </w:rPr>
              <w:t>168</w:t>
            </w:r>
          </w:hyperlink>
        </w:p>
        <w:p>
          <w:pPr>
            <w:pStyle w:val="Contents4"/>
            <w:tabs>
              <w:tab w:val="clear" w:pos="8176"/>
              <w:tab w:val="right" w:pos="9026" w:leader="dot"/>
            </w:tabs>
            <w:rPr/>
          </w:pPr>
          <w:hyperlink w:anchor="__RefHeading___Toc559516_3244359995">
            <w:r>
              <w:rPr>
                <w:webHidden/>
                <w:rStyle w:val="IndexLink"/>
                <w:rtl w:val="true"/>
              </w:rPr>
              <w:t>تنبیه</w:t>
            </w:r>
            <w:r>
              <w:rPr>
                <w:rStyle w:val="IndexLink"/>
                <w:rtl w:val="true"/>
              </w:rPr>
              <w:tab/>
            </w:r>
            <w:r>
              <w:rPr>
                <w:rStyle w:val="IndexLink"/>
              </w:rPr>
              <w:t>168</w:t>
            </w:r>
          </w:hyperlink>
        </w:p>
        <w:p>
          <w:pPr>
            <w:pStyle w:val="Contents3"/>
            <w:tabs>
              <w:tab w:val="clear" w:pos="8459"/>
              <w:tab w:val="right" w:pos="9026" w:leader="dot"/>
            </w:tabs>
            <w:rPr/>
          </w:pPr>
          <w:hyperlink w:anchor="__RefHeading___Toc559518_3244359995">
            <w:r>
              <w:rPr>
                <w:webHidden/>
                <w:rStyle w:val="IndexLink"/>
                <w:rtl w:val="true"/>
              </w:rPr>
              <w:t>المبحث الخامس فی مفهوم الحصر</w:t>
            </w:r>
            <w:r>
              <w:rPr>
                <w:rStyle w:val="IndexLink"/>
                <w:rtl w:val="true"/>
              </w:rPr>
              <w:tab/>
            </w:r>
            <w:r>
              <w:rPr>
                <w:rStyle w:val="IndexLink"/>
              </w:rPr>
              <w:t>169</w:t>
            </w:r>
          </w:hyperlink>
        </w:p>
        <w:p>
          <w:pPr>
            <w:pStyle w:val="Contents4"/>
            <w:tabs>
              <w:tab w:val="clear" w:pos="8176"/>
              <w:tab w:val="right" w:pos="9026" w:leader="dot"/>
            </w:tabs>
            <w:rPr/>
          </w:pPr>
          <w:hyperlink w:anchor="__RefHeading___Toc559520_3244359995">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559522_3244359995">
            <w:r>
              <w:rPr>
                <w:webHidden/>
                <w:rStyle w:val="IndexLink"/>
                <w:rtl w:val="true"/>
              </w:rPr>
              <w:t>المرحلة الأولی</w:t>
            </w:r>
            <w:r>
              <w:rPr>
                <w:rStyle w:val="IndexLink"/>
                <w:rtl w:val="true"/>
              </w:rPr>
              <w:t xml:space="preserve">: </w:t>
            </w:r>
            <w:r>
              <w:rPr>
                <w:rStyle w:val="IndexLink"/>
                <w:rtl w:val="true"/>
              </w:rPr>
              <w:t>فی مقام الثبوت</w:t>
            </w:r>
            <w:r>
              <w:rPr>
                <w:rStyle w:val="IndexLink"/>
                <w:rtl w:val="true"/>
              </w:rPr>
              <w:tab/>
            </w:r>
            <w:r>
              <w:rPr>
                <w:rStyle w:val="IndexLink"/>
              </w:rPr>
              <w:t>169</w:t>
            </w:r>
          </w:hyperlink>
        </w:p>
        <w:p>
          <w:pPr>
            <w:pStyle w:val="Contents4"/>
            <w:tabs>
              <w:tab w:val="clear" w:pos="8176"/>
              <w:tab w:val="right" w:pos="9026" w:leader="dot"/>
            </w:tabs>
            <w:rPr/>
          </w:pPr>
          <w:hyperlink w:anchor="__RefHeading___Toc559524_3244359995">
            <w:r>
              <w:rPr>
                <w:webHidden/>
                <w:rStyle w:val="IndexLink"/>
                <w:rtl w:val="true"/>
              </w:rPr>
              <w:t>المرحلة الثانیة</w:t>
            </w:r>
            <w:r>
              <w:rPr>
                <w:rStyle w:val="IndexLink"/>
                <w:rtl w:val="true"/>
              </w:rPr>
              <w:t xml:space="preserve">: </w:t>
            </w:r>
            <w:r>
              <w:rPr>
                <w:rStyle w:val="IndexLink"/>
                <w:rtl w:val="true"/>
              </w:rPr>
              <w:t>فی مقام الإثبات</w:t>
            </w:r>
            <w:r>
              <w:rPr>
                <w:rStyle w:val="IndexLink"/>
                <w:rtl w:val="true"/>
              </w:rPr>
              <w:tab/>
            </w:r>
            <w:r>
              <w:rPr>
                <w:rStyle w:val="IndexLink"/>
              </w:rPr>
              <w:t>170</w:t>
            </w:r>
          </w:hyperlink>
        </w:p>
        <w:p>
          <w:pPr>
            <w:pStyle w:val="Contents5"/>
            <w:tabs>
              <w:tab w:val="clear" w:pos="7892"/>
              <w:tab w:val="right" w:pos="9026" w:leader="dot"/>
            </w:tabs>
            <w:rPr/>
          </w:pPr>
          <w:hyperlink w:anchor="__RefHeading___Toc559526_3244359995">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559528_3244359995">
            <w:r>
              <w:rPr>
                <w:webHidden/>
                <w:rStyle w:val="IndexLink"/>
                <w:rtl w:val="true"/>
              </w:rPr>
              <w:t>أولاها</w:t>
            </w:r>
            <w:r>
              <w:rPr>
                <w:rStyle w:val="IndexLink"/>
                <w:rtl w:val="true"/>
              </w:rPr>
              <w:t xml:space="preserve">: </w:t>
            </w:r>
            <w:r>
              <w:rPr>
                <w:rStyle w:val="IndexLink"/>
                <w:rtl w:val="true"/>
              </w:rPr>
              <w:t>الجملة الاستثنائیّة</w:t>
            </w:r>
            <w:r>
              <w:rPr>
                <w:rStyle w:val="IndexLink"/>
                <w:rtl w:val="true"/>
              </w:rPr>
              <w:tab/>
            </w:r>
            <w:r>
              <w:rPr>
                <w:rStyle w:val="IndexLink"/>
              </w:rPr>
              <w:t>170</w:t>
            </w:r>
          </w:hyperlink>
        </w:p>
        <w:p>
          <w:pPr>
            <w:pStyle w:val="Contents6"/>
            <w:tabs>
              <w:tab w:val="clear" w:pos="7609"/>
              <w:tab w:val="right" w:pos="9026" w:leader="dot"/>
            </w:tabs>
            <w:rPr/>
          </w:pPr>
          <w:hyperlink w:anchor="__RefHeading___Toc559530_3244359995">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559532_3244359995">
            <w:r>
              <w:rPr>
                <w:webHidden/>
                <w:rStyle w:val="IndexLink"/>
                <w:rtl w:val="true"/>
              </w:rPr>
              <w:t>وهم و دفع</w:t>
            </w:r>
            <w:r>
              <w:rPr>
                <w:rStyle w:val="IndexLink"/>
                <w:rtl w:val="true"/>
              </w:rPr>
              <w:t xml:space="preserve">: </w:t>
            </w:r>
            <w:r>
              <w:rPr>
                <w:rStyle w:val="IndexLink"/>
                <w:rtl w:val="true"/>
              </w:rPr>
              <w:t>حول سقوط البحث هنا بناء علی إشکال الرضیّ علی الاستثناء</w:t>
            </w:r>
            <w:r>
              <w:rPr>
                <w:rStyle w:val="IndexLink"/>
                <w:rtl w:val="true"/>
              </w:rPr>
              <w:tab/>
            </w:r>
            <w:r>
              <w:rPr>
                <w:rStyle w:val="IndexLink"/>
              </w:rPr>
              <w:t>171</w:t>
            </w:r>
          </w:hyperlink>
        </w:p>
        <w:p>
          <w:pPr>
            <w:pStyle w:val="Contents6"/>
            <w:tabs>
              <w:tab w:val="clear" w:pos="7609"/>
              <w:tab w:val="right" w:pos="9026" w:leader="dot"/>
            </w:tabs>
            <w:rPr/>
          </w:pPr>
          <w:hyperlink w:anchor="__RefHeading___Toc559534_3244359995">
            <w:r>
              <w:rPr>
                <w:webHidden/>
                <w:rStyle w:val="IndexLink"/>
                <w:rtl w:val="true"/>
              </w:rPr>
              <w:t>التحقیق فی ثبوت مفهوم الاستثناء</w:t>
            </w:r>
            <w:r>
              <w:rPr>
                <w:rStyle w:val="IndexLink"/>
                <w:rtl w:val="true"/>
              </w:rPr>
              <w:tab/>
            </w:r>
            <w:r>
              <w:rPr>
                <w:rStyle w:val="IndexLink"/>
              </w:rPr>
              <w:t>172</w:t>
            </w:r>
          </w:hyperlink>
        </w:p>
        <w:p>
          <w:pPr>
            <w:pStyle w:val="Contents6"/>
            <w:tabs>
              <w:tab w:val="clear" w:pos="7609"/>
              <w:tab w:val="right" w:pos="9026" w:leader="dot"/>
            </w:tabs>
            <w:rPr/>
          </w:pPr>
          <w:hyperlink w:anchor="__RefHeading___Toc559536_3244359995">
            <w:r>
              <w:rPr>
                <w:webHidden/>
                <w:rStyle w:val="IndexLink"/>
                <w:rtl w:val="true"/>
              </w:rPr>
              <w:t>بحث و تحصیل</w:t>
            </w:r>
            <w:r>
              <w:rPr>
                <w:rStyle w:val="IndexLink"/>
                <w:rtl w:val="true"/>
              </w:rPr>
              <w:t xml:space="preserve">: </w:t>
            </w:r>
            <w:r>
              <w:rPr>
                <w:rStyle w:val="IndexLink"/>
                <w:rtl w:val="true"/>
              </w:rPr>
              <w:t>فی بیان منشأ دلالة الاستثناء علی المفهوم</w:t>
            </w:r>
            <w:r>
              <w:rPr>
                <w:rStyle w:val="IndexLink"/>
                <w:rtl w:val="true"/>
              </w:rPr>
              <w:tab/>
            </w:r>
            <w:r>
              <w:rPr>
                <w:rStyle w:val="IndexLink"/>
              </w:rPr>
              <w:t>174</w:t>
            </w:r>
          </w:hyperlink>
        </w:p>
        <w:p>
          <w:pPr>
            <w:pStyle w:val="Contents6"/>
            <w:tabs>
              <w:tab w:val="clear" w:pos="7609"/>
              <w:tab w:val="right" w:pos="9026" w:leader="dot"/>
            </w:tabs>
            <w:rPr/>
          </w:pPr>
          <w:hyperlink w:anchor="__RefHeading___Toc559538_3244359995">
            <w:r>
              <w:rPr>
                <w:webHidden/>
                <w:rStyle w:val="IndexLink"/>
                <w:rtl w:val="true"/>
              </w:rPr>
              <w:t>کشف غباوة</w:t>
            </w:r>
            <w:r>
              <w:rPr>
                <w:rStyle w:val="IndexLink"/>
                <w:rtl w:val="true"/>
              </w:rPr>
              <w:t xml:space="preserve">: </w:t>
            </w:r>
            <w:r>
              <w:rPr>
                <w:rStyle w:val="IndexLink"/>
                <w:rtl w:val="true"/>
              </w:rPr>
              <w:t>لأبی حنیفة فی إنکاره اختلاف المستثنی و المستثنی منه فی الحکم</w:t>
            </w:r>
            <w:r>
              <w:rPr>
                <w:rStyle w:val="IndexLink"/>
                <w:rtl w:val="true"/>
              </w:rPr>
              <w:tab/>
            </w:r>
            <w:r>
              <w:rPr>
                <w:rStyle w:val="IndexLink"/>
              </w:rPr>
              <w:t>176</w:t>
            </w:r>
          </w:hyperlink>
        </w:p>
        <w:p>
          <w:pPr>
            <w:pStyle w:val="Contents6"/>
            <w:tabs>
              <w:tab w:val="clear" w:pos="7609"/>
              <w:tab w:val="right" w:pos="9026" w:leader="dot"/>
            </w:tabs>
            <w:rPr/>
          </w:pPr>
          <w:hyperlink w:anchor="__RefHeading___Toc559540_3244359995">
            <w:r>
              <w:rPr>
                <w:webHidden/>
                <w:rStyle w:val="IndexLink"/>
                <w:rtl w:val="true"/>
              </w:rPr>
              <w:t>بقی شی‌ء</w:t>
            </w:r>
            <w:r>
              <w:rPr>
                <w:rStyle w:val="IndexLink"/>
                <w:rtl w:val="true"/>
              </w:rPr>
              <w:t xml:space="preserve">: </w:t>
            </w:r>
            <w:r>
              <w:rPr>
                <w:rStyle w:val="IndexLink"/>
                <w:rtl w:val="true"/>
              </w:rPr>
              <w:t xml:space="preserve">حول دلالة </w:t>
            </w:r>
            <w:r>
              <w:rPr>
                <w:rStyle w:val="IndexLink"/>
                <w:rtl w:val="true"/>
              </w:rPr>
              <w:t>«</w:t>
            </w:r>
            <w:r>
              <w:rPr>
                <w:rStyle w:val="IndexLink"/>
                <w:rtl w:val="true"/>
              </w:rPr>
              <w:t>لا صلاة إلاّ بطهور</w:t>
            </w:r>
            <w:r>
              <w:rPr>
                <w:rStyle w:val="IndexLink"/>
                <w:rtl w:val="true"/>
              </w:rPr>
              <w:t xml:space="preserve">» </w:t>
            </w:r>
            <w:r>
              <w:rPr>
                <w:rStyle w:val="IndexLink"/>
                <w:rtl w:val="true"/>
              </w:rPr>
              <w:t>علی الحصر الإضافی</w:t>
            </w:r>
            <w:r>
              <w:rPr>
                <w:rStyle w:val="IndexLink"/>
                <w:rtl w:val="true"/>
              </w:rPr>
              <w:tab/>
            </w:r>
            <w:r>
              <w:rPr>
                <w:rStyle w:val="IndexLink"/>
              </w:rPr>
              <w:t>179</w:t>
            </w:r>
          </w:hyperlink>
        </w:p>
        <w:p>
          <w:pPr>
            <w:pStyle w:val="Contents6"/>
            <w:tabs>
              <w:tab w:val="clear" w:pos="7609"/>
              <w:tab w:val="right" w:pos="9026" w:leader="dot"/>
            </w:tabs>
            <w:rPr/>
          </w:pPr>
          <w:hyperlink w:anchor="__RefHeading___Toc559542_3244359995">
            <w:r>
              <w:rPr>
                <w:webHidden/>
                <w:rStyle w:val="IndexLink"/>
                <w:rtl w:val="true"/>
              </w:rPr>
              <w:t>بقی بحث</w:t>
            </w:r>
            <w:r>
              <w:rPr>
                <w:rStyle w:val="IndexLink"/>
                <w:rtl w:val="true"/>
              </w:rPr>
              <w:t xml:space="preserve">: </w:t>
            </w:r>
            <w:r>
              <w:rPr>
                <w:rStyle w:val="IndexLink"/>
                <w:rtl w:val="true"/>
              </w:rPr>
              <w:t>حول کلمة الإخلاص</w:t>
            </w:r>
            <w:r>
              <w:rPr>
                <w:rStyle w:val="IndexLink"/>
                <w:rtl w:val="true"/>
              </w:rPr>
              <w:tab/>
            </w:r>
            <w:r>
              <w:rPr>
                <w:rStyle w:val="IndexLink"/>
              </w:rPr>
              <w:t>180</w:t>
            </w:r>
          </w:hyperlink>
        </w:p>
        <w:p>
          <w:pPr>
            <w:pStyle w:val="Contents6"/>
            <w:tabs>
              <w:tab w:val="clear" w:pos="7609"/>
              <w:tab w:val="right" w:pos="9026" w:leader="dot"/>
            </w:tabs>
            <w:rPr/>
          </w:pPr>
          <w:hyperlink w:anchor="__RefHeading___Toc559544_3244359995">
            <w:r>
              <w:rPr>
                <w:webHidden/>
                <w:rStyle w:val="IndexLink"/>
                <w:rtl w:val="true"/>
              </w:rPr>
              <w:t>تنبیهات</w:t>
            </w:r>
            <w:r>
              <w:rPr>
                <w:rStyle w:val="IndexLink"/>
                <w:rtl w:val="true"/>
              </w:rPr>
              <w:tab/>
            </w:r>
            <w:r>
              <w:rPr>
                <w:rStyle w:val="IndexLink"/>
              </w:rPr>
              <w:t>184</w:t>
            </w:r>
          </w:hyperlink>
        </w:p>
        <w:p>
          <w:pPr>
            <w:pStyle w:val="Contents6"/>
            <w:tabs>
              <w:tab w:val="clear" w:pos="7609"/>
              <w:tab w:val="right" w:pos="9026" w:leader="dot"/>
            </w:tabs>
            <w:rPr/>
          </w:pPr>
          <w:hyperlink w:anchor="__RefHeading___Toc559546_3244359995">
            <w:r>
              <w:rPr>
                <w:webHidden/>
                <w:rStyle w:val="IndexLink"/>
                <w:rtl w:val="true"/>
              </w:rPr>
              <w:t>أحدها</w:t>
            </w:r>
            <w:r>
              <w:rPr>
                <w:rStyle w:val="IndexLink"/>
                <w:rtl w:val="true"/>
              </w:rPr>
              <w:t xml:space="preserve">: </w:t>
            </w:r>
            <w:r>
              <w:rPr>
                <w:rStyle w:val="IndexLink"/>
                <w:rtl w:val="true"/>
              </w:rPr>
              <w:t>حول جریان التفصیل بین الحکم و الموضوع فی مفهوم الحصر</w:t>
            </w:r>
            <w:r>
              <w:rPr>
                <w:rStyle w:val="IndexLink"/>
                <w:rtl w:val="true"/>
              </w:rPr>
              <w:tab/>
            </w:r>
            <w:r>
              <w:rPr>
                <w:rStyle w:val="IndexLink"/>
              </w:rPr>
              <w:t>184</w:t>
            </w:r>
          </w:hyperlink>
        </w:p>
        <w:p>
          <w:pPr>
            <w:pStyle w:val="Contents6"/>
            <w:tabs>
              <w:tab w:val="clear" w:pos="7609"/>
              <w:tab w:val="right" w:pos="9026" w:leader="dot"/>
            </w:tabs>
            <w:rPr/>
          </w:pPr>
          <w:hyperlink w:anchor="__RefHeading___Toc559548_3244359995">
            <w:r>
              <w:rPr>
                <w:webHidden/>
                <w:rStyle w:val="IndexLink"/>
                <w:rtl w:val="true"/>
              </w:rPr>
              <w:t>ثانیها</w:t>
            </w:r>
            <w:r>
              <w:rPr>
                <w:rStyle w:val="IndexLink"/>
                <w:rtl w:val="true"/>
              </w:rPr>
              <w:t xml:space="preserve">: </w:t>
            </w:r>
            <w:r>
              <w:rPr>
                <w:rStyle w:val="IndexLink"/>
                <w:rtl w:val="true"/>
              </w:rPr>
              <w:t>حول التفصیل بین الحکم المنشأ بالمعانی الحرفیّة و الاسمیّة</w:t>
            </w:r>
            <w:r>
              <w:rPr>
                <w:rStyle w:val="IndexLink"/>
                <w:rtl w:val="true"/>
              </w:rPr>
              <w:tab/>
            </w:r>
            <w:r>
              <w:rPr>
                <w:rStyle w:val="IndexLink"/>
              </w:rPr>
              <w:t>185</w:t>
            </w:r>
          </w:hyperlink>
        </w:p>
        <w:p>
          <w:pPr>
            <w:pStyle w:val="Contents6"/>
            <w:tabs>
              <w:tab w:val="clear" w:pos="7609"/>
              <w:tab w:val="right" w:pos="9026" w:leader="dot"/>
            </w:tabs>
            <w:rPr/>
          </w:pPr>
          <w:hyperlink w:anchor="__RefHeading___Toc559550_3244359995">
            <w:r>
              <w:rPr>
                <w:webHidden/>
                <w:rStyle w:val="IndexLink"/>
                <w:rtl w:val="true"/>
              </w:rPr>
              <w:t>ثالثها</w:t>
            </w:r>
            <w:r>
              <w:rPr>
                <w:rStyle w:val="IndexLink"/>
                <w:rtl w:val="true"/>
              </w:rPr>
              <w:t xml:space="preserve">: </w:t>
            </w:r>
            <w:r>
              <w:rPr>
                <w:rStyle w:val="IndexLink"/>
                <w:rtl w:val="true"/>
              </w:rPr>
              <w:t>حول مجازیّة تقیید مفهوم الحصر و عدمها</w:t>
            </w:r>
            <w:r>
              <w:rPr>
                <w:rStyle w:val="IndexLink"/>
                <w:rtl w:val="true"/>
              </w:rPr>
              <w:tab/>
            </w:r>
            <w:r>
              <w:rPr>
                <w:rStyle w:val="IndexLink"/>
              </w:rPr>
              <w:t>186</w:t>
            </w:r>
          </w:hyperlink>
        </w:p>
        <w:p>
          <w:pPr>
            <w:pStyle w:val="Contents6"/>
            <w:tabs>
              <w:tab w:val="clear" w:pos="7609"/>
              <w:tab w:val="right" w:pos="9026" w:leader="dot"/>
            </w:tabs>
            <w:rPr/>
          </w:pPr>
          <w:hyperlink w:anchor="__RefHeading___Toc559552_3244359995">
            <w:r>
              <w:rPr>
                <w:webHidden/>
                <w:rStyle w:val="IndexLink"/>
                <w:rtl w:val="true"/>
              </w:rPr>
              <w:t>رابعها</w:t>
            </w:r>
            <w:r>
              <w:rPr>
                <w:rStyle w:val="IndexLink"/>
                <w:rtl w:val="true"/>
              </w:rPr>
              <w:t xml:space="preserve">: </w:t>
            </w:r>
            <w:r>
              <w:rPr>
                <w:rStyle w:val="IndexLink"/>
                <w:rtl w:val="true"/>
              </w:rPr>
              <w:t>فی مفهوم الاستثناء المنقطع</w:t>
            </w:r>
            <w:r>
              <w:rPr>
                <w:rStyle w:val="IndexLink"/>
                <w:rtl w:val="true"/>
              </w:rPr>
              <w:tab/>
            </w:r>
            <w:r>
              <w:rPr>
                <w:rStyle w:val="IndexLink"/>
              </w:rPr>
              <w:t>187</w:t>
            </w:r>
          </w:hyperlink>
        </w:p>
        <w:p>
          <w:pPr>
            <w:pStyle w:val="Contents5"/>
            <w:tabs>
              <w:tab w:val="clear" w:pos="7892"/>
              <w:tab w:val="right" w:pos="9026" w:leader="dot"/>
            </w:tabs>
            <w:rPr/>
          </w:pPr>
          <w:hyperlink w:anchor="__RefHeading___Toc559554_3244359995">
            <w:r>
              <w:rPr>
                <w:webHidden/>
                <w:rStyle w:val="IndexLink"/>
                <w:rtl w:val="true"/>
              </w:rPr>
              <w:t>ثانیتها</w:t>
            </w:r>
            <w:r>
              <w:rPr>
                <w:rStyle w:val="IndexLink"/>
                <w:rtl w:val="true"/>
              </w:rPr>
              <w:t xml:space="preserve">: </w:t>
            </w:r>
            <w:r>
              <w:rPr>
                <w:rStyle w:val="IndexLink"/>
                <w:rtl w:val="true"/>
              </w:rPr>
              <w:t xml:space="preserve">الجملة المشتملة علی کلمة </w:t>
            </w:r>
            <w:r>
              <w:rPr>
                <w:rStyle w:val="IndexLink"/>
                <w:rtl w:val="true"/>
              </w:rPr>
              <w:t>«</w:t>
            </w:r>
            <w:r>
              <w:rPr>
                <w:rStyle w:val="IndexLink"/>
                <w:rtl w:val="true"/>
              </w:rPr>
              <w:t>إنّما</w:t>
            </w:r>
            <w:r>
              <w:rPr>
                <w:rStyle w:val="IndexLink"/>
                <w:rtl w:val="true"/>
              </w:rPr>
              <w:t>»</w:t>
              <w:tab/>
            </w:r>
            <w:r>
              <w:rPr>
                <w:rStyle w:val="IndexLink"/>
              </w:rPr>
              <w:t>188</w:t>
            </w:r>
          </w:hyperlink>
        </w:p>
        <w:p>
          <w:pPr>
            <w:pStyle w:val="Contents6"/>
            <w:tabs>
              <w:tab w:val="clear" w:pos="7609"/>
              <w:tab w:val="right" w:pos="9026" w:leader="dot"/>
            </w:tabs>
            <w:rPr/>
          </w:pPr>
          <w:hyperlink w:anchor="__RefHeading___Toc559556_3244359995">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559558_3244359995">
            <w:r>
              <w:rPr>
                <w:webHidden/>
                <w:rStyle w:val="IndexLink"/>
                <w:rtl w:val="true"/>
              </w:rPr>
              <w:t>الجهة الأولی</w:t>
            </w:r>
            <w:r>
              <w:rPr>
                <w:rStyle w:val="IndexLink"/>
                <w:rtl w:val="true"/>
              </w:rPr>
              <w:t xml:space="preserve">: </w:t>
            </w:r>
            <w:r>
              <w:rPr>
                <w:rStyle w:val="IndexLink"/>
                <w:rtl w:val="true"/>
              </w:rPr>
              <w:t>فی أنّها بسیطة أم مرکّبة</w:t>
            </w:r>
            <w:r>
              <w:rPr>
                <w:rStyle w:val="IndexLink"/>
                <w:rtl w:val="true"/>
              </w:rPr>
              <w:tab/>
            </w:r>
            <w:r>
              <w:rPr>
                <w:rStyle w:val="IndexLink"/>
              </w:rPr>
              <w:t>189</w:t>
            </w:r>
          </w:hyperlink>
        </w:p>
        <w:p>
          <w:pPr>
            <w:pStyle w:val="Contents6"/>
            <w:tabs>
              <w:tab w:val="clear" w:pos="7609"/>
              <w:tab w:val="right" w:pos="9026" w:leader="dot"/>
            </w:tabs>
            <w:rPr/>
          </w:pPr>
          <w:hyperlink w:anchor="__RefHeading___Toc559560_3244359995">
            <w:r>
              <w:rPr>
                <w:webHidden/>
                <w:rStyle w:val="IndexLink"/>
                <w:rtl w:val="true"/>
              </w:rPr>
              <w:t>الجهة الثانیة</w:t>
            </w:r>
            <w:r>
              <w:rPr>
                <w:rStyle w:val="IndexLink"/>
                <w:rtl w:val="true"/>
              </w:rPr>
              <w:t xml:space="preserve">: </w:t>
            </w:r>
            <w:r>
              <w:rPr>
                <w:rStyle w:val="IndexLink"/>
                <w:rtl w:val="true"/>
              </w:rPr>
              <w:t>فی أنّها هل تفید الحصر، أم لا؟</w:t>
            </w:r>
            <w:r>
              <w:rPr>
                <w:rStyle w:val="IndexLink"/>
                <w:rtl w:val="true"/>
              </w:rPr>
              <w:tab/>
            </w:r>
            <w:r>
              <w:rPr>
                <w:rStyle w:val="IndexLink"/>
              </w:rPr>
              <w:t>190</w:t>
            </w:r>
          </w:hyperlink>
        </w:p>
        <w:p>
          <w:pPr>
            <w:pStyle w:val="Contents6"/>
            <w:tabs>
              <w:tab w:val="clear" w:pos="7609"/>
              <w:tab w:val="right" w:pos="9026" w:leader="dot"/>
            </w:tabs>
            <w:rPr/>
          </w:pPr>
          <w:hyperlink w:anchor="__RefHeading___Toc559562_3244359995">
            <w:r>
              <w:rPr>
                <w:webHidden/>
                <w:rStyle w:val="IndexLink"/>
                <w:rtl w:val="true"/>
              </w:rPr>
              <w:t>تنبیه</w:t>
            </w:r>
            <w:r>
              <w:rPr>
                <w:rStyle w:val="IndexLink"/>
                <w:rtl w:val="true"/>
              </w:rPr>
              <w:tab/>
            </w:r>
            <w:r>
              <w:rPr>
                <w:rStyle w:val="IndexLink"/>
              </w:rPr>
              <w:t>191</w:t>
            </w:r>
          </w:hyperlink>
        </w:p>
        <w:p>
          <w:pPr>
            <w:pStyle w:val="Contents6"/>
            <w:tabs>
              <w:tab w:val="clear" w:pos="7609"/>
              <w:tab w:val="right" w:pos="9026" w:leader="dot"/>
            </w:tabs>
            <w:rPr/>
          </w:pPr>
          <w:hyperlink w:anchor="__RefHeading___Toc559564_3244359995">
            <w:r>
              <w:rPr>
                <w:webHidden/>
                <w:rStyle w:val="IndexLink"/>
                <w:rtl w:val="true"/>
              </w:rPr>
              <w:t>تذنیب</w:t>
            </w:r>
            <w:r>
              <w:rPr>
                <w:rStyle w:val="IndexLink"/>
                <w:rtl w:val="true"/>
              </w:rPr>
              <w:t xml:space="preserve">: </w:t>
            </w:r>
            <w:r>
              <w:rPr>
                <w:rStyle w:val="IndexLink"/>
                <w:rtl w:val="true"/>
              </w:rPr>
              <w:t xml:space="preserve">حول منشأ دلالة کلمة </w:t>
            </w:r>
            <w:r>
              <w:rPr>
                <w:rStyle w:val="IndexLink"/>
                <w:rtl w:val="true"/>
              </w:rPr>
              <w:t>«</w:t>
            </w:r>
            <w:r>
              <w:rPr>
                <w:rStyle w:val="IndexLink"/>
                <w:rtl w:val="true"/>
              </w:rPr>
              <w:t>إنّما</w:t>
            </w:r>
            <w:r>
              <w:rPr>
                <w:rStyle w:val="IndexLink"/>
                <w:rtl w:val="true"/>
              </w:rPr>
              <w:t xml:space="preserve">» </w:t>
            </w:r>
            <w:r>
              <w:rPr>
                <w:rStyle w:val="IndexLink"/>
                <w:rtl w:val="true"/>
              </w:rPr>
              <w:t>علی المفهوم</w:t>
            </w:r>
            <w:r>
              <w:rPr>
                <w:rStyle w:val="IndexLink"/>
                <w:rtl w:val="true"/>
              </w:rPr>
              <w:tab/>
            </w:r>
            <w:r>
              <w:rPr>
                <w:rStyle w:val="IndexLink"/>
              </w:rPr>
              <w:t>191</w:t>
            </w:r>
          </w:hyperlink>
        </w:p>
        <w:p>
          <w:pPr>
            <w:pStyle w:val="Contents6"/>
            <w:tabs>
              <w:tab w:val="clear" w:pos="7609"/>
              <w:tab w:val="right" w:pos="9026" w:leader="dot"/>
            </w:tabs>
            <w:rPr/>
          </w:pPr>
          <w:hyperlink w:anchor="__RefHeading___Toc559566_3244359995">
            <w:r>
              <w:rPr>
                <w:webHidden/>
                <w:rStyle w:val="IndexLink"/>
                <w:rtl w:val="true"/>
              </w:rPr>
              <w:t>إیقاظ</w:t>
            </w:r>
            <w:r>
              <w:rPr>
                <w:rStyle w:val="IndexLink"/>
                <w:rtl w:val="true"/>
              </w:rPr>
              <w:t xml:space="preserve">: </w:t>
            </w:r>
            <w:r>
              <w:rPr>
                <w:rStyle w:val="IndexLink"/>
                <w:rtl w:val="true"/>
              </w:rPr>
              <w:t xml:space="preserve">فی عدم دلالة </w:t>
            </w:r>
            <w:r>
              <w:rPr>
                <w:rStyle w:val="IndexLink"/>
                <w:rtl w:val="true"/>
              </w:rPr>
              <w:t>«</w:t>
            </w:r>
            <w:r>
              <w:rPr>
                <w:rStyle w:val="IndexLink"/>
                <w:rtl w:val="true"/>
              </w:rPr>
              <w:t>إنّما</w:t>
            </w:r>
            <w:r>
              <w:rPr>
                <w:rStyle w:val="IndexLink"/>
                <w:rtl w:val="true"/>
              </w:rPr>
              <w:t xml:space="preserve">» </w:t>
            </w:r>
            <w:r>
              <w:rPr>
                <w:rStyle w:val="IndexLink"/>
                <w:rtl w:val="true"/>
              </w:rPr>
              <w:t>علی الحصر عند دخولها علی الفعلین</w:t>
            </w:r>
            <w:r>
              <w:rPr>
                <w:rStyle w:val="IndexLink"/>
                <w:rtl w:val="true"/>
              </w:rPr>
              <w:tab/>
            </w:r>
            <w:r>
              <w:rPr>
                <w:rStyle w:val="IndexLink"/>
              </w:rPr>
              <w:t>193</w:t>
            </w:r>
          </w:hyperlink>
        </w:p>
        <w:p>
          <w:pPr>
            <w:pStyle w:val="Contents6"/>
            <w:tabs>
              <w:tab w:val="clear" w:pos="7609"/>
              <w:tab w:val="right" w:pos="9026" w:leader="dot"/>
            </w:tabs>
            <w:rPr/>
          </w:pPr>
          <w:hyperlink w:anchor="__RefHeading___Toc559568_3244359995">
            <w:r>
              <w:rPr>
                <w:webHidden/>
                <w:rStyle w:val="IndexLink"/>
                <w:rtl w:val="true"/>
              </w:rPr>
              <w:t>إفادة</w:t>
            </w:r>
            <w:r>
              <w:rPr>
                <w:rStyle w:val="IndexLink"/>
                <w:rtl w:val="true"/>
              </w:rPr>
              <w:tab/>
            </w:r>
            <w:r>
              <w:rPr>
                <w:rStyle w:val="IndexLink"/>
              </w:rPr>
              <w:t>193</w:t>
            </w:r>
          </w:hyperlink>
        </w:p>
        <w:p>
          <w:pPr>
            <w:pStyle w:val="Contents5"/>
            <w:tabs>
              <w:tab w:val="clear" w:pos="7892"/>
              <w:tab w:val="right" w:pos="9026" w:leader="dot"/>
            </w:tabs>
            <w:rPr/>
          </w:pPr>
          <w:hyperlink w:anchor="__RefHeading___Toc559570_3244359995">
            <w:r>
              <w:rPr>
                <w:webHidden/>
                <w:rStyle w:val="IndexLink"/>
                <w:rtl w:val="true"/>
              </w:rPr>
              <w:t>و ثالثتها</w:t>
            </w:r>
            <w:r>
              <w:rPr>
                <w:rStyle w:val="IndexLink"/>
                <w:rtl w:val="true"/>
              </w:rPr>
              <w:t xml:space="preserve">: </w:t>
            </w:r>
            <w:r>
              <w:rPr>
                <w:rStyle w:val="IndexLink"/>
                <w:rtl w:val="true"/>
              </w:rPr>
              <w:t xml:space="preserve">الجملات المشتملة علی </w:t>
            </w:r>
            <w:r>
              <w:rPr>
                <w:rStyle w:val="IndexLink"/>
                <w:rtl w:val="true"/>
              </w:rPr>
              <w:t>«</w:t>
            </w:r>
            <w:r>
              <w:rPr>
                <w:rStyle w:val="IndexLink"/>
                <w:rtl w:val="true"/>
              </w:rPr>
              <w:t>بل</w:t>
            </w:r>
            <w:r>
              <w:rPr>
                <w:rStyle w:val="IndexLink"/>
                <w:rtl w:val="true"/>
              </w:rPr>
              <w:t xml:space="preserve">» </w:t>
            </w:r>
            <w:r>
              <w:rPr>
                <w:rStyle w:val="IndexLink"/>
                <w:rtl w:val="true"/>
              </w:rPr>
              <w:t xml:space="preserve">الإضرابیّة، و </w:t>
            </w:r>
            <w:r>
              <w:rPr>
                <w:rStyle w:val="IndexLink"/>
                <w:rtl w:val="true"/>
              </w:rPr>
              <w:t>«</w:t>
            </w:r>
            <w:r>
              <w:rPr>
                <w:rStyle w:val="IndexLink"/>
                <w:rtl w:val="true"/>
              </w:rPr>
              <w:t>لکن</w:t>
            </w:r>
            <w:r>
              <w:rPr>
                <w:rStyle w:val="IndexLink"/>
                <w:rtl w:val="true"/>
              </w:rPr>
              <w:t xml:space="preserve">» </w:t>
            </w:r>
            <w:r>
              <w:rPr>
                <w:rStyle w:val="IndexLink"/>
                <w:rtl w:val="true"/>
              </w:rPr>
              <w:t>الاستدراکیّة، و تعریف المسند، و تقدیم ما حقّه التأخیر</w:t>
            </w:r>
            <w:r>
              <w:rPr>
                <w:rStyle w:val="IndexLink"/>
                <w:rtl w:val="true"/>
              </w:rPr>
              <w:tab/>
            </w:r>
            <w:r>
              <w:rPr>
                <w:rStyle w:val="IndexLink"/>
              </w:rPr>
              <w:t>194</w:t>
            </w:r>
          </w:hyperlink>
        </w:p>
        <w:p>
          <w:pPr>
            <w:pStyle w:val="Contents3"/>
            <w:tabs>
              <w:tab w:val="clear" w:pos="8459"/>
              <w:tab w:val="right" w:pos="9026" w:leader="dot"/>
            </w:tabs>
            <w:rPr/>
          </w:pPr>
          <w:hyperlink w:anchor="__RefHeading___Toc559572_3244359995">
            <w:r>
              <w:rPr>
                <w:webHidden/>
                <w:rStyle w:val="IndexLink"/>
                <w:rtl w:val="true"/>
              </w:rPr>
              <w:t>المبحث السادس مفهوم اللقب و العدد</w:t>
            </w:r>
            <w:r>
              <w:rPr>
                <w:rStyle w:val="IndexLink"/>
                <w:rtl w:val="true"/>
              </w:rPr>
              <w:tab/>
            </w:r>
            <w:r>
              <w:rPr>
                <w:rStyle w:val="IndexLink"/>
              </w:rPr>
              <w:t>195</w:t>
            </w:r>
          </w:hyperlink>
        </w:p>
        <w:p>
          <w:pPr>
            <w:pStyle w:val="Contents3"/>
            <w:tabs>
              <w:tab w:val="clear" w:pos="8459"/>
              <w:tab w:val="right" w:pos="9026" w:leader="dot"/>
            </w:tabs>
            <w:rPr/>
          </w:pPr>
          <w:hyperlink w:anchor="__RefHeading___Toc559574_3244359995">
            <w:r>
              <w:rPr>
                <w:webHidden/>
                <w:rStyle w:val="IndexLink"/>
                <w:rtl w:val="true"/>
              </w:rPr>
              <w:t>المبحث السابع فی مفهوم الموافقة</w:t>
            </w:r>
            <w:r>
              <w:rPr>
                <w:rStyle w:val="IndexLink"/>
                <w:rtl w:val="true"/>
              </w:rPr>
              <w:tab/>
            </w:r>
            <w:r>
              <w:rPr>
                <w:rStyle w:val="IndexLink"/>
              </w:rPr>
              <w:t>197</w:t>
            </w:r>
          </w:hyperlink>
        </w:p>
        <w:p>
          <w:pPr>
            <w:pStyle w:val="Contents2"/>
            <w:tabs>
              <w:tab w:val="clear" w:pos="8743"/>
              <w:tab w:val="right" w:pos="9026" w:leader="dot"/>
            </w:tabs>
            <w:rPr/>
          </w:pPr>
          <w:hyperlink w:anchor="__RefHeading___Toc559576_3244359995">
            <w:r>
              <w:rPr>
                <w:webHidden/>
                <w:rStyle w:val="IndexLink"/>
                <w:rtl w:val="true"/>
              </w:rPr>
              <w:t>المقصد الخامس فی العامّ و الخاصّ</w:t>
            </w:r>
            <w:r>
              <w:rPr>
                <w:rStyle w:val="IndexLink"/>
                <w:rtl w:val="true"/>
              </w:rPr>
              <w:tab/>
            </w:r>
            <w:r>
              <w:rPr>
                <w:rStyle w:val="IndexLink"/>
              </w:rPr>
              <w:t>200</w:t>
            </w:r>
          </w:hyperlink>
        </w:p>
        <w:p>
          <w:pPr>
            <w:pStyle w:val="Contents3"/>
            <w:tabs>
              <w:tab w:val="clear" w:pos="8459"/>
              <w:tab w:val="right" w:pos="9026" w:leader="dot"/>
            </w:tabs>
            <w:rPr/>
          </w:pPr>
          <w:hyperlink w:anchor="__RefHeading___Toc559578_3244359995">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559580_3244359995">
            <w:r>
              <w:rPr>
                <w:webHidden/>
                <w:rStyle w:val="IndexLink"/>
                <w:rtl w:val="true"/>
              </w:rPr>
              <w:t>مقدّمة</w:t>
            </w:r>
            <w:r>
              <w:rPr>
                <w:rStyle w:val="IndexLink"/>
                <w:rtl w:val="true"/>
              </w:rPr>
              <w:tab/>
            </w:r>
            <w:r>
              <w:rPr>
                <w:rStyle w:val="IndexLink"/>
              </w:rPr>
              <w:t>201</w:t>
            </w:r>
          </w:hyperlink>
        </w:p>
        <w:p>
          <w:pPr>
            <w:pStyle w:val="Contents4"/>
            <w:tabs>
              <w:tab w:val="clear" w:pos="8176"/>
              <w:tab w:val="right" w:pos="9026" w:leader="dot"/>
            </w:tabs>
            <w:rPr/>
          </w:pPr>
          <w:hyperlink w:anchor="__RefHeading___Toc559582_3244359995">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559584_3244359995">
            <w:r>
              <w:rPr>
                <w:webHidden/>
                <w:rStyle w:val="IndexLink"/>
                <w:rtl w:val="true"/>
              </w:rPr>
              <w:t>الجهة الأولی</w:t>
            </w:r>
            <w:r>
              <w:rPr>
                <w:rStyle w:val="IndexLink"/>
                <w:rtl w:val="true"/>
              </w:rPr>
              <w:t xml:space="preserve">: </w:t>
            </w:r>
            <w:r>
              <w:rPr>
                <w:rStyle w:val="IndexLink"/>
                <w:rtl w:val="true"/>
              </w:rPr>
              <w:t>فی الفرق بین العامّ و الخاصّ و المطلق و المقیّد</w:t>
            </w:r>
            <w:r>
              <w:rPr>
                <w:rStyle w:val="IndexLink"/>
                <w:rtl w:val="true"/>
              </w:rPr>
              <w:tab/>
            </w:r>
            <w:r>
              <w:rPr>
                <w:rStyle w:val="IndexLink"/>
              </w:rPr>
              <w:t>201</w:t>
            </w:r>
          </w:hyperlink>
        </w:p>
        <w:p>
          <w:pPr>
            <w:pStyle w:val="Contents5"/>
            <w:tabs>
              <w:tab w:val="clear" w:pos="7892"/>
              <w:tab w:val="right" w:pos="9026" w:leader="dot"/>
            </w:tabs>
            <w:rPr/>
          </w:pPr>
          <w:hyperlink w:anchor="__RefHeading___Toc559586_3244359995">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559588_3244359995">
            <w:r>
              <w:rPr>
                <w:webHidden/>
                <w:rStyle w:val="IndexLink"/>
                <w:rtl w:val="true"/>
              </w:rPr>
              <w:t>وهم و دفع</w:t>
            </w:r>
            <w:r>
              <w:rPr>
                <w:rStyle w:val="IndexLink"/>
                <w:rtl w:val="true"/>
              </w:rPr>
              <w:tab/>
            </w:r>
            <w:r>
              <w:rPr>
                <w:rStyle w:val="IndexLink"/>
              </w:rPr>
              <w:t>203</w:t>
            </w:r>
          </w:hyperlink>
        </w:p>
        <w:p>
          <w:pPr>
            <w:pStyle w:val="Contents5"/>
            <w:tabs>
              <w:tab w:val="clear" w:pos="7892"/>
              <w:tab w:val="right" w:pos="9026" w:leader="dot"/>
            </w:tabs>
            <w:rPr/>
          </w:pPr>
          <w:hyperlink w:anchor="__RefHeading___Toc559590_3244359995">
            <w:r>
              <w:rPr>
                <w:webHidden/>
                <w:rStyle w:val="IndexLink"/>
                <w:rtl w:val="true"/>
              </w:rPr>
              <w:t>عقدة و حلّ</w:t>
            </w:r>
            <w:r>
              <w:rPr>
                <w:rStyle w:val="IndexLink"/>
                <w:rtl w:val="true"/>
              </w:rPr>
              <w:tab/>
            </w:r>
            <w:r>
              <w:rPr>
                <w:rStyle w:val="IndexLink"/>
              </w:rPr>
              <w:t>204</w:t>
            </w:r>
          </w:hyperlink>
        </w:p>
        <w:p>
          <w:pPr>
            <w:pStyle w:val="Contents5"/>
            <w:tabs>
              <w:tab w:val="clear" w:pos="7892"/>
              <w:tab w:val="right" w:pos="9026" w:leader="dot"/>
            </w:tabs>
            <w:rPr/>
          </w:pPr>
          <w:hyperlink w:anchor="__RefHeading___Toc559592_3244359995">
            <w:r>
              <w:rPr>
                <w:webHidden/>
                <w:rStyle w:val="IndexLink"/>
                <w:rtl w:val="true"/>
              </w:rPr>
              <w:t>إعضال و انحلال</w:t>
            </w:r>
            <w:r>
              <w:rPr>
                <w:rStyle w:val="IndexLink"/>
                <w:rtl w:val="true"/>
              </w:rPr>
              <w:tab/>
            </w:r>
            <w:r>
              <w:rPr>
                <w:rStyle w:val="IndexLink"/>
              </w:rPr>
              <w:t>204</w:t>
            </w:r>
          </w:hyperlink>
        </w:p>
        <w:p>
          <w:pPr>
            <w:pStyle w:val="Contents5"/>
            <w:tabs>
              <w:tab w:val="clear" w:pos="7892"/>
              <w:tab w:val="right" w:pos="9026" w:leader="dot"/>
            </w:tabs>
            <w:rPr/>
          </w:pPr>
          <w:hyperlink w:anchor="__RefHeading___Toc559594_3244359995">
            <w:r>
              <w:rPr>
                <w:webHidden/>
                <w:rStyle w:val="IndexLink"/>
                <w:rtl w:val="true"/>
              </w:rPr>
              <w:t>بحث و تحصیل</w:t>
            </w:r>
            <w:r>
              <w:rPr>
                <w:rStyle w:val="IndexLink"/>
                <w:rtl w:val="true"/>
              </w:rPr>
              <w:t xml:space="preserve">: </w:t>
            </w:r>
            <w:r>
              <w:rPr>
                <w:rStyle w:val="IndexLink"/>
                <w:rtl w:val="true"/>
              </w:rPr>
              <w:t>حول استغناء العامّ عن مقدّمات الحکمة</w:t>
            </w:r>
            <w:r>
              <w:rPr>
                <w:rStyle w:val="IndexLink"/>
                <w:rtl w:val="true"/>
              </w:rPr>
              <w:tab/>
            </w:r>
            <w:r>
              <w:rPr>
                <w:rStyle w:val="IndexLink"/>
              </w:rPr>
              <w:t>205</w:t>
            </w:r>
          </w:hyperlink>
        </w:p>
        <w:p>
          <w:pPr>
            <w:pStyle w:val="Contents5"/>
            <w:tabs>
              <w:tab w:val="clear" w:pos="7892"/>
              <w:tab w:val="right" w:pos="9026" w:leader="dot"/>
            </w:tabs>
            <w:rPr/>
          </w:pPr>
          <w:hyperlink w:anchor="__RefHeading___Toc559596_3244359995">
            <w:r>
              <w:rPr>
                <w:webHidden/>
                <w:rStyle w:val="IndexLink"/>
                <w:rtl w:val="true"/>
              </w:rPr>
              <w:t>فذلکة البحث</w:t>
            </w:r>
            <w:r>
              <w:rPr>
                <w:rStyle w:val="IndexLink"/>
                <w:rtl w:val="true"/>
              </w:rPr>
              <w:tab/>
            </w:r>
            <w:r>
              <w:rPr>
                <w:rStyle w:val="IndexLink"/>
              </w:rPr>
              <w:t>207</w:t>
            </w:r>
          </w:hyperlink>
        </w:p>
        <w:p>
          <w:pPr>
            <w:pStyle w:val="Contents5"/>
            <w:tabs>
              <w:tab w:val="clear" w:pos="7892"/>
              <w:tab w:val="right" w:pos="9026" w:leader="dot"/>
            </w:tabs>
            <w:rPr/>
          </w:pPr>
          <w:hyperlink w:anchor="__RefHeading___Toc559598_3244359995">
            <w:r>
              <w:rPr>
                <w:webHidden/>
                <w:rStyle w:val="IndexLink"/>
                <w:rtl w:val="true"/>
              </w:rPr>
              <w:t>تنبیه</w:t>
            </w:r>
            <w:r>
              <w:rPr>
                <w:rStyle w:val="IndexLink"/>
                <w:rtl w:val="true"/>
              </w:rPr>
              <w:t xml:space="preserve">: </w:t>
            </w:r>
            <w:r>
              <w:rPr>
                <w:rStyle w:val="IndexLink"/>
                <w:rtl w:val="true"/>
              </w:rPr>
              <w:t>حول تقسیم العامّ</w:t>
            </w:r>
            <w:r>
              <w:rPr>
                <w:rStyle w:val="IndexLink"/>
                <w:rtl w:val="true"/>
              </w:rPr>
              <w:tab/>
            </w:r>
            <w:r>
              <w:rPr>
                <w:rStyle w:val="IndexLink"/>
              </w:rPr>
              <w:t>209</w:t>
            </w:r>
          </w:hyperlink>
        </w:p>
        <w:p>
          <w:pPr>
            <w:pStyle w:val="Contents4"/>
            <w:tabs>
              <w:tab w:val="clear" w:pos="8176"/>
              <w:tab w:val="right" w:pos="9026" w:leader="dot"/>
            </w:tabs>
            <w:rPr/>
          </w:pPr>
          <w:hyperlink w:anchor="__RefHeading___Toc559600_3244359995">
            <w:r>
              <w:rPr>
                <w:webHidden/>
                <w:rStyle w:val="IndexLink"/>
                <w:rtl w:val="true"/>
              </w:rPr>
              <w:t>الجهة الثانیة</w:t>
            </w:r>
            <w:r>
              <w:rPr>
                <w:rStyle w:val="IndexLink"/>
                <w:rtl w:val="true"/>
              </w:rPr>
              <w:t xml:space="preserve">: </w:t>
            </w:r>
            <w:r>
              <w:rPr>
                <w:rStyle w:val="IndexLink"/>
                <w:rtl w:val="true"/>
              </w:rPr>
              <w:t>فی تعریف العامّ، بناء علی الإغماض عمّا أسلفناه</w:t>
            </w:r>
            <w:r>
              <w:rPr>
                <w:rStyle w:val="IndexLink"/>
                <w:rtl w:val="true"/>
              </w:rPr>
              <w:tab/>
            </w:r>
            <w:r>
              <w:rPr>
                <w:rStyle w:val="IndexLink"/>
              </w:rPr>
              <w:t>211</w:t>
            </w:r>
          </w:hyperlink>
        </w:p>
        <w:p>
          <w:pPr>
            <w:pStyle w:val="Contents4"/>
            <w:tabs>
              <w:tab w:val="clear" w:pos="8176"/>
              <w:tab w:val="right" w:pos="9026" w:leader="dot"/>
            </w:tabs>
            <w:rPr/>
          </w:pPr>
          <w:hyperlink w:anchor="__RefHeading___Toc559602_3244359995">
            <w:r>
              <w:rPr>
                <w:webHidden/>
                <w:rStyle w:val="IndexLink"/>
                <w:rtl w:val="true"/>
              </w:rPr>
              <w:t>الجهة الثالثة</w:t>
            </w:r>
            <w:r>
              <w:rPr>
                <w:rStyle w:val="IndexLink"/>
                <w:rtl w:val="true"/>
              </w:rPr>
              <w:t xml:space="preserve">: </w:t>
            </w:r>
            <w:r>
              <w:rPr>
                <w:rStyle w:val="IndexLink"/>
                <w:rtl w:val="true"/>
              </w:rPr>
              <w:t>فی أدوات العموم</w:t>
            </w:r>
            <w:r>
              <w:rPr>
                <w:rStyle w:val="IndexLink"/>
                <w:rtl w:val="true"/>
              </w:rPr>
              <w:tab/>
            </w:r>
            <w:r>
              <w:rPr>
                <w:rStyle w:val="IndexLink"/>
              </w:rPr>
              <w:t>211</w:t>
            </w:r>
          </w:hyperlink>
        </w:p>
        <w:p>
          <w:pPr>
            <w:pStyle w:val="Contents5"/>
            <w:tabs>
              <w:tab w:val="clear" w:pos="7892"/>
              <w:tab w:val="right" w:pos="9026" w:leader="dot"/>
            </w:tabs>
            <w:rPr/>
          </w:pPr>
          <w:hyperlink w:anchor="__RefHeading___Toc559604_3244359995">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559606_3244359995">
            <w:r>
              <w:rPr>
                <w:webHidden/>
                <w:rStyle w:val="IndexLink"/>
                <w:rtl w:val="true"/>
              </w:rPr>
              <w:t xml:space="preserve">بقی شی‌ء حول کلمة </w:t>
            </w:r>
            <w:r>
              <w:rPr>
                <w:rStyle w:val="IndexLink"/>
                <w:rtl w:val="true"/>
              </w:rPr>
              <w:t>«</w:t>
            </w:r>
            <w:r>
              <w:rPr>
                <w:rStyle w:val="IndexLink"/>
                <w:rtl w:val="true"/>
              </w:rPr>
              <w:t>أیّ</w:t>
            </w:r>
            <w:r>
              <w:rPr>
                <w:rStyle w:val="IndexLink"/>
                <w:rtl w:val="true"/>
              </w:rPr>
              <w:t>»</w:t>
              <w:tab/>
            </w:r>
            <w:r>
              <w:rPr>
                <w:rStyle w:val="IndexLink"/>
              </w:rPr>
              <w:t>213</w:t>
            </w:r>
          </w:hyperlink>
        </w:p>
        <w:p>
          <w:pPr>
            <w:pStyle w:val="Contents5"/>
            <w:tabs>
              <w:tab w:val="clear" w:pos="7892"/>
              <w:tab w:val="right" w:pos="9026" w:leader="dot"/>
            </w:tabs>
            <w:rPr/>
          </w:pPr>
          <w:hyperlink w:anchor="__RefHeading___Toc559608_3244359995">
            <w:r>
              <w:rPr>
                <w:webHidden/>
                <w:rStyle w:val="IndexLink"/>
                <w:rtl w:val="true"/>
              </w:rPr>
              <w:t>فمنها</w:t>
            </w:r>
            <w:r>
              <w:rPr>
                <w:rStyle w:val="IndexLink"/>
                <w:rtl w:val="true"/>
              </w:rPr>
              <w:t xml:space="preserve">: </w:t>
            </w:r>
            <w:r>
              <w:rPr>
                <w:rStyle w:val="IndexLink"/>
                <w:rtl w:val="true"/>
              </w:rPr>
              <w:t xml:space="preserve">الجمع المحلّی ب </w:t>
            </w:r>
            <w:r>
              <w:rPr>
                <w:rStyle w:val="IndexLink"/>
                <w:rtl w:val="true"/>
              </w:rPr>
              <w:t>«</w:t>
            </w:r>
            <w:r>
              <w:rPr>
                <w:rStyle w:val="IndexLink"/>
                <w:rtl w:val="true"/>
              </w:rPr>
              <w:t>الألف و اللاّم</w:t>
            </w:r>
            <w:r>
              <w:rPr>
                <w:rStyle w:val="IndexLink"/>
                <w:rtl w:val="true"/>
              </w:rPr>
              <w:t>»</w:t>
              <w:tab/>
            </w:r>
            <w:r>
              <w:rPr>
                <w:rStyle w:val="IndexLink"/>
              </w:rPr>
              <w:t>214</w:t>
            </w:r>
          </w:hyperlink>
        </w:p>
        <w:p>
          <w:pPr>
            <w:pStyle w:val="Contents5"/>
            <w:tabs>
              <w:tab w:val="clear" w:pos="7892"/>
              <w:tab w:val="right" w:pos="9026" w:leader="dot"/>
            </w:tabs>
            <w:rPr/>
          </w:pPr>
          <w:hyperlink w:anchor="__RefHeading___Toc559610_3244359995">
            <w:r>
              <w:rPr>
                <w:webHidden/>
                <w:rStyle w:val="IndexLink"/>
                <w:rtl w:val="true"/>
              </w:rPr>
              <w:t>و منها</w:t>
            </w:r>
            <w:r>
              <w:rPr>
                <w:rStyle w:val="IndexLink"/>
                <w:rtl w:val="true"/>
              </w:rPr>
              <w:t xml:space="preserve">: </w:t>
            </w:r>
            <w:r>
              <w:rPr>
                <w:rStyle w:val="IndexLink"/>
                <w:rtl w:val="true"/>
              </w:rPr>
              <w:t xml:space="preserve">المفرد المعرّف ب </w:t>
            </w:r>
            <w:r>
              <w:rPr>
                <w:rStyle w:val="IndexLink"/>
                <w:rtl w:val="true"/>
              </w:rPr>
              <w:t>«</w:t>
            </w:r>
            <w:r>
              <w:rPr>
                <w:rStyle w:val="IndexLink"/>
                <w:rtl w:val="true"/>
              </w:rPr>
              <w:t>اللام</w:t>
            </w:r>
            <w:r>
              <w:rPr>
                <w:rStyle w:val="IndexLink"/>
                <w:rtl w:val="true"/>
              </w:rPr>
              <w:t xml:space="preserve">» </w:t>
            </w:r>
            <w:r>
              <w:rPr>
                <w:rStyle w:val="IndexLink"/>
                <w:rtl w:val="true"/>
              </w:rPr>
              <w:t>و النکرة الواقعة فی سیاق النفی أو النهی</w:t>
            </w:r>
            <w:r>
              <w:rPr>
                <w:rStyle w:val="IndexLink"/>
                <w:rtl w:val="true"/>
              </w:rPr>
              <w:tab/>
            </w:r>
            <w:r>
              <w:rPr>
                <w:rStyle w:val="IndexLink"/>
              </w:rPr>
              <w:t>216</w:t>
            </w:r>
          </w:hyperlink>
        </w:p>
        <w:p>
          <w:pPr>
            <w:pStyle w:val="Contents5"/>
            <w:tabs>
              <w:tab w:val="clear" w:pos="7892"/>
              <w:tab w:val="right" w:pos="9026" w:leader="dot"/>
            </w:tabs>
            <w:rPr/>
          </w:pPr>
          <w:hyperlink w:anchor="__RefHeading___Toc559612_3244359995">
            <w:r>
              <w:rPr>
                <w:webHidden/>
                <w:rStyle w:val="IndexLink"/>
                <w:rtl w:val="true"/>
              </w:rPr>
              <w:t>و منها</w:t>
            </w:r>
            <w:r>
              <w:rPr>
                <w:rStyle w:val="IndexLink"/>
                <w:rtl w:val="true"/>
              </w:rPr>
              <w:t xml:space="preserve">: </w:t>
            </w:r>
            <w:r>
              <w:rPr>
                <w:rStyle w:val="IndexLink"/>
                <w:rtl w:val="true"/>
              </w:rPr>
              <w:t>التنوین</w:t>
            </w:r>
            <w:r>
              <w:rPr>
                <w:rStyle w:val="IndexLink"/>
                <w:rtl w:val="true"/>
              </w:rPr>
              <w:tab/>
            </w:r>
            <w:r>
              <w:rPr>
                <w:rStyle w:val="IndexLink"/>
              </w:rPr>
              <w:t>216</w:t>
            </w:r>
          </w:hyperlink>
        </w:p>
        <w:p>
          <w:pPr>
            <w:pStyle w:val="Contents5"/>
            <w:tabs>
              <w:tab w:val="clear" w:pos="7892"/>
              <w:tab w:val="right" w:pos="9026" w:leader="dot"/>
            </w:tabs>
            <w:rPr/>
          </w:pPr>
          <w:hyperlink w:anchor="__RefHeading___Toc559614_3244359995">
            <w:r>
              <w:rPr>
                <w:webHidden/>
                <w:rStyle w:val="IndexLink"/>
                <w:rtl w:val="true"/>
              </w:rPr>
              <w:t>تتمّة</w:t>
            </w:r>
            <w:r>
              <w:rPr>
                <w:rStyle w:val="IndexLink"/>
                <w:rtl w:val="true"/>
              </w:rPr>
              <w:t xml:space="preserve">: </w:t>
            </w:r>
            <w:r>
              <w:rPr>
                <w:rStyle w:val="IndexLink"/>
                <w:rtl w:val="true"/>
              </w:rPr>
              <w:t>فی أنّ العموم و الخصوص من أوصاف اللفظ و أنّ خروج الخاصّ دائمی و غیره</w:t>
            </w:r>
            <w:r>
              <w:rPr>
                <w:rStyle w:val="IndexLink"/>
                <w:rtl w:val="true"/>
              </w:rPr>
              <w:tab/>
            </w:r>
            <w:r>
              <w:rPr>
                <w:rStyle w:val="IndexLink"/>
              </w:rPr>
              <w:t>217</w:t>
            </w:r>
          </w:hyperlink>
        </w:p>
        <w:p>
          <w:pPr>
            <w:pStyle w:val="Contents5"/>
            <w:tabs>
              <w:tab w:val="clear" w:pos="7892"/>
              <w:tab w:val="right" w:pos="9026" w:leader="dot"/>
            </w:tabs>
            <w:rPr/>
          </w:pPr>
          <w:hyperlink w:anchor="__RefHeading___Toc559616_3244359995">
            <w:r>
              <w:rPr>
                <w:webHidden/>
                <w:rStyle w:val="IndexLink"/>
                <w:rtl w:val="true"/>
              </w:rPr>
              <w:t xml:space="preserve">ختام الکلام فی </w:t>
            </w:r>
            <w:r>
              <w:rPr>
                <w:rStyle w:val="IndexLink"/>
                <w:rtl w:val="true"/>
              </w:rPr>
              <w:t>«</w:t>
            </w:r>
            <w:r>
              <w:rPr>
                <w:rStyle w:val="IndexLink"/>
                <w:rtl w:val="true"/>
              </w:rPr>
              <w:t>من</w:t>
            </w:r>
            <w:r>
              <w:rPr>
                <w:rStyle w:val="IndexLink"/>
                <w:rtl w:val="true"/>
              </w:rPr>
              <w:t xml:space="preserve">» </w:t>
            </w:r>
            <w:r>
              <w:rPr>
                <w:rStyle w:val="IndexLink"/>
                <w:rtl w:val="true"/>
              </w:rPr>
              <w:t>الموصولة</w:t>
            </w:r>
            <w:r>
              <w:rPr>
                <w:rStyle w:val="IndexLink"/>
                <w:rtl w:val="true"/>
              </w:rPr>
              <w:tab/>
            </w:r>
            <w:r>
              <w:rPr>
                <w:rStyle w:val="IndexLink"/>
              </w:rPr>
              <w:t>218</w:t>
            </w:r>
          </w:hyperlink>
        </w:p>
        <w:p>
          <w:pPr>
            <w:pStyle w:val="Contents3"/>
            <w:tabs>
              <w:tab w:val="clear" w:pos="8459"/>
              <w:tab w:val="right" w:pos="9026" w:leader="dot"/>
            </w:tabs>
            <w:rPr/>
          </w:pPr>
          <w:hyperlink w:anchor="__RefHeading___Toc559618_3244359995">
            <w:r>
              <w:rPr>
                <w:webHidden/>
                <w:rStyle w:val="IndexLink"/>
                <w:rtl w:val="true"/>
              </w:rPr>
              <w:t>المبحث الأوّل حول مجازیّة العامّ المخصّص و عدمها</w:t>
            </w:r>
            <w:r>
              <w:rPr>
                <w:rStyle w:val="IndexLink"/>
                <w:rtl w:val="true"/>
              </w:rPr>
              <w:tab/>
            </w:r>
            <w:r>
              <w:rPr>
                <w:rStyle w:val="IndexLink"/>
              </w:rPr>
              <w:t>219</w:t>
            </w:r>
          </w:hyperlink>
        </w:p>
        <w:p>
          <w:pPr>
            <w:pStyle w:val="Contents4"/>
            <w:tabs>
              <w:tab w:val="clear" w:pos="8176"/>
              <w:tab w:val="right" w:pos="9026" w:leader="dot"/>
            </w:tabs>
            <w:rPr/>
          </w:pPr>
          <w:hyperlink w:anchor="__RefHeading___Toc559620_3244359995">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559622_3244359995">
            <w:r>
              <w:rPr>
                <w:webHidden/>
                <w:rStyle w:val="IndexLink"/>
                <w:rtl w:val="true"/>
              </w:rPr>
              <w:t>المقام الأوّل</w:t>
            </w:r>
            <w:r>
              <w:rPr>
                <w:rStyle w:val="IndexLink"/>
                <w:rtl w:val="true"/>
              </w:rPr>
              <w:t xml:space="preserve">: </w:t>
            </w:r>
            <w:r>
              <w:rPr>
                <w:rStyle w:val="IndexLink"/>
                <w:rtl w:val="true"/>
              </w:rPr>
              <w:t>فی مجازیّة العامّ المخصّص و عدمها</w:t>
            </w:r>
            <w:r>
              <w:rPr>
                <w:rStyle w:val="IndexLink"/>
                <w:rtl w:val="true"/>
              </w:rPr>
              <w:tab/>
            </w:r>
            <w:r>
              <w:rPr>
                <w:rStyle w:val="IndexLink"/>
              </w:rPr>
              <w:t>220</w:t>
            </w:r>
          </w:hyperlink>
        </w:p>
        <w:p>
          <w:pPr>
            <w:pStyle w:val="Contents5"/>
            <w:tabs>
              <w:tab w:val="clear" w:pos="7892"/>
              <w:tab w:val="right" w:pos="9026" w:leader="dot"/>
            </w:tabs>
            <w:rPr/>
          </w:pPr>
          <w:hyperlink w:anchor="__RefHeading___Toc559624_3244359995">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559626_3244359995">
            <w:r>
              <w:rPr>
                <w:webHidden/>
                <w:rStyle w:val="IndexLink"/>
                <w:rtl w:val="true"/>
              </w:rPr>
              <w:t>تنبیه</w:t>
            </w:r>
            <w:r>
              <w:rPr>
                <w:rStyle w:val="IndexLink"/>
                <w:rtl w:val="true"/>
              </w:rPr>
              <w:t>:</w:t>
              <w:tab/>
            </w:r>
            <w:r>
              <w:rPr>
                <w:rStyle w:val="IndexLink"/>
              </w:rPr>
              <w:t>225</w:t>
            </w:r>
          </w:hyperlink>
        </w:p>
        <w:p>
          <w:pPr>
            <w:pStyle w:val="Contents4"/>
            <w:tabs>
              <w:tab w:val="clear" w:pos="8176"/>
              <w:tab w:val="right" w:pos="9026" w:leader="dot"/>
            </w:tabs>
            <w:rPr/>
          </w:pPr>
          <w:hyperlink w:anchor="__RefHeading___Toc559628_3244359995">
            <w:r>
              <w:rPr>
                <w:webHidden/>
                <w:rStyle w:val="IndexLink"/>
                <w:rtl w:val="true"/>
              </w:rPr>
              <w:t>المقام الثانی</w:t>
            </w:r>
            <w:r>
              <w:rPr>
                <w:rStyle w:val="IndexLink"/>
                <w:rtl w:val="true"/>
              </w:rPr>
              <w:t xml:space="preserve">: </w:t>
            </w:r>
            <w:r>
              <w:rPr>
                <w:rStyle w:val="IndexLink"/>
                <w:rtl w:val="true"/>
              </w:rPr>
              <w:t>فی حجّیة العامّ بعد التخصیص</w:t>
            </w:r>
            <w:r>
              <w:rPr>
                <w:rStyle w:val="IndexLink"/>
                <w:rtl w:val="true"/>
              </w:rPr>
              <w:tab/>
            </w:r>
            <w:r>
              <w:rPr>
                <w:rStyle w:val="IndexLink"/>
              </w:rPr>
              <w:t>225</w:t>
            </w:r>
          </w:hyperlink>
        </w:p>
        <w:p>
          <w:pPr>
            <w:pStyle w:val="Contents5"/>
            <w:tabs>
              <w:tab w:val="clear" w:pos="7892"/>
              <w:tab w:val="right" w:pos="9026" w:leader="dot"/>
            </w:tabs>
            <w:rPr/>
          </w:pPr>
          <w:hyperlink w:anchor="__RefHeading___Toc559630_3244359995">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559632_3244359995">
            <w:r>
              <w:rPr>
                <w:webHidden/>
                <w:rStyle w:val="IndexLink"/>
                <w:rtl w:val="true"/>
              </w:rPr>
              <w:t>تذنیب</w:t>
            </w:r>
            <w:r>
              <w:rPr>
                <w:rStyle w:val="IndexLink"/>
                <w:rtl w:val="true"/>
              </w:rPr>
              <w:t xml:space="preserve">: </w:t>
            </w:r>
            <w:r>
              <w:rPr>
                <w:rStyle w:val="IndexLink"/>
                <w:rtl w:val="true"/>
              </w:rPr>
              <w:t>فی الوجوه الدالّة علی حجّیة العامّ و لو مع الالتزام بالمجازیة</w:t>
            </w:r>
            <w:r>
              <w:rPr>
                <w:rStyle w:val="IndexLink"/>
                <w:rtl w:val="true"/>
              </w:rPr>
              <w:tab/>
            </w:r>
            <w:r>
              <w:rPr>
                <w:rStyle w:val="IndexLink"/>
              </w:rPr>
              <w:t>228</w:t>
            </w:r>
          </w:hyperlink>
        </w:p>
        <w:p>
          <w:pPr>
            <w:pStyle w:val="Contents5"/>
            <w:tabs>
              <w:tab w:val="clear" w:pos="7892"/>
              <w:tab w:val="right" w:pos="9026" w:leader="dot"/>
            </w:tabs>
            <w:rPr/>
          </w:pPr>
          <w:hyperlink w:anchor="__RefHeading___Toc559634_3244359995">
            <w:r>
              <w:rPr>
                <w:webHidden/>
                <w:rStyle w:val="IndexLink"/>
                <w:rtl w:val="true"/>
              </w:rPr>
              <w:t>إیقاظ</w:t>
            </w:r>
            <w:r>
              <w:rPr>
                <w:rStyle w:val="IndexLink"/>
                <w:rtl w:val="true"/>
              </w:rPr>
              <w:t xml:space="preserve">: </w:t>
            </w:r>
            <w:r>
              <w:rPr>
                <w:rStyle w:val="IndexLink"/>
                <w:rtl w:val="true"/>
              </w:rPr>
              <w:t>حول مختار السیّد الأستاذ البروجردی فی المقام</w:t>
            </w:r>
            <w:r>
              <w:rPr>
                <w:rStyle w:val="IndexLink"/>
                <w:rtl w:val="true"/>
              </w:rPr>
              <w:tab/>
            </w:r>
            <w:r>
              <w:rPr>
                <w:rStyle w:val="IndexLink"/>
              </w:rPr>
              <w:t>231</w:t>
            </w:r>
          </w:hyperlink>
        </w:p>
        <w:p>
          <w:pPr>
            <w:pStyle w:val="Contents5"/>
            <w:tabs>
              <w:tab w:val="clear" w:pos="7892"/>
              <w:tab w:val="right" w:pos="9026" w:leader="dot"/>
            </w:tabs>
            <w:rPr/>
          </w:pPr>
          <w:hyperlink w:anchor="__RefHeading___Toc559636_3244359995">
            <w:r>
              <w:rPr>
                <w:webHidden/>
                <w:rStyle w:val="IndexLink"/>
                <w:rtl w:val="true"/>
              </w:rPr>
              <w:t>بحث و تحقیق</w:t>
            </w:r>
            <w:r>
              <w:rPr>
                <w:rStyle w:val="IndexLink"/>
                <w:rtl w:val="true"/>
              </w:rPr>
              <w:t xml:space="preserve">: </w:t>
            </w:r>
            <w:r>
              <w:rPr>
                <w:rStyle w:val="IndexLink"/>
                <w:rtl w:val="true"/>
              </w:rPr>
              <w:t>حول ثبوت المجازیّة بین الحاکم و المحکوم</w:t>
            </w:r>
            <w:r>
              <w:rPr>
                <w:rStyle w:val="IndexLink"/>
                <w:rtl w:val="true"/>
              </w:rPr>
              <w:tab/>
            </w:r>
            <w:r>
              <w:rPr>
                <w:rStyle w:val="IndexLink"/>
              </w:rPr>
              <w:t>232</w:t>
            </w:r>
          </w:hyperlink>
        </w:p>
        <w:p>
          <w:pPr>
            <w:pStyle w:val="Contents3"/>
            <w:tabs>
              <w:tab w:val="clear" w:pos="8459"/>
              <w:tab w:val="right" w:pos="9026" w:leader="dot"/>
            </w:tabs>
            <w:rPr/>
          </w:pPr>
          <w:hyperlink w:anchor="__RefHeading___Toc559638_3244359995">
            <w:r>
              <w:rPr>
                <w:webHidden/>
                <w:rStyle w:val="IndexLink"/>
                <w:rtl w:val="true"/>
              </w:rPr>
              <w:t>المبحث الثانی فی صور المخصّص و أحکامها</w:t>
            </w:r>
            <w:r>
              <w:rPr>
                <w:rStyle w:val="IndexLink"/>
                <w:rtl w:val="true"/>
              </w:rPr>
              <w:tab/>
            </w:r>
            <w:r>
              <w:rPr>
                <w:rStyle w:val="IndexLink"/>
              </w:rPr>
              <w:t>234</w:t>
            </w:r>
          </w:hyperlink>
        </w:p>
        <w:p>
          <w:pPr>
            <w:pStyle w:val="Contents4"/>
            <w:tabs>
              <w:tab w:val="clear" w:pos="8176"/>
              <w:tab w:val="right" w:pos="9026" w:leader="dot"/>
            </w:tabs>
            <w:rPr/>
          </w:pPr>
          <w:hyperlink w:anchor="__RefHeading___Toc559640_3244359995">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559642_3244359995">
            <w:r>
              <w:rPr>
                <w:webHidden/>
                <w:rStyle w:val="IndexLink"/>
                <w:rtl w:val="true"/>
              </w:rPr>
              <w:t>الصورة الأولی</w:t>
            </w:r>
            <w:r>
              <w:rPr>
                <w:rStyle w:val="IndexLink"/>
                <w:rtl w:val="true"/>
              </w:rPr>
              <w:t xml:space="preserve">: </w:t>
            </w:r>
            <w:r>
              <w:rPr>
                <w:rStyle w:val="IndexLink"/>
                <w:rtl w:val="true"/>
              </w:rPr>
              <w:t>ما إذا کان المخصّص مجملا و لفظیّا</w:t>
            </w:r>
            <w:r>
              <w:rPr>
                <w:rStyle w:val="IndexLink"/>
                <w:rtl w:val="true"/>
              </w:rPr>
              <w:tab/>
            </w:r>
            <w:r>
              <w:rPr>
                <w:rStyle w:val="IndexLink"/>
              </w:rPr>
              <w:t>235</w:t>
            </w:r>
          </w:hyperlink>
        </w:p>
        <w:p>
          <w:pPr>
            <w:pStyle w:val="Contents4"/>
            <w:tabs>
              <w:tab w:val="clear" w:pos="8176"/>
              <w:tab w:val="right" w:pos="9026" w:leader="dot"/>
            </w:tabs>
            <w:rPr/>
          </w:pPr>
          <w:hyperlink w:anchor="__RefHeading___Toc559644_3244359995">
            <w:r>
              <w:rPr>
                <w:webHidden/>
                <w:rStyle w:val="IndexLink"/>
                <w:rtl w:val="true"/>
              </w:rPr>
              <w:t>الصورة الثانیة</w:t>
            </w:r>
            <w:r>
              <w:rPr>
                <w:rStyle w:val="IndexLink"/>
                <w:rtl w:val="true"/>
              </w:rPr>
              <w:t xml:space="preserve">: </w:t>
            </w:r>
            <w:r>
              <w:rPr>
                <w:rStyle w:val="IndexLink"/>
                <w:rtl w:val="true"/>
              </w:rPr>
              <w:t>فیما إذا کان المخصّص اللفظیّ المجمل منفصلا</w:t>
            </w:r>
            <w:r>
              <w:rPr>
                <w:rStyle w:val="IndexLink"/>
                <w:rtl w:val="true"/>
              </w:rPr>
              <w:tab/>
            </w:r>
            <w:r>
              <w:rPr>
                <w:rStyle w:val="IndexLink"/>
              </w:rPr>
              <w:t>237</w:t>
            </w:r>
          </w:hyperlink>
        </w:p>
        <w:p>
          <w:pPr>
            <w:pStyle w:val="Contents5"/>
            <w:tabs>
              <w:tab w:val="clear" w:pos="7892"/>
              <w:tab w:val="right" w:pos="9026" w:leader="dot"/>
            </w:tabs>
            <w:rPr/>
          </w:pPr>
          <w:hyperlink w:anchor="__RefHeading___Toc559646_3244359995">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559648_3244359995">
            <w:r>
              <w:rPr>
                <w:webHidden/>
                <w:rStyle w:val="IndexLink"/>
                <w:rtl w:val="true"/>
              </w:rPr>
              <w:t>بحث و تحصیل</w:t>
            </w:r>
            <w:r>
              <w:rPr>
                <w:rStyle w:val="IndexLink"/>
                <w:rtl w:val="true"/>
              </w:rPr>
              <w:t xml:space="preserve">: </w:t>
            </w:r>
            <w:r>
              <w:rPr>
                <w:rStyle w:val="IndexLink"/>
                <w:rtl w:val="true"/>
              </w:rPr>
              <w:t>حول سریان إجمال الحاکم إلی المحکوم فی الشبهة المصداقیّة الناشئة عن المفهومیّة</w:t>
            </w:r>
            <w:r>
              <w:rPr>
                <w:rStyle w:val="IndexLink"/>
                <w:rtl w:val="true"/>
              </w:rPr>
              <w:tab/>
            </w:r>
            <w:r>
              <w:rPr>
                <w:rStyle w:val="IndexLink"/>
              </w:rPr>
              <w:t>241</w:t>
            </w:r>
          </w:hyperlink>
        </w:p>
        <w:p>
          <w:pPr>
            <w:pStyle w:val="Contents5"/>
            <w:tabs>
              <w:tab w:val="clear" w:pos="7892"/>
              <w:tab w:val="right" w:pos="9026" w:leader="dot"/>
            </w:tabs>
            <w:rPr/>
          </w:pPr>
          <w:hyperlink w:anchor="__RefHeading___Toc559650_3244359995">
            <w:r>
              <w:rPr>
                <w:webHidden/>
                <w:rStyle w:val="IndexLink"/>
                <w:rtl w:val="true"/>
              </w:rPr>
              <w:t>تتمّة</w:t>
            </w:r>
            <w:r>
              <w:rPr>
                <w:rStyle w:val="IndexLink"/>
                <w:rtl w:val="true"/>
              </w:rPr>
              <w:tab/>
            </w:r>
            <w:r>
              <w:rPr>
                <w:rStyle w:val="IndexLink"/>
              </w:rPr>
              <w:t>243</w:t>
            </w:r>
          </w:hyperlink>
        </w:p>
        <w:p>
          <w:pPr>
            <w:pStyle w:val="Contents5"/>
            <w:tabs>
              <w:tab w:val="clear" w:pos="7892"/>
              <w:tab w:val="right" w:pos="9026" w:leader="dot"/>
            </w:tabs>
            <w:rPr/>
          </w:pPr>
          <w:hyperlink w:anchor="__RefHeading___Toc559652_3244359995">
            <w:r>
              <w:rPr>
                <w:webHidden/>
                <w:rStyle w:val="IndexLink"/>
                <w:rtl w:val="true"/>
              </w:rPr>
              <w:t>خاتمة</w:t>
            </w:r>
            <w:r>
              <w:rPr>
                <w:rStyle w:val="IndexLink"/>
                <w:rtl w:val="true"/>
              </w:rPr>
              <w:t xml:space="preserve">: </w:t>
            </w:r>
            <w:r>
              <w:rPr>
                <w:rStyle w:val="IndexLink"/>
                <w:rtl w:val="true"/>
              </w:rPr>
              <w:t>فی مقتضی الأصل العملیّ عند الشّک فی حجّیة العام</w:t>
            </w:r>
            <w:r>
              <w:rPr>
                <w:rStyle w:val="IndexLink"/>
                <w:rtl w:val="true"/>
              </w:rPr>
              <w:tab/>
            </w:r>
            <w:r>
              <w:rPr>
                <w:rStyle w:val="IndexLink"/>
              </w:rPr>
              <w:t>244</w:t>
            </w:r>
          </w:hyperlink>
        </w:p>
        <w:p>
          <w:pPr>
            <w:pStyle w:val="Contents4"/>
            <w:tabs>
              <w:tab w:val="clear" w:pos="8176"/>
              <w:tab w:val="right" w:pos="9026" w:leader="dot"/>
            </w:tabs>
            <w:rPr/>
          </w:pPr>
          <w:hyperlink w:anchor="__RefHeading___Toc559654_3244359995">
            <w:r>
              <w:rPr>
                <w:webHidden/>
                <w:rStyle w:val="IndexLink"/>
                <w:rtl w:val="true"/>
              </w:rPr>
              <w:t>الصورة الثالثة</w:t>
            </w:r>
            <w:r>
              <w:rPr>
                <w:rStyle w:val="IndexLink"/>
                <w:rtl w:val="true"/>
              </w:rPr>
              <w:t xml:space="preserve">: </w:t>
            </w:r>
            <w:r>
              <w:rPr>
                <w:rStyle w:val="IndexLink"/>
                <w:rtl w:val="true"/>
              </w:rPr>
              <w:t>فیما إذا کان المخصّص لبّیا</w:t>
            </w:r>
            <w:r>
              <w:rPr>
                <w:rStyle w:val="IndexLink"/>
                <w:rtl w:val="true"/>
              </w:rPr>
              <w:tab/>
            </w:r>
            <w:r>
              <w:rPr>
                <w:rStyle w:val="IndexLink"/>
              </w:rPr>
              <w:t>246</w:t>
            </w:r>
          </w:hyperlink>
        </w:p>
        <w:p>
          <w:pPr>
            <w:pStyle w:val="Contents4"/>
            <w:tabs>
              <w:tab w:val="clear" w:pos="8176"/>
              <w:tab w:val="right" w:pos="9026" w:leader="dot"/>
            </w:tabs>
            <w:rPr/>
          </w:pPr>
          <w:hyperlink w:anchor="__RefHeading___Toc559656_3244359995">
            <w:r>
              <w:rPr>
                <w:webHidden/>
                <w:rStyle w:val="IndexLink"/>
                <w:rtl w:val="true"/>
              </w:rPr>
              <w:t>الصورة الرابعة</w:t>
            </w:r>
            <w:r>
              <w:rPr>
                <w:rStyle w:val="IndexLink"/>
                <w:rtl w:val="true"/>
              </w:rPr>
              <w:t xml:space="preserve">: </w:t>
            </w:r>
            <w:r>
              <w:rPr>
                <w:rStyle w:val="IndexLink"/>
                <w:rtl w:val="true"/>
              </w:rPr>
              <w:t>فیما إذا لم یعلم حال أمر المخصّص</w:t>
            </w:r>
            <w:r>
              <w:rPr>
                <w:rStyle w:val="IndexLink"/>
                <w:rtl w:val="true"/>
              </w:rPr>
              <w:tab/>
            </w:r>
            <w:r>
              <w:rPr>
                <w:rStyle w:val="IndexLink"/>
              </w:rPr>
              <w:t>251</w:t>
            </w:r>
          </w:hyperlink>
        </w:p>
        <w:p>
          <w:pPr>
            <w:pStyle w:val="Contents4"/>
            <w:tabs>
              <w:tab w:val="clear" w:pos="8176"/>
              <w:tab w:val="right" w:pos="9026" w:leader="dot"/>
            </w:tabs>
            <w:rPr/>
          </w:pPr>
          <w:hyperlink w:anchor="__RefHeading___Toc559658_3244359995">
            <w:r>
              <w:rPr>
                <w:webHidden/>
                <w:rStyle w:val="IndexLink"/>
                <w:rtl w:val="true"/>
              </w:rPr>
              <w:t>الصورة الخامسة</w:t>
            </w:r>
            <w:r>
              <w:rPr>
                <w:rStyle w:val="IndexLink"/>
                <w:rtl w:val="true"/>
              </w:rPr>
              <w:t xml:space="preserve">: </w:t>
            </w:r>
            <w:r>
              <w:rPr>
                <w:rStyle w:val="IndexLink"/>
                <w:rtl w:val="true"/>
              </w:rPr>
              <w:t>فیما لو کان المخصّص اللفظیّ مرتکزا عقلائیّا</w:t>
            </w:r>
            <w:r>
              <w:rPr>
                <w:rStyle w:val="IndexLink"/>
                <w:rtl w:val="true"/>
              </w:rPr>
              <w:tab/>
            </w:r>
            <w:r>
              <w:rPr>
                <w:rStyle w:val="IndexLink"/>
              </w:rPr>
              <w:t>253</w:t>
            </w:r>
          </w:hyperlink>
        </w:p>
        <w:p>
          <w:pPr>
            <w:pStyle w:val="Contents3"/>
            <w:tabs>
              <w:tab w:val="clear" w:pos="8459"/>
              <w:tab w:val="right" w:pos="9026" w:leader="dot"/>
            </w:tabs>
            <w:rPr/>
          </w:pPr>
          <w:hyperlink w:anchor="__RefHeading___Toc559660_3244359995">
            <w:r>
              <w:rPr>
                <w:webHidden/>
                <w:rStyle w:val="IndexLink"/>
                <w:rtl w:val="true"/>
              </w:rPr>
              <w:t>المبحث الثالث فی جواز التمسّک بالعامّ فی الشبهة المصداقیّة الناشئة عن الأمور الخارجیّة</w:t>
            </w:r>
            <w:r>
              <w:rPr>
                <w:rStyle w:val="IndexLink"/>
                <w:rtl w:val="true"/>
              </w:rPr>
              <w:tab/>
            </w:r>
            <w:r>
              <w:rPr>
                <w:rStyle w:val="IndexLink"/>
              </w:rPr>
              <w:t>254</w:t>
            </w:r>
          </w:hyperlink>
        </w:p>
        <w:p>
          <w:pPr>
            <w:pStyle w:val="Contents4"/>
            <w:tabs>
              <w:tab w:val="clear" w:pos="8176"/>
              <w:tab w:val="right" w:pos="9026" w:leader="dot"/>
            </w:tabs>
            <w:rPr/>
          </w:pPr>
          <w:hyperlink w:anchor="__RefHeading___Toc559662_3244359995">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559664_3244359995">
            <w:r>
              <w:rPr>
                <w:webHidden/>
                <w:rStyle w:val="IndexLink"/>
                <w:rtl w:val="true"/>
              </w:rPr>
              <w:t>وجوه سقوط العامّ فی الشبهة المصداقیّة</w:t>
            </w:r>
            <w:r>
              <w:rPr>
                <w:rStyle w:val="IndexLink"/>
                <w:rtl w:val="true"/>
              </w:rPr>
              <w:tab/>
            </w:r>
            <w:r>
              <w:rPr>
                <w:rStyle w:val="IndexLink"/>
              </w:rPr>
              <w:t>259</w:t>
            </w:r>
          </w:hyperlink>
        </w:p>
        <w:p>
          <w:pPr>
            <w:pStyle w:val="Contents4"/>
            <w:tabs>
              <w:tab w:val="clear" w:pos="8176"/>
              <w:tab w:val="right" w:pos="9026" w:leader="dot"/>
            </w:tabs>
            <w:rPr/>
          </w:pPr>
          <w:hyperlink w:anchor="__RefHeading___Toc559666_3244359995">
            <w:r>
              <w:rPr>
                <w:webHidden/>
                <w:rStyle w:val="IndexLink"/>
                <w:rtl w:val="true"/>
              </w:rPr>
              <w:t>بقی شی‌ء</w:t>
            </w:r>
            <w:r>
              <w:rPr>
                <w:rStyle w:val="IndexLink"/>
                <w:rtl w:val="true"/>
              </w:rPr>
              <w:t xml:space="preserve">: </w:t>
            </w:r>
            <w:r>
              <w:rPr>
                <w:rStyle w:val="IndexLink"/>
                <w:rtl w:val="true"/>
              </w:rPr>
              <w:t>حول سقوط أصالة الجدّ فی المقام</w:t>
            </w:r>
            <w:r>
              <w:rPr>
                <w:rStyle w:val="IndexLink"/>
                <w:rtl w:val="true"/>
              </w:rPr>
              <w:tab/>
            </w:r>
            <w:r>
              <w:rPr>
                <w:rStyle w:val="IndexLink"/>
              </w:rPr>
              <w:t>262</w:t>
            </w:r>
          </w:hyperlink>
        </w:p>
        <w:p>
          <w:pPr>
            <w:pStyle w:val="Contents4"/>
            <w:tabs>
              <w:tab w:val="clear" w:pos="8176"/>
              <w:tab w:val="right" w:pos="9026" w:leader="dot"/>
            </w:tabs>
            <w:rPr/>
          </w:pPr>
          <w:hyperlink w:anchor="__RefHeading___Toc559668_3244359995">
            <w:r>
              <w:rPr>
                <w:webHidden/>
                <w:rStyle w:val="IndexLink"/>
                <w:rtl w:val="true"/>
              </w:rPr>
              <w:t>تتمیم</w:t>
            </w:r>
            <w:r>
              <w:rPr>
                <w:rStyle w:val="IndexLink"/>
                <w:rtl w:val="true"/>
              </w:rPr>
              <w:t xml:space="preserve">: </w:t>
            </w:r>
            <w:r>
              <w:rPr>
                <w:rStyle w:val="IndexLink"/>
                <w:rtl w:val="true"/>
              </w:rPr>
              <w:t>حول مختار العلاّمة النهاوندی قدس سرُّه</w:t>
            </w:r>
            <w:r>
              <w:rPr>
                <w:rStyle w:val="IndexLink"/>
                <w:rtl w:val="true"/>
              </w:rPr>
              <w:tab/>
            </w:r>
            <w:r>
              <w:rPr>
                <w:rStyle w:val="IndexLink"/>
              </w:rPr>
              <w:t>263</w:t>
            </w:r>
          </w:hyperlink>
        </w:p>
        <w:p>
          <w:pPr>
            <w:pStyle w:val="Contents4"/>
            <w:tabs>
              <w:tab w:val="clear" w:pos="8176"/>
              <w:tab w:val="right" w:pos="9026" w:leader="dot"/>
            </w:tabs>
            <w:rPr/>
          </w:pPr>
          <w:hyperlink w:anchor="__RefHeading___Toc559670_3244359995">
            <w:r>
              <w:rPr>
                <w:webHidden/>
                <w:rStyle w:val="IndexLink"/>
                <w:rtl w:val="true"/>
              </w:rPr>
              <w:t>تذنیب</w:t>
            </w:r>
            <w:r>
              <w:rPr>
                <w:rStyle w:val="IndexLink"/>
                <w:rtl w:val="true"/>
              </w:rPr>
              <w:t xml:space="preserve">: </w:t>
            </w:r>
            <w:r>
              <w:rPr>
                <w:rStyle w:val="IndexLink"/>
                <w:rtl w:val="true"/>
              </w:rPr>
              <w:t>حول إیجاب المخصّص المنفصل لصیرورة الشبهة موضوعیّة باعتبار مقام الثبوت</w:t>
            </w:r>
            <w:r>
              <w:rPr>
                <w:rStyle w:val="IndexLink"/>
                <w:rtl w:val="true"/>
              </w:rPr>
              <w:tab/>
            </w:r>
            <w:r>
              <w:rPr>
                <w:rStyle w:val="IndexLink"/>
              </w:rPr>
              <w:t>265</w:t>
            </w:r>
          </w:hyperlink>
        </w:p>
        <w:p>
          <w:pPr>
            <w:pStyle w:val="Contents4"/>
            <w:tabs>
              <w:tab w:val="clear" w:pos="8176"/>
              <w:tab w:val="right" w:pos="9026" w:leader="dot"/>
            </w:tabs>
            <w:rPr/>
          </w:pPr>
          <w:hyperlink w:anchor="__RefHeading___Toc559672_3244359995">
            <w:r>
              <w:rPr>
                <w:webHidden/>
                <w:rStyle w:val="IndexLink"/>
                <w:rtl w:val="true"/>
              </w:rPr>
              <w:t>تنبیهات</w:t>
            </w:r>
            <w:r>
              <w:rPr>
                <w:rStyle w:val="IndexLink"/>
                <w:rtl w:val="true"/>
              </w:rPr>
              <w:tab/>
            </w:r>
            <w:r>
              <w:rPr>
                <w:rStyle w:val="IndexLink"/>
              </w:rPr>
              <w:t>266</w:t>
            </w:r>
          </w:hyperlink>
        </w:p>
        <w:p>
          <w:pPr>
            <w:pStyle w:val="Contents5"/>
            <w:tabs>
              <w:tab w:val="clear" w:pos="7892"/>
              <w:tab w:val="right" w:pos="9026" w:leader="dot"/>
            </w:tabs>
            <w:rPr/>
          </w:pPr>
          <w:hyperlink w:anchor="__RefHeading___Toc559674_3244359995">
            <w:r>
              <w:rPr>
                <w:webHidden/>
                <w:rStyle w:val="IndexLink"/>
                <w:rtl w:val="true"/>
              </w:rPr>
              <w:t>الأوّل</w:t>
            </w:r>
            <w:r>
              <w:rPr>
                <w:rStyle w:val="IndexLink"/>
                <w:rtl w:val="true"/>
              </w:rPr>
              <w:t xml:space="preserve">: </w:t>
            </w:r>
            <w:r>
              <w:rPr>
                <w:rStyle w:val="IndexLink"/>
                <w:rtl w:val="true"/>
              </w:rPr>
              <w:t>التمسّک بحجّیة الخبر مع الشکّ فی الإعراض بنحو الشبهة المصداقیّة</w:t>
            </w:r>
            <w:r>
              <w:rPr>
                <w:rStyle w:val="IndexLink"/>
                <w:rtl w:val="true"/>
              </w:rPr>
              <w:tab/>
            </w:r>
            <w:r>
              <w:rPr>
                <w:rStyle w:val="IndexLink"/>
              </w:rPr>
              <w:t>266</w:t>
            </w:r>
          </w:hyperlink>
        </w:p>
        <w:p>
          <w:pPr>
            <w:pStyle w:val="Contents5"/>
            <w:tabs>
              <w:tab w:val="clear" w:pos="7892"/>
              <w:tab w:val="right" w:pos="9026" w:leader="dot"/>
            </w:tabs>
            <w:rPr/>
          </w:pPr>
          <w:hyperlink w:anchor="__RefHeading___Toc559676_3244359995">
            <w:r>
              <w:rPr>
                <w:webHidden/>
                <w:rStyle w:val="IndexLink"/>
                <w:rtl w:val="true"/>
              </w:rPr>
              <w:t>الثانی</w:t>
            </w:r>
            <w:r>
              <w:rPr>
                <w:rStyle w:val="IndexLink"/>
                <w:rtl w:val="true"/>
              </w:rPr>
              <w:t xml:space="preserve">: </w:t>
            </w:r>
            <w:r>
              <w:rPr>
                <w:rStyle w:val="IndexLink"/>
                <w:rtl w:val="true"/>
              </w:rPr>
              <w:t>حول التمسّک بالعامّ فی العناوین التی لا واقعیّة لها إلاّ ثبوتا و العناوین الوجودیّة المرخصة علی خلاف العامّ</w:t>
            </w:r>
            <w:r>
              <w:rPr>
                <w:rStyle w:val="IndexLink"/>
                <w:rtl w:val="true"/>
              </w:rPr>
              <w:tab/>
            </w:r>
            <w:r>
              <w:rPr>
                <w:rStyle w:val="IndexLink"/>
              </w:rPr>
              <w:t>267</w:t>
            </w:r>
          </w:hyperlink>
        </w:p>
        <w:p>
          <w:pPr>
            <w:pStyle w:val="Contents5"/>
            <w:tabs>
              <w:tab w:val="clear" w:pos="7892"/>
              <w:tab w:val="right" w:pos="9026" w:leader="dot"/>
            </w:tabs>
            <w:rPr/>
          </w:pPr>
          <w:hyperlink w:anchor="__RefHeading___Toc559678_3244359995">
            <w:r>
              <w:rPr>
                <w:webHidden/>
                <w:rStyle w:val="IndexLink"/>
                <w:rtl w:val="true"/>
              </w:rPr>
              <w:t>الثالث</w:t>
            </w:r>
            <w:r>
              <w:rPr>
                <w:rStyle w:val="IndexLink"/>
                <w:rtl w:val="true"/>
              </w:rPr>
              <w:t xml:space="preserve">: </w:t>
            </w:r>
            <w:r>
              <w:rPr>
                <w:rStyle w:val="IndexLink"/>
                <w:rtl w:val="true"/>
              </w:rPr>
              <w:t xml:space="preserve">فی حجّیة العامّ مع کون الخارج عنوان </w:t>
            </w:r>
            <w:r>
              <w:rPr>
                <w:rStyle w:val="IndexLink"/>
                <w:rtl w:val="true"/>
              </w:rPr>
              <w:t>«</w:t>
            </w:r>
            <w:r>
              <w:rPr>
                <w:rStyle w:val="IndexLink"/>
                <w:rtl w:val="true"/>
              </w:rPr>
              <w:t>المریض</w:t>
            </w:r>
            <w:r>
              <w:rPr>
                <w:rStyle w:val="IndexLink"/>
                <w:rtl w:val="true"/>
              </w:rPr>
              <w:t xml:space="preserve">» </w:t>
            </w:r>
            <w:r>
              <w:rPr>
                <w:rStyle w:val="IndexLink"/>
                <w:rtl w:val="true"/>
              </w:rPr>
              <w:t>مثلا</w:t>
            </w:r>
            <w:r>
              <w:rPr>
                <w:rStyle w:val="IndexLink"/>
                <w:rtl w:val="true"/>
              </w:rPr>
              <w:tab/>
            </w:r>
            <w:r>
              <w:rPr>
                <w:rStyle w:val="IndexLink"/>
              </w:rPr>
              <w:t>269</w:t>
            </w:r>
          </w:hyperlink>
        </w:p>
        <w:p>
          <w:pPr>
            <w:pStyle w:val="Contents5"/>
            <w:tabs>
              <w:tab w:val="clear" w:pos="7892"/>
              <w:tab w:val="right" w:pos="9026" w:leader="dot"/>
            </w:tabs>
            <w:rPr/>
          </w:pPr>
          <w:hyperlink w:anchor="__RefHeading___Toc559680_3244359995">
            <w:r>
              <w:rPr>
                <w:webHidden/>
                <w:rStyle w:val="IndexLink"/>
                <w:rtl w:val="true"/>
              </w:rPr>
              <w:t>الرابع</w:t>
            </w:r>
            <w:r>
              <w:rPr>
                <w:rStyle w:val="IndexLink"/>
                <w:rtl w:val="true"/>
              </w:rPr>
              <w:t xml:space="preserve">: </w:t>
            </w:r>
            <w:r>
              <w:rPr>
                <w:rStyle w:val="IndexLink"/>
                <w:rtl w:val="true"/>
              </w:rPr>
              <w:t>حول جواز التمسّک بالإطلاق فی الشبهة المصداقیّة</w:t>
            </w:r>
            <w:r>
              <w:rPr>
                <w:rStyle w:val="IndexLink"/>
                <w:rtl w:val="true"/>
              </w:rPr>
              <w:tab/>
            </w:r>
            <w:r>
              <w:rPr>
                <w:rStyle w:val="IndexLink"/>
              </w:rPr>
              <w:t>270</w:t>
            </w:r>
          </w:hyperlink>
        </w:p>
        <w:p>
          <w:pPr>
            <w:pStyle w:val="Contents5"/>
            <w:tabs>
              <w:tab w:val="clear" w:pos="7892"/>
              <w:tab w:val="right" w:pos="9026" w:leader="dot"/>
            </w:tabs>
            <w:rPr/>
          </w:pPr>
          <w:hyperlink w:anchor="__RefHeading___Toc559682_3244359995">
            <w:r>
              <w:rPr>
                <w:webHidden/>
                <w:rStyle w:val="IndexLink"/>
                <w:rtl w:val="true"/>
              </w:rPr>
              <w:t>الخامس</w:t>
            </w:r>
            <w:r>
              <w:rPr>
                <w:rStyle w:val="IndexLink"/>
                <w:rtl w:val="true"/>
              </w:rPr>
              <w:t xml:space="preserve">: </w:t>
            </w:r>
            <w:r>
              <w:rPr>
                <w:rStyle w:val="IndexLink"/>
                <w:rtl w:val="true"/>
              </w:rPr>
              <w:t>حول التمسّک بإطلاق أو عموم المحکوم فی الشبهة المصداقیّة</w:t>
            </w:r>
            <w:r>
              <w:rPr>
                <w:rStyle w:val="IndexLink"/>
                <w:rtl w:val="true"/>
              </w:rPr>
              <w:tab/>
            </w:r>
            <w:r>
              <w:rPr>
                <w:rStyle w:val="IndexLink"/>
              </w:rPr>
              <w:t>273</w:t>
            </w:r>
          </w:hyperlink>
        </w:p>
        <w:p>
          <w:pPr>
            <w:pStyle w:val="Contents5"/>
            <w:tabs>
              <w:tab w:val="clear" w:pos="7892"/>
              <w:tab w:val="right" w:pos="9026" w:leader="dot"/>
            </w:tabs>
            <w:rPr/>
          </w:pPr>
          <w:hyperlink w:anchor="__RefHeading___Toc559684_3244359995">
            <w:r>
              <w:rPr>
                <w:webHidden/>
                <w:rStyle w:val="IndexLink"/>
                <w:rtl w:val="true"/>
              </w:rPr>
              <w:t>السادس</w:t>
            </w:r>
            <w:r>
              <w:rPr>
                <w:rStyle w:val="IndexLink"/>
                <w:rtl w:val="true"/>
              </w:rPr>
              <w:t xml:space="preserve">: </w:t>
            </w:r>
            <w:r>
              <w:rPr>
                <w:rStyle w:val="IndexLink"/>
                <w:rtl w:val="true"/>
              </w:rPr>
              <w:t>فی التمسّک بالعامّ مع کون الخاصّ معلّلا</w:t>
            </w:r>
            <w:r>
              <w:rPr>
                <w:rStyle w:val="IndexLink"/>
                <w:rtl w:val="true"/>
              </w:rPr>
              <w:tab/>
            </w:r>
            <w:r>
              <w:rPr>
                <w:rStyle w:val="IndexLink"/>
              </w:rPr>
              <w:t>274</w:t>
            </w:r>
          </w:hyperlink>
        </w:p>
        <w:p>
          <w:pPr>
            <w:pStyle w:val="Contents5"/>
            <w:tabs>
              <w:tab w:val="clear" w:pos="7892"/>
              <w:tab w:val="right" w:pos="9026" w:leader="dot"/>
            </w:tabs>
            <w:rPr/>
          </w:pPr>
          <w:hyperlink w:anchor="__RefHeading___Toc559686_3244359995">
            <w:r>
              <w:rPr>
                <w:webHidden/>
                <w:rStyle w:val="IndexLink"/>
                <w:rtl w:val="true"/>
              </w:rPr>
              <w:t>السابع</w:t>
            </w:r>
            <w:r>
              <w:rPr>
                <w:rStyle w:val="IndexLink"/>
                <w:rtl w:val="true"/>
              </w:rPr>
              <w:t xml:space="preserve">: </w:t>
            </w:r>
            <w:r>
              <w:rPr>
                <w:rStyle w:val="IndexLink"/>
                <w:rtl w:val="true"/>
              </w:rPr>
              <w:t>حول استکشاف عدم اندراج المصداق المشتبه فی الخاصّ و شمول حکم العامّ له</w:t>
            </w:r>
            <w:r>
              <w:rPr>
                <w:rStyle w:val="IndexLink"/>
                <w:rtl w:val="true"/>
              </w:rPr>
              <w:tab/>
            </w:r>
            <w:r>
              <w:rPr>
                <w:rStyle w:val="IndexLink"/>
              </w:rPr>
              <w:t>275</w:t>
            </w:r>
          </w:hyperlink>
        </w:p>
        <w:p>
          <w:pPr>
            <w:pStyle w:val="Contents5"/>
            <w:tabs>
              <w:tab w:val="clear" w:pos="7892"/>
              <w:tab w:val="right" w:pos="9026" w:leader="dot"/>
            </w:tabs>
            <w:rPr/>
          </w:pPr>
          <w:hyperlink w:anchor="__RefHeading___Toc559688_3244359995">
            <w:r>
              <w:rPr>
                <w:webHidden/>
                <w:rStyle w:val="IndexLink"/>
                <w:rtl w:val="true"/>
              </w:rPr>
              <w:t>الثامن</w:t>
            </w:r>
            <w:r>
              <w:rPr>
                <w:rStyle w:val="IndexLink"/>
                <w:rtl w:val="true"/>
              </w:rPr>
              <w:t xml:space="preserve">: </w:t>
            </w:r>
            <w:r>
              <w:rPr>
                <w:rStyle w:val="IndexLink"/>
                <w:rtl w:val="true"/>
              </w:rPr>
              <w:t>حول وجوب الفحص فی موارد الشبهة المصداقیّة</w:t>
            </w:r>
            <w:r>
              <w:rPr>
                <w:rStyle w:val="IndexLink"/>
                <w:rtl w:val="true"/>
              </w:rPr>
              <w:tab/>
            </w:r>
            <w:r>
              <w:rPr>
                <w:rStyle w:val="IndexLink"/>
              </w:rPr>
              <w:t>277</w:t>
            </w:r>
          </w:hyperlink>
        </w:p>
        <w:p>
          <w:pPr>
            <w:pStyle w:val="Contents5"/>
            <w:tabs>
              <w:tab w:val="clear" w:pos="7892"/>
              <w:tab w:val="right" w:pos="9026" w:leader="dot"/>
            </w:tabs>
            <w:rPr/>
          </w:pPr>
          <w:hyperlink w:anchor="__RefHeading___Toc559690_3244359995">
            <w:r>
              <w:rPr>
                <w:webHidden/>
                <w:rStyle w:val="IndexLink"/>
                <w:rtl w:val="true"/>
              </w:rPr>
              <w:t>التاسع</w:t>
            </w:r>
            <w:r>
              <w:rPr>
                <w:rStyle w:val="IndexLink"/>
                <w:rtl w:val="true"/>
              </w:rPr>
              <w:t xml:space="preserve">: </w:t>
            </w:r>
            <w:r>
              <w:rPr>
                <w:rStyle w:val="IndexLink"/>
                <w:rtl w:val="true"/>
              </w:rPr>
              <w:t>حول جریان الأصول العملیّة فی موارد الشبهة المصداقیّة</w:t>
            </w:r>
            <w:r>
              <w:rPr>
                <w:rStyle w:val="IndexLink"/>
                <w:rtl w:val="true"/>
              </w:rPr>
              <w:tab/>
            </w:r>
            <w:r>
              <w:rPr>
                <w:rStyle w:val="IndexLink"/>
              </w:rPr>
              <w:t>278</w:t>
            </w:r>
          </w:hyperlink>
        </w:p>
        <w:p>
          <w:pPr>
            <w:pStyle w:val="Contents5"/>
            <w:tabs>
              <w:tab w:val="clear" w:pos="7892"/>
              <w:tab w:val="right" w:pos="9026" w:leader="dot"/>
            </w:tabs>
            <w:rPr/>
          </w:pPr>
          <w:hyperlink w:anchor="__RefHeading___Toc559692_3244359995">
            <w:r>
              <w:rPr>
                <w:webHidden/>
                <w:rStyle w:val="IndexLink"/>
                <w:rtl w:val="true"/>
              </w:rPr>
              <w:t>العاشر</w:t>
            </w:r>
            <w:r>
              <w:rPr>
                <w:rStyle w:val="IndexLink"/>
                <w:rtl w:val="true"/>
              </w:rPr>
              <w:t xml:space="preserve">: </w:t>
            </w:r>
            <w:r>
              <w:rPr>
                <w:rStyle w:val="IndexLink"/>
                <w:rtl w:val="true"/>
              </w:rPr>
              <w:t>استکشاف حال المصداق المشتبه بواسطة عموم الوفاء بالنذر مثلا</w:t>
            </w:r>
            <w:r>
              <w:rPr>
                <w:rStyle w:val="IndexLink"/>
                <w:rtl w:val="true"/>
              </w:rPr>
              <w:tab/>
            </w:r>
            <w:r>
              <w:rPr>
                <w:rStyle w:val="IndexLink"/>
              </w:rPr>
              <w:t>278</w:t>
            </w:r>
          </w:hyperlink>
        </w:p>
        <w:p>
          <w:pPr>
            <w:pStyle w:val="Contents5"/>
            <w:tabs>
              <w:tab w:val="clear" w:pos="7892"/>
              <w:tab w:val="right" w:pos="9026" w:leader="dot"/>
            </w:tabs>
            <w:rPr/>
          </w:pPr>
          <w:hyperlink w:anchor="__RefHeading___Toc559694_3244359995">
            <w:r>
              <w:rPr>
                <w:webHidden/>
                <w:rStyle w:val="IndexLink"/>
                <w:rtl w:val="true"/>
              </w:rPr>
              <w:t>الحادی عشر</w:t>
            </w:r>
            <w:r>
              <w:rPr>
                <w:rStyle w:val="IndexLink"/>
                <w:rtl w:val="true"/>
              </w:rPr>
              <w:t xml:space="preserve">: </w:t>
            </w:r>
            <w:r>
              <w:rPr>
                <w:rStyle w:val="IndexLink"/>
                <w:rtl w:val="true"/>
              </w:rPr>
              <w:t>فی دوران الأمر بین التخصیص و التخصّص</w:t>
            </w:r>
            <w:r>
              <w:rPr>
                <w:rStyle w:val="IndexLink"/>
                <w:rtl w:val="true"/>
              </w:rPr>
              <w:tab/>
            </w:r>
            <w:r>
              <w:rPr>
                <w:rStyle w:val="IndexLink"/>
              </w:rPr>
              <w:t>280</w:t>
            </w:r>
          </w:hyperlink>
        </w:p>
        <w:p>
          <w:pPr>
            <w:pStyle w:val="Contents6"/>
            <w:tabs>
              <w:tab w:val="clear" w:pos="7609"/>
              <w:tab w:val="right" w:pos="9026" w:leader="dot"/>
            </w:tabs>
            <w:rPr/>
          </w:pPr>
          <w:hyperlink w:anchor="__RefHeading___Toc559696_3244359995">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559698_3244359995">
            <w:r>
              <w:rPr>
                <w:webHidden/>
                <w:rStyle w:val="IndexLink"/>
                <w:rtl w:val="true"/>
              </w:rPr>
              <w:t>إیقاظ</w:t>
            </w:r>
            <w:r>
              <w:rPr>
                <w:rStyle w:val="IndexLink"/>
                <w:rtl w:val="true"/>
              </w:rPr>
              <w:t xml:space="preserve">: </w:t>
            </w:r>
            <w:r>
              <w:rPr>
                <w:rStyle w:val="IndexLink"/>
                <w:rtl w:val="true"/>
              </w:rPr>
              <w:t>فی تحریر نزاع دوران الأمر بین التخصیص و التخصّص علی وجه بدیع</w:t>
            </w:r>
            <w:r>
              <w:rPr>
                <w:rStyle w:val="IndexLink"/>
                <w:rtl w:val="true"/>
              </w:rPr>
              <w:tab/>
            </w:r>
            <w:r>
              <w:rPr>
                <w:rStyle w:val="IndexLink"/>
              </w:rPr>
              <w:t>282</w:t>
            </w:r>
          </w:hyperlink>
        </w:p>
        <w:p>
          <w:pPr>
            <w:pStyle w:val="Contents5"/>
            <w:tabs>
              <w:tab w:val="clear" w:pos="7892"/>
              <w:tab w:val="right" w:pos="9026" w:leader="dot"/>
            </w:tabs>
            <w:rPr/>
          </w:pPr>
          <w:hyperlink w:anchor="__RefHeading___Toc559700_3244359995">
            <w:r>
              <w:rPr>
                <w:webHidden/>
                <w:rStyle w:val="IndexLink"/>
                <w:rtl w:val="true"/>
              </w:rPr>
              <w:t>الثانی عشر</w:t>
            </w:r>
            <w:r>
              <w:rPr>
                <w:rStyle w:val="IndexLink"/>
                <w:rtl w:val="true"/>
              </w:rPr>
              <w:t xml:space="preserve">: </w:t>
            </w:r>
            <w:r>
              <w:rPr>
                <w:rStyle w:val="IndexLink"/>
                <w:rtl w:val="true"/>
              </w:rPr>
              <w:t>حول رفع الشبهة المصداقیّة بالأصل المحرز</w:t>
            </w:r>
            <w:r>
              <w:rPr>
                <w:rStyle w:val="IndexLink"/>
                <w:rtl w:val="true"/>
              </w:rPr>
              <w:tab/>
            </w:r>
            <w:r>
              <w:rPr>
                <w:rStyle w:val="IndexLink"/>
              </w:rPr>
              <w:t>283</w:t>
            </w:r>
          </w:hyperlink>
        </w:p>
        <w:p>
          <w:pPr>
            <w:pStyle w:val="Contents3"/>
            <w:tabs>
              <w:tab w:val="clear" w:pos="8459"/>
              <w:tab w:val="right" w:pos="9026" w:leader="dot"/>
            </w:tabs>
            <w:rPr/>
          </w:pPr>
          <w:hyperlink w:anchor="__RefHeading___Toc559702_3244359995">
            <w:r>
              <w:rPr>
                <w:webHidden/>
                <w:rStyle w:val="IndexLink"/>
                <w:rtl w:val="true"/>
              </w:rPr>
              <w:t>المبحث الرابع فی وجوب الفحص عن المخصّص</w:t>
            </w:r>
            <w:r>
              <w:rPr>
                <w:rStyle w:val="IndexLink"/>
                <w:rtl w:val="true"/>
              </w:rPr>
              <w:tab/>
            </w:r>
            <w:r>
              <w:rPr>
                <w:rStyle w:val="IndexLink"/>
              </w:rPr>
              <w:t>284</w:t>
            </w:r>
          </w:hyperlink>
        </w:p>
        <w:p>
          <w:pPr>
            <w:pStyle w:val="Contents4"/>
            <w:tabs>
              <w:tab w:val="clear" w:pos="8176"/>
              <w:tab w:val="right" w:pos="9026" w:leader="dot"/>
            </w:tabs>
            <w:rPr/>
          </w:pPr>
          <w:hyperlink w:anchor="__RefHeading___Toc559704_3244359995">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559706_3244359995">
            <w:r>
              <w:rPr>
                <w:webHidden/>
                <w:rStyle w:val="IndexLink"/>
                <w:rtl w:val="true"/>
              </w:rPr>
              <w:t>وهم و دفع</w:t>
            </w:r>
            <w:r>
              <w:rPr>
                <w:rStyle w:val="IndexLink"/>
                <w:rtl w:val="true"/>
              </w:rPr>
              <w:tab/>
            </w:r>
            <w:r>
              <w:rPr>
                <w:rStyle w:val="IndexLink"/>
              </w:rPr>
              <w:t>286</w:t>
            </w:r>
          </w:hyperlink>
        </w:p>
        <w:p>
          <w:pPr>
            <w:pStyle w:val="Contents4"/>
            <w:tabs>
              <w:tab w:val="clear" w:pos="8176"/>
              <w:tab w:val="right" w:pos="9026" w:leader="dot"/>
            </w:tabs>
            <w:rPr/>
          </w:pPr>
          <w:hyperlink w:anchor="__RefHeading___Toc559708_3244359995">
            <w:r>
              <w:rPr>
                <w:webHidden/>
                <w:rStyle w:val="IndexLink"/>
                <w:rtl w:val="true"/>
              </w:rPr>
              <w:t>وهم آخر و دفع</w:t>
            </w:r>
            <w:r>
              <w:rPr>
                <w:rStyle w:val="IndexLink"/>
                <w:rtl w:val="true"/>
              </w:rPr>
              <w:tab/>
            </w:r>
            <w:r>
              <w:rPr>
                <w:rStyle w:val="IndexLink"/>
              </w:rPr>
              <w:t>286</w:t>
            </w:r>
          </w:hyperlink>
        </w:p>
        <w:p>
          <w:pPr>
            <w:pStyle w:val="Contents4"/>
            <w:tabs>
              <w:tab w:val="clear" w:pos="8176"/>
              <w:tab w:val="right" w:pos="9026" w:leader="dot"/>
            </w:tabs>
            <w:rPr/>
          </w:pPr>
          <w:hyperlink w:anchor="__RefHeading___Toc559710_3244359995">
            <w:r>
              <w:rPr>
                <w:webHidden/>
                <w:rStyle w:val="IndexLink"/>
                <w:rtl w:val="true"/>
              </w:rPr>
              <w:t>وهم ثالث و دفع</w:t>
            </w:r>
            <w:r>
              <w:rPr>
                <w:rStyle w:val="IndexLink"/>
                <w:rtl w:val="true"/>
              </w:rPr>
              <w:tab/>
            </w:r>
            <w:r>
              <w:rPr>
                <w:rStyle w:val="IndexLink"/>
              </w:rPr>
              <w:t>287</w:t>
            </w:r>
          </w:hyperlink>
        </w:p>
        <w:p>
          <w:pPr>
            <w:pStyle w:val="Contents4"/>
            <w:tabs>
              <w:tab w:val="clear" w:pos="8176"/>
              <w:tab w:val="right" w:pos="9026" w:leader="dot"/>
            </w:tabs>
            <w:rPr/>
          </w:pPr>
          <w:hyperlink w:anchor="__RefHeading___Toc559712_3244359995">
            <w:r>
              <w:rPr>
                <w:webHidden/>
                <w:rStyle w:val="IndexLink"/>
                <w:rtl w:val="true"/>
              </w:rPr>
              <w:t>إیقاظ</w:t>
            </w:r>
            <w:r>
              <w:rPr>
                <w:rStyle w:val="IndexLink"/>
                <w:rtl w:val="true"/>
              </w:rPr>
              <w:t xml:space="preserve">: </w:t>
            </w:r>
            <w:r>
              <w:rPr>
                <w:rStyle w:val="IndexLink"/>
                <w:rtl w:val="true"/>
              </w:rPr>
              <w:t>حول تحدید محلّ النزاع فی المقام</w:t>
            </w:r>
            <w:r>
              <w:rPr>
                <w:rStyle w:val="IndexLink"/>
                <w:rtl w:val="true"/>
              </w:rPr>
              <w:tab/>
            </w:r>
            <w:r>
              <w:rPr>
                <w:rStyle w:val="IndexLink"/>
              </w:rPr>
              <w:t>287</w:t>
            </w:r>
          </w:hyperlink>
        </w:p>
        <w:p>
          <w:pPr>
            <w:pStyle w:val="Contents4"/>
            <w:tabs>
              <w:tab w:val="clear" w:pos="8176"/>
              <w:tab w:val="right" w:pos="9026" w:leader="dot"/>
            </w:tabs>
            <w:rPr/>
          </w:pPr>
          <w:hyperlink w:anchor="__RefHeading___Toc559714_3244359995">
            <w:r>
              <w:rPr>
                <w:webHidden/>
                <w:rStyle w:val="IndexLink"/>
                <w:rtl w:val="true"/>
              </w:rPr>
              <w:t>وجه عدم وجوب الفحص</w:t>
            </w:r>
            <w:r>
              <w:rPr>
                <w:rStyle w:val="IndexLink"/>
                <w:rtl w:val="true"/>
              </w:rPr>
              <w:tab/>
            </w:r>
            <w:r>
              <w:rPr>
                <w:rStyle w:val="IndexLink"/>
              </w:rPr>
              <w:t>288</w:t>
            </w:r>
          </w:hyperlink>
        </w:p>
        <w:p>
          <w:pPr>
            <w:pStyle w:val="Contents4"/>
            <w:tabs>
              <w:tab w:val="clear" w:pos="8176"/>
              <w:tab w:val="right" w:pos="9026" w:leader="dot"/>
            </w:tabs>
            <w:rPr/>
          </w:pPr>
          <w:hyperlink w:anchor="__RefHeading___Toc559716_3244359995">
            <w:r>
              <w:rPr>
                <w:webHidden/>
                <w:rStyle w:val="IndexLink"/>
                <w:rtl w:val="true"/>
              </w:rPr>
              <w:t>بقی شی‌ء</w:t>
            </w:r>
            <w:r>
              <w:rPr>
                <w:rStyle w:val="IndexLink"/>
                <w:rtl w:val="true"/>
              </w:rPr>
              <w:t xml:space="preserve">: </w:t>
            </w:r>
            <w:r>
              <w:rPr>
                <w:rStyle w:val="IndexLink"/>
                <w:rtl w:val="true"/>
              </w:rPr>
              <w:t>فی عدم کفایة رجوع المجتهد إلی مجرّد العامّ و الخاصّ</w:t>
            </w:r>
            <w:r>
              <w:rPr>
                <w:rStyle w:val="IndexLink"/>
                <w:rtl w:val="true"/>
              </w:rPr>
              <w:tab/>
            </w:r>
            <w:r>
              <w:rPr>
                <w:rStyle w:val="IndexLink"/>
              </w:rPr>
              <w:t>292</w:t>
            </w:r>
          </w:hyperlink>
        </w:p>
        <w:p>
          <w:pPr>
            <w:pStyle w:val="Contents4"/>
            <w:tabs>
              <w:tab w:val="clear" w:pos="8176"/>
              <w:tab w:val="right" w:pos="9026" w:leader="dot"/>
            </w:tabs>
            <w:rPr/>
          </w:pPr>
          <w:hyperlink w:anchor="__RefHeading___Toc559718_3244359995">
            <w:r>
              <w:rPr>
                <w:webHidden/>
                <w:rStyle w:val="IndexLink"/>
                <w:rtl w:val="true"/>
              </w:rPr>
              <w:t>تتمّة</w:t>
            </w:r>
            <w:r>
              <w:rPr>
                <w:rStyle w:val="IndexLink"/>
                <w:rtl w:val="true"/>
              </w:rPr>
              <w:t xml:space="preserve">: </w:t>
            </w:r>
            <w:r>
              <w:rPr>
                <w:rStyle w:val="IndexLink"/>
                <w:rtl w:val="true"/>
              </w:rPr>
              <w:t>فی لزوم مراجعة أخبار العامّة و فتاواهم</w:t>
            </w:r>
            <w:r>
              <w:rPr>
                <w:rStyle w:val="IndexLink"/>
                <w:rtl w:val="true"/>
              </w:rPr>
              <w:tab/>
            </w:r>
            <w:r>
              <w:rPr>
                <w:rStyle w:val="IndexLink"/>
              </w:rPr>
              <w:t>293</w:t>
            </w:r>
          </w:hyperlink>
        </w:p>
        <w:p>
          <w:pPr>
            <w:pStyle w:val="Contents4"/>
            <w:tabs>
              <w:tab w:val="clear" w:pos="8176"/>
              <w:tab w:val="right" w:pos="9026" w:leader="dot"/>
            </w:tabs>
            <w:rPr/>
          </w:pPr>
          <w:hyperlink w:anchor="__RefHeading___Toc559720_3244359995">
            <w:r>
              <w:rPr>
                <w:webHidden/>
                <w:rStyle w:val="IndexLink"/>
                <w:rtl w:val="true"/>
              </w:rPr>
              <w:t>وجوه أخر علی وجوب الفحص</w:t>
            </w:r>
            <w:r>
              <w:rPr>
                <w:rStyle w:val="IndexLink"/>
                <w:rtl w:val="true"/>
              </w:rPr>
              <w:tab/>
            </w:r>
            <w:r>
              <w:rPr>
                <w:rStyle w:val="IndexLink"/>
              </w:rPr>
              <w:t>294</w:t>
            </w:r>
          </w:hyperlink>
        </w:p>
        <w:p>
          <w:pPr>
            <w:pStyle w:val="Contents4"/>
            <w:tabs>
              <w:tab w:val="clear" w:pos="8176"/>
              <w:tab w:val="right" w:pos="9026" w:leader="dot"/>
            </w:tabs>
            <w:rPr/>
          </w:pPr>
          <w:hyperlink w:anchor="__RefHeading___Toc559722_3244359995">
            <w:r>
              <w:rPr>
                <w:webHidden/>
                <w:rStyle w:val="IndexLink"/>
                <w:rtl w:val="true"/>
              </w:rPr>
              <w:t>إشکال و حلّ</w:t>
            </w:r>
            <w:r>
              <w:rPr>
                <w:rStyle w:val="IndexLink"/>
                <w:rtl w:val="true"/>
              </w:rPr>
              <w:tab/>
            </w:r>
            <w:r>
              <w:rPr>
                <w:rStyle w:val="IndexLink"/>
              </w:rPr>
              <w:t>299</w:t>
            </w:r>
          </w:hyperlink>
        </w:p>
        <w:p>
          <w:pPr>
            <w:pStyle w:val="Contents4"/>
            <w:tabs>
              <w:tab w:val="clear" w:pos="8176"/>
              <w:tab w:val="right" w:pos="9026" w:leader="dot"/>
            </w:tabs>
            <w:rPr/>
          </w:pPr>
          <w:hyperlink w:anchor="__RefHeading___Toc559724_3244359995">
            <w:r>
              <w:rPr>
                <w:webHidden/>
                <w:rStyle w:val="IndexLink"/>
                <w:rtl w:val="true"/>
              </w:rPr>
              <w:t>إشکال و دفع</w:t>
            </w:r>
            <w:r>
              <w:rPr>
                <w:rStyle w:val="IndexLink"/>
                <w:rtl w:val="true"/>
              </w:rPr>
              <w:tab/>
            </w:r>
            <w:r>
              <w:rPr>
                <w:rStyle w:val="IndexLink"/>
              </w:rPr>
              <w:t>300</w:t>
            </w:r>
          </w:hyperlink>
        </w:p>
        <w:p>
          <w:pPr>
            <w:pStyle w:val="Contents4"/>
            <w:tabs>
              <w:tab w:val="clear" w:pos="8176"/>
              <w:tab w:val="right" w:pos="9026" w:leader="dot"/>
            </w:tabs>
            <w:rPr/>
          </w:pPr>
          <w:hyperlink w:anchor="__RefHeading___Toc559726_3244359995">
            <w:r>
              <w:rPr>
                <w:webHidden/>
                <w:rStyle w:val="IndexLink"/>
                <w:rtl w:val="true"/>
              </w:rPr>
              <w:t>تتمیم البحث</w:t>
            </w:r>
            <w:r>
              <w:rPr>
                <w:rStyle w:val="IndexLink"/>
                <w:rtl w:val="true"/>
              </w:rPr>
              <w:t xml:space="preserve">: </w:t>
            </w:r>
            <w:r>
              <w:rPr>
                <w:rStyle w:val="IndexLink"/>
                <w:rtl w:val="true"/>
              </w:rPr>
              <w:t>حول العلم الإجمالیّ بوجود المخصّصات</w:t>
            </w:r>
            <w:r>
              <w:rPr>
                <w:rStyle w:val="IndexLink"/>
                <w:rtl w:val="true"/>
              </w:rPr>
              <w:tab/>
            </w:r>
            <w:r>
              <w:rPr>
                <w:rStyle w:val="IndexLink"/>
              </w:rPr>
              <w:t>301</w:t>
            </w:r>
          </w:hyperlink>
        </w:p>
        <w:p>
          <w:pPr>
            <w:pStyle w:val="Contents4"/>
            <w:tabs>
              <w:tab w:val="clear" w:pos="8176"/>
              <w:tab w:val="right" w:pos="9026" w:leader="dot"/>
            </w:tabs>
            <w:rPr/>
          </w:pPr>
          <w:hyperlink w:anchor="__RefHeading___Toc559728_3244359995">
            <w:r>
              <w:rPr>
                <w:webHidden/>
                <w:rStyle w:val="IndexLink"/>
                <w:rtl w:val="true"/>
              </w:rPr>
              <w:t>تذییل</w:t>
            </w:r>
            <w:r>
              <w:rPr>
                <w:rStyle w:val="IndexLink"/>
                <w:rtl w:val="true"/>
              </w:rPr>
              <w:t xml:space="preserve">: </w:t>
            </w:r>
            <w:r>
              <w:rPr>
                <w:rStyle w:val="IndexLink"/>
                <w:rtl w:val="true"/>
              </w:rPr>
              <w:t>فی مقدار الفحص</w:t>
            </w:r>
            <w:r>
              <w:rPr>
                <w:rStyle w:val="IndexLink"/>
                <w:rtl w:val="true"/>
              </w:rPr>
              <w:tab/>
            </w:r>
            <w:r>
              <w:rPr>
                <w:rStyle w:val="IndexLink"/>
              </w:rPr>
              <w:t>303</w:t>
            </w:r>
          </w:hyperlink>
        </w:p>
        <w:p>
          <w:pPr>
            <w:pStyle w:val="Contents3"/>
            <w:tabs>
              <w:tab w:val="clear" w:pos="8459"/>
              <w:tab w:val="right" w:pos="9026" w:leader="dot"/>
            </w:tabs>
            <w:rPr/>
          </w:pPr>
          <w:hyperlink w:anchor="__RefHeading___Toc559730_3244359995">
            <w:r>
              <w:rPr>
                <w:webHidden/>
                <w:rStyle w:val="IndexLink"/>
                <w:rtl w:val="true"/>
              </w:rPr>
              <w:t>المبحث الخامس فی أنّ القوانین الإلهیّة الموجودة فی الکتاب و السنّة تختصّ بالحاضرین، أم هی أعمّ</w:t>
            </w:r>
            <w:r>
              <w:rPr>
                <w:rStyle w:val="IndexLink"/>
                <w:rtl w:val="true"/>
              </w:rPr>
              <w:tab/>
            </w:r>
            <w:r>
              <w:rPr>
                <w:rStyle w:val="IndexLink"/>
              </w:rPr>
              <w:t>305</w:t>
            </w:r>
          </w:hyperlink>
        </w:p>
        <w:p>
          <w:pPr>
            <w:pStyle w:val="Contents4"/>
            <w:tabs>
              <w:tab w:val="clear" w:pos="8176"/>
              <w:tab w:val="right" w:pos="9026" w:leader="dot"/>
            </w:tabs>
            <w:rPr/>
          </w:pPr>
          <w:hyperlink w:anchor="__RefHeading___Toc559732_3244359995">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559734_3244359995">
            <w:r>
              <w:rPr>
                <w:webHidden/>
                <w:rStyle w:val="IndexLink"/>
                <w:rtl w:val="true"/>
              </w:rPr>
              <w:t>شبهات اختصاص الخطابات</w:t>
            </w:r>
            <w:r>
              <w:rPr>
                <w:rStyle w:val="IndexLink"/>
                <w:rtl w:val="true"/>
              </w:rPr>
              <w:tab/>
            </w:r>
            <w:r>
              <w:rPr>
                <w:rStyle w:val="IndexLink"/>
              </w:rPr>
              <w:t>308</w:t>
            </w:r>
          </w:hyperlink>
        </w:p>
        <w:p>
          <w:pPr>
            <w:pStyle w:val="Contents5"/>
            <w:tabs>
              <w:tab w:val="clear" w:pos="7892"/>
              <w:tab w:val="right" w:pos="9026" w:leader="dot"/>
            </w:tabs>
            <w:rPr/>
          </w:pPr>
          <w:hyperlink w:anchor="__RefHeading___Toc559736_3244359995">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559738_3244359995">
            <w:r>
              <w:rPr>
                <w:webHidden/>
                <w:rStyle w:val="IndexLink"/>
                <w:rtl w:val="true"/>
              </w:rPr>
              <w:t>الشبهة الأولی</w:t>
            </w:r>
            <w:r>
              <w:rPr>
                <w:rStyle w:val="IndexLink"/>
                <w:rtl w:val="true"/>
              </w:rPr>
              <w:t>:</w:t>
              <w:tab/>
            </w:r>
            <w:r>
              <w:rPr>
                <w:rStyle w:val="IndexLink"/>
              </w:rPr>
              <w:t>308</w:t>
            </w:r>
          </w:hyperlink>
        </w:p>
        <w:p>
          <w:pPr>
            <w:pStyle w:val="Contents5"/>
            <w:tabs>
              <w:tab w:val="clear" w:pos="7892"/>
              <w:tab w:val="right" w:pos="9026" w:leader="dot"/>
            </w:tabs>
            <w:rPr/>
          </w:pPr>
          <w:hyperlink w:anchor="__RefHeading___Toc559740_3244359995">
            <w:r>
              <w:rPr>
                <w:webHidden/>
                <w:rStyle w:val="IndexLink"/>
                <w:rtl w:val="true"/>
              </w:rPr>
              <w:t>الشبهة الثالثة</w:t>
            </w:r>
            <w:r>
              <w:rPr>
                <w:rStyle w:val="IndexLink"/>
                <w:rtl w:val="true"/>
              </w:rPr>
              <w:t>:</w:t>
              <w:tab/>
            </w:r>
            <w:r>
              <w:rPr>
                <w:rStyle w:val="IndexLink"/>
              </w:rPr>
              <w:t>318</w:t>
            </w:r>
          </w:hyperlink>
        </w:p>
        <w:p>
          <w:pPr>
            <w:pStyle w:val="Contents5"/>
            <w:tabs>
              <w:tab w:val="clear" w:pos="7892"/>
              <w:tab w:val="right" w:pos="9026" w:leader="dot"/>
            </w:tabs>
            <w:rPr/>
          </w:pPr>
          <w:hyperlink w:anchor="__RefHeading___Toc559742_3244359995">
            <w:r>
              <w:rPr>
                <w:webHidden/>
                <w:rStyle w:val="IndexLink"/>
                <w:rtl w:val="true"/>
              </w:rPr>
              <w:t>الشبهة الرابعة</w:t>
            </w:r>
            <w:r>
              <w:rPr>
                <w:rStyle w:val="IndexLink"/>
                <w:rtl w:val="true"/>
              </w:rPr>
              <w:t>:</w:t>
              <w:tab/>
            </w:r>
            <w:r>
              <w:rPr>
                <w:rStyle w:val="IndexLink"/>
              </w:rPr>
              <w:t>319</w:t>
            </w:r>
          </w:hyperlink>
        </w:p>
        <w:p>
          <w:pPr>
            <w:pStyle w:val="Contents6"/>
            <w:tabs>
              <w:tab w:val="clear" w:pos="7609"/>
              <w:tab w:val="right" w:pos="9026" w:leader="dot"/>
            </w:tabs>
            <w:rPr/>
          </w:pPr>
          <w:hyperlink w:anchor="__RefHeading___Toc559744_3244359995">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559746_3244359995">
            <w:r>
              <w:rPr>
                <w:webHidden/>
                <w:rStyle w:val="IndexLink"/>
                <w:rtl w:val="true"/>
              </w:rPr>
              <w:t>تذنیب فی تکلیف الکفّار بالفروع و عدمه</w:t>
            </w:r>
            <w:r>
              <w:rPr>
                <w:rStyle w:val="IndexLink"/>
                <w:rtl w:val="true"/>
              </w:rPr>
              <w:tab/>
            </w:r>
            <w:r>
              <w:rPr>
                <w:rStyle w:val="IndexLink"/>
              </w:rPr>
              <w:t>320</w:t>
            </w:r>
          </w:hyperlink>
        </w:p>
        <w:p>
          <w:pPr>
            <w:pStyle w:val="Contents6"/>
            <w:tabs>
              <w:tab w:val="clear" w:pos="7609"/>
              <w:tab w:val="right" w:pos="9026" w:leader="dot"/>
            </w:tabs>
            <w:rPr/>
          </w:pPr>
          <w:hyperlink w:anchor="__RefHeading___Toc559748_3244359995">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559750_3244359995">
            <w:r>
              <w:rPr>
                <w:webHidden/>
                <w:rStyle w:val="IndexLink"/>
                <w:rtl w:val="true"/>
              </w:rPr>
              <w:t>الوجوه التی یمکن التمسّک بها فی المقام</w:t>
            </w:r>
            <w:r>
              <w:rPr>
                <w:rStyle w:val="IndexLink"/>
                <w:rtl w:val="true"/>
              </w:rPr>
              <w:tab/>
            </w:r>
            <w:r>
              <w:rPr>
                <w:rStyle w:val="IndexLink"/>
              </w:rPr>
              <w:t>320</w:t>
            </w:r>
          </w:hyperlink>
        </w:p>
        <w:p>
          <w:pPr>
            <w:pStyle w:val="Contents6"/>
            <w:tabs>
              <w:tab w:val="clear" w:pos="7609"/>
              <w:tab w:val="right" w:pos="9026" w:leader="dot"/>
            </w:tabs>
            <w:rPr/>
          </w:pPr>
          <w:hyperlink w:anchor="__RefHeading___Toc559752_3244359995">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559754_3244359995">
            <w:r>
              <w:rPr>
                <w:webHidden/>
                <w:rStyle w:val="IndexLink"/>
                <w:rtl w:val="true"/>
              </w:rPr>
              <w:t>الوجه الأوّل</w:t>
            </w:r>
            <w:r>
              <w:rPr>
                <w:rStyle w:val="IndexLink"/>
                <w:rtl w:val="true"/>
              </w:rPr>
              <w:t>:</w:t>
              <w:tab/>
            </w:r>
            <w:r>
              <w:rPr>
                <w:rStyle w:val="IndexLink"/>
              </w:rPr>
              <w:t>320</w:t>
            </w:r>
          </w:hyperlink>
        </w:p>
        <w:p>
          <w:pPr>
            <w:pStyle w:val="Contents6"/>
            <w:tabs>
              <w:tab w:val="clear" w:pos="7609"/>
              <w:tab w:val="right" w:pos="9026" w:leader="dot"/>
            </w:tabs>
            <w:rPr/>
          </w:pPr>
          <w:hyperlink w:anchor="__RefHeading___Toc559756_3244359995">
            <w:r>
              <w:rPr>
                <w:webHidden/>
                <w:rStyle w:val="IndexLink"/>
                <w:rtl w:val="true"/>
              </w:rPr>
              <w:t>الوجه الثانی</w:t>
            </w:r>
            <w:r>
              <w:rPr>
                <w:rStyle w:val="IndexLink"/>
                <w:rtl w:val="true"/>
              </w:rPr>
              <w:t>:</w:t>
              <w:tab/>
            </w:r>
            <w:r>
              <w:rPr>
                <w:rStyle w:val="IndexLink"/>
              </w:rPr>
              <w:t>326</w:t>
            </w:r>
          </w:hyperlink>
        </w:p>
        <w:p>
          <w:pPr>
            <w:pStyle w:val="Contents6"/>
            <w:tabs>
              <w:tab w:val="clear" w:pos="7609"/>
              <w:tab w:val="right" w:pos="9026" w:leader="dot"/>
            </w:tabs>
            <w:rPr/>
          </w:pPr>
          <w:hyperlink w:anchor="__RefHeading___Toc559758_3244359995">
            <w:r>
              <w:rPr>
                <w:webHidden/>
                <w:rStyle w:val="IndexLink"/>
                <w:rtl w:val="true"/>
              </w:rPr>
              <w:t>الوجه الثالث</w:t>
            </w:r>
            <w:r>
              <w:rPr>
                <w:rStyle w:val="IndexLink"/>
                <w:rtl w:val="true"/>
              </w:rPr>
              <w:t>:</w:t>
              <w:tab/>
            </w:r>
            <w:r>
              <w:rPr>
                <w:rStyle w:val="IndexLink"/>
              </w:rPr>
              <w:t>328</w:t>
            </w:r>
          </w:hyperlink>
        </w:p>
        <w:p>
          <w:pPr>
            <w:pStyle w:val="Contents6"/>
            <w:tabs>
              <w:tab w:val="clear" w:pos="7609"/>
              <w:tab w:val="right" w:pos="9026" w:leader="dot"/>
            </w:tabs>
            <w:rPr/>
          </w:pPr>
          <w:hyperlink w:anchor="__RefHeading___Toc559760_3244359995">
            <w:r>
              <w:rPr>
                <w:webHidden/>
                <w:rStyle w:val="IndexLink"/>
                <w:rtl w:val="true"/>
              </w:rPr>
              <w:t>الوجه الرابع</w:t>
            </w:r>
            <w:r>
              <w:rPr>
                <w:rStyle w:val="IndexLink"/>
                <w:rtl w:val="true"/>
              </w:rPr>
              <w:t>:</w:t>
              <w:tab/>
            </w:r>
            <w:r>
              <w:rPr>
                <w:rStyle w:val="IndexLink"/>
              </w:rPr>
              <w:t>329</w:t>
            </w:r>
          </w:hyperlink>
        </w:p>
        <w:p>
          <w:pPr>
            <w:pStyle w:val="Contents6"/>
            <w:tabs>
              <w:tab w:val="clear" w:pos="7609"/>
              <w:tab w:val="right" w:pos="9026" w:leader="dot"/>
            </w:tabs>
            <w:rPr/>
          </w:pPr>
          <w:hyperlink w:anchor="__RefHeading___Toc559762_3244359995">
            <w:r>
              <w:rPr>
                <w:webHidden/>
                <w:rStyle w:val="IndexLink"/>
                <w:rtl w:val="true"/>
              </w:rPr>
              <w:t>الوجه الخامس</w:t>
            </w:r>
            <w:r>
              <w:rPr>
                <w:rStyle w:val="IndexLink"/>
                <w:rtl w:val="true"/>
              </w:rPr>
              <w:t>:</w:t>
              <w:tab/>
            </w:r>
            <w:r>
              <w:rPr>
                <w:rStyle w:val="IndexLink"/>
              </w:rPr>
              <w:t>332</w:t>
            </w:r>
          </w:hyperlink>
        </w:p>
        <w:p>
          <w:pPr>
            <w:pStyle w:val="Contents6"/>
            <w:tabs>
              <w:tab w:val="clear" w:pos="7609"/>
              <w:tab w:val="right" w:pos="9026" w:leader="dot"/>
            </w:tabs>
            <w:rPr/>
          </w:pPr>
          <w:hyperlink w:anchor="__RefHeading___Toc559764_3244359995">
            <w:r>
              <w:rPr>
                <w:webHidden/>
                <w:rStyle w:val="IndexLink"/>
                <w:rtl w:val="true"/>
              </w:rPr>
              <w:t>الوجه السادس</w:t>
            </w:r>
            <w:r>
              <w:rPr>
                <w:rStyle w:val="IndexLink"/>
                <w:rtl w:val="true"/>
              </w:rPr>
              <w:t>:</w:t>
              <w:tab/>
            </w:r>
            <w:r>
              <w:rPr>
                <w:rStyle w:val="IndexLink"/>
              </w:rPr>
              <w:t>333</w:t>
            </w:r>
          </w:hyperlink>
        </w:p>
        <w:p>
          <w:pPr>
            <w:pStyle w:val="Contents6"/>
            <w:tabs>
              <w:tab w:val="clear" w:pos="7609"/>
              <w:tab w:val="right" w:pos="9026" w:leader="dot"/>
            </w:tabs>
            <w:rPr/>
          </w:pPr>
          <w:hyperlink w:anchor="__RefHeading___Toc559766_3244359995">
            <w:r>
              <w:rPr>
                <w:webHidden/>
                <w:rStyle w:val="IndexLink"/>
                <w:rtl w:val="true"/>
              </w:rPr>
              <w:t>الوجه السابع</w:t>
            </w:r>
            <w:r>
              <w:rPr>
                <w:rStyle w:val="IndexLink"/>
                <w:rtl w:val="true"/>
              </w:rPr>
              <w:t>:</w:t>
              <w:tab/>
            </w:r>
            <w:r>
              <w:rPr>
                <w:rStyle w:val="IndexLink"/>
              </w:rPr>
              <w:t>334</w:t>
            </w:r>
          </w:hyperlink>
        </w:p>
        <w:p>
          <w:pPr>
            <w:pStyle w:val="Contents6"/>
            <w:tabs>
              <w:tab w:val="clear" w:pos="7609"/>
              <w:tab w:val="right" w:pos="9026" w:leader="dot"/>
            </w:tabs>
            <w:rPr/>
          </w:pPr>
          <w:hyperlink w:anchor="__RefHeading___Toc559768_3244359995">
            <w:r>
              <w:rPr>
                <w:webHidden/>
                <w:rStyle w:val="IndexLink"/>
                <w:rtl w:val="true"/>
              </w:rPr>
              <w:t>تذنیب</w:t>
            </w:r>
            <w:r>
              <w:rPr>
                <w:rStyle w:val="IndexLink"/>
                <w:rtl w:val="true"/>
              </w:rPr>
              <w:t xml:space="preserve">: </w:t>
            </w:r>
            <w:r>
              <w:rPr>
                <w:rStyle w:val="IndexLink"/>
                <w:rtl w:val="true"/>
              </w:rPr>
              <w:t>فی تتمیم الاستدلال علی تکلیف الکفّار</w:t>
            </w:r>
            <w:r>
              <w:rPr>
                <w:rStyle w:val="IndexLink"/>
                <w:rtl w:val="true"/>
              </w:rPr>
              <w:tab/>
            </w:r>
            <w:r>
              <w:rPr>
                <w:rStyle w:val="IndexLink"/>
              </w:rPr>
              <w:t>337</w:t>
            </w:r>
          </w:hyperlink>
        </w:p>
        <w:p>
          <w:pPr>
            <w:pStyle w:val="Contents5"/>
            <w:tabs>
              <w:tab w:val="clear" w:pos="7892"/>
              <w:tab w:val="right" w:pos="9026" w:leader="dot"/>
            </w:tabs>
            <w:rPr/>
          </w:pPr>
          <w:hyperlink w:anchor="__RefHeading___Toc559770_3244359995">
            <w:r>
              <w:rPr>
                <w:webHidden/>
                <w:rStyle w:val="IndexLink"/>
                <w:rtl w:val="true"/>
              </w:rPr>
              <w:t>الشبهة الخامسة</w:t>
            </w:r>
            <w:r>
              <w:rPr>
                <w:rStyle w:val="IndexLink"/>
                <w:rtl w:val="true"/>
              </w:rPr>
              <w:t>:</w:t>
              <w:tab/>
            </w:r>
            <w:r>
              <w:rPr>
                <w:rStyle w:val="IndexLink"/>
              </w:rPr>
              <w:t>339</w:t>
            </w:r>
          </w:hyperlink>
        </w:p>
        <w:p>
          <w:pPr>
            <w:pStyle w:val="Contents5"/>
            <w:tabs>
              <w:tab w:val="clear" w:pos="7892"/>
              <w:tab w:val="right" w:pos="9026" w:leader="dot"/>
            </w:tabs>
            <w:rPr/>
          </w:pPr>
          <w:hyperlink w:anchor="__RefHeading___Toc559772_3244359995">
            <w:r>
              <w:rPr>
                <w:webHidden/>
                <w:rStyle w:val="IndexLink"/>
                <w:rtl w:val="true"/>
              </w:rPr>
              <w:t>الشبهة السادسة</w:t>
            </w:r>
            <w:r>
              <w:rPr>
                <w:rStyle w:val="IndexLink"/>
                <w:rtl w:val="true"/>
              </w:rPr>
              <w:t>:</w:t>
              <w:tab/>
            </w:r>
            <w:r>
              <w:rPr>
                <w:rStyle w:val="IndexLink"/>
              </w:rPr>
              <w:t>340</w:t>
            </w:r>
          </w:hyperlink>
        </w:p>
        <w:p>
          <w:pPr>
            <w:pStyle w:val="Contents4"/>
            <w:tabs>
              <w:tab w:val="clear" w:pos="8176"/>
              <w:tab w:val="right" w:pos="9026" w:leader="dot"/>
            </w:tabs>
            <w:rPr/>
          </w:pPr>
          <w:hyperlink w:anchor="__RefHeading___Toc559774_3244359995">
            <w:r>
              <w:rPr>
                <w:webHidden/>
                <w:rStyle w:val="IndexLink"/>
                <w:rtl w:val="true"/>
              </w:rPr>
              <w:t>تتمیم</w:t>
            </w:r>
            <w:r>
              <w:rPr>
                <w:rStyle w:val="IndexLink"/>
                <w:rtl w:val="true"/>
              </w:rPr>
              <w:t xml:space="preserve">: </w:t>
            </w:r>
            <w:r>
              <w:rPr>
                <w:rStyle w:val="IndexLink"/>
                <w:rtl w:val="true"/>
              </w:rPr>
              <w:t>حول إثبات عموم التکالیف بإلغاء قید الحضور فی عصر الخطاب</w:t>
            </w:r>
            <w:r>
              <w:rPr>
                <w:rStyle w:val="IndexLink"/>
                <w:rtl w:val="true"/>
              </w:rPr>
              <w:tab/>
            </w:r>
            <w:r>
              <w:rPr>
                <w:rStyle w:val="IndexLink"/>
              </w:rPr>
              <w:t>342</w:t>
            </w:r>
          </w:hyperlink>
        </w:p>
        <w:p>
          <w:pPr>
            <w:pStyle w:val="Contents4"/>
            <w:tabs>
              <w:tab w:val="clear" w:pos="8176"/>
              <w:tab w:val="right" w:pos="9026" w:leader="dot"/>
            </w:tabs>
            <w:rPr/>
          </w:pPr>
          <w:hyperlink w:anchor="__RefHeading___Toc559776_3244359995">
            <w:r>
              <w:rPr>
                <w:webHidden/>
                <w:rStyle w:val="IndexLink"/>
                <w:rtl w:val="true"/>
              </w:rPr>
              <w:t>خاتمة الکلام فی ثمرات مسألة عموم الخطابات</w:t>
            </w:r>
            <w:r>
              <w:rPr>
                <w:rStyle w:val="IndexLink"/>
                <w:rtl w:val="true"/>
              </w:rPr>
              <w:tab/>
            </w:r>
            <w:r>
              <w:rPr>
                <w:rStyle w:val="IndexLink"/>
              </w:rPr>
              <w:t>344</w:t>
            </w:r>
          </w:hyperlink>
        </w:p>
        <w:p>
          <w:pPr>
            <w:pStyle w:val="Contents3"/>
            <w:tabs>
              <w:tab w:val="clear" w:pos="8459"/>
              <w:tab w:val="right" w:pos="9026" w:leader="dot"/>
            </w:tabs>
            <w:rPr/>
          </w:pPr>
          <w:hyperlink w:anchor="__RefHeading___Toc559778_3244359995">
            <w:r>
              <w:rPr>
                <w:webHidden/>
                <w:rStyle w:val="IndexLink"/>
                <w:rtl w:val="true"/>
              </w:rPr>
              <w:t>المبحث السادس فی اقتران العامّ بما یصلح للقرینیّة</w:t>
            </w:r>
            <w:r>
              <w:rPr>
                <w:rStyle w:val="IndexLink"/>
                <w:rtl w:val="true"/>
              </w:rPr>
              <w:tab/>
            </w:r>
            <w:r>
              <w:rPr>
                <w:rStyle w:val="IndexLink"/>
              </w:rPr>
              <w:t>348</w:t>
            </w:r>
          </w:hyperlink>
        </w:p>
        <w:p>
          <w:pPr>
            <w:pStyle w:val="Contents4"/>
            <w:tabs>
              <w:tab w:val="clear" w:pos="8176"/>
              <w:tab w:val="right" w:pos="9026" w:leader="dot"/>
            </w:tabs>
            <w:rPr/>
          </w:pPr>
          <w:hyperlink w:anchor="__RefHeading___Toc559780_3244359995">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559782_3244359995">
            <w:r>
              <w:rPr>
                <w:webHidden/>
                <w:rStyle w:val="IndexLink"/>
                <w:rtl w:val="true"/>
              </w:rPr>
              <w:t>الجهة الأولی</w:t>
            </w:r>
            <w:r>
              <w:rPr>
                <w:rStyle w:val="IndexLink"/>
                <w:rtl w:val="true"/>
              </w:rPr>
              <w:t xml:space="preserve">: </w:t>
            </w:r>
            <w:r>
              <w:rPr>
                <w:rStyle w:val="IndexLink"/>
                <w:rtl w:val="true"/>
              </w:rPr>
              <w:t>فی کبری المسألة</w:t>
            </w:r>
            <w:r>
              <w:rPr>
                <w:rStyle w:val="IndexLink"/>
                <w:rtl w:val="true"/>
              </w:rPr>
              <w:tab/>
            </w:r>
            <w:r>
              <w:rPr>
                <w:rStyle w:val="IndexLink"/>
              </w:rPr>
              <w:t>351</w:t>
            </w:r>
          </w:hyperlink>
        </w:p>
        <w:p>
          <w:pPr>
            <w:pStyle w:val="Contents4"/>
            <w:tabs>
              <w:tab w:val="clear" w:pos="8176"/>
              <w:tab w:val="right" w:pos="9026" w:leader="dot"/>
            </w:tabs>
            <w:rPr/>
          </w:pPr>
          <w:hyperlink w:anchor="__RefHeading___Toc559784_3244359995">
            <w:r>
              <w:rPr>
                <w:webHidden/>
                <w:rStyle w:val="IndexLink"/>
                <w:rtl w:val="true"/>
              </w:rPr>
              <w:t>الجهة الثانیة</w:t>
            </w:r>
            <w:r>
              <w:rPr>
                <w:rStyle w:val="IndexLink"/>
                <w:rtl w:val="true"/>
              </w:rPr>
              <w:t xml:space="preserve">: </w:t>
            </w:r>
            <w:r>
              <w:rPr>
                <w:rStyle w:val="IndexLink"/>
                <w:rtl w:val="true"/>
              </w:rPr>
              <w:t>فی صغری المسألة</w:t>
            </w:r>
            <w:r>
              <w:rPr>
                <w:rStyle w:val="IndexLink"/>
                <w:rtl w:val="true"/>
              </w:rPr>
              <w:tab/>
            </w:r>
            <w:r>
              <w:rPr>
                <w:rStyle w:val="IndexLink"/>
              </w:rPr>
              <w:t>352</w:t>
            </w:r>
          </w:hyperlink>
        </w:p>
        <w:p>
          <w:pPr>
            <w:pStyle w:val="Contents5"/>
            <w:tabs>
              <w:tab w:val="clear" w:pos="7892"/>
              <w:tab w:val="right" w:pos="9026" w:leader="dot"/>
            </w:tabs>
            <w:rPr/>
          </w:pPr>
          <w:hyperlink w:anchor="__RefHeading___Toc559786_3244359995">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559788_3244359995">
            <w:r>
              <w:rPr>
                <w:webHidden/>
                <w:rStyle w:val="IndexLink"/>
                <w:rtl w:val="true"/>
              </w:rPr>
              <w:t>حکم الجمل المتعدّدة المتعقّبة بالاستثناء</w:t>
            </w:r>
            <w:r>
              <w:rPr>
                <w:rStyle w:val="IndexLink"/>
                <w:rtl w:val="true"/>
              </w:rPr>
              <w:tab/>
            </w:r>
            <w:r>
              <w:rPr>
                <w:rStyle w:val="IndexLink"/>
              </w:rPr>
              <w:t>353</w:t>
            </w:r>
          </w:hyperlink>
        </w:p>
        <w:p>
          <w:pPr>
            <w:pStyle w:val="Contents5"/>
            <w:tabs>
              <w:tab w:val="clear" w:pos="7892"/>
              <w:tab w:val="right" w:pos="9026" w:leader="dot"/>
            </w:tabs>
            <w:rPr/>
          </w:pPr>
          <w:hyperlink w:anchor="__RefHeading___Toc559790_3244359995">
            <w:r>
              <w:rPr>
                <w:webHidden/>
                <w:rStyle w:val="IndexLink"/>
                <w:rtl w:val="true"/>
              </w:rPr>
              <w:t>بقی شی‌ء</w:t>
            </w:r>
            <w:r>
              <w:rPr>
                <w:rStyle w:val="IndexLink"/>
                <w:rtl w:val="true"/>
              </w:rPr>
              <w:t xml:space="preserve">: </w:t>
            </w:r>
            <w:r>
              <w:rPr>
                <w:rStyle w:val="IndexLink"/>
                <w:rtl w:val="true"/>
              </w:rPr>
              <w:t>إرجاع الاستثناء إلی خصوص الأخیرة لا یضرّ بسائر العمومات</w:t>
            </w:r>
            <w:r>
              <w:rPr>
                <w:rStyle w:val="IndexLink"/>
                <w:rtl w:val="true"/>
              </w:rPr>
              <w:tab/>
            </w:r>
            <w:r>
              <w:rPr>
                <w:rStyle w:val="IndexLink"/>
              </w:rPr>
              <w:t>357</w:t>
            </w:r>
          </w:hyperlink>
        </w:p>
        <w:p>
          <w:pPr>
            <w:pStyle w:val="Contents5"/>
            <w:tabs>
              <w:tab w:val="clear" w:pos="7892"/>
              <w:tab w:val="right" w:pos="9026" w:leader="dot"/>
            </w:tabs>
            <w:rPr/>
          </w:pPr>
          <w:hyperlink w:anchor="__RefHeading___Toc559792_3244359995">
            <w:r>
              <w:rPr>
                <w:webHidden/>
                <w:rStyle w:val="IndexLink"/>
                <w:rtl w:val="true"/>
              </w:rPr>
              <w:t>تذنیب</w:t>
            </w:r>
            <w:r>
              <w:rPr>
                <w:rStyle w:val="IndexLink"/>
                <w:rtl w:val="true"/>
              </w:rPr>
              <w:t xml:space="preserve">: </w:t>
            </w:r>
            <w:r>
              <w:rPr>
                <w:rStyle w:val="IndexLink"/>
                <w:rtl w:val="true"/>
              </w:rPr>
              <w:t>فی حکم الشکّ فی رجوع الاستثناء إلی الأخیرة</w:t>
            </w:r>
            <w:r>
              <w:rPr>
                <w:rStyle w:val="IndexLink"/>
                <w:rtl w:val="true"/>
              </w:rPr>
              <w:tab/>
            </w:r>
            <w:r>
              <w:rPr>
                <w:rStyle w:val="IndexLink"/>
              </w:rPr>
              <w:t>359</w:t>
            </w:r>
          </w:hyperlink>
        </w:p>
        <w:p>
          <w:pPr>
            <w:pStyle w:val="Contents5"/>
            <w:tabs>
              <w:tab w:val="clear" w:pos="7892"/>
              <w:tab w:val="right" w:pos="9026" w:leader="dot"/>
            </w:tabs>
            <w:rPr/>
          </w:pPr>
          <w:hyperlink w:anchor="__RefHeading___Toc559794_3244359995">
            <w:r>
              <w:rPr>
                <w:webHidden/>
                <w:rStyle w:val="IndexLink"/>
                <w:rtl w:val="true"/>
              </w:rPr>
              <w:t>تنبیه</w:t>
            </w:r>
            <w:r>
              <w:rPr>
                <w:rStyle w:val="IndexLink"/>
                <w:rtl w:val="true"/>
              </w:rPr>
              <w:t xml:space="preserve">: </w:t>
            </w:r>
            <w:r>
              <w:rPr>
                <w:rStyle w:val="IndexLink"/>
                <w:rtl w:val="true"/>
              </w:rPr>
              <w:t>فی أنّ النزاع أعمّ من التعقّب بالاستثناء</w:t>
            </w:r>
            <w:r>
              <w:rPr>
                <w:rStyle w:val="IndexLink"/>
                <w:rtl w:val="true"/>
              </w:rPr>
              <w:tab/>
            </w:r>
            <w:r>
              <w:rPr>
                <w:rStyle w:val="IndexLink"/>
              </w:rPr>
              <w:t>360</w:t>
            </w:r>
          </w:hyperlink>
        </w:p>
        <w:p>
          <w:pPr>
            <w:pStyle w:val="Contents3"/>
            <w:tabs>
              <w:tab w:val="clear" w:pos="8459"/>
              <w:tab w:val="right" w:pos="9026" w:leader="dot"/>
            </w:tabs>
            <w:rPr/>
          </w:pPr>
          <w:hyperlink w:anchor="__RefHeading___Toc559796_3244359995">
            <w:r>
              <w:rPr>
                <w:webHidden/>
                <w:rStyle w:val="IndexLink"/>
                <w:rtl w:val="true"/>
              </w:rPr>
              <w:t>المبحث السابع فی أقسام العامّ و الخاصّ و کیفیّة الجمع بینهما</w:t>
            </w:r>
            <w:r>
              <w:rPr>
                <w:rStyle w:val="IndexLink"/>
                <w:rtl w:val="true"/>
              </w:rPr>
              <w:tab/>
            </w:r>
            <w:r>
              <w:rPr>
                <w:rStyle w:val="IndexLink"/>
              </w:rPr>
              <w:t>361</w:t>
            </w:r>
          </w:hyperlink>
        </w:p>
        <w:p>
          <w:pPr>
            <w:pStyle w:val="Contents4"/>
            <w:tabs>
              <w:tab w:val="clear" w:pos="8176"/>
              <w:tab w:val="right" w:pos="9026" w:leader="dot"/>
            </w:tabs>
            <w:rPr/>
          </w:pPr>
          <w:hyperlink w:anchor="__RefHeading___Toc559798_3244359995">
            <w:r>
              <w:rPr>
                <w:webHidden/>
                <w:rStyle w:val="IndexLink"/>
                <w:rtl w:val="true"/>
              </w:rPr>
              <w:t>حکم تعارض العامّ مع منطوق الخاصّ</w:t>
            </w:r>
            <w:r>
              <w:rPr>
                <w:rStyle w:val="IndexLink"/>
                <w:rtl w:val="true"/>
              </w:rPr>
              <w:tab/>
            </w:r>
            <w:r>
              <w:rPr>
                <w:rStyle w:val="IndexLink"/>
              </w:rPr>
              <w:t>361</w:t>
            </w:r>
          </w:hyperlink>
        </w:p>
        <w:p>
          <w:pPr>
            <w:pStyle w:val="Contents5"/>
            <w:tabs>
              <w:tab w:val="clear" w:pos="7892"/>
              <w:tab w:val="right" w:pos="9026" w:leader="dot"/>
            </w:tabs>
            <w:rPr/>
          </w:pPr>
          <w:hyperlink w:anchor="__RefHeading___Toc559800_3244359995">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559802_3244359995">
            <w:r>
              <w:rPr>
                <w:webHidden/>
                <w:rStyle w:val="IndexLink"/>
                <w:rtl w:val="true"/>
              </w:rPr>
              <w:t>فذلکة الکلام</w:t>
            </w:r>
            <w:r>
              <w:rPr>
                <w:rStyle w:val="IndexLink"/>
                <w:rtl w:val="true"/>
              </w:rPr>
              <w:t xml:space="preserve">: </w:t>
            </w:r>
            <w:r>
              <w:rPr>
                <w:rStyle w:val="IndexLink"/>
                <w:rtl w:val="true"/>
              </w:rPr>
              <w:t>فی العموم و الخصوص</w:t>
            </w:r>
            <w:r>
              <w:rPr>
                <w:rStyle w:val="IndexLink"/>
                <w:rtl w:val="true"/>
              </w:rPr>
              <w:tab/>
            </w:r>
            <w:r>
              <w:rPr>
                <w:rStyle w:val="IndexLink"/>
              </w:rPr>
              <w:t>364</w:t>
            </w:r>
          </w:hyperlink>
        </w:p>
        <w:p>
          <w:pPr>
            <w:pStyle w:val="Contents4"/>
            <w:tabs>
              <w:tab w:val="clear" w:pos="8176"/>
              <w:tab w:val="right" w:pos="9026" w:leader="dot"/>
            </w:tabs>
            <w:rPr/>
          </w:pPr>
          <w:hyperlink w:anchor="__RefHeading___Toc559804_3244359995">
            <w:r>
              <w:rPr>
                <w:webHidden/>
                <w:rStyle w:val="IndexLink"/>
                <w:rtl w:val="true"/>
              </w:rPr>
              <w:t>حکم تعارض العامّ مع مفهوم الخاصّ</w:t>
            </w:r>
            <w:r>
              <w:rPr>
                <w:rStyle w:val="IndexLink"/>
                <w:rtl w:val="true"/>
              </w:rPr>
              <w:tab/>
            </w:r>
            <w:r>
              <w:rPr>
                <w:rStyle w:val="IndexLink"/>
              </w:rPr>
              <w:t>366</w:t>
            </w:r>
          </w:hyperlink>
        </w:p>
        <w:p>
          <w:pPr>
            <w:pStyle w:val="Contents5"/>
            <w:tabs>
              <w:tab w:val="clear" w:pos="7892"/>
              <w:tab w:val="right" w:pos="9026" w:leader="dot"/>
            </w:tabs>
            <w:rPr/>
          </w:pPr>
          <w:hyperlink w:anchor="__RefHeading___Toc559806_3244359995">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559808_3244359995">
            <w:r>
              <w:rPr>
                <w:webHidden/>
                <w:rStyle w:val="IndexLink"/>
                <w:rtl w:val="true"/>
              </w:rPr>
              <w:t>الجانب الأوّل</w:t>
            </w:r>
            <w:r>
              <w:rPr>
                <w:rStyle w:val="IndexLink"/>
                <w:rtl w:val="true"/>
              </w:rPr>
              <w:t xml:space="preserve">: </w:t>
            </w:r>
            <w:r>
              <w:rPr>
                <w:rStyle w:val="IndexLink"/>
                <w:rtl w:val="true"/>
              </w:rPr>
              <w:t>فی المفهوم الموافق</w:t>
            </w:r>
            <w:r>
              <w:rPr>
                <w:rStyle w:val="IndexLink"/>
                <w:rtl w:val="true"/>
              </w:rPr>
              <w:tab/>
            </w:r>
            <w:r>
              <w:rPr>
                <w:rStyle w:val="IndexLink"/>
              </w:rPr>
              <w:t>367</w:t>
            </w:r>
          </w:hyperlink>
        </w:p>
        <w:p>
          <w:pPr>
            <w:pStyle w:val="Contents5"/>
            <w:tabs>
              <w:tab w:val="clear" w:pos="7892"/>
              <w:tab w:val="right" w:pos="9026" w:leader="dot"/>
            </w:tabs>
            <w:rPr/>
          </w:pPr>
          <w:hyperlink w:anchor="__RefHeading___Toc559810_3244359995">
            <w:r>
              <w:rPr>
                <w:webHidden/>
                <w:rStyle w:val="IndexLink"/>
                <w:rtl w:val="true"/>
              </w:rPr>
              <w:t>الجانب الثانی</w:t>
            </w:r>
            <w:r>
              <w:rPr>
                <w:rStyle w:val="IndexLink"/>
                <w:rtl w:val="true"/>
              </w:rPr>
              <w:t xml:space="preserve">: </w:t>
            </w:r>
            <w:r>
              <w:rPr>
                <w:rStyle w:val="IndexLink"/>
                <w:rtl w:val="true"/>
              </w:rPr>
              <w:t>فی تخصیص العامّ بالمفهوم المخالف</w:t>
            </w:r>
            <w:r>
              <w:rPr>
                <w:rStyle w:val="IndexLink"/>
                <w:rtl w:val="true"/>
              </w:rPr>
              <w:tab/>
            </w:r>
            <w:r>
              <w:rPr>
                <w:rStyle w:val="IndexLink"/>
              </w:rPr>
              <w:t>370</w:t>
            </w:r>
          </w:hyperlink>
        </w:p>
        <w:p>
          <w:pPr>
            <w:pStyle w:val="Contents6"/>
            <w:tabs>
              <w:tab w:val="clear" w:pos="7609"/>
              <w:tab w:val="right" w:pos="9026" w:leader="dot"/>
            </w:tabs>
            <w:rPr/>
          </w:pPr>
          <w:hyperlink w:anchor="__RefHeading___Toc559812_3244359995">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559814_3244359995">
            <w:r>
              <w:rPr>
                <w:webHidden/>
                <w:rStyle w:val="IndexLink"/>
                <w:rtl w:val="true"/>
              </w:rPr>
              <w:t>صور تعارض العامّ مع مفهوم المخالفة</w:t>
            </w:r>
            <w:r>
              <w:rPr>
                <w:rStyle w:val="IndexLink"/>
                <w:rtl w:val="true"/>
              </w:rPr>
              <w:tab/>
            </w:r>
            <w:r>
              <w:rPr>
                <w:rStyle w:val="IndexLink"/>
              </w:rPr>
              <w:t>374</w:t>
            </w:r>
          </w:hyperlink>
        </w:p>
        <w:p>
          <w:pPr>
            <w:pStyle w:val="Contents6"/>
            <w:tabs>
              <w:tab w:val="clear" w:pos="7609"/>
              <w:tab w:val="right" w:pos="9026" w:leader="dot"/>
            </w:tabs>
            <w:rPr/>
          </w:pPr>
          <w:hyperlink w:anchor="__RefHeading___Toc559816_3244359995">
            <w:r>
              <w:rPr>
                <w:webHidden/>
                <w:rStyle w:val="IndexLink"/>
                <w:rtl w:val="true"/>
              </w:rPr>
              <w:t>الصورة الأولی</w:t>
            </w:r>
            <w:r>
              <w:rPr>
                <w:rStyle w:val="IndexLink"/>
                <w:rtl w:val="true"/>
              </w:rPr>
              <w:t>:</w:t>
              <w:tab/>
            </w:r>
            <w:r>
              <w:rPr>
                <w:rStyle w:val="IndexLink"/>
              </w:rPr>
              <w:t>374</w:t>
            </w:r>
          </w:hyperlink>
        </w:p>
        <w:p>
          <w:pPr>
            <w:pStyle w:val="Contents6"/>
            <w:tabs>
              <w:tab w:val="clear" w:pos="7609"/>
              <w:tab w:val="right" w:pos="9026" w:leader="dot"/>
            </w:tabs>
            <w:rPr/>
          </w:pPr>
          <w:hyperlink w:anchor="__RefHeading___Toc559818_3244359995">
            <w:r>
              <w:rPr>
                <w:webHidden/>
                <w:rStyle w:val="IndexLink"/>
                <w:rtl w:val="true"/>
              </w:rPr>
              <w:t>الصورة الثانیة</w:t>
            </w:r>
            <w:r>
              <w:rPr>
                <w:rStyle w:val="IndexLink"/>
                <w:rtl w:val="true"/>
              </w:rPr>
              <w:t>:</w:t>
              <w:tab/>
            </w:r>
            <w:r>
              <w:rPr>
                <w:rStyle w:val="IndexLink"/>
              </w:rPr>
              <w:t>377</w:t>
            </w:r>
          </w:hyperlink>
        </w:p>
        <w:p>
          <w:pPr>
            <w:pStyle w:val="Contents6"/>
            <w:tabs>
              <w:tab w:val="clear" w:pos="7609"/>
              <w:tab w:val="right" w:pos="9026" w:leader="dot"/>
            </w:tabs>
            <w:rPr/>
          </w:pPr>
          <w:hyperlink w:anchor="__RefHeading___Toc559820_3244359995">
            <w:r>
              <w:rPr>
                <w:webHidden/>
                <w:rStyle w:val="IndexLink"/>
                <w:rtl w:val="true"/>
              </w:rPr>
              <w:t>الصورة الثالثة</w:t>
            </w:r>
            <w:r>
              <w:rPr>
                <w:rStyle w:val="IndexLink"/>
                <w:rtl w:val="true"/>
              </w:rPr>
              <w:t>:</w:t>
              <w:tab/>
            </w:r>
            <w:r>
              <w:rPr>
                <w:rStyle w:val="IndexLink"/>
              </w:rPr>
              <w:t>377</w:t>
            </w:r>
          </w:hyperlink>
        </w:p>
        <w:p>
          <w:pPr>
            <w:pStyle w:val="Contents3"/>
            <w:tabs>
              <w:tab w:val="clear" w:pos="8459"/>
              <w:tab w:val="right" w:pos="9026" w:leader="dot"/>
            </w:tabs>
            <w:rPr/>
          </w:pPr>
          <w:hyperlink w:anchor="__RefHeading___Toc559822_3244359995">
            <w:r>
              <w:rPr>
                <w:webHidden/>
                <w:rStyle w:val="IndexLink"/>
                <w:rtl w:val="true"/>
              </w:rPr>
              <w:t>المبحث الثامن فی جواز تخصیص العامّ الکتابیّ بالخبر الواحد</w:t>
            </w:r>
            <w:r>
              <w:rPr>
                <w:rStyle w:val="IndexLink"/>
                <w:rtl w:val="true"/>
              </w:rPr>
              <w:tab/>
            </w:r>
            <w:r>
              <w:rPr>
                <w:rStyle w:val="IndexLink"/>
              </w:rPr>
              <w:t>379</w:t>
            </w:r>
          </w:hyperlink>
        </w:p>
        <w:p>
          <w:pPr>
            <w:pStyle w:val="Contents4"/>
            <w:tabs>
              <w:tab w:val="clear" w:pos="8176"/>
              <w:tab w:val="right" w:pos="9026" w:leader="dot"/>
            </w:tabs>
            <w:rPr/>
          </w:pPr>
          <w:hyperlink w:anchor="__RefHeading___Toc559824_3244359995">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559826_3244359995">
            <w:r>
              <w:rPr>
                <w:webHidden/>
                <w:rStyle w:val="IndexLink"/>
                <w:rtl w:val="true"/>
              </w:rPr>
              <w:t>الأمور التی یمکن الاستناد إلیها لمنع التخصیص بالخبر الواحد</w:t>
            </w:r>
            <w:r>
              <w:rPr>
                <w:rStyle w:val="IndexLink"/>
                <w:rtl w:val="true"/>
              </w:rPr>
              <w:tab/>
            </w:r>
            <w:r>
              <w:rPr>
                <w:rStyle w:val="IndexLink"/>
              </w:rPr>
              <w:t>380</w:t>
            </w:r>
          </w:hyperlink>
        </w:p>
        <w:p>
          <w:pPr>
            <w:pStyle w:val="Contents5"/>
            <w:tabs>
              <w:tab w:val="clear" w:pos="7892"/>
              <w:tab w:val="right" w:pos="9026" w:leader="dot"/>
            </w:tabs>
            <w:rPr/>
          </w:pPr>
          <w:hyperlink w:anchor="__RefHeading___Toc559828_3244359995">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559830_3244359995">
            <w:r>
              <w:rPr>
                <w:webHidden/>
                <w:rStyle w:val="IndexLink"/>
                <w:rtl w:val="true"/>
              </w:rPr>
              <w:t>الأمر الأوّل</w:t>
            </w:r>
            <w:r>
              <w:rPr>
                <w:rStyle w:val="IndexLink"/>
                <w:rtl w:val="true"/>
              </w:rPr>
              <w:tab/>
            </w:r>
            <w:r>
              <w:rPr>
                <w:rStyle w:val="IndexLink"/>
              </w:rPr>
              <w:t>380</w:t>
            </w:r>
          </w:hyperlink>
        </w:p>
        <w:p>
          <w:pPr>
            <w:pStyle w:val="Contents5"/>
            <w:tabs>
              <w:tab w:val="clear" w:pos="7892"/>
              <w:tab w:val="right" w:pos="9026" w:leader="dot"/>
            </w:tabs>
            <w:rPr/>
          </w:pPr>
          <w:hyperlink w:anchor="__RefHeading___Toc559832_3244359995">
            <w:r>
              <w:rPr>
                <w:webHidden/>
                <w:rStyle w:val="IndexLink"/>
                <w:rtl w:val="true"/>
              </w:rPr>
              <w:t>الأمر الثانی</w:t>
            </w:r>
            <w:r>
              <w:rPr>
                <w:rStyle w:val="IndexLink"/>
                <w:rtl w:val="true"/>
              </w:rPr>
              <w:tab/>
            </w:r>
            <w:r>
              <w:rPr>
                <w:rStyle w:val="IndexLink"/>
              </w:rPr>
              <w:t>382</w:t>
            </w:r>
          </w:hyperlink>
        </w:p>
        <w:p>
          <w:pPr>
            <w:pStyle w:val="Contents5"/>
            <w:tabs>
              <w:tab w:val="clear" w:pos="7892"/>
              <w:tab w:val="right" w:pos="9026" w:leader="dot"/>
            </w:tabs>
            <w:rPr/>
          </w:pPr>
          <w:hyperlink w:anchor="__RefHeading___Toc559834_3244359995">
            <w:r>
              <w:rPr>
                <w:webHidden/>
                <w:rStyle w:val="IndexLink"/>
                <w:rtl w:val="true"/>
              </w:rPr>
              <w:t>الأمر الثالث</w:t>
            </w:r>
            <w:r>
              <w:rPr>
                <w:rStyle w:val="IndexLink"/>
                <w:rtl w:val="true"/>
              </w:rPr>
              <w:tab/>
            </w:r>
            <w:r>
              <w:rPr>
                <w:rStyle w:val="IndexLink"/>
              </w:rPr>
              <w:t>383</w:t>
            </w:r>
          </w:hyperlink>
        </w:p>
        <w:p>
          <w:pPr>
            <w:pStyle w:val="Contents4"/>
            <w:tabs>
              <w:tab w:val="clear" w:pos="8176"/>
              <w:tab w:val="right" w:pos="9026" w:leader="dot"/>
            </w:tabs>
            <w:rPr/>
          </w:pPr>
          <w:hyperlink w:anchor="__RefHeading___Toc559836_3244359995">
            <w:r>
              <w:rPr>
                <w:webHidden/>
                <w:rStyle w:val="IndexLink"/>
                <w:rtl w:val="true"/>
              </w:rPr>
              <w:t>تذنیب</w:t>
            </w:r>
            <w:r>
              <w:rPr>
                <w:rStyle w:val="IndexLink"/>
                <w:rtl w:val="true"/>
              </w:rPr>
              <w:t xml:space="preserve">: </w:t>
            </w:r>
            <w:r>
              <w:rPr>
                <w:rStyle w:val="IndexLink"/>
                <w:rtl w:val="true"/>
              </w:rPr>
              <w:t>و فیه فذلکة وجوه منع التخصیص</w:t>
            </w:r>
            <w:r>
              <w:rPr>
                <w:rStyle w:val="IndexLink"/>
                <w:rtl w:val="true"/>
              </w:rPr>
              <w:tab/>
            </w:r>
            <w:r>
              <w:rPr>
                <w:rStyle w:val="IndexLink"/>
              </w:rPr>
              <w:t>387</w:t>
            </w:r>
          </w:hyperlink>
        </w:p>
        <w:p>
          <w:pPr>
            <w:pStyle w:val="Contents4"/>
            <w:tabs>
              <w:tab w:val="clear" w:pos="8176"/>
              <w:tab w:val="right" w:pos="9026" w:leader="dot"/>
            </w:tabs>
            <w:rPr/>
          </w:pPr>
          <w:hyperlink w:anchor="__RefHeading___Toc559838_3244359995">
            <w:r>
              <w:rPr>
                <w:webHidden/>
                <w:rStyle w:val="IndexLink"/>
                <w:rtl w:val="true"/>
              </w:rPr>
              <w:t>إیقاظ</w:t>
            </w:r>
            <w:r>
              <w:rPr>
                <w:rStyle w:val="IndexLink"/>
                <w:rtl w:val="true"/>
              </w:rPr>
              <w:t xml:space="preserve">: </w:t>
            </w:r>
            <w:r>
              <w:rPr>
                <w:rStyle w:val="IndexLink"/>
                <w:rtl w:val="true"/>
              </w:rPr>
              <w:t>حول حکومة الخبر المجرّد من القرینة علی العامّ الکتابیّ</w:t>
            </w:r>
            <w:r>
              <w:rPr>
                <w:rStyle w:val="IndexLink"/>
                <w:rtl w:val="true"/>
              </w:rPr>
              <w:tab/>
            </w:r>
            <w:r>
              <w:rPr>
                <w:rStyle w:val="IndexLink"/>
              </w:rPr>
              <w:t>389</w:t>
            </w:r>
          </w:hyperlink>
        </w:p>
        <w:p>
          <w:pPr>
            <w:pStyle w:val="Contents2"/>
            <w:tabs>
              <w:tab w:val="clear" w:pos="8743"/>
              <w:tab w:val="right" w:pos="9026" w:leader="dot"/>
            </w:tabs>
            <w:rPr/>
          </w:pPr>
          <w:hyperlink w:anchor="__RefHeading___Toc559840_3244359995">
            <w:r>
              <w:rPr>
                <w:webHidden/>
                <w:rStyle w:val="IndexLink"/>
                <w:rtl w:val="true"/>
              </w:rPr>
              <w:t>المقصد السادس فی المطلق و المقیّد</w:t>
            </w:r>
            <w:r>
              <w:rPr>
                <w:rStyle w:val="IndexLink"/>
                <w:rtl w:val="true"/>
              </w:rPr>
              <w:tab/>
            </w:r>
            <w:r>
              <w:rPr>
                <w:rStyle w:val="IndexLink"/>
              </w:rPr>
              <w:t>390</w:t>
            </w:r>
          </w:hyperlink>
        </w:p>
        <w:p>
          <w:pPr>
            <w:pStyle w:val="Contents3"/>
            <w:tabs>
              <w:tab w:val="clear" w:pos="8459"/>
              <w:tab w:val="right" w:pos="9026" w:leader="dot"/>
            </w:tabs>
            <w:rPr/>
          </w:pPr>
          <w:hyperlink w:anchor="__RefHeading___Toc559842_3244359995">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559844_3244359995">
            <w:r>
              <w:rPr>
                <w:webHidden/>
                <w:rStyle w:val="IndexLink"/>
                <w:rtl w:val="true"/>
              </w:rPr>
              <w:t>تمهید</w:t>
            </w:r>
            <w:r>
              <w:rPr>
                <w:rStyle w:val="IndexLink"/>
                <w:rtl w:val="true"/>
              </w:rPr>
              <w:tab/>
            </w:r>
            <w:r>
              <w:rPr>
                <w:rStyle w:val="IndexLink"/>
              </w:rPr>
              <w:t>391</w:t>
            </w:r>
          </w:hyperlink>
        </w:p>
        <w:p>
          <w:pPr>
            <w:pStyle w:val="Contents4"/>
            <w:tabs>
              <w:tab w:val="clear" w:pos="8176"/>
              <w:tab w:val="right" w:pos="9026" w:leader="dot"/>
            </w:tabs>
            <w:rPr/>
          </w:pPr>
          <w:hyperlink w:anchor="__RefHeading___Toc559846_3244359995">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559848_3244359995">
            <w:r>
              <w:rPr>
                <w:webHidden/>
                <w:rStyle w:val="IndexLink"/>
                <w:rtl w:val="true"/>
              </w:rPr>
              <w:t>الجهة الأولی</w:t>
            </w:r>
            <w:r>
              <w:rPr>
                <w:rStyle w:val="IndexLink"/>
                <w:rtl w:val="true"/>
              </w:rPr>
              <w:t xml:space="preserve">: </w:t>
            </w:r>
            <w:r>
              <w:rPr>
                <w:rStyle w:val="IndexLink"/>
                <w:rtl w:val="true"/>
              </w:rPr>
              <w:t>فی بیان ما ینبغی أن یبحث عنه فی المقام</w:t>
            </w:r>
            <w:r>
              <w:rPr>
                <w:rStyle w:val="IndexLink"/>
                <w:rtl w:val="true"/>
              </w:rPr>
              <w:tab/>
            </w:r>
            <w:r>
              <w:rPr>
                <w:rStyle w:val="IndexLink"/>
              </w:rPr>
              <w:t>391</w:t>
            </w:r>
          </w:hyperlink>
        </w:p>
        <w:p>
          <w:pPr>
            <w:pStyle w:val="Contents4"/>
            <w:tabs>
              <w:tab w:val="clear" w:pos="8176"/>
              <w:tab w:val="right" w:pos="9026" w:leader="dot"/>
            </w:tabs>
            <w:rPr/>
          </w:pPr>
          <w:hyperlink w:anchor="__RefHeading___Toc559850_3244359995">
            <w:r>
              <w:rPr>
                <w:webHidden/>
                <w:rStyle w:val="IndexLink"/>
                <w:rtl w:val="true"/>
              </w:rPr>
              <w:t>الجهة الثانیة</w:t>
            </w:r>
            <w:r>
              <w:rPr>
                <w:rStyle w:val="IndexLink"/>
                <w:rtl w:val="true"/>
              </w:rPr>
              <w:t xml:space="preserve">: </w:t>
            </w:r>
            <w:r>
              <w:rPr>
                <w:rStyle w:val="IndexLink"/>
                <w:rtl w:val="true"/>
              </w:rPr>
              <w:t>الفرق بین الإطلاق هنا و ما فی أبواب الأوامر و النواهی</w:t>
            </w:r>
            <w:r>
              <w:rPr>
                <w:rStyle w:val="IndexLink"/>
                <w:rtl w:val="true"/>
              </w:rPr>
              <w:tab/>
            </w:r>
            <w:r>
              <w:rPr>
                <w:rStyle w:val="IndexLink"/>
              </w:rPr>
              <w:t>395</w:t>
            </w:r>
          </w:hyperlink>
        </w:p>
        <w:p>
          <w:pPr>
            <w:pStyle w:val="Contents5"/>
            <w:tabs>
              <w:tab w:val="clear" w:pos="7892"/>
              <w:tab w:val="right" w:pos="9026" w:leader="dot"/>
            </w:tabs>
            <w:rPr/>
          </w:pPr>
          <w:hyperlink w:anchor="__RefHeading___Toc559852_3244359995">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559854_3244359995">
            <w:r>
              <w:rPr>
                <w:webHidden/>
                <w:rStyle w:val="IndexLink"/>
                <w:rtl w:val="true"/>
              </w:rPr>
              <w:t>تذنیب</w:t>
            </w:r>
            <w:r>
              <w:rPr>
                <w:rStyle w:val="IndexLink"/>
                <w:rtl w:val="true"/>
              </w:rPr>
              <w:t xml:space="preserve">: </w:t>
            </w:r>
            <w:r>
              <w:rPr>
                <w:rStyle w:val="IndexLink"/>
                <w:rtl w:val="true"/>
              </w:rPr>
              <w:t>حول الإطلاق فی المعانی الحرفیّة</w:t>
            </w:r>
            <w:r>
              <w:rPr>
                <w:rStyle w:val="IndexLink"/>
                <w:rtl w:val="true"/>
              </w:rPr>
              <w:tab/>
            </w:r>
            <w:r>
              <w:rPr>
                <w:rStyle w:val="IndexLink"/>
              </w:rPr>
              <w:t>396</w:t>
            </w:r>
          </w:hyperlink>
        </w:p>
        <w:p>
          <w:pPr>
            <w:pStyle w:val="Contents4"/>
            <w:tabs>
              <w:tab w:val="clear" w:pos="8176"/>
              <w:tab w:val="right" w:pos="9026" w:leader="dot"/>
            </w:tabs>
            <w:rPr/>
          </w:pPr>
          <w:hyperlink w:anchor="__RefHeading___Toc559856_3244359995">
            <w:r>
              <w:rPr>
                <w:webHidden/>
                <w:rStyle w:val="IndexLink"/>
                <w:rtl w:val="true"/>
              </w:rPr>
              <w:t>الجهة الثالثة</w:t>
            </w:r>
            <w:r>
              <w:rPr>
                <w:rStyle w:val="IndexLink"/>
                <w:rtl w:val="true"/>
              </w:rPr>
              <w:t xml:space="preserve">: </w:t>
            </w:r>
            <w:r>
              <w:rPr>
                <w:rStyle w:val="IndexLink"/>
                <w:rtl w:val="true"/>
              </w:rPr>
              <w:t>فی موارد إطلاق المطلق و المقیّد</w:t>
            </w:r>
            <w:r>
              <w:rPr>
                <w:rStyle w:val="IndexLink"/>
                <w:rtl w:val="true"/>
              </w:rPr>
              <w:tab/>
            </w:r>
            <w:r>
              <w:rPr>
                <w:rStyle w:val="IndexLink"/>
              </w:rPr>
              <w:t>398</w:t>
            </w:r>
          </w:hyperlink>
        </w:p>
        <w:p>
          <w:pPr>
            <w:pStyle w:val="Contents5"/>
            <w:tabs>
              <w:tab w:val="clear" w:pos="7892"/>
              <w:tab w:val="right" w:pos="9026" w:leader="dot"/>
            </w:tabs>
            <w:rPr/>
          </w:pPr>
          <w:hyperlink w:anchor="__RefHeading___Toc559858_3244359995">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559860_3244359995">
            <w:r>
              <w:rPr>
                <w:webHidden/>
                <w:rStyle w:val="IndexLink"/>
                <w:rtl w:val="true"/>
              </w:rPr>
              <w:t>أحکام المطلق و المقیّد و النسبة بینهما</w:t>
            </w:r>
            <w:r>
              <w:rPr>
                <w:rStyle w:val="IndexLink"/>
                <w:rtl w:val="true"/>
              </w:rPr>
              <w:tab/>
            </w:r>
            <w:r>
              <w:rPr>
                <w:rStyle w:val="IndexLink"/>
              </w:rPr>
              <w:t>400</w:t>
            </w:r>
          </w:hyperlink>
        </w:p>
        <w:p>
          <w:pPr>
            <w:pStyle w:val="Contents5"/>
            <w:tabs>
              <w:tab w:val="clear" w:pos="7892"/>
              <w:tab w:val="right" w:pos="9026" w:leader="dot"/>
            </w:tabs>
            <w:rPr/>
          </w:pPr>
          <w:hyperlink w:anchor="__RefHeading___Toc559862_3244359995">
            <w:r>
              <w:rPr>
                <w:webHidden/>
                <w:rStyle w:val="IndexLink"/>
                <w:rtl w:val="true"/>
              </w:rPr>
              <w:t>وهم و دفع</w:t>
            </w:r>
            <w:r>
              <w:rPr>
                <w:rStyle w:val="IndexLink"/>
                <w:rtl w:val="true"/>
              </w:rPr>
              <w:tab/>
            </w:r>
            <w:r>
              <w:rPr>
                <w:rStyle w:val="IndexLink"/>
              </w:rPr>
              <w:t>403</w:t>
            </w:r>
          </w:hyperlink>
        </w:p>
        <w:p>
          <w:pPr>
            <w:pStyle w:val="Contents5"/>
            <w:tabs>
              <w:tab w:val="clear" w:pos="7892"/>
              <w:tab w:val="right" w:pos="9026" w:leader="dot"/>
            </w:tabs>
            <w:rPr/>
          </w:pPr>
          <w:hyperlink w:anchor="__RefHeading___Toc559864_3244359995">
            <w:r>
              <w:rPr>
                <w:webHidden/>
                <w:rStyle w:val="IndexLink"/>
                <w:rtl w:val="true"/>
              </w:rPr>
              <w:t>تنبیه</w:t>
            </w:r>
            <w:r>
              <w:rPr>
                <w:rStyle w:val="IndexLink"/>
                <w:rtl w:val="true"/>
              </w:rPr>
              <w:t xml:space="preserve">: </w:t>
            </w:r>
            <w:r>
              <w:rPr>
                <w:rStyle w:val="IndexLink"/>
                <w:rtl w:val="true"/>
              </w:rPr>
              <w:t xml:space="preserve">فی الفرق بین </w:t>
            </w:r>
            <w:r>
              <w:rPr>
                <w:rStyle w:val="IndexLink"/>
                <w:rtl w:val="true"/>
              </w:rPr>
              <w:t>«</w:t>
            </w:r>
            <w:r>
              <w:rPr>
                <w:rStyle w:val="IndexLink"/>
                <w:rtl w:val="true"/>
              </w:rPr>
              <w:t>الاعتبار</w:t>
            </w:r>
            <w:r>
              <w:rPr>
                <w:rStyle w:val="IndexLink"/>
                <w:rtl w:val="true"/>
              </w:rPr>
              <w:t xml:space="preserve">» </w:t>
            </w:r>
            <w:r>
              <w:rPr>
                <w:rStyle w:val="IndexLink"/>
                <w:rtl w:val="true"/>
              </w:rPr>
              <w:t>فی المعقول و الأصول</w:t>
            </w:r>
            <w:r>
              <w:rPr>
                <w:rStyle w:val="IndexLink"/>
                <w:rtl w:val="true"/>
              </w:rPr>
              <w:tab/>
            </w:r>
            <w:r>
              <w:rPr>
                <w:rStyle w:val="IndexLink"/>
              </w:rPr>
              <w:t>404</w:t>
            </w:r>
          </w:hyperlink>
        </w:p>
        <w:p>
          <w:pPr>
            <w:pStyle w:val="Contents5"/>
            <w:tabs>
              <w:tab w:val="clear" w:pos="7892"/>
              <w:tab w:val="right" w:pos="9026" w:leader="dot"/>
            </w:tabs>
            <w:rPr/>
          </w:pPr>
          <w:hyperlink w:anchor="__RefHeading___Toc559866_3244359995">
            <w:r>
              <w:rPr>
                <w:webHidden/>
                <w:rStyle w:val="IndexLink"/>
                <w:rtl w:val="true"/>
              </w:rPr>
              <w:t>إیقاظ</w:t>
            </w:r>
            <w:r>
              <w:rPr>
                <w:rStyle w:val="IndexLink"/>
                <w:rtl w:val="true"/>
              </w:rPr>
              <w:t xml:space="preserve">: </w:t>
            </w:r>
            <w:r>
              <w:rPr>
                <w:rStyle w:val="IndexLink"/>
                <w:rtl w:val="true"/>
              </w:rPr>
              <w:t>حول کیفیّة نیل مفهوم المطلق و المقیّد</w:t>
            </w:r>
            <w:r>
              <w:rPr>
                <w:rStyle w:val="IndexLink"/>
                <w:rtl w:val="true"/>
              </w:rPr>
              <w:tab/>
            </w:r>
            <w:r>
              <w:rPr>
                <w:rStyle w:val="IndexLink"/>
              </w:rPr>
              <w:t>405</w:t>
            </w:r>
          </w:hyperlink>
        </w:p>
        <w:p>
          <w:pPr>
            <w:pStyle w:val="Contents4"/>
            <w:tabs>
              <w:tab w:val="clear" w:pos="8176"/>
              <w:tab w:val="right" w:pos="9026" w:leader="dot"/>
            </w:tabs>
            <w:rPr/>
          </w:pPr>
          <w:hyperlink w:anchor="__RefHeading___Toc559868_3244359995">
            <w:r>
              <w:rPr>
                <w:webHidden/>
                <w:rStyle w:val="IndexLink"/>
                <w:rtl w:val="true"/>
              </w:rPr>
              <w:t>الجهة الرابعة</w:t>
            </w:r>
            <w:r>
              <w:rPr>
                <w:rStyle w:val="IndexLink"/>
                <w:rtl w:val="true"/>
              </w:rPr>
              <w:t xml:space="preserve">: </w:t>
            </w:r>
            <w:r>
              <w:rPr>
                <w:rStyle w:val="IndexLink"/>
                <w:rtl w:val="true"/>
              </w:rPr>
              <w:t>فی بیان ما وضعت له أسماء الأجناس و أعلامها</w:t>
            </w:r>
            <w:r>
              <w:rPr>
                <w:rStyle w:val="IndexLink"/>
                <w:rtl w:val="true"/>
              </w:rPr>
              <w:tab/>
            </w:r>
            <w:r>
              <w:rPr>
                <w:rStyle w:val="IndexLink"/>
              </w:rPr>
              <w:t>406</w:t>
            </w:r>
          </w:hyperlink>
        </w:p>
        <w:p>
          <w:pPr>
            <w:pStyle w:val="Contents5"/>
            <w:tabs>
              <w:tab w:val="clear" w:pos="7892"/>
              <w:tab w:val="right" w:pos="9026" w:leader="dot"/>
            </w:tabs>
            <w:rPr/>
          </w:pPr>
          <w:hyperlink w:anchor="__RefHeading___Toc559870_3244359995">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559872_3244359995">
            <w:r>
              <w:rPr>
                <w:webHidden/>
                <w:rStyle w:val="IndexLink"/>
                <w:rtl w:val="true"/>
              </w:rPr>
              <w:t>تذنیب</w:t>
            </w:r>
            <w:r>
              <w:rPr>
                <w:rStyle w:val="IndexLink"/>
                <w:rtl w:val="true"/>
              </w:rPr>
              <w:t xml:space="preserve">: </w:t>
            </w:r>
            <w:r>
              <w:rPr>
                <w:rStyle w:val="IndexLink"/>
                <w:rtl w:val="true"/>
              </w:rPr>
              <w:t>حول نزاع سلطان العلماء مع سابقیه</w:t>
            </w:r>
            <w:r>
              <w:rPr>
                <w:rStyle w:val="IndexLink"/>
                <w:rtl w:val="true"/>
              </w:rPr>
              <w:tab/>
            </w:r>
            <w:r>
              <w:rPr>
                <w:rStyle w:val="IndexLink"/>
              </w:rPr>
              <w:t>408</w:t>
            </w:r>
          </w:hyperlink>
        </w:p>
        <w:p>
          <w:pPr>
            <w:pStyle w:val="Contents5"/>
            <w:tabs>
              <w:tab w:val="clear" w:pos="7892"/>
              <w:tab w:val="right" w:pos="9026" w:leader="dot"/>
            </w:tabs>
            <w:rPr/>
          </w:pPr>
          <w:hyperlink w:anchor="__RefHeading___Toc559874_3244359995">
            <w:r>
              <w:rPr>
                <w:webHidden/>
                <w:rStyle w:val="IndexLink"/>
                <w:rtl w:val="true"/>
              </w:rPr>
              <w:t xml:space="preserve">المراد من </w:t>
            </w:r>
            <w:r>
              <w:rPr>
                <w:rStyle w:val="IndexLink"/>
                <w:rtl w:val="true"/>
              </w:rPr>
              <w:t>«</w:t>
            </w:r>
            <w:r>
              <w:rPr>
                <w:rStyle w:val="IndexLink"/>
                <w:rtl w:val="true"/>
              </w:rPr>
              <w:t>المطلق</w:t>
            </w:r>
            <w:r>
              <w:rPr>
                <w:rStyle w:val="IndexLink"/>
                <w:rtl w:val="true"/>
              </w:rPr>
              <w:t>»</w:t>
              <w:tab/>
            </w:r>
            <w:r>
              <w:rPr>
                <w:rStyle w:val="IndexLink"/>
              </w:rPr>
              <w:t>412</w:t>
            </w:r>
          </w:hyperlink>
        </w:p>
        <w:p>
          <w:pPr>
            <w:pStyle w:val="Contents4"/>
            <w:tabs>
              <w:tab w:val="clear" w:pos="8176"/>
              <w:tab w:val="right" w:pos="9026" w:leader="dot"/>
            </w:tabs>
            <w:rPr/>
          </w:pPr>
          <w:hyperlink w:anchor="__RefHeading___Toc559876_3244359995">
            <w:r>
              <w:rPr>
                <w:webHidden/>
                <w:rStyle w:val="IndexLink"/>
                <w:rtl w:val="true"/>
              </w:rPr>
              <w:t>الجهة الخامسة</w:t>
            </w:r>
            <w:r>
              <w:rPr>
                <w:rStyle w:val="IndexLink"/>
                <w:rtl w:val="true"/>
              </w:rPr>
              <w:t xml:space="preserve">: </w:t>
            </w:r>
            <w:r>
              <w:rPr>
                <w:rStyle w:val="IndexLink"/>
                <w:rtl w:val="true"/>
              </w:rPr>
              <w:t>حول استلزام التقیید للمجازیّة</w:t>
            </w:r>
            <w:r>
              <w:rPr>
                <w:rStyle w:val="IndexLink"/>
                <w:rtl w:val="true"/>
              </w:rPr>
              <w:tab/>
            </w:r>
            <w:r>
              <w:rPr>
                <w:rStyle w:val="IndexLink"/>
              </w:rPr>
              <w:t>414</w:t>
            </w:r>
          </w:hyperlink>
        </w:p>
        <w:p>
          <w:pPr>
            <w:pStyle w:val="Contents5"/>
            <w:tabs>
              <w:tab w:val="clear" w:pos="7892"/>
              <w:tab w:val="right" w:pos="9026" w:leader="dot"/>
            </w:tabs>
            <w:rPr/>
          </w:pPr>
          <w:hyperlink w:anchor="__RefHeading___Toc559878_3244359995">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559880_3244359995">
            <w:r>
              <w:rPr>
                <w:webHidden/>
                <w:rStyle w:val="IndexLink"/>
                <w:rtl w:val="true"/>
              </w:rPr>
              <w:t>الأمر الأوّل</w:t>
            </w:r>
            <w:r>
              <w:rPr>
                <w:rStyle w:val="IndexLink"/>
                <w:rtl w:val="true"/>
              </w:rPr>
              <w:t xml:space="preserve">: </w:t>
            </w:r>
            <w:r>
              <w:rPr>
                <w:rStyle w:val="IndexLink"/>
                <w:rtl w:val="true"/>
              </w:rPr>
              <w:t>عدم استلزام التقیید للمجازیّة</w:t>
            </w:r>
            <w:r>
              <w:rPr>
                <w:rStyle w:val="IndexLink"/>
                <w:rtl w:val="true"/>
              </w:rPr>
              <w:tab/>
            </w:r>
            <w:r>
              <w:rPr>
                <w:rStyle w:val="IndexLink"/>
              </w:rPr>
              <w:t>415</w:t>
            </w:r>
          </w:hyperlink>
        </w:p>
        <w:p>
          <w:pPr>
            <w:pStyle w:val="Contents6"/>
            <w:tabs>
              <w:tab w:val="clear" w:pos="7609"/>
              <w:tab w:val="right" w:pos="9026" w:leader="dot"/>
            </w:tabs>
            <w:rPr/>
          </w:pPr>
          <w:hyperlink w:anchor="__RefHeading___Toc559882_3244359995">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559884_3244359995">
            <w:r>
              <w:rPr>
                <w:webHidden/>
                <w:rStyle w:val="IndexLink"/>
                <w:rtl w:val="true"/>
              </w:rPr>
              <w:t>تنبیه</w:t>
            </w:r>
            <w:r>
              <w:rPr>
                <w:rStyle w:val="IndexLink"/>
                <w:rtl w:val="true"/>
              </w:rPr>
              <w:t xml:space="preserve">: </w:t>
            </w:r>
            <w:r>
              <w:rPr>
                <w:rStyle w:val="IndexLink"/>
                <w:rtl w:val="true"/>
              </w:rPr>
              <w:t>حول التفصیل فی المجازیّة بین المقیّد المتصل و المنفصل</w:t>
            </w:r>
            <w:r>
              <w:rPr>
                <w:rStyle w:val="IndexLink"/>
                <w:rtl w:val="true"/>
              </w:rPr>
              <w:tab/>
            </w:r>
            <w:r>
              <w:rPr>
                <w:rStyle w:val="IndexLink"/>
              </w:rPr>
              <w:t>416</w:t>
            </w:r>
          </w:hyperlink>
        </w:p>
        <w:p>
          <w:pPr>
            <w:pStyle w:val="Contents5"/>
            <w:tabs>
              <w:tab w:val="clear" w:pos="7892"/>
              <w:tab w:val="right" w:pos="9026" w:leader="dot"/>
            </w:tabs>
            <w:rPr/>
          </w:pPr>
          <w:hyperlink w:anchor="__RefHeading___Toc559886_3244359995">
            <w:r>
              <w:rPr>
                <w:webHidden/>
                <w:rStyle w:val="IndexLink"/>
                <w:rtl w:val="true"/>
              </w:rPr>
              <w:t>الأمر الثانی</w:t>
            </w:r>
            <w:r>
              <w:rPr>
                <w:rStyle w:val="IndexLink"/>
                <w:rtl w:val="true"/>
              </w:rPr>
              <w:t xml:space="preserve">: </w:t>
            </w:r>
            <w:r>
              <w:rPr>
                <w:rStyle w:val="IndexLink"/>
                <w:rtl w:val="true"/>
              </w:rPr>
              <w:t>صحّة التمسّک بالمطلق علی القول بالمجازیّة</w:t>
            </w:r>
            <w:r>
              <w:rPr>
                <w:rStyle w:val="IndexLink"/>
                <w:rtl w:val="true"/>
              </w:rPr>
              <w:tab/>
            </w:r>
            <w:r>
              <w:rPr>
                <w:rStyle w:val="IndexLink"/>
              </w:rPr>
              <w:t>417</w:t>
            </w:r>
          </w:hyperlink>
        </w:p>
        <w:p>
          <w:pPr>
            <w:pStyle w:val="Contents5"/>
            <w:tabs>
              <w:tab w:val="clear" w:pos="7892"/>
              <w:tab w:val="right" w:pos="9026" w:leader="dot"/>
            </w:tabs>
            <w:rPr/>
          </w:pPr>
          <w:hyperlink w:anchor="__RefHeading___Toc559888_3244359995">
            <w:r>
              <w:rPr>
                <w:webHidden/>
                <w:rStyle w:val="IndexLink"/>
                <w:rtl w:val="true"/>
              </w:rPr>
              <w:t>الأمر الثالث</w:t>
            </w:r>
            <w:r>
              <w:rPr>
                <w:rStyle w:val="IndexLink"/>
                <w:rtl w:val="true"/>
              </w:rPr>
              <w:t xml:space="preserve">: </w:t>
            </w:r>
            <w:r>
              <w:rPr>
                <w:rStyle w:val="IndexLink"/>
                <w:rtl w:val="true"/>
              </w:rPr>
              <w:t>نفی الملازمة بین عدم المجازیّة و صحّة التمسّک بالمطلق</w:t>
            </w:r>
            <w:r>
              <w:rPr>
                <w:rStyle w:val="IndexLink"/>
                <w:rtl w:val="true"/>
              </w:rPr>
              <w:tab/>
            </w:r>
            <w:r>
              <w:rPr>
                <w:rStyle w:val="IndexLink"/>
              </w:rPr>
              <w:t>417</w:t>
            </w:r>
          </w:hyperlink>
        </w:p>
        <w:p>
          <w:pPr>
            <w:pStyle w:val="Contents3"/>
            <w:tabs>
              <w:tab w:val="clear" w:pos="8459"/>
              <w:tab w:val="right" w:pos="9026" w:leader="dot"/>
            </w:tabs>
            <w:rPr/>
          </w:pPr>
          <w:hyperlink w:anchor="__RefHeading___Toc559890_3244359995">
            <w:r>
              <w:rPr>
                <w:webHidden/>
                <w:rStyle w:val="IndexLink"/>
                <w:rtl w:val="true"/>
              </w:rPr>
              <w:t>المبحث الأوّل حول مقدّمات الحکمة</w:t>
            </w:r>
            <w:r>
              <w:rPr>
                <w:rStyle w:val="IndexLink"/>
                <w:rtl w:val="true"/>
              </w:rPr>
              <w:tab/>
            </w:r>
            <w:r>
              <w:rPr>
                <w:rStyle w:val="IndexLink"/>
              </w:rPr>
              <w:t>420</w:t>
            </w:r>
          </w:hyperlink>
        </w:p>
        <w:p>
          <w:pPr>
            <w:pStyle w:val="Contents4"/>
            <w:tabs>
              <w:tab w:val="clear" w:pos="8176"/>
              <w:tab w:val="right" w:pos="9026" w:leader="dot"/>
            </w:tabs>
            <w:rPr/>
          </w:pPr>
          <w:hyperlink w:anchor="__RefHeading___Toc559892_3244359995">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559894_3244359995">
            <w:r>
              <w:rPr>
                <w:webHidden/>
                <w:rStyle w:val="IndexLink"/>
                <w:rtl w:val="true"/>
              </w:rPr>
              <w:t>المقدّمة الأولی</w:t>
            </w:r>
            <w:r>
              <w:rPr>
                <w:rStyle w:val="IndexLink"/>
                <w:rtl w:val="true"/>
              </w:rPr>
              <w:t>:</w:t>
              <w:tab/>
            </w:r>
            <w:r>
              <w:rPr>
                <w:rStyle w:val="IndexLink"/>
              </w:rPr>
              <w:t>421</w:t>
            </w:r>
          </w:hyperlink>
        </w:p>
        <w:p>
          <w:pPr>
            <w:pStyle w:val="Contents4"/>
            <w:tabs>
              <w:tab w:val="clear" w:pos="8176"/>
              <w:tab w:val="right" w:pos="9026" w:leader="dot"/>
            </w:tabs>
            <w:rPr/>
          </w:pPr>
          <w:hyperlink w:anchor="__RefHeading___Toc559896_3244359995">
            <w:r>
              <w:rPr>
                <w:webHidden/>
                <w:rStyle w:val="IndexLink"/>
                <w:rtl w:val="true"/>
              </w:rPr>
              <w:t>المقدّمة الثانیة و الثالثة</w:t>
            </w:r>
            <w:r>
              <w:rPr>
                <w:rStyle w:val="IndexLink"/>
                <w:rtl w:val="true"/>
              </w:rPr>
              <w:t>:</w:t>
              <w:tab/>
            </w:r>
            <w:r>
              <w:rPr>
                <w:rStyle w:val="IndexLink"/>
              </w:rPr>
              <w:t>422</w:t>
            </w:r>
          </w:hyperlink>
        </w:p>
        <w:p>
          <w:pPr>
            <w:pStyle w:val="Contents5"/>
            <w:tabs>
              <w:tab w:val="clear" w:pos="7892"/>
              <w:tab w:val="right" w:pos="9026" w:leader="dot"/>
            </w:tabs>
            <w:rPr/>
          </w:pPr>
          <w:hyperlink w:anchor="__RefHeading___Toc559898_3244359995">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559900_3244359995">
            <w:r>
              <w:rPr>
                <w:webHidden/>
                <w:rStyle w:val="IndexLink"/>
                <w:rtl w:val="true"/>
              </w:rPr>
              <w:t>تنبیه</w:t>
            </w:r>
            <w:r>
              <w:rPr>
                <w:rStyle w:val="IndexLink"/>
                <w:rtl w:val="true"/>
              </w:rPr>
              <w:t xml:space="preserve">: </w:t>
            </w:r>
            <w:r>
              <w:rPr>
                <w:rStyle w:val="IndexLink"/>
                <w:rtl w:val="true"/>
              </w:rPr>
              <w:t>فی أنّ ذکر القید المنفصل لا یضرّ بالإطلاق</w:t>
            </w:r>
            <w:r>
              <w:rPr>
                <w:rStyle w:val="IndexLink"/>
                <w:rtl w:val="true"/>
              </w:rPr>
              <w:tab/>
            </w:r>
            <w:r>
              <w:rPr>
                <w:rStyle w:val="IndexLink"/>
              </w:rPr>
              <w:t>424</w:t>
            </w:r>
          </w:hyperlink>
        </w:p>
        <w:p>
          <w:pPr>
            <w:pStyle w:val="Contents5"/>
            <w:tabs>
              <w:tab w:val="clear" w:pos="7892"/>
              <w:tab w:val="right" w:pos="9026" w:leader="dot"/>
            </w:tabs>
            <w:rPr/>
          </w:pPr>
          <w:hyperlink w:anchor="__RefHeading___Toc559902_3244359995">
            <w:r>
              <w:rPr>
                <w:webHidden/>
                <w:rStyle w:val="IndexLink"/>
                <w:rtl w:val="true"/>
              </w:rPr>
              <w:t>توضیح و استئناف</w:t>
            </w:r>
            <w:r>
              <w:rPr>
                <w:rStyle w:val="IndexLink"/>
                <w:rtl w:val="true"/>
              </w:rPr>
              <w:t xml:space="preserve">: </w:t>
            </w:r>
            <w:r>
              <w:rPr>
                <w:rStyle w:val="IndexLink"/>
                <w:rtl w:val="true"/>
              </w:rPr>
              <w:t>حول شبهة علی جواز التمسّک بالمطلقات و العمومات</w:t>
            </w:r>
            <w:r>
              <w:rPr>
                <w:rStyle w:val="IndexLink"/>
                <w:rtl w:val="true"/>
              </w:rPr>
              <w:tab/>
            </w:r>
            <w:r>
              <w:rPr>
                <w:rStyle w:val="IndexLink"/>
              </w:rPr>
              <w:t>426</w:t>
            </w:r>
          </w:hyperlink>
        </w:p>
        <w:p>
          <w:pPr>
            <w:pStyle w:val="Contents5"/>
            <w:tabs>
              <w:tab w:val="clear" w:pos="7892"/>
              <w:tab w:val="right" w:pos="9026" w:leader="dot"/>
            </w:tabs>
            <w:rPr/>
          </w:pPr>
          <w:hyperlink w:anchor="__RefHeading___Toc559904_3244359995">
            <w:r>
              <w:rPr>
                <w:webHidden/>
                <w:rStyle w:val="IndexLink"/>
                <w:rtl w:val="true"/>
              </w:rPr>
              <w:t>تتمیم</w:t>
            </w:r>
            <w:r>
              <w:rPr>
                <w:rStyle w:val="IndexLink"/>
                <w:rtl w:val="true"/>
              </w:rPr>
              <w:t xml:space="preserve">: </w:t>
            </w:r>
            <w:r>
              <w:rPr>
                <w:rStyle w:val="IndexLink"/>
                <w:rtl w:val="true"/>
              </w:rPr>
              <w:t>فی بیان شرائط اتصاف الکلام بالإطلاق علی المختار</w:t>
            </w:r>
            <w:r>
              <w:rPr>
                <w:rStyle w:val="IndexLink"/>
                <w:rtl w:val="true"/>
              </w:rPr>
              <w:tab/>
            </w:r>
            <w:r>
              <w:rPr>
                <w:rStyle w:val="IndexLink"/>
              </w:rPr>
              <w:t>428</w:t>
            </w:r>
          </w:hyperlink>
        </w:p>
        <w:p>
          <w:pPr>
            <w:pStyle w:val="Contents4"/>
            <w:tabs>
              <w:tab w:val="clear" w:pos="8176"/>
              <w:tab w:val="right" w:pos="9026" w:leader="dot"/>
            </w:tabs>
            <w:rPr/>
          </w:pPr>
          <w:hyperlink w:anchor="__RefHeading___Toc559906_3244359995">
            <w:r>
              <w:rPr>
                <w:webHidden/>
                <w:rStyle w:val="IndexLink"/>
                <w:rtl w:val="true"/>
              </w:rPr>
              <w:t>المقدّمة الرابعة</w:t>
            </w:r>
            <w:r>
              <w:rPr>
                <w:rStyle w:val="IndexLink"/>
                <w:rtl w:val="true"/>
              </w:rPr>
              <w:t xml:space="preserve">: </w:t>
            </w:r>
            <w:r>
              <w:rPr>
                <w:rStyle w:val="IndexLink"/>
                <w:rtl w:val="true"/>
              </w:rPr>
              <w:t>حول انتفاء القدر المتیقن فی مقام التخاطب</w:t>
            </w:r>
            <w:r>
              <w:rPr>
                <w:rStyle w:val="IndexLink"/>
                <w:rtl w:val="true"/>
              </w:rPr>
              <w:tab/>
            </w:r>
            <w:r>
              <w:rPr>
                <w:rStyle w:val="IndexLink"/>
              </w:rPr>
              <w:t>429</w:t>
            </w:r>
          </w:hyperlink>
        </w:p>
        <w:p>
          <w:pPr>
            <w:pStyle w:val="Contents5"/>
            <w:tabs>
              <w:tab w:val="clear" w:pos="7892"/>
              <w:tab w:val="right" w:pos="9026" w:leader="dot"/>
            </w:tabs>
            <w:rPr/>
          </w:pPr>
          <w:hyperlink w:anchor="__RefHeading___Toc559908_3244359995">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559910_3244359995">
            <w:r>
              <w:rPr>
                <w:webHidden/>
                <w:rStyle w:val="IndexLink"/>
                <w:rtl w:val="true"/>
              </w:rPr>
              <w:t>تنبیه</w:t>
            </w:r>
            <w:r>
              <w:rPr>
                <w:rStyle w:val="IndexLink"/>
                <w:rtl w:val="true"/>
              </w:rPr>
              <w:t xml:space="preserve">: </w:t>
            </w:r>
            <w:r>
              <w:rPr>
                <w:rStyle w:val="IndexLink"/>
                <w:rtl w:val="true"/>
              </w:rPr>
              <w:t>فی إثبات إطلاق الحکم عن طریق مقدّمة الإطلاق الوحیدة</w:t>
            </w:r>
            <w:r>
              <w:rPr>
                <w:rStyle w:val="IndexLink"/>
                <w:rtl w:val="true"/>
              </w:rPr>
              <w:tab/>
            </w:r>
            <w:r>
              <w:rPr>
                <w:rStyle w:val="IndexLink"/>
              </w:rPr>
              <w:t>432</w:t>
            </w:r>
          </w:hyperlink>
        </w:p>
        <w:p>
          <w:pPr>
            <w:pStyle w:val="Contents5"/>
            <w:tabs>
              <w:tab w:val="clear" w:pos="7892"/>
              <w:tab w:val="right" w:pos="9026" w:leader="dot"/>
            </w:tabs>
            <w:rPr/>
          </w:pPr>
          <w:hyperlink w:anchor="__RefHeading___Toc559912_3244359995">
            <w:r>
              <w:rPr>
                <w:webHidden/>
                <w:rStyle w:val="IndexLink"/>
                <w:rtl w:val="true"/>
              </w:rPr>
              <w:t>تتمّة</w:t>
            </w:r>
            <w:r>
              <w:rPr>
                <w:rStyle w:val="IndexLink"/>
                <w:rtl w:val="true"/>
              </w:rPr>
              <w:t xml:space="preserve">: </w:t>
            </w:r>
            <w:r>
              <w:rPr>
                <w:rStyle w:val="IndexLink"/>
                <w:rtl w:val="true"/>
              </w:rPr>
              <w:t>حول الأصل عند الشک فی مقام البیان</w:t>
            </w:r>
            <w:r>
              <w:rPr>
                <w:rStyle w:val="IndexLink"/>
                <w:rtl w:val="true"/>
              </w:rPr>
              <w:tab/>
            </w:r>
            <w:r>
              <w:rPr>
                <w:rStyle w:val="IndexLink"/>
              </w:rPr>
              <w:t>433</w:t>
            </w:r>
          </w:hyperlink>
        </w:p>
        <w:p>
          <w:pPr>
            <w:pStyle w:val="Contents3"/>
            <w:tabs>
              <w:tab w:val="clear" w:pos="8459"/>
              <w:tab w:val="right" w:pos="9026" w:leader="dot"/>
            </w:tabs>
            <w:rPr/>
          </w:pPr>
          <w:hyperlink w:anchor="__RefHeading___Toc559914_3244359995">
            <w:r>
              <w:rPr>
                <w:webHidden/>
                <w:rStyle w:val="IndexLink"/>
                <w:rtl w:val="true"/>
              </w:rPr>
              <w:t>المبحث الثانی فی أنّ الإطلاق رفض القیود أو جمعها</w:t>
            </w:r>
            <w:r>
              <w:rPr>
                <w:rStyle w:val="IndexLink"/>
                <w:rtl w:val="true"/>
              </w:rPr>
              <w:tab/>
            </w:r>
            <w:r>
              <w:rPr>
                <w:rStyle w:val="IndexLink"/>
              </w:rPr>
              <w:t>436</w:t>
            </w:r>
          </w:hyperlink>
        </w:p>
        <w:p>
          <w:pPr>
            <w:pStyle w:val="Contents4"/>
            <w:tabs>
              <w:tab w:val="clear" w:pos="8176"/>
              <w:tab w:val="right" w:pos="9026" w:leader="dot"/>
            </w:tabs>
            <w:rPr/>
          </w:pPr>
          <w:hyperlink w:anchor="__RefHeading___Toc559916_3244359995">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559918_3244359995">
            <w:r>
              <w:rPr>
                <w:webHidden/>
                <w:rStyle w:val="IndexLink"/>
                <w:rtl w:val="true"/>
              </w:rPr>
              <w:t>الأمر الأوّل</w:t>
            </w:r>
            <w:r>
              <w:rPr>
                <w:rStyle w:val="IndexLink"/>
                <w:rtl w:val="true"/>
              </w:rPr>
              <w:t xml:space="preserve">: </w:t>
            </w:r>
            <w:r>
              <w:rPr>
                <w:rStyle w:val="IndexLink"/>
                <w:rtl w:val="true"/>
              </w:rPr>
              <w:t>فی ثمرة هذا الخلاف</w:t>
            </w:r>
            <w:r>
              <w:rPr>
                <w:rStyle w:val="IndexLink"/>
                <w:rtl w:val="true"/>
              </w:rPr>
              <w:tab/>
            </w:r>
            <w:r>
              <w:rPr>
                <w:rStyle w:val="IndexLink"/>
              </w:rPr>
              <w:t>438</w:t>
            </w:r>
          </w:hyperlink>
        </w:p>
        <w:p>
          <w:pPr>
            <w:pStyle w:val="Contents4"/>
            <w:tabs>
              <w:tab w:val="clear" w:pos="8176"/>
              <w:tab w:val="right" w:pos="9026" w:leader="dot"/>
            </w:tabs>
            <w:rPr/>
          </w:pPr>
          <w:hyperlink w:anchor="__RefHeading___Toc559920_3244359995">
            <w:r>
              <w:rPr>
                <w:webHidden/>
                <w:rStyle w:val="IndexLink"/>
                <w:rtl w:val="true"/>
              </w:rPr>
              <w:t>الأمر الثانی</w:t>
            </w:r>
            <w:r>
              <w:rPr>
                <w:rStyle w:val="IndexLink"/>
                <w:rtl w:val="true"/>
              </w:rPr>
              <w:t xml:space="preserve">: </w:t>
            </w:r>
            <w:r>
              <w:rPr>
                <w:rStyle w:val="IndexLink"/>
                <w:rtl w:val="true"/>
              </w:rPr>
              <w:t>فیما یمکن أن یکون منشأ لهذا التشاحّ و التنازع، و موجبا لهذا الخلاف</w:t>
            </w:r>
            <w:r>
              <w:rPr>
                <w:rStyle w:val="IndexLink"/>
                <w:rtl w:val="true"/>
              </w:rPr>
              <w:tab/>
            </w:r>
            <w:r>
              <w:rPr>
                <w:rStyle w:val="IndexLink"/>
              </w:rPr>
              <w:t>439</w:t>
            </w:r>
          </w:hyperlink>
        </w:p>
        <w:p>
          <w:pPr>
            <w:pStyle w:val="Contents4"/>
            <w:tabs>
              <w:tab w:val="clear" w:pos="8176"/>
              <w:tab w:val="right" w:pos="9026" w:leader="dot"/>
            </w:tabs>
            <w:rPr/>
          </w:pPr>
          <w:hyperlink w:anchor="__RefHeading___Toc559922_3244359995">
            <w:r>
              <w:rPr>
                <w:webHidden/>
                <w:rStyle w:val="IndexLink"/>
                <w:rtl w:val="true"/>
              </w:rPr>
              <w:t>إیقاظ</w:t>
            </w:r>
            <w:r>
              <w:rPr>
                <w:rStyle w:val="IndexLink"/>
                <w:rtl w:val="true"/>
              </w:rPr>
              <w:t xml:space="preserve">: </w:t>
            </w:r>
            <w:r>
              <w:rPr>
                <w:rStyle w:val="IndexLink"/>
                <w:rtl w:val="true"/>
              </w:rPr>
              <w:t>حول اشتراط الإطلاق باعتبار رفض القیود و ما فیه</w:t>
            </w:r>
            <w:r>
              <w:rPr>
                <w:rStyle w:val="IndexLink"/>
                <w:rtl w:val="true"/>
              </w:rPr>
              <w:tab/>
            </w:r>
            <w:r>
              <w:rPr>
                <w:rStyle w:val="IndexLink"/>
              </w:rPr>
              <w:t>446</w:t>
            </w:r>
          </w:hyperlink>
        </w:p>
        <w:p>
          <w:pPr>
            <w:pStyle w:val="Contents4"/>
            <w:tabs>
              <w:tab w:val="clear" w:pos="8176"/>
              <w:tab w:val="right" w:pos="9026" w:leader="dot"/>
            </w:tabs>
            <w:rPr/>
          </w:pPr>
          <w:hyperlink w:anchor="__RefHeading___Toc559924_3244359995">
            <w:r>
              <w:rPr>
                <w:webHidden/>
                <w:rStyle w:val="IndexLink"/>
                <w:rtl w:val="true"/>
              </w:rPr>
              <w:t>تذنیب</w:t>
            </w:r>
            <w:r>
              <w:rPr>
                <w:rStyle w:val="IndexLink"/>
                <w:rtl w:val="true"/>
              </w:rPr>
              <w:t xml:space="preserve">: </w:t>
            </w:r>
            <w:r>
              <w:rPr>
                <w:rStyle w:val="IndexLink"/>
                <w:rtl w:val="true"/>
              </w:rPr>
              <w:t>حول منع استفادة العموم الاستغراقیّ أو البدلی من مقدّمات الحکمة</w:t>
            </w:r>
            <w:r>
              <w:rPr>
                <w:rStyle w:val="IndexLink"/>
                <w:rtl w:val="true"/>
              </w:rPr>
              <w:tab/>
            </w:r>
            <w:r>
              <w:rPr>
                <w:rStyle w:val="IndexLink"/>
              </w:rPr>
              <w:t>447</w:t>
            </w:r>
          </w:hyperlink>
        </w:p>
        <w:p>
          <w:pPr>
            <w:pStyle w:val="Contents4"/>
            <w:tabs>
              <w:tab w:val="clear" w:pos="8176"/>
              <w:tab w:val="right" w:pos="9026" w:leader="dot"/>
            </w:tabs>
            <w:rPr/>
          </w:pPr>
          <w:hyperlink w:anchor="__RefHeading___Toc559926_3244359995">
            <w:r>
              <w:rPr>
                <w:webHidden/>
                <w:rStyle w:val="IndexLink"/>
                <w:rtl w:val="true"/>
              </w:rPr>
              <w:t>تنبیه</w:t>
            </w:r>
            <w:r>
              <w:rPr>
                <w:rStyle w:val="IndexLink"/>
                <w:rtl w:val="true"/>
              </w:rPr>
              <w:t xml:space="preserve">: </w:t>
            </w:r>
            <w:r>
              <w:rPr>
                <w:rStyle w:val="IndexLink"/>
                <w:rtl w:val="true"/>
              </w:rPr>
              <w:t>فی حجّیة الإطلاق المستند إلی المقدّمات الظنّیة</w:t>
            </w:r>
            <w:r>
              <w:rPr>
                <w:rStyle w:val="IndexLink"/>
                <w:rtl w:val="true"/>
              </w:rPr>
              <w:tab/>
            </w:r>
            <w:r>
              <w:rPr>
                <w:rStyle w:val="IndexLink"/>
              </w:rPr>
              <w:t>447</w:t>
            </w:r>
          </w:hyperlink>
        </w:p>
        <w:p>
          <w:pPr>
            <w:pStyle w:val="Contents3"/>
            <w:tabs>
              <w:tab w:val="clear" w:pos="8459"/>
              <w:tab w:val="right" w:pos="9026" w:leader="dot"/>
            </w:tabs>
            <w:rPr/>
          </w:pPr>
          <w:hyperlink w:anchor="__RefHeading___Toc559928_3244359995">
            <w:r>
              <w:rPr>
                <w:webHidden/>
                <w:rStyle w:val="IndexLink"/>
                <w:rtl w:val="true"/>
              </w:rPr>
              <w:t>المبحث الثالث فی تقاسیم الإطلاق</w:t>
            </w:r>
            <w:r>
              <w:rPr>
                <w:rStyle w:val="IndexLink"/>
                <w:rtl w:val="true"/>
              </w:rPr>
              <w:tab/>
            </w:r>
            <w:r>
              <w:rPr>
                <w:rStyle w:val="IndexLink"/>
              </w:rPr>
              <w:t>449</w:t>
            </w:r>
          </w:hyperlink>
        </w:p>
        <w:p>
          <w:pPr>
            <w:pStyle w:val="Contents4"/>
            <w:tabs>
              <w:tab w:val="clear" w:pos="8176"/>
              <w:tab w:val="right" w:pos="9026" w:leader="dot"/>
            </w:tabs>
            <w:rPr/>
          </w:pPr>
          <w:hyperlink w:anchor="__RefHeading___Toc559930_3244359995">
            <w:r>
              <w:rPr>
                <w:webHidden/>
                <w:rStyle w:val="IndexLink"/>
                <w:rtl w:val="true"/>
              </w:rPr>
              <w:t>فمنها</w:t>
            </w:r>
            <w:r>
              <w:rPr>
                <w:rStyle w:val="IndexLink"/>
                <w:rtl w:val="true"/>
              </w:rPr>
              <w:t xml:space="preserve">: </w:t>
            </w:r>
            <w:r>
              <w:rPr>
                <w:rStyle w:val="IndexLink"/>
                <w:rtl w:val="true"/>
              </w:rPr>
              <w:t>انقسامه إلی الإطلاق اللفظیّ، و المقامیّ</w:t>
            </w:r>
            <w:r>
              <w:rPr>
                <w:rStyle w:val="IndexLink"/>
                <w:rtl w:val="true"/>
              </w:rPr>
              <w:tab/>
            </w:r>
            <w:r>
              <w:rPr>
                <w:rStyle w:val="IndexLink"/>
              </w:rPr>
              <w:t>449</w:t>
            </w:r>
          </w:hyperlink>
        </w:p>
        <w:p>
          <w:pPr>
            <w:pStyle w:val="Contents4"/>
            <w:tabs>
              <w:tab w:val="clear" w:pos="8176"/>
              <w:tab w:val="right" w:pos="9026" w:leader="dot"/>
            </w:tabs>
            <w:rPr/>
          </w:pPr>
          <w:hyperlink w:anchor="__RefHeading___Toc559932_3244359995">
            <w:r>
              <w:rPr>
                <w:webHidden/>
                <w:rStyle w:val="IndexLink"/>
                <w:rtl w:val="true"/>
              </w:rPr>
              <w:t>و منها</w:t>
            </w:r>
            <w:r>
              <w:rPr>
                <w:rStyle w:val="IndexLink"/>
                <w:rtl w:val="true"/>
              </w:rPr>
              <w:t xml:space="preserve">: </w:t>
            </w:r>
            <w:r>
              <w:rPr>
                <w:rStyle w:val="IndexLink"/>
                <w:rtl w:val="true"/>
              </w:rPr>
              <w:t>تقسیمه إلی الشمولیّ و البدلیّ</w:t>
            </w:r>
            <w:r>
              <w:rPr>
                <w:rStyle w:val="IndexLink"/>
                <w:rtl w:val="true"/>
              </w:rPr>
              <w:tab/>
            </w:r>
            <w:r>
              <w:rPr>
                <w:rStyle w:val="IndexLink"/>
              </w:rPr>
              <w:t>451</w:t>
            </w:r>
          </w:hyperlink>
        </w:p>
        <w:p>
          <w:pPr>
            <w:pStyle w:val="Contents4"/>
            <w:tabs>
              <w:tab w:val="clear" w:pos="8176"/>
              <w:tab w:val="right" w:pos="9026" w:leader="dot"/>
            </w:tabs>
            <w:rPr/>
          </w:pPr>
          <w:hyperlink w:anchor="__RefHeading___Toc559934_3244359995">
            <w:r>
              <w:rPr>
                <w:webHidden/>
                <w:rStyle w:val="IndexLink"/>
                <w:rtl w:val="true"/>
              </w:rPr>
              <w:t>و منها</w:t>
            </w:r>
            <w:r>
              <w:rPr>
                <w:rStyle w:val="IndexLink"/>
                <w:rtl w:val="true"/>
              </w:rPr>
              <w:t xml:space="preserve">: </w:t>
            </w:r>
            <w:r>
              <w:rPr>
                <w:rStyle w:val="IndexLink"/>
                <w:rtl w:val="true"/>
              </w:rPr>
              <w:t>تقسیمه إلی الأفرادیّ، و الأزمانیّ، و الأحوالیّ</w:t>
            </w:r>
            <w:r>
              <w:rPr>
                <w:rStyle w:val="IndexLink"/>
                <w:rtl w:val="true"/>
              </w:rPr>
              <w:tab/>
            </w:r>
            <w:r>
              <w:rPr>
                <w:rStyle w:val="IndexLink"/>
              </w:rPr>
              <w:t>452</w:t>
            </w:r>
          </w:hyperlink>
        </w:p>
        <w:p>
          <w:pPr>
            <w:pStyle w:val="Contents5"/>
            <w:tabs>
              <w:tab w:val="clear" w:pos="7892"/>
              <w:tab w:val="right" w:pos="9026" w:leader="dot"/>
            </w:tabs>
            <w:rPr/>
          </w:pPr>
          <w:hyperlink w:anchor="__RefHeading___Toc559936_3244359995">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559938_3244359995">
            <w:r>
              <w:rPr>
                <w:webHidden/>
                <w:rStyle w:val="IndexLink"/>
                <w:rtl w:val="true"/>
              </w:rPr>
              <w:t>وهم و دفع</w:t>
            </w:r>
            <w:r>
              <w:rPr>
                <w:rStyle w:val="IndexLink"/>
                <w:rtl w:val="true"/>
              </w:rPr>
              <w:tab/>
            </w:r>
            <w:r>
              <w:rPr>
                <w:rStyle w:val="IndexLink"/>
              </w:rPr>
              <w:t>453</w:t>
            </w:r>
          </w:hyperlink>
        </w:p>
        <w:p>
          <w:pPr>
            <w:pStyle w:val="Contents3"/>
            <w:tabs>
              <w:tab w:val="clear" w:pos="8459"/>
              <w:tab w:val="right" w:pos="9026" w:leader="dot"/>
            </w:tabs>
            <w:rPr/>
          </w:pPr>
          <w:hyperlink w:anchor="__RefHeading___Toc559940_3244359995">
            <w:r>
              <w:rPr>
                <w:webHidden/>
                <w:rStyle w:val="IndexLink"/>
                <w:rtl w:val="true"/>
              </w:rPr>
              <w:t>المبحث الرابع فی أنّ التقیید لا یورث تعنون المطلق بالمقیّد</w:t>
            </w:r>
            <w:r>
              <w:rPr>
                <w:rStyle w:val="IndexLink"/>
                <w:rtl w:val="true"/>
              </w:rPr>
              <w:tab/>
            </w:r>
            <w:r>
              <w:rPr>
                <w:rStyle w:val="IndexLink"/>
              </w:rPr>
              <w:t>455</w:t>
            </w:r>
          </w:hyperlink>
        </w:p>
        <w:p>
          <w:pPr>
            <w:pStyle w:val="Contents3"/>
            <w:tabs>
              <w:tab w:val="clear" w:pos="8459"/>
              <w:tab w:val="right" w:pos="9026" w:leader="dot"/>
            </w:tabs>
            <w:rPr/>
          </w:pPr>
          <w:hyperlink w:anchor="__RefHeading___Toc559942_3244359995">
            <w:r>
              <w:rPr>
                <w:webHidden/>
                <w:rStyle w:val="IndexLink"/>
                <w:rtl w:val="true"/>
              </w:rPr>
              <w:t>المبحث الخامس فی أطوار المطلق و المقیّد و کیفیّة الجمع بینهما إذا کانا متنافیین</w:t>
            </w:r>
            <w:r>
              <w:rPr>
                <w:rStyle w:val="IndexLink"/>
                <w:rtl w:val="true"/>
              </w:rPr>
              <w:tab/>
            </w:r>
            <w:r>
              <w:rPr>
                <w:rStyle w:val="IndexLink"/>
              </w:rPr>
              <w:t>459</w:t>
            </w:r>
          </w:hyperlink>
        </w:p>
        <w:p>
          <w:pPr>
            <w:pStyle w:val="Contents4"/>
            <w:tabs>
              <w:tab w:val="clear" w:pos="8176"/>
              <w:tab w:val="right" w:pos="9026" w:leader="dot"/>
            </w:tabs>
            <w:rPr/>
          </w:pPr>
          <w:hyperlink w:anchor="__RefHeading___Toc559944_3244359995">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559946_3244359995">
            <w:r>
              <w:rPr>
                <w:webHidden/>
                <w:rStyle w:val="IndexLink"/>
                <w:rtl w:val="true"/>
              </w:rPr>
              <w:t>الأمر الأوّل</w:t>
            </w:r>
            <w:r>
              <w:rPr>
                <w:rStyle w:val="IndexLink"/>
                <w:rtl w:val="true"/>
              </w:rPr>
              <w:t xml:space="preserve">: </w:t>
            </w:r>
            <w:r>
              <w:rPr>
                <w:rStyle w:val="IndexLink"/>
                <w:rtl w:val="true"/>
              </w:rPr>
              <w:t>فی انحصار النزاع بالقید المنفصل</w:t>
            </w:r>
            <w:r>
              <w:rPr>
                <w:rStyle w:val="IndexLink"/>
                <w:rtl w:val="true"/>
              </w:rPr>
              <w:tab/>
            </w:r>
            <w:r>
              <w:rPr>
                <w:rStyle w:val="IndexLink"/>
              </w:rPr>
              <w:t>459</w:t>
            </w:r>
          </w:hyperlink>
        </w:p>
        <w:p>
          <w:pPr>
            <w:pStyle w:val="Contents4"/>
            <w:tabs>
              <w:tab w:val="clear" w:pos="8176"/>
              <w:tab w:val="right" w:pos="9026" w:leader="dot"/>
            </w:tabs>
            <w:rPr/>
          </w:pPr>
          <w:hyperlink w:anchor="__RefHeading___Toc559948_3244359995">
            <w:r>
              <w:rPr>
                <w:webHidden/>
                <w:rStyle w:val="IndexLink"/>
                <w:rtl w:val="true"/>
              </w:rPr>
              <w:t>الأمر الثانی</w:t>
            </w:r>
            <w:r>
              <w:rPr>
                <w:rStyle w:val="IndexLink"/>
                <w:rtl w:val="true"/>
              </w:rPr>
              <w:t xml:space="preserve">: </w:t>
            </w:r>
            <w:r>
              <w:rPr>
                <w:rStyle w:val="IndexLink"/>
                <w:rtl w:val="true"/>
              </w:rPr>
              <w:t>فی انحصار النزاع بالقید المتکفّل للحکم التکلیفیّ</w:t>
            </w:r>
            <w:r>
              <w:rPr>
                <w:rStyle w:val="IndexLink"/>
                <w:rtl w:val="true"/>
              </w:rPr>
              <w:tab/>
            </w:r>
            <w:r>
              <w:rPr>
                <w:rStyle w:val="IndexLink"/>
              </w:rPr>
              <w:t>460</w:t>
            </w:r>
          </w:hyperlink>
        </w:p>
        <w:p>
          <w:pPr>
            <w:pStyle w:val="Contents4"/>
            <w:tabs>
              <w:tab w:val="clear" w:pos="8176"/>
              <w:tab w:val="right" w:pos="9026" w:leader="dot"/>
            </w:tabs>
            <w:rPr/>
          </w:pPr>
          <w:hyperlink w:anchor="__RefHeading___Toc559950_3244359995">
            <w:r>
              <w:rPr>
                <w:webHidden/>
                <w:rStyle w:val="IndexLink"/>
                <w:rtl w:val="true"/>
              </w:rPr>
              <w:t>الأمر الثالث</w:t>
            </w:r>
            <w:r>
              <w:rPr>
                <w:rStyle w:val="IndexLink"/>
                <w:rtl w:val="true"/>
              </w:rPr>
              <w:t xml:space="preserve">: </w:t>
            </w:r>
            <w:r>
              <w:rPr>
                <w:rStyle w:val="IndexLink"/>
                <w:rtl w:val="true"/>
              </w:rPr>
              <w:t>فی أنّهما قد یتّحدان فی الکیف و قد یختلفان</w:t>
            </w:r>
            <w:r>
              <w:rPr>
                <w:rStyle w:val="IndexLink"/>
                <w:rtl w:val="true"/>
              </w:rPr>
              <w:tab/>
            </w:r>
            <w:r>
              <w:rPr>
                <w:rStyle w:val="IndexLink"/>
              </w:rPr>
              <w:t>461</w:t>
            </w:r>
          </w:hyperlink>
        </w:p>
        <w:p>
          <w:pPr>
            <w:pStyle w:val="Contents4"/>
            <w:tabs>
              <w:tab w:val="clear" w:pos="8176"/>
              <w:tab w:val="right" w:pos="9026" w:leader="dot"/>
            </w:tabs>
            <w:rPr/>
          </w:pPr>
          <w:hyperlink w:anchor="__RefHeading___Toc559952_3244359995">
            <w:r>
              <w:rPr>
                <w:webHidden/>
                <w:rStyle w:val="IndexLink"/>
                <w:rtl w:val="true"/>
              </w:rPr>
              <w:t>المقام الأوّل</w:t>
            </w:r>
            <w:r>
              <w:rPr>
                <w:rStyle w:val="IndexLink"/>
                <w:rtl w:val="true"/>
              </w:rPr>
              <w:t xml:space="preserve">: </w:t>
            </w:r>
            <w:r>
              <w:rPr>
                <w:rStyle w:val="IndexLink"/>
                <w:rtl w:val="true"/>
              </w:rPr>
              <w:t>فی صور المطلق و المقیّد المتکفّلین للحکم التکلیفیّ علی نعت التنجیز</w:t>
            </w:r>
            <w:r>
              <w:rPr>
                <w:rStyle w:val="IndexLink"/>
                <w:rtl w:val="true"/>
              </w:rPr>
              <w:tab/>
            </w:r>
            <w:r>
              <w:rPr>
                <w:rStyle w:val="IndexLink"/>
              </w:rPr>
              <w:t>463</w:t>
            </w:r>
          </w:hyperlink>
        </w:p>
        <w:p>
          <w:pPr>
            <w:pStyle w:val="Contents5"/>
            <w:tabs>
              <w:tab w:val="clear" w:pos="7892"/>
              <w:tab w:val="right" w:pos="9026" w:leader="dot"/>
            </w:tabs>
            <w:rPr/>
          </w:pPr>
          <w:hyperlink w:anchor="__RefHeading___Toc559954_3244359995">
            <w:r>
              <w:rPr>
                <w:webHidden/>
                <w:rStyle w:val="IndexLink"/>
                <w:rtl w:val="true"/>
              </w:rPr>
              <w:t>الصورة الأولی</w:t>
            </w:r>
            <w:r>
              <w:rPr>
                <w:rStyle w:val="IndexLink"/>
                <w:rtl w:val="true"/>
              </w:rPr>
              <w:t>:</w:t>
              <w:tab/>
            </w:r>
            <w:r>
              <w:rPr>
                <w:rStyle w:val="IndexLink"/>
              </w:rPr>
              <w:t>463</w:t>
            </w:r>
          </w:hyperlink>
        </w:p>
        <w:p>
          <w:pPr>
            <w:pStyle w:val="Contents6"/>
            <w:tabs>
              <w:tab w:val="clear" w:pos="7609"/>
              <w:tab w:val="right" w:pos="9026" w:leader="dot"/>
            </w:tabs>
            <w:rPr/>
          </w:pPr>
          <w:hyperlink w:anchor="__RefHeading___Toc559956_3244359995">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559958_3244359995">
            <w:r>
              <w:rPr>
                <w:webHidden/>
                <w:rStyle w:val="IndexLink"/>
                <w:rtl w:val="true"/>
              </w:rPr>
              <w:t>تذنیب</w:t>
            </w:r>
            <w:r>
              <w:rPr>
                <w:rStyle w:val="IndexLink"/>
                <w:rtl w:val="true"/>
              </w:rPr>
              <w:t xml:space="preserve">: </w:t>
            </w:r>
            <w:r>
              <w:rPr>
                <w:rStyle w:val="IndexLink"/>
                <w:rtl w:val="true"/>
              </w:rPr>
              <w:t>فی قیام القرینة علی إرادة شی‌ء من المقید</w:t>
            </w:r>
            <w:r>
              <w:rPr>
                <w:rStyle w:val="IndexLink"/>
                <w:rtl w:val="true"/>
              </w:rPr>
              <w:tab/>
            </w:r>
            <w:r>
              <w:rPr>
                <w:rStyle w:val="IndexLink"/>
              </w:rPr>
              <w:t>467</w:t>
            </w:r>
          </w:hyperlink>
        </w:p>
        <w:p>
          <w:pPr>
            <w:pStyle w:val="Contents6"/>
            <w:tabs>
              <w:tab w:val="clear" w:pos="7609"/>
              <w:tab w:val="right" w:pos="9026" w:leader="dot"/>
            </w:tabs>
            <w:rPr/>
          </w:pPr>
          <w:hyperlink w:anchor="__RefHeading___Toc559960_3244359995">
            <w:r>
              <w:rPr>
                <w:webHidden/>
                <w:rStyle w:val="IndexLink"/>
                <w:rtl w:val="true"/>
              </w:rPr>
              <w:t>بقی شی‌ء</w:t>
            </w:r>
            <w:r>
              <w:rPr>
                <w:rStyle w:val="IndexLink"/>
                <w:rtl w:val="true"/>
              </w:rPr>
              <w:t xml:space="preserve">: </w:t>
            </w:r>
            <w:r>
              <w:rPr>
                <w:rStyle w:val="IndexLink"/>
                <w:rtl w:val="true"/>
              </w:rPr>
              <w:t>فی حکم ما لو کان مفاد المطلق ندبا</w:t>
            </w:r>
            <w:r>
              <w:rPr>
                <w:rStyle w:val="IndexLink"/>
                <w:rtl w:val="true"/>
              </w:rPr>
              <w:tab/>
            </w:r>
            <w:r>
              <w:rPr>
                <w:rStyle w:val="IndexLink"/>
              </w:rPr>
              <w:t>468</w:t>
            </w:r>
          </w:hyperlink>
        </w:p>
        <w:p>
          <w:pPr>
            <w:pStyle w:val="Contents6"/>
            <w:tabs>
              <w:tab w:val="clear" w:pos="7609"/>
              <w:tab w:val="right" w:pos="9026" w:leader="dot"/>
            </w:tabs>
            <w:rPr/>
          </w:pPr>
          <w:hyperlink w:anchor="__RefHeading___Toc559962_3244359995">
            <w:r>
              <w:rPr>
                <w:webHidden/>
                <w:rStyle w:val="IndexLink"/>
                <w:rtl w:val="true"/>
              </w:rPr>
              <w:t>توضیح و تفصیل</w:t>
            </w:r>
            <w:r>
              <w:rPr>
                <w:rStyle w:val="IndexLink"/>
                <w:rtl w:val="true"/>
              </w:rPr>
              <w:t xml:space="preserve">: </w:t>
            </w:r>
            <w:r>
              <w:rPr>
                <w:rStyle w:val="IndexLink"/>
                <w:rtl w:val="true"/>
              </w:rPr>
              <w:t>بین تعرّض القید لحکم الطبیعة و بین وروده نکرة</w:t>
            </w:r>
            <w:r>
              <w:rPr>
                <w:rStyle w:val="IndexLink"/>
                <w:rtl w:val="true"/>
              </w:rPr>
              <w:tab/>
            </w:r>
            <w:r>
              <w:rPr>
                <w:rStyle w:val="IndexLink"/>
              </w:rPr>
              <w:t>469</w:t>
            </w:r>
          </w:hyperlink>
        </w:p>
        <w:p>
          <w:pPr>
            <w:pStyle w:val="Contents6"/>
            <w:tabs>
              <w:tab w:val="clear" w:pos="7609"/>
              <w:tab w:val="right" w:pos="9026" w:leader="dot"/>
            </w:tabs>
            <w:rPr/>
          </w:pPr>
          <w:hyperlink w:anchor="__RefHeading___Toc559964_3244359995">
            <w:r>
              <w:rPr>
                <w:webHidden/>
                <w:rStyle w:val="IndexLink"/>
                <w:rtl w:val="true"/>
              </w:rPr>
              <w:t>وهم و دفع</w:t>
            </w:r>
            <w:r>
              <w:rPr>
                <w:rStyle w:val="IndexLink"/>
                <w:rtl w:val="true"/>
              </w:rPr>
              <w:tab/>
            </w:r>
            <w:r>
              <w:rPr>
                <w:rStyle w:val="IndexLink"/>
              </w:rPr>
              <w:t>470</w:t>
            </w:r>
          </w:hyperlink>
        </w:p>
        <w:p>
          <w:pPr>
            <w:pStyle w:val="Contents6"/>
            <w:tabs>
              <w:tab w:val="clear" w:pos="7609"/>
              <w:tab w:val="right" w:pos="9026" w:leader="dot"/>
            </w:tabs>
            <w:rPr/>
          </w:pPr>
          <w:hyperlink w:anchor="__RefHeading___Toc559966_3244359995">
            <w:r>
              <w:rPr>
                <w:webHidden/>
                <w:rStyle w:val="IndexLink"/>
                <w:rtl w:val="true"/>
              </w:rPr>
              <w:t>بقی شی‌ء</w:t>
            </w:r>
            <w:r>
              <w:rPr>
                <w:rStyle w:val="IndexLink"/>
                <w:rtl w:val="true"/>
              </w:rPr>
              <w:t xml:space="preserve">: </w:t>
            </w:r>
            <w:r>
              <w:rPr>
                <w:rStyle w:val="IndexLink"/>
                <w:rtl w:val="true"/>
              </w:rPr>
              <w:t>فی حکم تقدّم زمان المقیّد علی المطلق</w:t>
            </w:r>
            <w:r>
              <w:rPr>
                <w:rStyle w:val="IndexLink"/>
                <w:rtl w:val="true"/>
              </w:rPr>
              <w:tab/>
            </w:r>
            <w:r>
              <w:rPr>
                <w:rStyle w:val="IndexLink"/>
              </w:rPr>
              <w:t>471</w:t>
            </w:r>
          </w:hyperlink>
        </w:p>
        <w:p>
          <w:pPr>
            <w:pStyle w:val="Contents6"/>
            <w:tabs>
              <w:tab w:val="clear" w:pos="7609"/>
              <w:tab w:val="right" w:pos="9026" w:leader="dot"/>
            </w:tabs>
            <w:rPr/>
          </w:pPr>
          <w:hyperlink w:anchor="__RefHeading___Toc559968_3244359995">
            <w:r>
              <w:rPr>
                <w:webHidden/>
                <w:rStyle w:val="IndexLink"/>
                <w:rtl w:val="true"/>
              </w:rPr>
              <w:t>فذلکة الکلام</w:t>
            </w:r>
            <w:r>
              <w:rPr>
                <w:rStyle w:val="IndexLink"/>
                <w:rtl w:val="true"/>
              </w:rPr>
              <w:tab/>
            </w:r>
            <w:r>
              <w:rPr>
                <w:rStyle w:val="IndexLink"/>
              </w:rPr>
              <w:t>473</w:t>
            </w:r>
          </w:hyperlink>
        </w:p>
        <w:p>
          <w:pPr>
            <w:pStyle w:val="Contents6"/>
            <w:tabs>
              <w:tab w:val="clear" w:pos="7609"/>
              <w:tab w:val="right" w:pos="9026" w:leader="dot"/>
            </w:tabs>
            <w:rPr/>
          </w:pPr>
          <w:hyperlink w:anchor="__RefHeading___Toc559970_3244359995">
            <w:r>
              <w:rPr>
                <w:webHidden/>
                <w:rStyle w:val="IndexLink"/>
                <w:rtl w:val="true"/>
              </w:rPr>
              <w:t>تنبیه</w:t>
            </w:r>
            <w:r>
              <w:rPr>
                <w:rStyle w:val="IndexLink"/>
                <w:rtl w:val="true"/>
              </w:rPr>
              <w:t xml:space="preserve">: </w:t>
            </w:r>
            <w:r>
              <w:rPr>
                <w:rStyle w:val="IndexLink"/>
                <w:rtl w:val="true"/>
              </w:rPr>
              <w:t>حول قیام القرینة علی الإرشاد إلی تحدید مصبّ الإطلاق المتأخّر</w:t>
            </w:r>
            <w:r>
              <w:rPr>
                <w:rStyle w:val="IndexLink"/>
                <w:rtl w:val="true"/>
              </w:rPr>
              <w:tab/>
            </w:r>
            <w:r>
              <w:rPr>
                <w:rStyle w:val="IndexLink"/>
              </w:rPr>
              <w:t>474</w:t>
            </w:r>
          </w:hyperlink>
        </w:p>
        <w:p>
          <w:pPr>
            <w:pStyle w:val="Contents6"/>
            <w:tabs>
              <w:tab w:val="clear" w:pos="7609"/>
              <w:tab w:val="right" w:pos="9026" w:leader="dot"/>
            </w:tabs>
            <w:rPr/>
          </w:pPr>
          <w:hyperlink w:anchor="__RefHeading___Toc559972_3244359995">
            <w:r>
              <w:rPr>
                <w:webHidden/>
                <w:rStyle w:val="IndexLink"/>
                <w:rtl w:val="true"/>
              </w:rPr>
              <w:t>تذنیب</w:t>
            </w:r>
            <w:r>
              <w:rPr>
                <w:rStyle w:val="IndexLink"/>
                <w:rtl w:val="true"/>
              </w:rPr>
              <w:t xml:space="preserve">: </w:t>
            </w:r>
            <w:r>
              <w:rPr>
                <w:rStyle w:val="IndexLink"/>
                <w:rtl w:val="true"/>
              </w:rPr>
              <w:t>فی حکم الشکّ فی التقدّم و التأخّر بناء علی نسخ المقیّد المتقدّم</w:t>
            </w:r>
            <w:r>
              <w:rPr>
                <w:rStyle w:val="IndexLink"/>
                <w:rtl w:val="true"/>
              </w:rPr>
              <w:tab/>
            </w:r>
            <w:r>
              <w:rPr>
                <w:rStyle w:val="IndexLink"/>
              </w:rPr>
              <w:t>474</w:t>
            </w:r>
          </w:hyperlink>
        </w:p>
        <w:p>
          <w:pPr>
            <w:pStyle w:val="Contents6"/>
            <w:tabs>
              <w:tab w:val="clear" w:pos="7609"/>
              <w:tab w:val="right" w:pos="9026" w:leader="dot"/>
            </w:tabs>
            <w:rPr/>
          </w:pPr>
          <w:hyperlink w:anchor="__RefHeading___Toc559974_3244359995">
            <w:r>
              <w:rPr>
                <w:webHidden/>
                <w:rStyle w:val="IndexLink"/>
                <w:rtl w:val="true"/>
              </w:rPr>
              <w:t>بقی شی‌ء آخر</w:t>
            </w:r>
            <w:r>
              <w:rPr>
                <w:rStyle w:val="IndexLink"/>
                <w:rtl w:val="true"/>
              </w:rPr>
              <w:t xml:space="preserve">: </w:t>
            </w:r>
            <w:r>
              <w:rPr>
                <w:rStyle w:val="IndexLink"/>
                <w:rtl w:val="true"/>
              </w:rPr>
              <w:t>فی بیان فروض أخر للصورة الأولی</w:t>
            </w:r>
            <w:r>
              <w:rPr>
                <w:rStyle w:val="IndexLink"/>
                <w:rtl w:val="true"/>
              </w:rPr>
              <w:tab/>
            </w:r>
            <w:r>
              <w:rPr>
                <w:rStyle w:val="IndexLink"/>
              </w:rPr>
              <w:t>475</w:t>
            </w:r>
          </w:hyperlink>
        </w:p>
        <w:p>
          <w:pPr>
            <w:pStyle w:val="Contents5"/>
            <w:tabs>
              <w:tab w:val="clear" w:pos="7892"/>
              <w:tab w:val="right" w:pos="9026" w:leader="dot"/>
            </w:tabs>
            <w:rPr/>
          </w:pPr>
          <w:hyperlink w:anchor="__RefHeading___Toc559976_3244359995">
            <w:r>
              <w:rPr>
                <w:webHidden/>
                <w:rStyle w:val="IndexLink"/>
                <w:rtl w:val="true"/>
              </w:rPr>
              <w:t>الصورة الثانیة</w:t>
            </w:r>
            <w:r>
              <w:rPr>
                <w:rStyle w:val="IndexLink"/>
                <w:rtl w:val="true"/>
              </w:rPr>
              <w:t>:</w:t>
              <w:tab/>
            </w:r>
            <w:r>
              <w:rPr>
                <w:rStyle w:val="IndexLink"/>
              </w:rPr>
              <w:t>477</w:t>
            </w:r>
          </w:hyperlink>
        </w:p>
        <w:p>
          <w:pPr>
            <w:pStyle w:val="Contents5"/>
            <w:tabs>
              <w:tab w:val="clear" w:pos="7892"/>
              <w:tab w:val="right" w:pos="9026" w:leader="dot"/>
            </w:tabs>
            <w:rPr/>
          </w:pPr>
          <w:hyperlink w:anchor="__RefHeading___Toc559978_3244359995">
            <w:r>
              <w:rPr>
                <w:webHidden/>
                <w:rStyle w:val="IndexLink"/>
                <w:rtl w:val="true"/>
              </w:rPr>
              <w:t>الصورة الثالثة</w:t>
            </w:r>
            <w:r>
              <w:rPr>
                <w:rStyle w:val="IndexLink"/>
                <w:rtl w:val="true"/>
              </w:rPr>
              <w:t>:</w:t>
              <w:tab/>
            </w:r>
            <w:r>
              <w:rPr>
                <w:rStyle w:val="IndexLink"/>
              </w:rPr>
              <w:t>478</w:t>
            </w:r>
          </w:hyperlink>
        </w:p>
        <w:p>
          <w:pPr>
            <w:pStyle w:val="Contents6"/>
            <w:tabs>
              <w:tab w:val="clear" w:pos="7609"/>
              <w:tab w:val="right" w:pos="9026" w:leader="dot"/>
            </w:tabs>
            <w:rPr/>
          </w:pPr>
          <w:hyperlink w:anchor="__RefHeading___Toc559980_3244359995">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559982_3244359995">
            <w:r>
              <w:rPr>
                <w:webHidden/>
                <w:rStyle w:val="IndexLink"/>
                <w:rtl w:val="true"/>
              </w:rPr>
              <w:t>تذنیب</w:t>
            </w:r>
            <w:r>
              <w:rPr>
                <w:rStyle w:val="IndexLink"/>
                <w:rtl w:val="true"/>
              </w:rPr>
              <w:t xml:space="preserve">: </w:t>
            </w:r>
            <w:r>
              <w:rPr>
                <w:rStyle w:val="IndexLink"/>
                <w:rtl w:val="true"/>
              </w:rPr>
              <w:t>فی بیان فروض الصورة الثالثة</w:t>
            </w:r>
            <w:r>
              <w:rPr>
                <w:rStyle w:val="IndexLink"/>
                <w:rtl w:val="true"/>
              </w:rPr>
              <w:tab/>
            </w:r>
            <w:r>
              <w:rPr>
                <w:rStyle w:val="IndexLink"/>
              </w:rPr>
              <w:t>481</w:t>
            </w:r>
          </w:hyperlink>
        </w:p>
        <w:p>
          <w:pPr>
            <w:pStyle w:val="Contents5"/>
            <w:tabs>
              <w:tab w:val="clear" w:pos="7892"/>
              <w:tab w:val="right" w:pos="9026" w:leader="dot"/>
            </w:tabs>
            <w:rPr/>
          </w:pPr>
          <w:hyperlink w:anchor="__RefHeading___Toc559984_3244359995">
            <w:r>
              <w:rPr>
                <w:webHidden/>
                <w:rStyle w:val="IndexLink"/>
                <w:rtl w:val="true"/>
              </w:rPr>
              <w:t>الصورة الرابعة</w:t>
            </w:r>
            <w:r>
              <w:rPr>
                <w:rStyle w:val="IndexLink"/>
                <w:rtl w:val="true"/>
              </w:rPr>
              <w:t>:</w:t>
              <w:tab/>
            </w:r>
            <w:r>
              <w:rPr>
                <w:rStyle w:val="IndexLink"/>
              </w:rPr>
              <w:t>483</w:t>
            </w:r>
          </w:hyperlink>
        </w:p>
        <w:p>
          <w:pPr>
            <w:pStyle w:val="Contents5"/>
            <w:tabs>
              <w:tab w:val="clear" w:pos="7892"/>
              <w:tab w:val="right" w:pos="9026" w:leader="dot"/>
            </w:tabs>
            <w:rPr/>
          </w:pPr>
          <w:hyperlink w:anchor="__RefHeading___Toc559986_3244359995">
            <w:r>
              <w:rPr>
                <w:webHidden/>
                <w:rStyle w:val="IndexLink"/>
                <w:rtl w:val="true"/>
              </w:rPr>
              <w:t>تنبیهات</w:t>
            </w:r>
            <w:r>
              <w:rPr>
                <w:rStyle w:val="IndexLink"/>
                <w:rtl w:val="true"/>
              </w:rPr>
              <w:t>:</w:t>
              <w:tab/>
            </w:r>
            <w:r>
              <w:rPr>
                <w:rStyle w:val="IndexLink"/>
              </w:rPr>
              <w:t>485</w:t>
            </w:r>
          </w:hyperlink>
        </w:p>
        <w:p>
          <w:pPr>
            <w:pStyle w:val="Contents6"/>
            <w:tabs>
              <w:tab w:val="clear" w:pos="7609"/>
              <w:tab w:val="right" w:pos="9026" w:leader="dot"/>
            </w:tabs>
            <w:rPr/>
          </w:pPr>
          <w:hyperlink w:anchor="__RefHeading___Toc559988_3244359995">
            <w:r>
              <w:rPr>
                <w:webHidden/>
                <w:rStyle w:val="IndexLink"/>
                <w:rtl w:val="true"/>
              </w:rPr>
              <w:t>الأوّل</w:t>
            </w:r>
            <w:r>
              <w:rPr>
                <w:rStyle w:val="IndexLink"/>
                <w:rtl w:val="true"/>
              </w:rPr>
              <w:t xml:space="preserve">: </w:t>
            </w:r>
            <w:r>
              <w:rPr>
                <w:rStyle w:val="IndexLink"/>
                <w:rtl w:val="true"/>
              </w:rPr>
              <w:t>حول ورود مقیّد واحد لمطلقات کثیرة و استهجان التقیید</w:t>
            </w:r>
            <w:r>
              <w:rPr>
                <w:rStyle w:val="IndexLink"/>
                <w:rtl w:val="true"/>
              </w:rPr>
              <w:tab/>
            </w:r>
            <w:r>
              <w:rPr>
                <w:rStyle w:val="IndexLink"/>
              </w:rPr>
              <w:t>485</w:t>
            </w:r>
          </w:hyperlink>
        </w:p>
        <w:p>
          <w:pPr>
            <w:pStyle w:val="Contents6"/>
            <w:tabs>
              <w:tab w:val="clear" w:pos="7609"/>
              <w:tab w:val="right" w:pos="9026" w:leader="dot"/>
            </w:tabs>
            <w:rPr/>
          </w:pPr>
          <w:hyperlink w:anchor="__RefHeading___Toc559990_3244359995">
            <w:r>
              <w:rPr>
                <w:webHidden/>
                <w:rStyle w:val="IndexLink"/>
                <w:rtl w:val="true"/>
              </w:rPr>
              <w:t>الثانی</w:t>
            </w:r>
            <w:r>
              <w:rPr>
                <w:rStyle w:val="IndexLink"/>
                <w:rtl w:val="true"/>
              </w:rPr>
              <w:t xml:space="preserve">: </w:t>
            </w:r>
            <w:r>
              <w:rPr>
                <w:rStyle w:val="IndexLink"/>
                <w:rtl w:val="true"/>
              </w:rPr>
              <w:t>فی حکم الشکّ فی تقدیم المطلق أو العامّ علی المقیّد أو الخاصّ</w:t>
            </w:r>
            <w:r>
              <w:rPr>
                <w:rStyle w:val="IndexLink"/>
                <w:rtl w:val="true"/>
              </w:rPr>
              <w:tab/>
            </w:r>
            <w:r>
              <w:rPr>
                <w:rStyle w:val="IndexLink"/>
              </w:rPr>
              <w:t>487</w:t>
            </w:r>
          </w:hyperlink>
        </w:p>
        <w:p>
          <w:pPr>
            <w:pStyle w:val="Contents6"/>
            <w:tabs>
              <w:tab w:val="clear" w:pos="7609"/>
              <w:tab w:val="right" w:pos="9026" w:leader="dot"/>
            </w:tabs>
            <w:rPr/>
          </w:pPr>
          <w:hyperlink w:anchor="__RefHeading___Toc559992_3244359995">
            <w:r>
              <w:rPr>
                <w:webHidden/>
                <w:rStyle w:val="IndexLink"/>
                <w:rtl w:val="true"/>
              </w:rPr>
              <w:t>الثالث</w:t>
            </w:r>
            <w:r>
              <w:rPr>
                <w:rStyle w:val="IndexLink"/>
                <w:rtl w:val="true"/>
              </w:rPr>
              <w:t xml:space="preserve">: </w:t>
            </w:r>
            <w:r>
              <w:rPr>
                <w:rStyle w:val="IndexLink"/>
                <w:rtl w:val="true"/>
              </w:rPr>
              <w:t>شمول النزاع السابق للأوامر الطریقیّة غیر المتماثلة</w:t>
            </w:r>
            <w:r>
              <w:rPr>
                <w:rStyle w:val="IndexLink"/>
                <w:rtl w:val="true"/>
              </w:rPr>
              <w:tab/>
            </w:r>
            <w:r>
              <w:rPr>
                <w:rStyle w:val="IndexLink"/>
              </w:rPr>
              <w:t>487</w:t>
            </w:r>
          </w:hyperlink>
        </w:p>
        <w:p>
          <w:pPr>
            <w:pStyle w:val="Contents4"/>
            <w:tabs>
              <w:tab w:val="clear" w:pos="8176"/>
              <w:tab w:val="right" w:pos="9026" w:leader="dot"/>
            </w:tabs>
            <w:rPr/>
          </w:pPr>
          <w:hyperlink w:anchor="__RefHeading___Toc559994_3244359995">
            <w:r>
              <w:rPr>
                <w:webHidden/>
                <w:rStyle w:val="IndexLink"/>
                <w:rtl w:val="true"/>
              </w:rPr>
              <w:t>المقام الثانی</w:t>
            </w:r>
            <w:r>
              <w:rPr>
                <w:rStyle w:val="IndexLink"/>
                <w:rtl w:val="true"/>
              </w:rPr>
              <w:t xml:space="preserve">: </w:t>
            </w:r>
            <w:r>
              <w:rPr>
                <w:rStyle w:val="IndexLink"/>
                <w:rtl w:val="true"/>
              </w:rPr>
              <w:t>فی صور المطلق و المقیّد المتکفّلین للحکم الوضعی</w:t>
            </w:r>
            <w:r>
              <w:rPr>
                <w:rStyle w:val="IndexLink"/>
                <w:rtl w:val="true"/>
              </w:rPr>
              <w:tab/>
            </w:r>
            <w:r>
              <w:rPr>
                <w:rStyle w:val="IndexLink"/>
              </w:rPr>
              <w:t>488</w:t>
            </w:r>
          </w:hyperlink>
        </w:p>
        <w:p>
          <w:pPr>
            <w:pStyle w:val="Contents5"/>
            <w:tabs>
              <w:tab w:val="clear" w:pos="7892"/>
              <w:tab w:val="right" w:pos="9026" w:leader="dot"/>
            </w:tabs>
            <w:rPr/>
          </w:pPr>
          <w:hyperlink w:anchor="__RefHeading___Toc559996_3244359995">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559998_3244359995">
            <w:r>
              <w:rPr>
                <w:webHidden/>
                <w:rStyle w:val="IndexLink"/>
                <w:rtl w:val="true"/>
              </w:rPr>
              <w:t>تنبیه</w:t>
            </w:r>
            <w:r>
              <w:rPr>
                <w:rStyle w:val="IndexLink"/>
                <w:rtl w:val="true"/>
              </w:rPr>
              <w:tab/>
            </w:r>
            <w:r>
              <w:rPr>
                <w:rStyle w:val="IndexLink"/>
              </w:rPr>
              <w:t>490</w:t>
            </w:r>
          </w:hyperlink>
        </w:p>
        <w:p>
          <w:pPr>
            <w:pStyle w:val="Contents5"/>
            <w:tabs>
              <w:tab w:val="clear" w:pos="7892"/>
              <w:tab w:val="right" w:pos="9026" w:leader="dot"/>
            </w:tabs>
            <w:rPr/>
          </w:pPr>
          <w:hyperlink w:anchor="__RefHeading___Toc560000_3244359995">
            <w:r>
              <w:rPr>
                <w:webHidden/>
                <w:rStyle w:val="IndexLink"/>
                <w:rtl w:val="true"/>
              </w:rPr>
              <w:t>تنبیه آخر</w:t>
            </w:r>
            <w:r>
              <w:rPr>
                <w:rStyle w:val="IndexLink"/>
                <w:rtl w:val="true"/>
              </w:rPr>
              <w:tab/>
            </w:r>
            <w:r>
              <w:rPr>
                <w:rStyle w:val="IndexLink"/>
              </w:rPr>
              <w:t>491</w:t>
            </w:r>
          </w:hyperlink>
        </w:p>
        <w:p>
          <w:pPr>
            <w:pStyle w:val="Contents4"/>
            <w:tabs>
              <w:tab w:val="clear" w:pos="8176"/>
              <w:tab w:val="right" w:pos="9026" w:leader="dot"/>
            </w:tabs>
            <w:rPr/>
          </w:pPr>
          <w:hyperlink w:anchor="__RefHeading___Toc560002_3244359995">
            <w:r>
              <w:rPr>
                <w:webHidden/>
                <w:rStyle w:val="IndexLink"/>
                <w:rtl w:val="true"/>
              </w:rPr>
              <w:t>المقام الثالث</w:t>
            </w:r>
            <w:r>
              <w:rPr>
                <w:rStyle w:val="IndexLink"/>
                <w:rtl w:val="true"/>
              </w:rPr>
              <w:t xml:space="preserve">: </w:t>
            </w:r>
            <w:r>
              <w:rPr>
                <w:rStyle w:val="IndexLink"/>
                <w:rtl w:val="true"/>
              </w:rPr>
              <w:t>فی المطلق و المقیّد المقرونین بذکر السبب</w:t>
            </w:r>
            <w:r>
              <w:rPr>
                <w:rStyle w:val="IndexLink"/>
                <w:rtl w:val="true"/>
              </w:rPr>
              <w:tab/>
            </w:r>
            <w:r>
              <w:rPr>
                <w:rStyle w:val="IndexLink"/>
              </w:rPr>
              <w:t>491</w:t>
            </w:r>
          </w:hyperlink>
        </w:p>
        <w:p>
          <w:pPr>
            <w:pStyle w:val="Contents5"/>
            <w:tabs>
              <w:tab w:val="clear" w:pos="7892"/>
              <w:tab w:val="right" w:pos="9026" w:leader="dot"/>
            </w:tabs>
            <w:rPr/>
          </w:pPr>
          <w:hyperlink w:anchor="__RefHeading___Toc560004_3244359995">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560006_3244359995">
            <w:r>
              <w:rPr>
                <w:webHidden/>
                <w:rStyle w:val="IndexLink"/>
                <w:rtl w:val="true"/>
              </w:rPr>
              <w:t>الصورة الأولی</w:t>
            </w:r>
            <w:r>
              <w:rPr>
                <w:rStyle w:val="IndexLink"/>
                <w:rtl w:val="true"/>
              </w:rPr>
              <w:t>:</w:t>
              <w:tab/>
            </w:r>
            <w:r>
              <w:rPr>
                <w:rStyle w:val="IndexLink"/>
              </w:rPr>
              <w:t>491</w:t>
            </w:r>
          </w:hyperlink>
        </w:p>
        <w:p>
          <w:pPr>
            <w:pStyle w:val="Contents5"/>
            <w:tabs>
              <w:tab w:val="clear" w:pos="7892"/>
              <w:tab w:val="right" w:pos="9026" w:leader="dot"/>
            </w:tabs>
            <w:rPr/>
          </w:pPr>
          <w:hyperlink w:anchor="__RefHeading___Toc560008_3244359995">
            <w:r>
              <w:rPr>
                <w:webHidden/>
                <w:rStyle w:val="IndexLink"/>
                <w:rtl w:val="true"/>
              </w:rPr>
              <w:t>الصورة الثانیة</w:t>
            </w:r>
            <w:r>
              <w:rPr>
                <w:rStyle w:val="IndexLink"/>
                <w:rtl w:val="true"/>
              </w:rPr>
              <w:t>:</w:t>
              <w:tab/>
            </w:r>
            <w:r>
              <w:rPr>
                <w:rStyle w:val="IndexLink"/>
              </w:rPr>
              <w:t>493</w:t>
            </w:r>
          </w:hyperlink>
        </w:p>
        <w:p>
          <w:pPr>
            <w:pStyle w:val="Contents5"/>
            <w:tabs>
              <w:tab w:val="clear" w:pos="7892"/>
              <w:tab w:val="right" w:pos="9026" w:leader="dot"/>
            </w:tabs>
            <w:rPr/>
          </w:pPr>
          <w:hyperlink w:anchor="__RefHeading___Toc560010_3244359995">
            <w:r>
              <w:rPr>
                <w:webHidden/>
                <w:rStyle w:val="IndexLink"/>
                <w:rtl w:val="true"/>
              </w:rPr>
              <w:t>الصورة الثالثة</w:t>
            </w:r>
            <w:r>
              <w:rPr>
                <w:rStyle w:val="IndexLink"/>
                <w:rtl w:val="true"/>
              </w:rPr>
              <w:t>:</w:t>
              <w:tab/>
            </w:r>
            <w:r>
              <w:rPr>
                <w:rStyle w:val="IndexLink"/>
              </w:rPr>
              <w:t>495</w:t>
            </w:r>
          </w:hyperlink>
        </w:p>
        <w:p>
          <w:pPr>
            <w:pStyle w:val="Contents6"/>
            <w:tabs>
              <w:tab w:val="clear" w:pos="7609"/>
              <w:tab w:val="right" w:pos="9026" w:leader="dot"/>
            </w:tabs>
            <w:rPr/>
          </w:pPr>
          <w:hyperlink w:anchor="__RefHeading___Toc560012_3244359995">
            <w:r>
              <w:rPr>
                <w:webHidden/>
                <w:rStyle w:val="IndexLink"/>
                <w:rtl w:val="true"/>
              </w:rPr>
              <w:t>اشارة</w:t>
            </w:r>
            <w:r>
              <w:rPr>
                <w:rStyle w:val="IndexLink"/>
                <w:rtl w:val="true"/>
              </w:rPr>
              <w:tab/>
            </w:r>
            <w:r>
              <w:rPr>
                <w:rStyle w:val="IndexLink"/>
              </w:rPr>
              <w:t>495</w:t>
            </w:r>
          </w:hyperlink>
        </w:p>
        <w:p>
          <w:pPr>
            <w:pStyle w:val="Contents6"/>
            <w:tabs>
              <w:tab w:val="clear" w:pos="7609"/>
              <w:tab w:val="right" w:pos="9026" w:leader="dot"/>
            </w:tabs>
            <w:rPr/>
          </w:pPr>
          <w:hyperlink w:anchor="__RefHeading___Toc560014_3244359995">
            <w:r>
              <w:rPr>
                <w:webHidden/>
                <w:rStyle w:val="IndexLink"/>
                <w:rtl w:val="true"/>
              </w:rPr>
              <w:t>بقی شی‌ء</w:t>
            </w:r>
            <w:r>
              <w:rPr>
                <w:rStyle w:val="IndexLink"/>
                <w:rtl w:val="true"/>
              </w:rPr>
              <w:t xml:space="preserve">: </w:t>
            </w:r>
            <w:r>
              <w:rPr>
                <w:rStyle w:val="IndexLink"/>
                <w:rtl w:val="true"/>
              </w:rPr>
              <w:t>و هو فرض العلم الخارجیّ بعدم التقیید من ناحیة عدم ذکر السبب</w:t>
            </w:r>
            <w:r>
              <w:rPr>
                <w:rStyle w:val="IndexLink"/>
                <w:rtl w:val="true"/>
              </w:rPr>
              <w:tab/>
            </w:r>
            <w:r>
              <w:rPr>
                <w:rStyle w:val="IndexLink"/>
              </w:rPr>
              <w:t>497</w:t>
            </w:r>
          </w:hyperlink>
        </w:p>
        <w:p>
          <w:pPr>
            <w:pStyle w:val="Contents6"/>
            <w:tabs>
              <w:tab w:val="clear" w:pos="7609"/>
              <w:tab w:val="right" w:pos="9026" w:leader="dot"/>
            </w:tabs>
            <w:rPr/>
          </w:pPr>
          <w:hyperlink w:anchor="__RefHeading___Toc560016_3244359995">
            <w:r>
              <w:rPr>
                <w:webHidden/>
                <w:rStyle w:val="IndexLink"/>
                <w:rtl w:val="true"/>
              </w:rPr>
              <w:t>بقی شی‌ء آخر</w:t>
            </w:r>
            <w:r>
              <w:rPr>
                <w:rStyle w:val="IndexLink"/>
                <w:rtl w:val="true"/>
              </w:rPr>
              <w:t xml:space="preserve">: </w:t>
            </w:r>
            <w:r>
              <w:rPr>
                <w:rStyle w:val="IndexLink"/>
                <w:rtl w:val="true"/>
              </w:rPr>
              <w:t>و هو ما إذا کان القید غیر مقرون بذکر السبب</w:t>
            </w:r>
            <w:r>
              <w:rPr>
                <w:rStyle w:val="IndexLink"/>
                <w:rtl w:val="true"/>
              </w:rPr>
              <w:tab/>
            </w:r>
            <w:r>
              <w:rPr>
                <w:rStyle w:val="IndexLink"/>
              </w:rPr>
              <w:t>497</w:t>
            </w:r>
          </w:hyperlink>
        </w:p>
        <w:p>
          <w:pPr>
            <w:pStyle w:val="Contents5"/>
            <w:tabs>
              <w:tab w:val="clear" w:pos="7892"/>
              <w:tab w:val="right" w:pos="9026" w:leader="dot"/>
            </w:tabs>
            <w:rPr/>
          </w:pPr>
          <w:hyperlink w:anchor="__RefHeading___Toc560018_3244359995">
            <w:r>
              <w:rPr>
                <w:webHidden/>
                <w:rStyle w:val="IndexLink"/>
                <w:rtl w:val="true"/>
              </w:rPr>
              <w:t>تنبیهات</w:t>
            </w:r>
            <w:r>
              <w:rPr>
                <w:rStyle w:val="IndexLink"/>
                <w:rtl w:val="true"/>
              </w:rPr>
              <w:tab/>
            </w:r>
            <w:r>
              <w:rPr>
                <w:rStyle w:val="IndexLink"/>
              </w:rPr>
              <w:t>498</w:t>
            </w:r>
          </w:hyperlink>
        </w:p>
        <w:p>
          <w:pPr>
            <w:pStyle w:val="Contents6"/>
            <w:tabs>
              <w:tab w:val="clear" w:pos="7609"/>
              <w:tab w:val="right" w:pos="9026" w:leader="dot"/>
            </w:tabs>
            <w:rPr/>
          </w:pPr>
          <w:hyperlink w:anchor="__RefHeading___Toc560020_3244359995">
            <w:r>
              <w:rPr>
                <w:webHidden/>
                <w:rStyle w:val="IndexLink"/>
                <w:rtl w:val="true"/>
              </w:rPr>
              <w:t>الأوّل</w:t>
            </w:r>
            <w:r>
              <w:rPr>
                <w:rStyle w:val="IndexLink"/>
                <w:rtl w:val="true"/>
              </w:rPr>
              <w:t xml:space="preserve">: </w:t>
            </w:r>
            <w:r>
              <w:rPr>
                <w:rStyle w:val="IndexLink"/>
                <w:rtl w:val="true"/>
              </w:rPr>
              <w:t>فی عدم اختصاص المطلق و المقیّد المقرونین بذکر السبب بالتکالیف الإیجابیّة</w:t>
            </w:r>
            <w:r>
              <w:rPr>
                <w:rStyle w:val="IndexLink"/>
                <w:rtl w:val="true"/>
              </w:rPr>
              <w:tab/>
            </w:r>
            <w:r>
              <w:rPr>
                <w:rStyle w:val="IndexLink"/>
              </w:rPr>
              <w:t>498</w:t>
            </w:r>
          </w:hyperlink>
        </w:p>
        <w:p>
          <w:pPr>
            <w:pStyle w:val="Contents6"/>
            <w:tabs>
              <w:tab w:val="clear" w:pos="7609"/>
              <w:tab w:val="right" w:pos="9026" w:leader="dot"/>
            </w:tabs>
            <w:rPr/>
          </w:pPr>
          <w:hyperlink w:anchor="__RefHeading___Toc560022_3244359995">
            <w:r>
              <w:rPr>
                <w:webHidden/>
                <w:rStyle w:val="IndexLink"/>
                <w:rtl w:val="true"/>
              </w:rPr>
              <w:t>الثانی</w:t>
            </w:r>
            <w:r>
              <w:rPr>
                <w:rStyle w:val="IndexLink"/>
                <w:rtl w:val="true"/>
              </w:rPr>
              <w:t xml:space="preserve">: </w:t>
            </w:r>
            <w:r>
              <w:rPr>
                <w:rStyle w:val="IndexLink"/>
                <w:rtl w:val="true"/>
              </w:rPr>
              <w:t>فی کیفیّة الجمع بین الدلیلین فی صورة کون النسبة مطلقا أو من وجه</w:t>
            </w:r>
            <w:r>
              <w:rPr>
                <w:rStyle w:val="IndexLink"/>
                <w:rtl w:val="true"/>
              </w:rPr>
              <w:tab/>
            </w:r>
            <w:r>
              <w:rPr>
                <w:rStyle w:val="IndexLink"/>
              </w:rPr>
              <w:t>499</w:t>
            </w:r>
          </w:hyperlink>
        </w:p>
        <w:p>
          <w:pPr>
            <w:pStyle w:val="Contents6"/>
            <w:tabs>
              <w:tab w:val="clear" w:pos="7609"/>
              <w:tab w:val="right" w:pos="9026" w:leader="dot"/>
            </w:tabs>
            <w:rPr/>
          </w:pPr>
          <w:hyperlink w:anchor="__RefHeading___Toc560024_3244359995">
            <w:r>
              <w:rPr>
                <w:webHidden/>
                <w:rStyle w:val="IndexLink"/>
                <w:rtl w:val="true"/>
              </w:rPr>
              <w:t>الثالث</w:t>
            </w:r>
            <w:r>
              <w:rPr>
                <w:rStyle w:val="IndexLink"/>
                <w:rtl w:val="true"/>
              </w:rPr>
              <w:t xml:space="preserve">: </w:t>
            </w:r>
            <w:r>
              <w:rPr>
                <w:rStyle w:val="IndexLink"/>
                <w:rtl w:val="true"/>
              </w:rPr>
              <w:t>فی الإشارة لجریان الحکومة فی بعض صور تنافی الدلیلین</w:t>
            </w:r>
            <w:r>
              <w:rPr>
                <w:rStyle w:val="IndexLink"/>
                <w:rtl w:val="true"/>
              </w:rPr>
              <w:tab/>
            </w:r>
            <w:r>
              <w:rPr>
                <w:rStyle w:val="IndexLink"/>
              </w:rPr>
              <w:t>500</w:t>
            </w:r>
          </w:hyperlink>
        </w:p>
        <w:p>
          <w:pPr>
            <w:pStyle w:val="Contents6"/>
            <w:tabs>
              <w:tab w:val="clear" w:pos="7609"/>
              <w:tab w:val="right" w:pos="9026" w:leader="dot"/>
            </w:tabs>
            <w:rPr/>
          </w:pPr>
          <w:hyperlink w:anchor="__RefHeading___Toc560026_3244359995">
            <w:r>
              <w:rPr>
                <w:webHidden/>
                <w:rStyle w:val="IndexLink"/>
                <w:rtl w:val="true"/>
              </w:rPr>
              <w:t>الرابع</w:t>
            </w:r>
            <w:r>
              <w:rPr>
                <w:rStyle w:val="IndexLink"/>
                <w:rtl w:val="true"/>
              </w:rPr>
              <w:t xml:space="preserve">: </w:t>
            </w:r>
            <w:r>
              <w:rPr>
                <w:rStyle w:val="IndexLink"/>
                <w:rtl w:val="true"/>
              </w:rPr>
              <w:t>فی ثبوت التقیید أحیانا مع کون النسبة عموما من وجه</w:t>
            </w:r>
            <w:r>
              <w:rPr>
                <w:rStyle w:val="IndexLink"/>
                <w:rtl w:val="true"/>
              </w:rPr>
              <w:tab/>
            </w:r>
            <w:r>
              <w:rPr>
                <w:rStyle w:val="IndexLink"/>
              </w:rPr>
              <w:t>501</w:t>
            </w:r>
          </w:hyperlink>
        </w:p>
        <w:p>
          <w:pPr>
            <w:pStyle w:val="Contents6"/>
            <w:tabs>
              <w:tab w:val="clear" w:pos="7609"/>
              <w:tab w:val="right" w:pos="9026" w:leader="dot"/>
            </w:tabs>
            <w:rPr/>
          </w:pPr>
          <w:hyperlink w:anchor="__RefHeading___Toc560028_3244359995">
            <w:r>
              <w:rPr>
                <w:webHidden/>
                <w:rStyle w:val="IndexLink"/>
                <w:rtl w:val="true"/>
              </w:rPr>
              <w:t>الخامس</w:t>
            </w:r>
            <w:r>
              <w:rPr>
                <w:rStyle w:val="IndexLink"/>
                <w:rtl w:val="true"/>
              </w:rPr>
              <w:t xml:space="preserve">: </w:t>
            </w:r>
            <w:r>
              <w:rPr>
                <w:rStyle w:val="IndexLink"/>
                <w:rtl w:val="true"/>
              </w:rPr>
              <w:t>فی المجمل و المبیّن</w:t>
            </w:r>
            <w:r>
              <w:rPr>
                <w:rStyle w:val="IndexLink"/>
                <w:rtl w:val="true"/>
              </w:rPr>
              <w:tab/>
            </w:r>
            <w:r>
              <w:rPr>
                <w:rStyle w:val="IndexLink"/>
              </w:rPr>
              <w:t>502</w:t>
            </w:r>
          </w:hyperlink>
        </w:p>
        <w:p>
          <w:pPr>
            <w:pStyle w:val="Contents6"/>
            <w:tabs>
              <w:tab w:val="clear" w:pos="7609"/>
              <w:tab w:val="right" w:pos="9026" w:leader="dot"/>
            </w:tabs>
            <w:rPr/>
          </w:pPr>
          <w:hyperlink w:anchor="__RefHeading___Toc560030_3244359995">
            <w:r>
              <w:rPr>
                <w:webHidden/>
                <w:rStyle w:val="IndexLink"/>
                <w:rtl w:val="true"/>
              </w:rPr>
              <w:t>اشارة</w:t>
            </w:r>
            <w:r>
              <w:rPr>
                <w:rStyle w:val="IndexLink"/>
                <w:rtl w:val="true"/>
              </w:rPr>
              <w:tab/>
            </w:r>
            <w:r>
              <w:rPr>
                <w:rStyle w:val="IndexLink"/>
              </w:rPr>
              <w:t>502</w:t>
            </w:r>
          </w:hyperlink>
        </w:p>
        <w:p>
          <w:pPr>
            <w:pStyle w:val="Contents6"/>
            <w:tabs>
              <w:tab w:val="clear" w:pos="7609"/>
              <w:tab w:val="right" w:pos="9026" w:leader="dot"/>
            </w:tabs>
            <w:rPr/>
          </w:pPr>
          <w:hyperlink w:anchor="__RefHeading___Toc560032_3244359995">
            <w:r>
              <w:rPr>
                <w:webHidden/>
                <w:rStyle w:val="IndexLink"/>
                <w:rtl w:val="true"/>
              </w:rPr>
              <w:t>تذنیب</w:t>
            </w:r>
            <w:r>
              <w:rPr>
                <w:rStyle w:val="IndexLink"/>
                <w:rtl w:val="true"/>
              </w:rPr>
              <w:t xml:space="preserve">: </w:t>
            </w:r>
            <w:r>
              <w:rPr>
                <w:rStyle w:val="IndexLink"/>
                <w:rtl w:val="true"/>
              </w:rPr>
              <w:t>فی بیان قسمی الإجمال و أنّه و مقابله قد یوصف بهما الکلام الواحد</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67_140693"/>
      <w:bookmarkStart w:id="1" w:name="pg13167_140693"/>
      <w:bookmarkEnd w:id="1"/>
    </w:p>
    <w:p>
      <w:pPr>
        <w:pStyle w:val="Heading2"/>
        <w:numPr>
          <w:ilvl w:val="1"/>
          <w:numId w:val="1"/>
        </w:numPr>
        <w:rPr/>
      </w:pPr>
      <w:bookmarkStart w:id="2" w:name="pg13167_140693"/>
      <w:bookmarkStart w:id="3" w:name="__RefHeading___Toc559316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مصطفی،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مصطفی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الامام الخمینی،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۰‌۴۲۰۰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الثقافه و الارشاد الاسلامی، موسسه الطبع و النشر،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9318_3244359995"/>
      <w:bookmarkStart w:id="6" w:name="_Toc2"/>
      <w:bookmarkEnd w:id="5"/>
      <w:r>
        <w:rPr>
          <w:rtl w:val="true"/>
        </w:rPr>
        <w:t>اشارة</w:t>
      </w:r>
      <w:bookmarkStart w:id="7" w:name="pg13167_140694"/>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559320_3244359995"/>
      <w:bookmarkStart w:id="9" w:name="_Toc3"/>
      <w:bookmarkEnd w:id="8"/>
      <w:r>
        <w:rPr>
          <w:rtl w:val="true"/>
        </w:rPr>
        <w:t>المقصد الرابع فی المفاهیم</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59322_3244359995"/>
      <w:bookmarkStart w:id="11" w:name="_Toc4"/>
      <w:bookmarkEnd w:id="10"/>
      <w:r>
        <w:rPr>
          <w:rtl w:val="true"/>
        </w:rPr>
        <w:t>اشارة</w:t>
      </w:r>
      <w:bookmarkStart w:id="12" w:name="pg13167_140695"/>
      <w:bookmarkEnd w:id="11"/>
    </w:p>
    <w:p>
      <w:pPr>
        <w:pStyle w:val="Heading3"/>
        <w:numPr>
          <w:ilvl w:val="2"/>
          <w:numId w:val="1"/>
        </w:numPr>
        <w:rPr/>
      </w:pPr>
      <w:bookmarkStart w:id="13" w:name="__RefHeading___Toc559324_3244359995"/>
      <w:bookmarkStart w:id="14" w:name="_Toc5"/>
      <w:bookmarkEnd w:id="12"/>
      <w:bookmarkEnd w:id="13"/>
      <w:r>
        <w:rPr>
          <w:rtl w:val="true"/>
        </w:rPr>
        <w:t>تمهید</w:t>
      </w:r>
      <w:bookmarkEnd w:id="14"/>
    </w:p>
    <w:p>
      <w:pPr>
        <w:pStyle w:val="Heading4"/>
        <w:numPr>
          <w:ilvl w:val="3"/>
          <w:numId w:val="1"/>
        </w:numPr>
        <w:rPr/>
      </w:pPr>
      <w:bookmarkStart w:id="15" w:name="__RefHeading___Toc559326_3244359995"/>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و قبل الخوض فی مباحثه لا بدّ من الإشارة إلی جهات لازمة فی المسألة</w:t>
      </w:r>
      <w:r>
        <w:rPr>
          <w:rFonts w:eastAsia="IRNazanin" w:cs="IRNazanin"/>
          <w:color w:val="111111"/>
          <w:sz w:val="28"/>
          <w:szCs w:val="28"/>
          <w:rtl w:val="true"/>
          <w:lang w:bidi="fa-IR"/>
        </w:rPr>
        <w:t>:</w:t>
      </w:r>
    </w:p>
    <w:p>
      <w:pPr>
        <w:pStyle w:val="Heading4"/>
        <w:numPr>
          <w:ilvl w:val="3"/>
          <w:numId w:val="1"/>
        </w:numPr>
        <w:rPr/>
      </w:pPr>
      <w:bookmarkStart w:id="17" w:name="__RefHeading___Toc559328_3244359995"/>
      <w:bookmarkStart w:id="18" w:name="_Toc7"/>
      <w:bookmarkEnd w:id="17"/>
      <w:r>
        <w:rPr>
          <w:rtl w:val="true"/>
        </w:rPr>
        <w:t>الجهة الأولی</w:t>
      </w:r>
      <w:r>
        <w:rPr>
          <w:rtl w:val="true"/>
        </w:rPr>
        <w:t xml:space="preserve">: </w:t>
      </w:r>
      <w:r>
        <w:rPr>
          <w:rtl w:val="true"/>
        </w:rPr>
        <w:t>فی تعریف المنطوق و المفهوم</w:t>
      </w:r>
      <w:bookmarkEnd w:id="18"/>
    </w:p>
    <w:p>
      <w:pPr>
        <w:pStyle w:val="BookText"/>
        <w:rPr/>
      </w:pPr>
      <w:r>
        <w:rPr>
          <w:rFonts w:ascii="IRNazanin" w:hAnsi="IRNazanin" w:eastAsia="IRNazanin"/>
          <w:color w:val="111111"/>
          <w:sz w:val="28"/>
          <w:sz w:val="28"/>
          <w:szCs w:val="28"/>
          <w:rtl w:val="true"/>
          <w:lang w:bidi="fa-IR"/>
        </w:rPr>
        <w:t>نسب إلی الحاجبیّ تارة</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المشهور أخری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دلّ علیه اللفظ لا فی محلّ النطق، و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علیه اللفظ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هذا التعریف مخدوش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الدلالة الالتزامیّة لیست من الدلالات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لیس مطلق ما یدلّ علیه اللفظ و لو بالدلالة الالتزامیّة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المفاهیم الحاصلة من دلالة المفردات خارجة عن محطّ الکلام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أمکن دفع الکلّ، 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کثیرا ما یستفاد من القضیّة الملفوظة معنی خارجا عن محلّ النطق، من غیر کونه محلّ الکلام فی المقام بالضرورة، کما إذا قال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عمرا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یستفاد منه بالضرورة صحّة مزاج</w:t>
      </w:r>
    </w:p>
    <w:p>
      <w:pPr>
        <w:pStyle w:val="BookText"/>
        <w:rPr/>
      </w:pPr>
      <w:r>
        <w:rPr>
          <w:rFonts w:ascii="IRNazanin" w:hAnsi="IRNazanin" w:eastAsia="IRNazanin"/>
          <w:color w:val="111111"/>
          <w:sz w:val="28"/>
          <w:sz w:val="28"/>
          <w:szCs w:val="28"/>
          <w:rtl w:val="true"/>
          <w:lang w:bidi="fa-IR"/>
        </w:rPr>
        <w:t>عمرو، و اقتداره علی المجی‌ء، و غیر ذلک من المعانی التی هی خارجة عن اللفظ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إنّه تعریف مخدوش عدلوا عنه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المنطوق یکون حکما لمذکور، و حالا من أحواله، و المفهوم یکون حکما لغیر مذکور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هذا أیضا 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مذکور فی المفهوم أیضا، ضرورة أنّ زیدا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بشخصه، مع أنّ تعریفه أیضا یکون للمفهوم الأعمّ ممّا هو مورد النّظر فی هذه البحوث، عدلوا عن تعریف العضدی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المفهوم إنّما هو حکم غیر مذکور لا أنّه حکم لغیر مذکور</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إنّه أیضا مورد الإشکال بالأعمّیة</w:t>
      </w:r>
      <w:r>
        <w:rPr>
          <w:rStyle w:val="FootnoteAnchor"/>
          <w:rtl w:val="true"/>
        </w:rPr>
        <w:footnoteReference w:id="6"/>
      </w:r>
      <w:r>
        <w:rPr>
          <w:rFonts w:ascii="IRNazanin" w:hAnsi="IRNazanin" w:eastAsia="IRNazanin"/>
          <w:color w:val="111111"/>
          <w:sz w:val="28"/>
          <w:sz w:val="28"/>
          <w:szCs w:val="28"/>
          <w:rtl w:val="true"/>
          <w:lang w:bidi="fa-IR"/>
        </w:rPr>
        <w:t>، و بما فی بعض حواشیها</w:t>
      </w:r>
      <w:r>
        <w:rPr>
          <w:rStyle w:val="FootnoteAnchor"/>
          <w:rtl w:val="true"/>
        </w:rPr>
        <w:footnoteReference w:id="7"/>
      </w:r>
      <w:r>
        <w:rPr>
          <w:rFonts w:ascii="IRNazanin" w:hAnsi="IRNazanin" w:eastAsia="IRNazanin"/>
          <w:color w:val="111111"/>
          <w:sz w:val="28"/>
          <w:sz w:val="28"/>
          <w:szCs w:val="28"/>
          <w:rtl w:val="true"/>
          <w:lang w:bidi="fa-IR"/>
        </w:rPr>
        <w:t>، مع إمکان الذبّ عنها، عدل عنه الوالد المحقّق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المفهوم عبارة عن قضیّة غیر مذکورة مستفادة من القضیّة المذکورة عند فرض انتفاء أحد قیود الکلام، و بینهما تقابل السلب و الإیجاب بحسب الحکم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 ما فیه من الأعمّیة، مع أنّ المفهوم الموافق خارج عن تعریفه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هو الأحقّ بالتصدیق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و یراد منه ما یقابل المنطوق لغة، فما هو المفهوم هو المعنی، و ما هو المنطوق هو اللفظ، و هذا لیس مورد الکلام فی هذه المراحل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و یراد منه ما یفهم من القضیّة اللفظیّة بدلالة غیر مطابقیّة، کما عرفت فی المثال المزبور، و یکون لکلّ قضیّة مفهوم، بل مفاهیم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المنطوق معلوم، و أمّا القضایا التی تدلّ علیها هذه الجملة فکثیرة، منها دلالتها علی حیاة المتکلّم، و أنّه شاعر عالم متصوّر، و غیر ذلک ممّا لا یعدّ و لا یحصی، فهذا النحو من المفاهیم أیضا خارج، مع أنّ دلالة القضیّة علیها قطعیّة و ضروریّة، فیکون من البیّن بالمعنی الأخصّ، و من اللاّزم الواضح، و مع ذلک لیس من المفهوم المقصود بالبحث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ضعف ما أفاده سیّدنا الأستاذ البروجردیّ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صحّة نسبة جمیع اللوازم العقلیّة و العرفیّة إلی المتکلّم،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تنطّق بها، و لیس له إنکارها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و یراد منه ما هو مقصود الباحثین الأصولیّین فی هذا الفنّ، فعندئذ لا بدّ من مراعاة قیود فی الکلام و فی تعریفه، حتّی لا یشمل إلاّ الأخیر، و یشمل المفهومین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 و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الإشارة إلی ما هو تعریفه، لا بدّ من الإیماء إلی ما ظنّه الأستاذ المزبور فی باب المفاهیم، حتّی یعلم أنّ التعریف الآتی یکون خالیا من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السیّد 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جمیع ما یستفاد من الدلالات الثلاث، لا یکون إلاّ منطوقا، فإنّ المنطوق ما دلّ علیه اللفظ بالدلالة الوضعیّة، و منها التضمّنیة و الالتزامیّة، و یکون المنطوق ما یحتجّ به المتکلّم، و یؤاخذ بأنّه قاله و تکلّم به، و لا یتمکّن من إنکاره إلاّ مکابرة، و جمیع المفاهیم المستفادة من الدلالات الثلاث تکون نسبتها إلی اللافظ و المتکلّم صحیحة، فلا تکون مفهوما حذاء المنطوق</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المفهوم هی المعانی الأخری التی یتمکّن المتکلّم من إنکارها،</w:t>
      </w:r>
    </w:p>
    <w:p>
      <w:pPr>
        <w:pStyle w:val="BookText"/>
        <w:rPr/>
      </w:pPr>
      <w:r>
        <w:rPr>
          <w:rFonts w:ascii="IRNazanin" w:hAnsi="IRNazanin" w:eastAsia="IRNazanin"/>
          <w:color w:val="111111"/>
          <w:sz w:val="28"/>
          <w:sz w:val="28"/>
          <w:szCs w:val="28"/>
          <w:rtl w:val="true"/>
          <w:lang w:bidi="fa-IR"/>
        </w:rPr>
        <w:t>و یصدّقه العقلاء بأنّه ما قاله، و لکن ربّما لا یصدّقوه، لأجل استفادتهم منها نوعا، و یحتجّون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یصدّقوه بأنّه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یجئ 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کتب المتأخّرین من جعل المفهوم من الدلالة الالتزامیّة</w:t>
      </w:r>
      <w:r>
        <w:rPr>
          <w:rStyle w:val="FootnoteAnchor"/>
          <w:rtl w:val="true"/>
        </w:rPr>
        <w:footnoteReference w:id="10"/>
      </w:r>
      <w:r>
        <w:rPr>
          <w:rFonts w:ascii="IRNazanin" w:hAnsi="IRNazanin" w:eastAsia="IRNazanin"/>
          <w:color w:val="111111"/>
          <w:sz w:val="28"/>
          <w:sz w:val="28"/>
          <w:szCs w:val="28"/>
          <w:rtl w:val="true"/>
          <w:lang w:bidi="fa-IR"/>
        </w:rPr>
        <w:t>، فی غیر محلّه بالضرورة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فی محلّه بطلان الدلالة التضمّنیة و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فواضحة، بل لا ترجع إلی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فلأنّ الدلالة الوضعیّة هی دلالة اللفظ علی المعنی تبعا لوضع الواضع، فلو کان الواضع لاحظ اللازم فیکون قیدا فی الموضوع له، و لا یکون من الدلالة الالتزامیّة التی هی متأخّرة فی الرتبة عن 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یلاحظ الواضع فلا یکون من الوضع، بل هو أمر حاصل من الألسن و کثرة الاستعمال و التلازم الخارجیّ، من غیر کونه واردا فی الموضوع له، و ربّما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 للمعنی الملزوم و اللازم، فیکون الموضوع له مرکّبا و مقیّدا أیضا، فلا یعقل الدلالة الالتزامیّة الوضعیّة إلاّ تساهلا 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الواضع اعتبر الملازمة، و هذا أمر غیر ممکن، لأنّها واقعیّة، و لیست تحت سلطان الواضع بالضرورة، فعلیه تنحصر الدلالة الوضعیّة بالمطابقة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الأمور، و جهات المناقشة فی تعاریف القوم، فلا بأس بالإشارة إلی نکتة أخری یلزم مراعاتها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أخذ صفة غیر مذکورة فی</w:t>
      </w:r>
    </w:p>
    <w:p>
      <w:pPr>
        <w:pStyle w:val="BookText"/>
        <w:rPr/>
      </w:pPr>
      <w:r>
        <w:rPr>
          <w:rFonts w:ascii="IRNazanin" w:hAnsi="IRNazanin" w:eastAsia="IRNazanin"/>
          <w:color w:val="111111"/>
          <w:sz w:val="28"/>
          <w:sz w:val="28"/>
          <w:szCs w:val="28"/>
          <w:rtl w:val="true"/>
          <w:lang w:bidi="fa-IR"/>
        </w:rPr>
        <w:t>تعریف المفهوم، لیس علی ما ینبغی، ضرورة أنّ ماهیّة المفهوم لیست مرهونة باللامذکور، لإمکان کونه مذکورا فی الکلام أحیانا، فیکون المنطوق مفهوما، و لا داعی إلی أخذه و حمل الصفة علی الغالبیّة، أو حمل القضیّة علی المهملة دون المطلقة،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الّذی هو مقصود الأصولیّین، هی قضیّة یمکن استفادتها من قضیّة ملفوظة لا بدلالة المطابقة، و کانت تلک الاستفادة لأجل أخذ قید و خصوصیّة فی القضیّة الملفوظة و فی الکلام، إخباریّا کان، أو إنشائیّا، فتخرج المفاهیم الأفرادیّة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أنّها لیست مستفادة بتّا و قطعا، لما فیه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تخرج القضایا الذهنیّة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المعقولات الثالثة و الرابعة 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المفهوم المطابقی للجملة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بدلالة 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یشمل سائر الدلالات، فإنّ المفهوم ما یستفاد منها بأیّة دلالة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أخذ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خروج المفاهیم حسب الإطلاق الثانی الّذی مرّ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إلی سائر القیود، إلا أنّا ذکرناها إیضاحا للمرام، و اللَّه ولیّ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المقالة یستفاد أمور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و المنطوق من أنحاء مدالیل الکلام، و لا وجه لتخیّل کون المفهوم من أنحاء الدلالة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و المنطوق وجودیّان، و لا ثالث لهما، و دعوی أنّ بینهما تقابل العدم و الملکة، أو هما من الضدّین اللّذین لهما ثالث، لأنّ المفهوم من المدالیل</w:t>
      </w:r>
      <w:bookmarkStart w:id="19" w:name="pg13167_140700"/>
    </w:p>
    <w:p>
      <w:pPr>
        <w:pStyle w:val="BookText"/>
        <w:rPr/>
      </w:pPr>
      <w:bookmarkEnd w:id="19"/>
      <w:r>
        <w:rPr>
          <w:rFonts w:ascii="IRNazanin" w:hAnsi="IRNazanin" w:eastAsia="IRNazanin"/>
          <w:color w:val="111111"/>
          <w:sz w:val="28"/>
          <w:sz w:val="28"/>
          <w:szCs w:val="28"/>
          <w:rtl w:val="true"/>
          <w:lang w:bidi="fa-IR"/>
        </w:rPr>
        <w:t xml:space="preserve">الالتزامیّة باللزوم البیّن </w:t>
      </w:r>
      <w:r>
        <w:rPr>
          <w:rStyle w:val="FootnoteAnchor"/>
          <w:rtl w:val="true"/>
        </w:rPr>
        <w:footnoteReference w:id="12"/>
      </w:r>
      <w:r>
        <w:rPr>
          <w:rFonts w:ascii="IRNazanin" w:hAnsi="IRNazanin" w:eastAsia="IRNazanin"/>
          <w:color w:val="111111"/>
          <w:sz w:val="28"/>
          <w:sz w:val="28"/>
          <w:szCs w:val="28"/>
          <w:rtl w:val="true"/>
          <w:lang w:bidi="fa-IR"/>
        </w:rPr>
        <w:t>، فی غیر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المذکور فی الکلام أحیانا لا یخرج عن المفهومیّة، کما أنّ المنطوق الّذی ینقلب مفهوما أو یصحّ أن یعبّر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کونهما من المتضایفین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یجئ زید فلا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یعلم منه أنّهما اعتباریّان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المتقدّم فی القول هو المنطوق، و المتأخّر مفهوم مصرّح به، فافهم و اغتنم، و اللَّه ولیّ التوفیق</w:t>
      </w:r>
      <w:r>
        <w:rPr>
          <w:rFonts w:eastAsia="IRNazanin" w:cs="IRNazanin"/>
          <w:color w:val="111111"/>
          <w:sz w:val="28"/>
          <w:szCs w:val="28"/>
          <w:rtl w:val="true"/>
          <w:lang w:bidi="fa-IR"/>
        </w:rPr>
        <w:t>.</w:t>
      </w:r>
    </w:p>
    <w:p>
      <w:pPr>
        <w:pStyle w:val="Heading4"/>
        <w:numPr>
          <w:ilvl w:val="3"/>
          <w:numId w:val="1"/>
        </w:numPr>
        <w:rPr/>
      </w:pPr>
      <w:bookmarkStart w:id="20" w:name="__RefHeading___Toc559330_3244359995"/>
      <w:bookmarkStart w:id="21" w:name="_Toc8"/>
      <w:bookmarkEnd w:id="20"/>
      <w:r>
        <w:rPr>
          <w:rtl w:val="true"/>
        </w:rPr>
        <w:t>الجهة الثانیة</w:t>
      </w:r>
      <w:r>
        <w:rPr>
          <w:rtl w:val="true"/>
        </w:rPr>
        <w:t xml:space="preserve">: </w:t>
      </w:r>
      <w:r>
        <w:rPr>
          <w:rtl w:val="true"/>
        </w:rPr>
        <w:t>فی أنّ نزاع المفهوم صغرویّ أو کبرویّ</w:t>
      </w:r>
      <w:bookmarkEnd w:id="21"/>
    </w:p>
    <w:p>
      <w:pPr>
        <w:pStyle w:val="BookText"/>
        <w:rPr/>
      </w:pPr>
      <w:r>
        <w:rPr>
          <w:rFonts w:ascii="IRNazanin" w:hAnsi="IRNazanin" w:eastAsia="IRNazanin"/>
          <w:color w:val="111111"/>
          <w:sz w:val="28"/>
          <w:sz w:val="28"/>
          <w:szCs w:val="28"/>
          <w:rtl w:val="true"/>
          <w:lang w:bidi="fa-IR"/>
        </w:rPr>
        <w:t xml:space="preserve">ربّما یستظهر من کلام الأقدمین، أنّ النزاع کان فی حجّیة المفهوم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البحث عن حجّیته راجع إلی البحث عن حجّیة الظواهر، و یندرج فی تلک المسألة، و النزاع هنا لیس کبرویّا، بل یکون حول أنّ القضیّة المشتملة علی الخصوصیّة و القید لها المفهوم، أم لا، فیکون النزاع صغرویّا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 السیّد البروجردیّ قدس سره من المتأخّرین کبرویّة النزاع، لما مرّ منه من أنّ الکلام فی هذا الفنّ حول المفاهیم غیر المستندة إلی الوضع و إحدی الدلالات، فیکون خارجا عن بحوث الظواهر، و یرجع إلی دلالة فعل المتکلّم المختار المرید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أخذ فی کلامه الخصوصیّة و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الانتفاء عند الانتفاء</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کأنّه قدس سرُّه تحفّظا علی ما أخذه موضوعا للعلم، اعتبر کبرویّة النزاع، و إلاّ یلزم خروج هذا المقصد من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المتأخّرون فلا یضرّهم البحث الصغرویّ، ضرورة أنّ المفهوم بعد ثبوته یصحّح الکبری لقیاس الاستنتاج، و حجّة بالحمل الشائع علی المسألة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 هو التفصیل، فما کان من المفاهیم مستفادا من إثبات العلّیة التامّة المنحصرة فی جانب المنطوق، فذلک المفهوم حجّة، و لیس مندرجا فی بحث الظواهر، لأنّها محلّ الخلاف حجّیتها، بخلاف هذا المفهوم، فإنّ حجّیته قطعیّة، و لیست قابلة للخلاف، للزوم الخلف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حجّیة المفهوم فی هذا الفرض لیست قابلة للسلب، بخلاف حجّیة القطع، فإنّها قابلة للسلب، کما تحرّر منّا فی بحوث الإجزاء</w:t>
      </w:r>
      <w:r>
        <w:rPr>
          <w:rStyle w:val="FootnoteAnchor"/>
          <w:rtl w:val="true"/>
        </w:rPr>
        <w:footnoteReference w:id="16"/>
      </w:r>
      <w:r>
        <w:rPr>
          <w:rFonts w:ascii="IRNazanin" w:hAnsi="IRNazanin" w:eastAsia="IRNazanin"/>
          <w:color w:val="111111"/>
          <w:sz w:val="28"/>
          <w:sz w:val="28"/>
          <w:szCs w:val="28"/>
          <w:rtl w:val="true"/>
          <w:lang w:bidi="fa-IR"/>
        </w:rPr>
        <w:t xml:space="preserve">، و یأتی فی محلّه </w:t>
      </w:r>
      <w:r>
        <w:rPr>
          <w:rStyle w:val="FootnoteAnchor"/>
          <w:rtl w:val="true"/>
        </w:rPr>
        <w:footnoteReference w:id="17"/>
      </w:r>
      <w:r>
        <w:rPr>
          <w:rFonts w:ascii="Amiri" w:hAnsi="Amiri" w:eastAsia="Amiri" w:cs="Amiri"/>
          <w:color w:val="111111"/>
          <w:sz w:val="28"/>
          <w:sz w:val="28"/>
          <w:szCs w:val="28"/>
          <w:rtl w:val="true"/>
          <w:lang w:bidi="ar-SA"/>
        </w:rPr>
        <w:t xml:space="preserve">و أنّ ما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حجّیة القطع ذاتیّة</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ممّا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حجّیة المفهوم بعد کون المنطوق دلیلا علی علّیة الشرط للجزاء علّیة تامّة منحصرة لیست قابلة للسلب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ذاتیّة، فهی غیر صحیحة حسب الاصطلاحات فی إطلاقات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أبواب الإیساغوجی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الأوّل من المفاهیم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الطائفة الثانیة منها، فهی التی تستفاد من المنطوق حسب الأفهام العرفیّة،</w:t>
      </w:r>
    </w:p>
    <w:p>
      <w:pPr>
        <w:pStyle w:val="BookText"/>
        <w:rPr/>
      </w:pPr>
      <w:r>
        <w:rPr>
          <w:rFonts w:ascii="IRNazanin" w:hAnsi="IRNazanin" w:eastAsia="IRNazanin"/>
          <w:color w:val="111111"/>
          <w:sz w:val="28"/>
          <w:sz w:val="28"/>
          <w:szCs w:val="28"/>
          <w:rtl w:val="true"/>
          <w:lang w:bidi="fa-IR"/>
        </w:rPr>
        <w:t>من غیر دلالة المنطوق علی العلّیة التامّة المنحصرة، فهذه تکون قابلة للجعل، و تکون قابلة للخلاف، و لیست مندرجة فی الظواهر بنحو الإطلاق، فلا یکفی النزاع الآتی فی الظواهر</w:t>
      </w:r>
      <w:r>
        <w:rPr>
          <w:rStyle w:val="FootnoteAnchor"/>
          <w:rtl w:val="true"/>
        </w:rPr>
        <w:footnoteReference w:id="19"/>
      </w:r>
      <w:r>
        <w:rPr>
          <w:rFonts w:ascii="IRNazanin" w:hAnsi="IRNazanin" w:eastAsia="IRNazanin"/>
          <w:color w:val="111111"/>
          <w:sz w:val="28"/>
          <w:sz w:val="28"/>
          <w:szCs w:val="28"/>
          <w:rtl w:val="true"/>
          <w:lang w:bidi="fa-IR"/>
        </w:rPr>
        <w:t>عن 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بأنّ للجملة المغیّاة مفهوما، و المفهوم مستفاد من أخذ الغایة عرفا، فهو لیس من أنحاء مدالیل الکلام حتّی یکون من الظواهر کما عرفت، بل هو ربّما یستند إلی بعض الجهات الاخر، مثل اللغویّة، و اللالغویّة، فلا بد من عقد البحث عن حجّیته بعد فرض ثبوته، و لا یکفی مجرّد ثبوته، فهناک نزاعان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صغرویّ، و هو أنّ للجملة الشرطیّة و الوصفیّة مفهوما، أم لا؟</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صغرویّ و کبرویّ من جهتین، صغرویّ لأجل البحث عن أصل وجود المفهوم للغایة، و کبرویّ لأجل البحث عن حجّیته بعد ثبوته، لأنّه ربّما لا یکون من اللازم البین، بل یکون من مدالیل الکلام حسب المتعارف فی محیط التقنین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کما لا یکون النزاع عن حجّیة الظواهر من النزاع العقلائیّ، لوضوحها، کذلک الأمر هنا،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طائفة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المفاهیم الموافقة، فإنّ النزاع فیها مثل الطائفة الثانیة أیضا، کما تری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الطائفة الثانیة أیضا یرید القائل بالمفهوم إثبات انحصار موضوع الحکم بما فی المنطوق، و نتیجة ذلک سلب سنخ الحکم عن الموضوعات الاخر، فتدبّر</w:t>
      </w:r>
      <w:r>
        <w:rPr>
          <w:rFonts w:eastAsia="IRNazanin" w:cs="IRNazanin"/>
          <w:color w:val="111111"/>
          <w:sz w:val="28"/>
          <w:szCs w:val="28"/>
          <w:rtl w:val="true"/>
          <w:lang w:bidi="fa-IR"/>
        </w:rPr>
        <w:t>.</w:t>
      </w:r>
      <w:bookmarkStart w:id="22" w:name="pg13167_140703"/>
    </w:p>
    <w:p>
      <w:pPr>
        <w:pStyle w:val="Heading4"/>
        <w:numPr>
          <w:ilvl w:val="3"/>
          <w:numId w:val="1"/>
        </w:numPr>
        <w:rPr/>
      </w:pPr>
      <w:bookmarkStart w:id="23" w:name="__RefHeading___Toc559332_3244359995"/>
      <w:bookmarkStart w:id="24" w:name="_Toc9"/>
      <w:bookmarkEnd w:id="22"/>
      <w:bookmarkEnd w:id="23"/>
      <w:r>
        <w:rPr>
          <w:rtl w:val="true"/>
        </w:rPr>
        <w:t>الجهة الثالثة</w:t>
      </w:r>
      <w:r>
        <w:rPr>
          <w:rtl w:val="true"/>
        </w:rPr>
        <w:t xml:space="preserve">: </w:t>
      </w:r>
      <w:r>
        <w:rPr>
          <w:rtl w:val="true"/>
        </w:rPr>
        <w:t>فی أنّ المقصود نفی سنخ الحکم لا شخصه</w:t>
      </w:r>
      <w:bookmarkEnd w:id="24"/>
    </w:p>
    <w:p>
      <w:pPr>
        <w:pStyle w:val="Heading5"/>
        <w:numPr>
          <w:ilvl w:val="4"/>
          <w:numId w:val="1"/>
        </w:numPr>
        <w:rPr/>
      </w:pPr>
      <w:bookmarkStart w:id="25" w:name="__RefHeading___Toc559334_3244359995"/>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لا شبهة فی انتفاء شخص الحکم بانتفاء موضوعه، و لا شبهة فی أنّ انتفاء موضوع الحکم بانتفاء وحدته، و لا شبهة فی أنّ تلک الوحدة تختلّ بانتفاء الکلّ، أو الجزء، أو القید الداخل فی الموضوع تقیّدا، و الخارج عنه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یتوهّم بقاء الحکم الشخصیّ، بقیام علّة أخری مقام العلّة الأولی التی استتبعت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علی تقدیر تمامیّته لا یکون من الاختلال فی موضوعه، بل هو من التبادل فی علّة الحکم، و أنّها کانت واسطة فی الثبوت، دون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لمجیئه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وجوب الإکرام یمکن أن یبقی لعلّة أخری عند انتفاء المجی‌ء، بخلاف ما إذا رجعت القضیّة إلی أنّ زیدا الجائی موضوع الحکم، فإنّه لا یعقل بقاء الإرادة المتشخّصة بالمتعلّق و المراد، مع تبدّل المراد و تغیّره فی عالم تعلّق الإرادة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الحکم الشخصیّ عند انتفاء القید ضروریّ، و عدم ثبوت الحکم الشخصی عند عدم ثبوت العلّة الأولی قطعیّ، فإنّه لا یجب إکرامه عند عدم مجیئه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نحوان من الانتفاء عند الانتفاء ممّا لا کلام فیهما، و لیسا مورد النزاع و البحث فی فنّ المفاهیم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المقصود فی المقام للباحثین، مسألة انتفاء سنخ الحکم بانتفاء القید، و أنّ زیدا محکوم بعدم الإکرام و لو أتی بآلاف من جهات أخری موجبة للإکرام، ضرورة أنّ قضیّة المفهوم هو أنّ المجی‌ء علّة تامّة منحصرة، فلا یجب إکرامه</w:t>
      </w:r>
      <w:bookmarkStart w:id="27" w:name="pg13167_140704"/>
    </w:p>
    <w:p>
      <w:pPr>
        <w:pStyle w:val="BookText"/>
        <w:rPr/>
      </w:pPr>
      <w:bookmarkEnd w:id="27"/>
      <w:r>
        <w:rPr>
          <w:rFonts w:ascii="IRNazanin" w:hAnsi="IRNazanin" w:eastAsia="IRNazanin"/>
          <w:color w:val="111111"/>
          <w:sz w:val="28"/>
          <w:sz w:val="28"/>
          <w:szCs w:val="28"/>
          <w:rtl w:val="true"/>
          <w:lang w:bidi="fa-IR"/>
        </w:rPr>
        <w:t>عند عدم المجی‌ء، و أنّ زیدا لیس قابلا لأن یکون محکوم الوجوب بجهة أخری من الجهات و المقتضیات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من یدّعی المفهوم یرید ذلک، و من ینکره یرید جواز کون زید مورد الإیجاب، لعلّة أخری</w:t>
      </w:r>
      <w:r>
        <w:rPr>
          <w:rFonts w:eastAsia="IRNazanin" w:cs="IRNazanin"/>
          <w:color w:val="111111"/>
          <w:sz w:val="28"/>
          <w:szCs w:val="28"/>
          <w:rtl w:val="true"/>
          <w:lang w:bidi="fa-IR"/>
        </w:rPr>
        <w:t>.</w:t>
      </w:r>
    </w:p>
    <w:p>
      <w:pPr>
        <w:pStyle w:val="Heading5"/>
        <w:numPr>
          <w:ilvl w:val="4"/>
          <w:numId w:val="1"/>
        </w:numPr>
        <w:rPr/>
      </w:pPr>
      <w:bookmarkStart w:id="28" w:name="__RefHeading___Toc559336_3244359995"/>
      <w:bookmarkStart w:id="29" w:name="_Toc11"/>
      <w:bookmarkEnd w:id="28"/>
      <w:r>
        <w:rPr>
          <w:rtl w:val="true"/>
        </w:rPr>
        <w:t>شبهة و حلّ</w:t>
      </w:r>
      <w:bookmarkEnd w:id="29"/>
    </w:p>
    <w:p>
      <w:pPr>
        <w:pStyle w:val="BookText"/>
        <w:rPr/>
      </w:pPr>
      <w:r>
        <w:rPr>
          <w:rFonts w:ascii="IRNazanin" w:hAnsi="IRNazanin" w:eastAsia="IRNazanin"/>
          <w:color w:val="111111"/>
          <w:sz w:val="28"/>
          <w:sz w:val="28"/>
          <w:szCs w:val="28"/>
          <w:rtl w:val="true"/>
          <w:lang w:bidi="fa-IR"/>
        </w:rPr>
        <w:t>ربّما یخطر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یجئ زید فالوجوب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یدلّ علی اعتبار عدم الوجوب، بل المستفاد منه انتهاء أمد الوجوب و شخصه عند عدم المجی‌ء فاستفادة المفهوم المقصود فی المقام غیر ممکنة، فالنزاع غلط 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ذلک ما 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یستفاد منه مفهوم إلاّ انتفاء الوجوب الثابت فی القضیّة الملفوظة، و هذا هو انتفاء شخص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فالمفاهیم لا تدلّ إلاّ علی انتفاء شخص الحکم، الّذی هو منفیّ بحکم العقل بالضرورة، فلا وجه لما تعارف فیه من النزاع، و أنّ المفهوم یفید انتفاء سنخ الحکم کما فی مفهوم المخالفة،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تندفع الشبهة بالتدبّر فیما هو مدّعی القائل بالمفهوم، و هو أنّ المستفاد من المنطوق انحصار الحکم المستفاد من المنطوق بالموضوع المذکور فیه، أو انحصار علّة الحکم بما فی المنطوق، و نتیجة ذلک نفی سنخ الحکم قطعا و لو کان مفاد الجملة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الاستظهار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شخص الحکم إذا کانت تلک الجملة ملفوظة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یستند انتفاء سنخ الحکم إلی ظاهر القضیّة المفهومیّة، و إلی</w:t>
      </w:r>
      <w:bookmarkStart w:id="30" w:name="pg13167_140705"/>
    </w:p>
    <w:p>
      <w:pPr>
        <w:pStyle w:val="BookText"/>
        <w:rPr/>
      </w:pPr>
      <w:bookmarkEnd w:id="30"/>
      <w:r>
        <w:rPr>
          <w:rFonts w:ascii="IRNazanin" w:hAnsi="IRNazanin" w:eastAsia="IRNazanin"/>
          <w:color w:val="111111"/>
          <w:sz w:val="28"/>
          <w:sz w:val="28"/>
          <w:szCs w:val="28"/>
          <w:rtl w:val="true"/>
          <w:lang w:bidi="fa-IR"/>
        </w:rPr>
        <w:t>مقتضی أوضاع المفهوم، بل یستند انتفاء سنخ الحکم إلی ما هو المستفاد بحسب الأوضاع و الأحوال من المنطوق، و تلک القضیّة تابعة لهذه القضیّة، من غیر النّظر إلی مدالیلها الوضعیّة اللفظیّة، لعدم 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القضیّة الثانیة مذکورة أحیانا فی الدلیل، و کانت ظاهرة فی أمر علی خلاف ظهور المنطوق فی الحصر، فلنا دعوی تقدّم ظهور القضیّة الثانیة علی الأولی فی بعض الفروض، کما إذا کانت استفادة المفهوم مستندة إلی الإطلاق مثلا، و کانت القضیّة الثانیة التی هی مفهوم ظاهرة بالوضع فی عدم الحصر، فتدبّر</w:t>
      </w:r>
      <w:r>
        <w:rPr>
          <w:rFonts w:eastAsia="IRNazanin" w:cs="IRNazanin"/>
          <w:color w:val="111111"/>
          <w:sz w:val="28"/>
          <w:szCs w:val="28"/>
          <w:rtl w:val="true"/>
          <w:lang w:bidi="fa-IR"/>
        </w:rPr>
        <w:t>.</w:t>
      </w:r>
    </w:p>
    <w:p>
      <w:pPr>
        <w:pStyle w:val="Heading5"/>
        <w:numPr>
          <w:ilvl w:val="4"/>
          <w:numId w:val="1"/>
        </w:numPr>
        <w:rPr/>
      </w:pPr>
      <w:bookmarkStart w:id="31" w:name="__RefHeading___Toc559338_3244359995"/>
      <w:bookmarkStart w:id="32" w:name="_Toc12"/>
      <w:bookmarkEnd w:id="31"/>
      <w:r>
        <w:rPr>
          <w:rtl w:val="true"/>
        </w:rPr>
        <w:t>تنبیه</w:t>
      </w:r>
      <w:r>
        <w:rPr>
          <w:rtl w:val="true"/>
        </w:rPr>
        <w:t xml:space="preserve">: </w:t>
      </w:r>
      <w:r>
        <w:rPr>
          <w:rtl w:val="true"/>
        </w:rPr>
        <w:t>فی خروج بعض أنحاء المفهوم المخالف و الموافق عن محلّ النزاع</w:t>
      </w:r>
      <w:bookmarkEnd w:id="32"/>
    </w:p>
    <w:p>
      <w:pPr>
        <w:pStyle w:val="BookText"/>
        <w:rPr/>
      </w:pPr>
      <w:r>
        <w:rPr>
          <w:rFonts w:ascii="IRNazanin" w:hAnsi="IRNazanin" w:eastAsia="IRNazanin"/>
          <w:color w:val="111111"/>
          <w:sz w:val="28"/>
          <w:sz w:val="28"/>
          <w:szCs w:val="28"/>
          <w:rtl w:val="true"/>
          <w:lang w:bidi="fa-IR"/>
        </w:rPr>
        <w:t>ربّما یکون من المفهوم المخالف ما هو الخارج عن محطّ النزاع، کما إذا کانت الجملة بصدد التحدید الماهویّ، فإنّه یوجب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حقیقة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الالتزام بالمفهوم، و إلاّ یلزم احتمال وجود الفصل الآخر لتلک الماهیّة الجنسیّة، و لا یعقل ذلک، لأنّ الذاتیّات محفوظة فی أنحاء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ربّما یکون من المفهوم الموافق ما هو أیضا خارج من محطّ التشاحّ، و یکون حجّة قطعا، و ذلک فی القضایا التی سیقت لإفادة المفهوم، بحیث لا یکون المنطوق مرادا، فلو قلنا بأنّ النهی عن القول بالتأفیف لیس زجرا عن المدلول المطابقی، فلا بدّ و أن یکون مفهومه مرادا، فرارا من اللغویّة غیر الجائزة بحقّ المولی تعالی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ذاک أقوی المفاهیم فی قسمی المخالف و الموافق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یوجد فی الأمثلة ما لا ثمرة للقول بالمفهوم لها، کما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القول بأنّ مفهومه تحریم الإکرام عند عدم المجی‌ء و هذا یعلم بالتأمّل و التدبّر</w:t>
      </w:r>
      <w:r>
        <w:rPr>
          <w:rFonts w:eastAsia="IRNazanin" w:cs="IRNazanin"/>
          <w:color w:val="111111"/>
          <w:sz w:val="28"/>
          <w:szCs w:val="28"/>
          <w:rtl w:val="true"/>
          <w:lang w:bidi="fa-IR"/>
        </w:rPr>
        <w:t>.</w:t>
      </w:r>
      <w:bookmarkStart w:id="33" w:name="pg13167_140706"/>
    </w:p>
    <w:p>
      <w:pPr>
        <w:pStyle w:val="BookText"/>
        <w:rPr/>
      </w:pPr>
      <w:bookmarkEnd w:id="33"/>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 انتفاء ثمرة القول بالمفهوم فی بعض الأمثلة بما هو المهمّ فی المقام، و اللَّه ولیّ الإنعام</w:t>
      </w:r>
      <w:r>
        <w:rPr>
          <w:rFonts w:eastAsia="IRNazanin" w:cs="IRNazanin"/>
          <w:color w:val="111111"/>
          <w:sz w:val="28"/>
          <w:szCs w:val="28"/>
          <w:rtl w:val="true"/>
          <w:lang w:bidi="fa-IR"/>
        </w:rPr>
        <w:t>.</w:t>
      </w:r>
    </w:p>
    <w:p>
      <w:pPr>
        <w:pStyle w:val="Heading4"/>
        <w:numPr>
          <w:ilvl w:val="3"/>
          <w:numId w:val="1"/>
        </w:numPr>
        <w:rPr/>
      </w:pPr>
      <w:bookmarkStart w:id="34" w:name="__RefHeading___Toc559340_3244359995"/>
      <w:bookmarkStart w:id="35" w:name="_Toc13"/>
      <w:bookmarkEnd w:id="34"/>
      <w:r>
        <w:rPr>
          <w:rtl w:val="true"/>
        </w:rPr>
        <w:t>الجهة الرابعة</w:t>
      </w:r>
      <w:r>
        <w:rPr>
          <w:rtl w:val="true"/>
        </w:rPr>
        <w:t xml:space="preserve">: </w:t>
      </w:r>
      <w:r>
        <w:rPr>
          <w:rtl w:val="true"/>
        </w:rPr>
        <w:t>حول مختار السیّد الأستاذ البروجردیّ فی البحث عن الواحد الجامع بین الجمل</w:t>
      </w:r>
      <w:bookmarkEnd w:id="35"/>
    </w:p>
    <w:p>
      <w:pPr>
        <w:pStyle w:val="BookText"/>
        <w:rPr/>
      </w:pPr>
      <w:r>
        <w:rPr>
          <w:rFonts w:ascii="IRNazanin" w:hAnsi="IRNazanin" w:eastAsia="IRNazanin"/>
          <w:color w:val="111111"/>
          <w:sz w:val="28"/>
          <w:sz w:val="28"/>
          <w:szCs w:val="28"/>
          <w:rtl w:val="true"/>
          <w:lang w:bidi="fa-IR"/>
        </w:rPr>
        <w:t xml:space="preserve">بناء المتأخّرین علی البحث المستقلّ عن کلّ واحدة من الجمل التی یمکن أن تکون ذات مفهوم، کالشرطیّة، و الوصفیّة، و الاستثناء و غیرها، و بناء السیّد الأستاذ البروجردیّ علی البحث الواحد الجامع المشتمل علی جمیع البحوث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حول مرامه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القید فی الکلام، لا بدّ و أن یکون لغرض الإفادة، و إنّ المقصود هو دخالة القید فی موضوعیّة الحکم، و إلاّ یکون لغوا، فإذا قال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الماء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البناءات العقلائیّة القائمة أوّلا علی أصالة الحقیقة و أصالة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قید الکرّیة دخیل فی عدم تنجّس الماء، و لا یکون الماء القلیل موضوعا لعدم التنجّس، فیکون دلیلا علی ابن أبی عقیل </w:t>
      </w:r>
      <w:r>
        <w:rPr>
          <w:rStyle w:val="FootnoteAnchor"/>
          <w:rtl w:val="true"/>
        </w:rPr>
        <w:footnoteReference w:id="21"/>
      </w:r>
      <w:r>
        <w:rPr>
          <w:rFonts w:ascii="IRNazanin" w:hAnsi="IRNazanin" w:eastAsia="IRNazanin"/>
          <w:color w:val="111111"/>
          <w:sz w:val="28"/>
          <w:sz w:val="28"/>
          <w:szCs w:val="28"/>
          <w:rtl w:val="true"/>
          <w:lang w:bidi="fa-IR"/>
        </w:rPr>
        <w:t>و لو کان القلیل لا یتنجّس لکان أخذ القید المزبور لغوا و زائدا، و هو خلاف بناء العقلاء و فهمهم بالضرورة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قدس سره بعد ما أفاد ذلک بما لا حاجة إلیه من الإطالة فی هذه المقالة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هذا لا یمکن الالتزام بالانتفاء عند الانتفاء الّذی هو مسلک المتأخّرین فی باب المفاهیم من إثبات العلّیة المنحصرة، فإنّه لا مانع من کون الخصوصیّات الاخر</w:t>
      </w:r>
    </w:p>
    <w:p>
      <w:pPr>
        <w:pStyle w:val="BookText"/>
        <w:rPr/>
      </w:pPr>
      <w:r>
        <w:rPr>
          <w:rFonts w:ascii="IRNazanin" w:hAnsi="IRNazanin" w:eastAsia="IRNazanin"/>
          <w:color w:val="111111"/>
          <w:sz w:val="28"/>
          <w:sz w:val="28"/>
          <w:szCs w:val="28"/>
          <w:rtl w:val="true"/>
          <w:lang w:bidi="fa-IR"/>
        </w:rPr>
        <w:t>دخیلة فی عدم تنجّس الماء، کالمطریّة و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یثبت عنده قدس سره بالمفهوم إثبات حکم التنجّس للقلیل، دون سائر المیاه ذات الخصوصیّة، و بذلک یظهر أن کلّ قید یکون مأخوذا فی الکلام، حکمه مثل الشرط، من غیر إفادته الانتفاء عند الانتفاء، لأنّ الفرار من اللغویّة یحصل بکون القید دخیلا و إن لم یکن علّة منحصرة</w:t>
      </w:r>
      <w:r>
        <w:rPr>
          <w:rStyle w:val="FootnoteAnchor"/>
          <w:rtl w:val="true"/>
        </w:rPr>
        <w:footnoteReference w:id="22"/>
      </w:r>
      <w:r>
        <w:rPr>
          <w:rFonts w:ascii="IRNazanin" w:hAnsi="IRNazanin" w:eastAsia="IRNazanin"/>
          <w:color w:val="111111"/>
          <w:sz w:val="28"/>
          <w:sz w:val="28"/>
          <w:szCs w:val="28"/>
          <w:rtl w:val="true"/>
          <w:lang w:bidi="fa-IR"/>
        </w:rPr>
        <w:t>، انتهی بتحریر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 الجهة السابقة، أنّ انتفاء شخص الحکم قطعیّ عند المخالف و المؤالف، و ما هو مورد النزاع هو انتفاء سنخ الحکم </w:t>
      </w:r>
      <w:r>
        <w:rPr>
          <w:rStyle w:val="FootnoteAnchor"/>
          <w:rtl w:val="true"/>
        </w:rPr>
        <w:footnoteReference w:id="23"/>
      </w:r>
      <w:r>
        <w:rPr>
          <w:rFonts w:ascii="IRNazanin" w:hAnsi="IRNazanin" w:eastAsia="IRNazanin"/>
          <w:color w:val="111111"/>
          <w:sz w:val="28"/>
          <w:sz w:val="28"/>
          <w:szCs w:val="28"/>
          <w:rtl w:val="true"/>
          <w:lang w:bidi="fa-IR"/>
        </w:rPr>
        <w:t>، و بناء علی هذا تصیر نتیجة ما سلکه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ثبوت قیدیّة القید المأخوذ فی الکلام، أنّ الحکم المذکور فی القضیّة الملفوظة منتف عند انتفاء القید، فلا یکون القلیل موضوعا للحکم، و هذا ممّا لا خلاف فیه، و ما هو مورد الخلاف هو نفی إمکان تنجّس الماء المتخصّص بخصوصیّة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النزاع المحرّر بین الأعلام کون المسألة المتنازع فیها، قابلة لأن یذهب جمع إلی أحد طرفی المسألة، و جمع آخر إلی طرفها الآخر، و إلاّ فلا ثمرة فی 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لزوم کون العلم غیر متناه من مسائله الوفاقیّة و الخلافیّة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قدس سره ممّا لا یمکن أن یذهب أحد إلی المفهوم، و هو الانتفاء عند الانتفاء، و لا إلی عدم المفهوم، و هو عدم ثبوت حکم التنجّس للماء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جعله محورا للکلام أمره دائر بین أمرین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النزاع فی الانتفاء عند الانتفاء، و هو نزاع لا یذهب إلی</w:t>
      </w:r>
    </w:p>
    <w:p>
      <w:pPr>
        <w:pStyle w:val="BookText"/>
        <w:rPr/>
      </w:pPr>
      <w:r>
        <w:rPr>
          <w:rFonts w:ascii="IRNazanin" w:hAnsi="IRNazanin" w:eastAsia="IRNazanin"/>
          <w:color w:val="111111"/>
          <w:sz w:val="28"/>
          <w:sz w:val="28"/>
          <w:szCs w:val="28"/>
          <w:rtl w:val="true"/>
          <w:lang w:bidi="fa-IR"/>
        </w:rPr>
        <w:t>تصدیقه أحد، و یکون الکلّ منکرا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النزاع فی احتمال ثبوت شخص الحکم للماء القلیل بإلغاء قید الکرّیة، بدعوی أنّه قید جی‌ء به فی الکلام لبعض الجهات الاخر من التوطئة و غیرها، أو لأجل کونه فی کلام السائل، أو لکثرة الابتلاء به، أو لأنّه قید ندبیّ، و کلّ ذلک مرمیّ بالأصول العقلائیّة، و لا یذهب إلی خلافه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النزاع الثانی لو کان یذهب إلی طرفه الاخر شخص، و لکنّه لا یضرّ بالنزاع الّذی حرّره المتأخّرون، فیکون هناک نزاعان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فی أن للقید یثبت أصل المدخلیّة،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ثبوت المدخلیّة، تکون المدخلیّة علی وجه العلّیة المنحصرة،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الأوّل تنجّس القلیل و عدمه، و علی الثانی تنجّس الجاری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الاقتصار و الاختصار علی ما تنازع فیه المتقدّمون، و صرف العمر فیما جعلوه محور کلامهم فقط، و لا سیّما إذا کان قلیل الجدوی، و بدویّ النّظر، و قد مرّ منّا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للمتأخّرین أن ینظروا فیما یصحّ أن یکون مصبّا للنزاع، و یکون مفیدا فی الفقه، سواء نازعوا فیه، أم لم ینازعوا، فضلا عمّا إذا تشاحّوا فیما لا یرجع إلی محصّل عند المتأخّرین، فلاحظ و 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من مجموع ما ذکرناه نقدا علیه قدس سره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یتنازع فی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النزاع فی دخالة القید فی موضوع الحکم و عدمها، و یترتّب علیه فی المثال المزبور انفعال القلیل و عدمه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النزاع فی أنّ القید المذکور علّة منحصرة، و الموضوع المأخوذ فی الدلیل</w:t>
      </w:r>
    </w:p>
    <w:p>
      <w:pPr>
        <w:pStyle w:val="BookText"/>
        <w:rPr/>
      </w:pPr>
      <w:r>
        <w:rPr>
          <w:rFonts w:ascii="IRNazanin" w:hAnsi="IRNazanin" w:eastAsia="IRNazanin"/>
          <w:color w:val="111111"/>
          <w:sz w:val="28"/>
          <w:sz w:val="28"/>
          <w:szCs w:val="28"/>
          <w:rtl w:val="true"/>
          <w:lang w:bidi="fa-IR"/>
        </w:rPr>
        <w:t xml:space="preserve">تمام الموضوع، و لا موضوع آخر للحکم المذکور فیه بشخصه، و لا بسنخه، و یترتّب علیه اشتراط الکرّیة فی الماء الجاری، کما عن العلاّمة رحمه اللَّه </w:t>
      </w:r>
      <w:r>
        <w:rPr>
          <w:rStyle w:val="FootnoteAnchor"/>
          <w:rtl w:val="true"/>
        </w:rPr>
        <w:footnoteReference w:id="24"/>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للنزاع الأوّل بعد ذهاب الکلّ إلی أصل الدخالة، فرارا من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ذهاب مثل ابن أبی عقیل إلی عدم انفعال الماء القلیل </w:t>
      </w:r>
      <w:r>
        <w:rPr>
          <w:rStyle w:val="FootnoteAnchor"/>
          <w:rtl w:val="true"/>
        </w:rPr>
        <w:footnoteReference w:id="25"/>
      </w:r>
      <w:r>
        <w:rPr>
          <w:rFonts w:ascii="IRNazanin" w:hAnsi="IRNazanin" w:eastAsia="IRNazanin"/>
          <w:color w:val="111111"/>
          <w:sz w:val="28"/>
          <w:sz w:val="28"/>
          <w:szCs w:val="28"/>
          <w:rtl w:val="true"/>
          <w:lang w:bidi="fa-IR"/>
        </w:rPr>
        <w:t>، لیس مستندا إلی إنکار ذلک المفهوم، بل مستند إلی الأدلّة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إثبات نجاسة القلیل بعد الاعتراف بدخالة القید، من ثمرات القول بالمفهوم، بل هو مقتضی الاعتراف المذکور عقلا، ضرورة انتفاء شخص الحکم بانتفاء القید، فلا بدّ و أن لا یتنجّس القلیل،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التی ادّعاها</w:t>
      </w:r>
      <w:r>
        <w:rPr>
          <w:rStyle w:val="FootnoteAnchor"/>
          <w:rtl w:val="true"/>
        </w:rPr>
        <w:footnoteReference w:id="26"/>
      </w:r>
      <w:r>
        <w:rPr>
          <w:rFonts w:ascii="IRNazanin" w:hAnsi="IRNazanin" w:eastAsia="IRNazanin"/>
          <w:color w:val="111111"/>
          <w:sz w:val="28"/>
          <w:sz w:val="28"/>
          <w:szCs w:val="28"/>
          <w:rtl w:val="true"/>
          <w:lang w:bidi="fa-IR"/>
        </w:rPr>
        <w:t>غیر واضحة، و قد استظهر السیّد المحقّق الوالد</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 السیّد رحمه اللَّه </w:t>
      </w:r>
      <w:r>
        <w:rPr>
          <w:rStyle w:val="FootnoteAnchor"/>
          <w:rtl w:val="true"/>
        </w:rPr>
        <w:footnoteReference w:id="28"/>
      </w:r>
      <w:r>
        <w:rPr>
          <w:rFonts w:ascii="IRNazanin" w:hAnsi="IRNazanin" w:eastAsia="IRNazanin"/>
          <w:color w:val="111111"/>
          <w:sz w:val="28"/>
          <w:sz w:val="28"/>
          <w:szCs w:val="28"/>
          <w:rtl w:val="true"/>
          <w:lang w:bidi="fa-IR"/>
        </w:rPr>
        <w:t>خلاف ما نسبه إلیه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تبیّنت هذه الجهات، و علمت أنّ البحث لا بدّ و أن یکون حول القضایا الخاصّة فی الفصول المختلفة، لاختلاف القضایا حسب الأنظار فی إفادة الانتفاء عند الانتفاء، و اختلافها فی الظهور و الدلالة،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حول المسألة فی المقام یتمّ فی مباحث</w:t>
      </w:r>
      <w:r>
        <w:rPr>
          <w:rFonts w:eastAsia="IRNazanin" w:cs="IRNazanin"/>
          <w:color w:val="111111"/>
          <w:sz w:val="28"/>
          <w:szCs w:val="28"/>
          <w:rtl w:val="true"/>
          <w:lang w:bidi="fa-IR"/>
        </w:rPr>
        <w:t>:</w:t>
      </w:r>
      <w:bookmarkStart w:id="36" w:name="pg13167_140711"/>
    </w:p>
    <w:p>
      <w:pPr>
        <w:pStyle w:val="Heading3"/>
        <w:numPr>
          <w:ilvl w:val="2"/>
          <w:numId w:val="1"/>
        </w:numPr>
        <w:rPr/>
      </w:pPr>
      <w:bookmarkStart w:id="37" w:name="__RefHeading___Toc559342_3244359995"/>
      <w:bookmarkStart w:id="38" w:name="_Toc14"/>
      <w:bookmarkEnd w:id="36"/>
      <w:bookmarkEnd w:id="37"/>
      <w:r>
        <w:rPr>
          <w:rtl w:val="true"/>
        </w:rPr>
        <w:t>المبحث الأوّل فی القضیّة الشرطیّة</w:t>
      </w:r>
      <w:bookmarkEnd w:id="38"/>
    </w:p>
    <w:p>
      <w:pPr>
        <w:pStyle w:val="Heading4"/>
        <w:numPr>
          <w:ilvl w:val="3"/>
          <w:numId w:val="1"/>
        </w:numPr>
        <w:rPr/>
      </w:pPr>
      <w:bookmarkStart w:id="39" w:name="__RefHeading___Toc559344_3244359995"/>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و أنّها هل تدلّ علی الانتفاء عند الانتفاء، أم لا، أو تکون هی مختلفة،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یدلّ،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یدلّ، و یکون منشأ الاختلاف و التفصیل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و الدلالة الوضعیّة و المعانی الحرفیّة المستندة إلی أدوات الشروط، فیدلّ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الإطلاق، فإنّه ربّما لا تکون الجملة الشرطیّة مفیدة، لعدم الإطلاق لها و أخری تصیر مفیدة فی موضوع آخر، لکونها فی مقام البیان مثلا؟</w:t>
      </w:r>
    </w:p>
    <w:p>
      <w:pPr>
        <w:pStyle w:val="BookText"/>
        <w:rPr/>
      </w:pPr>
      <w:r>
        <w:rPr>
          <w:rFonts w:ascii="IRNazanin" w:hAnsi="IRNazanin" w:eastAsia="IRNazanin"/>
          <w:color w:val="111111"/>
          <w:sz w:val="28"/>
          <w:sz w:val="28"/>
          <w:szCs w:val="28"/>
          <w:rtl w:val="true"/>
          <w:lang w:bidi="fa-IR"/>
        </w:rPr>
        <w:t>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التقاریب الممکنة التی استند إلیها فی دلالة القضیّة علی المفهوم، لا بدّ من الإشارة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الّذی یتوقّف علیه القول بالمفهوم أحد أمرین علی سبیل منع الخلوّ</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الموضوع المأخوذ فی الدلیل منحصرا موضوع للحکم، و لا یکون شی‌ء آخر موضوعا، و لا یقبل الشی‌ء الآخر أن ینوب مناب جزء الموضوع و قیده، فیکون الموضوع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عمرو الجائی و لا زید المتلوّن بخصوصیّة أخری موضوعا، فإنّه إذا ثبت</w:t>
      </w:r>
    </w:p>
    <w:p>
      <w:pPr>
        <w:pStyle w:val="BookText"/>
        <w:rPr/>
      </w:pPr>
      <w:r>
        <w:rPr>
          <w:rFonts w:ascii="IRNazanin" w:hAnsi="IRNazanin" w:eastAsia="IRNazanin"/>
          <w:color w:val="111111"/>
          <w:sz w:val="28"/>
          <w:sz w:val="28"/>
          <w:szCs w:val="28"/>
          <w:rtl w:val="true"/>
          <w:lang w:bidi="fa-IR"/>
        </w:rPr>
        <w:t>ذلک یثبت المفهوم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الخصوصیّة المذکورة فی مثل القضیّة الشرطیّة و الوضعیّة أو بعض آخر منها هی العلّة التامّة المنحصرة للحکم المذکور فی القضیّة، و 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مذهب العدلیة من اقتضاء الحکم علّة و مصلحة و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سببیّة الأمور الاخر لوجوب الإکرام، فیکون منتفیا بانتفاء الموضوع، أو بانتفاء تلک الخصوصیّة و العلّة، و لا تنوب منابها علّة أو علل أخری و لو اجتمعت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بذلک التقریب تظهر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توهّمه بعض المعاصرین، من أنّ المفهوم یدور مدار الحصر المستفاد من القضیّة المشترک فیها جمیع القضایا، فإنّه بمعزل عن التحقیق، ضرورة أن مصبّ الحصر مختلف، فإنّ حصر الموضوع بالموضوعیّة أمر، و حصر العلّة الخارجة عن الموضوع أمر آخر،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الأعلام رحمهم اللَّه من أرجع القضایا الشرطیّة إلی القضایا البتّیة، متخیّلا بعض المناسبات، و مدّعیا أنّه مقتضی الفهم العرفیّ </w:t>
      </w:r>
      <w:r>
        <w:rPr>
          <w:rStyle w:val="FootnoteAnchor"/>
          <w:rtl w:val="true"/>
        </w:rPr>
        <w:footnoteReference w:id="29"/>
      </w:r>
      <w:r>
        <w:rPr>
          <w:rFonts w:ascii="IRNazanin" w:hAnsi="IRNazanin" w:eastAsia="IRNazanin"/>
          <w:color w:val="111111"/>
          <w:sz w:val="28"/>
          <w:sz w:val="28"/>
          <w:szCs w:val="28"/>
          <w:rtl w:val="true"/>
          <w:lang w:bidi="fa-IR"/>
        </w:rPr>
        <w:t xml:space="preserve">، و قد تحرّر منّا فی محلّه خلافه، و التفصیل فی محلّه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المقصود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 القضیّة الشرطیّة إلی البتّیة و عدمها، لا یورث سقوط النزاع فی القضیّة الشرطیّة، بل من أرجعها إلیها لا بدّ و أن یدّعی حصر الموضوع بعد الإرجاع، و لا یجوز له استظهار العلّیة من القضیّة الشرطیّة، ثمّ إرجاعها إلی البتّیة، کما لا یخفی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أنّه قدس سره مع إصراره فی الرجوع المذکور، استظهر من القضیّة</w:t>
      </w:r>
      <w:bookmarkStart w:id="41" w:name="pg13167_140713"/>
    </w:p>
    <w:p>
      <w:pPr>
        <w:pStyle w:val="BookText"/>
        <w:rPr/>
      </w:pPr>
      <w:bookmarkEnd w:id="41"/>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لها من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مقاصده، و بعض الجهات اللاّزمة فی ثبوت المفهوم لها، و الأمر بعد ما عرفت، سهل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ثمرات رجوع القضیّة الشرطیّة إلی البتّیة الحقیقیّة، إنکار المفهوم و إثباته، فإنّ من الممکن دعوی المفهوم للقضیّة الشرطیّة، بدعوی أنّ الشرط و الجزاء، یورث العلّیة و الانحصار بضمّ بعض المقدّمات الاخر، و أمّا القضیّة الوضعیّة و أمثالها فلا تدلّ علی المفهوم، و لذلک کان اشتمالها علی المفهوم، أقرب عندهم من سائر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القضایا ما لیست شرطیّة، و لکنّها فی حکمها،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مِنْ أَمْوالِهِمْ صَدَقَةً تُطَهِّرُهُمْ </w:t>
      </w:r>
      <w:r>
        <w:rPr>
          <w:rStyle w:val="FootnoteAnchor"/>
          <w:rtl w:val="true"/>
        </w:rPr>
        <w:footnoteReference w:id="31"/>
      </w:r>
      <w:r>
        <w:rPr>
          <w:rFonts w:ascii="Amiri" w:hAnsi="Amiri" w:eastAsia="Amiri" w:cs="Amiri"/>
          <w:color w:val="111111"/>
          <w:sz w:val="28"/>
          <w:sz w:val="28"/>
          <w:szCs w:val="28"/>
          <w:rtl w:val="true"/>
          <w:lang w:bidi="ar-SA"/>
        </w:rPr>
        <w:t>بناء علی کون جملة تُطَهِّرُهُمْ جزاء فالجهة المبحوث عنها أعمّ منها، کما لا یخفی</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59346_3244359995"/>
      <w:bookmarkStart w:id="43" w:name="_Toc16"/>
      <w:bookmarkEnd w:id="42"/>
      <w:r>
        <w:rPr>
          <w:rtl w:val="true"/>
        </w:rPr>
        <w:t>وجوه فی دلالة الجملة الشرطیّة علی المفهوم</w:t>
      </w:r>
      <w:bookmarkEnd w:id="43"/>
    </w:p>
    <w:p>
      <w:pPr>
        <w:pStyle w:val="BookText"/>
        <w:rPr/>
      </w:pPr>
      <w:r>
        <w:rPr>
          <w:rFonts w:ascii="IRNazanin" w:hAnsi="IRNazanin" w:eastAsia="IRNazanin"/>
          <w:color w:val="111111"/>
          <w:sz w:val="28"/>
          <w:sz w:val="28"/>
          <w:szCs w:val="28"/>
          <w:rtl w:val="true"/>
          <w:lang w:bidi="fa-IR"/>
        </w:rPr>
        <w:t>إذا ظهرت هذه المقالة فلیعلم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الوجوه التی یمکن أن یتمسّک بها أو تمسّکوا بها کثیرة، لا بأس بذکرها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الدلالة الوضعیّة لأدوات الشرط</w:t>
      </w:r>
      <w:r>
        <w:rPr>
          <w:rStyle w:val="FootnoteAnchor"/>
          <w:rtl w:val="true"/>
        </w:rPr>
        <w:footnoteReference w:id="32"/>
      </w:r>
      <w:r>
        <w:rPr>
          <w:rFonts w:ascii="IRNazanin" w:hAnsi="IRNazanin" w:eastAsia="IRNazanin"/>
          <w:color w:val="111111"/>
          <w:sz w:val="28"/>
          <w:sz w:val="28"/>
          <w:szCs w:val="28"/>
          <w:rtl w:val="true"/>
          <w:lang w:bidi="fa-IR"/>
        </w:rPr>
        <w:t xml:space="preserve">، أو للهیئة الشرطیّة،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الجزاء</w:t>
      </w:r>
      <w:r>
        <w:rPr>
          <w:rStyle w:val="FootnoteAnchor"/>
          <w:rtl w:val="true"/>
        </w:rPr>
        <w:footnoteReference w:id="33"/>
      </w:r>
      <w:r>
        <w:rPr>
          <w:rFonts w:ascii="IRNazanin" w:hAnsi="IRNazanin" w:eastAsia="IRNazanin"/>
          <w:color w:val="111111"/>
          <w:sz w:val="28"/>
          <w:sz w:val="28"/>
          <w:szCs w:val="28"/>
          <w:rtl w:val="true"/>
          <w:lang w:bidi="fa-IR"/>
        </w:rPr>
        <w:t xml:space="preserve">، أو دعوی دلالتها علی العلّة و اللزوم بالوضع، و علی الانحصار بالإطلاق </w:t>
      </w:r>
      <w:r>
        <w:rPr>
          <w:rStyle w:val="FootnoteAnchor"/>
          <w:rtl w:val="true"/>
        </w:rPr>
        <w:footnoteReference w:id="34"/>
      </w:r>
      <w:r>
        <w:rPr>
          <w:rFonts w:ascii="IRNazanin" w:hAnsi="IRNazanin" w:eastAsia="IRNazanin"/>
          <w:color w:val="111111"/>
          <w:sz w:val="28"/>
          <w:sz w:val="28"/>
          <w:szCs w:val="28"/>
          <w:rtl w:val="true"/>
          <w:lang w:bidi="fa-IR"/>
        </w:rPr>
        <w:t>علی الوجه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یحتاج إفسادها و إبطالها إلی تجشّم الاستدلال، و إقامة السلطان و البرهان، و الرجوع إلی موارد الاستعمالات تعطی خلافه، ضرورة إمکان کون القضیّة الشرطیّة من القضیّة الاتفاقیّة، و من القضیّة المشتملة علی المتضایفین، و معلولی علّة ثالثة، و من البرهان اللمّی و الإنیّ، فیکون الشرط معلول الجزاء، و کلّ ذلک شاهد علی عدم اقتضاء الأدوات لشی‌ء ممّا ذکر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وضعها لإفادة العلّیة المنحصرة إلاّ مع القرینة، و فی القضایا المزبورة تکون القرینة موجودة، لا یرجع إلی محصّل، و یکون مجرّد تخیّل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انصراف أدوات الشرط و هیئة القضیة إلی 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امتناع الانصراف فی المعانی الحرفیّة، لأنّها جزئیّة</w:t>
      </w:r>
      <w:r>
        <w:rPr>
          <w:rStyle w:val="FootnoteAnchor"/>
          <w:rtl w:val="true"/>
        </w:rPr>
        <w:footnoteReference w:id="35"/>
      </w:r>
      <w:r>
        <w:rPr>
          <w:rFonts w:ascii="IRNazanin" w:hAnsi="IRNazanin" w:eastAsia="IRNazanin"/>
          <w:color w:val="111111"/>
          <w:sz w:val="28"/>
          <w:sz w:val="28"/>
          <w:szCs w:val="28"/>
          <w:rtl w:val="true"/>
          <w:lang w:bidi="fa-IR"/>
        </w:rPr>
        <w:t>، فی غیر محلّه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فی أنّها دعوی بلا بیّنة و لا برهان، بل یأباها القیاس و السلطان حسبما عرفت من شهادة الوجدان فیما مرّ،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 الانصراف، لأجل الأکملیّة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للصغری و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الثانیة فواضحة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الأولی، فلأنّ انحصار العلّة لا یوجب الأکملیّة و اشتداد الربط، لأنّه أمر خارج عن حدّ العلّیة کما تری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التفصیل بین الأدوات و القضایا، فما کانت مصدّرة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حرف من الحروف الشرطیّة المشتملة علی التوقیت المسمّاة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الموقّتة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تفید، ضرورة أنّ موارد استعمالاتها تأبی عن ذلک، و لأجله تری استعمالها فی القضایا الاتفاقیّة،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الإنسان کذا فکذا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المثال المعروف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الإنسان کذا فکذا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 الموارد الاخر، مثل ما 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قصّرت 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w:t>
      </w:r>
      <w:r>
        <w:rPr>
          <w:rStyle w:val="FootnoteAnchor"/>
          <w:rtl w:val="true"/>
        </w:rPr>
        <w:footnoteReference w:id="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صلحت النافلة تمّت الفریضة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هکذا ممّا لا یکون الشرط علّة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الأدوات لا تفید التعلیق و الاشتراط، بل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أخذ التوقیت فی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أنّ الحکم المذکور یکون فی وقت المجی‌ء، و تکون الجملة الأولی 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وقت الإکرام، لا تعلیق وجوب الإکرام علی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القضایا الشرطیّة الموقّتة مفروض الموضوع، و أنّ الموضوع یتحقّق فیما بعد، و أنّ زیدا یجی‌ء، فیکون وجوب الإکرام قطعیّا، و لکنّ ظرف الإکرام وقت المجی‌ء من غیر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الشرط مختلفة، فمثل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التعلیق، و لکنّه تعلیق فرضیّ، و یمتنع تحقّق التالی، أو هی لإفادة الامتناع الذاتیّ، أو الغیریّ، أو الادعائیّ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لا تفید التعلیق، بل تکون بیانا لموضوع الحکم، و أنّ ظرف ذلک الإکرام وقت المجی‌ء و إن کان الموضوع بحسب اللّب مقیّدا، و لکن بحسب الظاهر لا یفید تعلیق الحکم علی القید، لما فرض موجودیّته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القبیل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الماء قدر کرّ </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فإنّه لیس فی موقف أنّ عدم التنجیس معلّق علی الکرّیة، و کأنّه یرجع القضیّة إلی اللقب،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الکرّ لا ینجّسه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 موضوعة حسبما فی الکتب النحویّة، لظرف الشکّ فی تحقّق الجملة الأولی، و أنّه یکون المتکلّم فی الطائفة الأولی عالما بعدم وقوع الشرط، و فی الطائفة الثانیة عالما بتحقّق الشرط، و أمّا فی الأخیرة فهو شاکّ، فیعلّق الحکم علی الشرط</w:t>
      </w:r>
      <w:r>
        <w:rPr>
          <w:rStyle w:val="FootnoteAnchor"/>
          <w:rtl w:val="true"/>
        </w:rPr>
        <w:footnoteReference w:id="41"/>
      </w:r>
      <w:r>
        <w:rPr>
          <w:rFonts w:ascii="IRNazanin" w:hAnsi="IRNazanin" w:eastAsia="IRNazanin"/>
          <w:color w:val="111111"/>
          <w:sz w:val="28"/>
          <w:sz w:val="28"/>
          <w:szCs w:val="28"/>
          <w:rtl w:val="true"/>
          <w:lang w:bidi="fa-IR"/>
        </w:rPr>
        <w:t>، و المستفاد من التعلیق هو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للنظر فی هذه المقالة مجال واسع، و قد کنّا فی سالف الزمان مصرّین علی اختلاف أدوات الشرط بحسب لوازم معناها، و لیس کلّها علی نهج واحد، کما یظهر من أهل الأدب، و یترتّب علیه بعض المسائل الفقهیّة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لیس فی مقام إفادة اشتراط الوجوب، بل هو فی موقف إفادة أنّ صلاة الجمعة المفروض تحقّقها خارجا، یکون وقت الإقامة وقت النداء، و لیس معناه إنّه إذا لم یکن نداء فلا وجوب، کما توهّمه جماعة، و التفصیل فی محلّه، و من شاء حقیقة الأمر فلیراجع تفسیرنا</w:t>
      </w:r>
      <w:r>
        <w:rPr>
          <w:rStyle w:val="FootnoteAnchor"/>
          <w:rtl w:val="true"/>
        </w:rPr>
        <w:footnoteReference w:id="43"/>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لا تُفْسِدُوا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الشأن هنا؛ أنّ قضیّة التقریب المزبور لیست المفهوم و الانتفاء عند الانتفاء؛ لعدم استفادة حصر المعلق علیه بما هو المذکور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یترتّب علیها أنّ الشرط و القید المأخوذ فی الجملة الأولی، دخیل فی ترتّب الحکم و تحقّق الوجوب، و لیس من قبیل الاتفاقیّات و ما یشبهها ممّا مرّ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أنّ أصل الدخالة کما یمکن استفادته من الأداة، یمکن استفادته من الأداة، یمکن استفادته من الأمر الآخر؛ و هو کون الجزاء حکما و قضیّة إنشائیّة، و الشرط علی هذا یکون موضوعا و علّة، و تکون العلّة المزبورة و القید المذکور بالنسبة إلی الحکم و ترتّبه دخیلا و متقدّما، و لا یعقل أن یکون مفاد الجزاء علّة لمفاد الشرط؛ لعدم إمکان کون الحکم علّة موضوعه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القضیّة التی جزاؤها حکم إنشائیّ لا إخباریّ متشکّلا من الاتفاقیّات أو المتلازمین أو المتضایفین، بخلاف ما إذا کان الجزاء إخباریّا، فإنّه قابل لأن یتحقّق و یتشکّل من جمیع المذکورات، 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استفادة حصر الموضوع أو حصر العلّیة من إطلاق أداة الشرط أو إطلاق هیئة القضیّة، قیاسیّا بما مرّ فی بحوث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المنسبق من إطلاقها هو الواجب العینیّ النفسیّ التعیینیّ، من دون اقتضاء وضع إیّاه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 غیره </w:t>
      </w:r>
      <w:r>
        <w:rPr>
          <w:rStyle w:val="FootnoteAnchor"/>
          <w:rtl w:val="true"/>
        </w:rPr>
        <w:footnoteReference w:id="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مقدّمات الإطلاق لا تتمّ بالنسبة إلیهما؛ لکونهما من المعانی الحرفیة، لأنّ الإطلاق فرع إمکان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من التحصیل</w:t>
      </w:r>
    </w:p>
    <w:p>
      <w:pPr>
        <w:pStyle w:val="BookText"/>
        <w:rPr/>
      </w:pPr>
      <w:r>
        <w:rPr>
          <w:rFonts w:ascii="IRNazanin" w:hAnsi="IRNazanin" w:eastAsia="IRNazanin"/>
          <w:color w:val="111111"/>
          <w:sz w:val="28"/>
          <w:sz w:val="28"/>
          <w:szCs w:val="28"/>
          <w:rtl w:val="true"/>
          <w:lang w:bidi="fa-IR"/>
        </w:rPr>
        <w:t>من جهات محرّرة فی المسائل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المستند فی الأوامر و المقصود هنا، لیس الإطلاق المصطلح علیه فی أبواب المطلق و المقیّد، و قد مرّ منا تفصیله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الإلقاء و الاستناد إلی القرینة العدمیّة العامّة لتعیین أحد القسمین و هو الوجوب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لأنّ الجامع غیر مقصود بالضرورة، بخلاف الإطلاق المصطلح علیه فی محله، فإن مصبّه الجامع بین الأقسام، و ثمرته رفض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تعیین أحد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إمکان التقیید لیس من شرائط صحّة التمسّک بالإطلاق، و قد مرّ تفصیله فی بحوث التعبّدی و التوصّلی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المعانی الحرفیّة قابلة للتقید الحالیّ، دون الذاتیّ الصنعیّ، کما یقیّد الأعلام الشخصیّة و سائر الجزئیّات الخارجیّة، و قد مر تفصیله فی تلک البحوث </w:t>
      </w:r>
      <w:r>
        <w:rPr>
          <w:rStyle w:val="FootnoteAnchor"/>
          <w:rtl w:val="true"/>
        </w:rPr>
        <w:footnoteReference w:id="51"/>
      </w:r>
      <w:r>
        <w:rPr>
          <w:rFonts w:ascii="IRNazanin" w:hAnsi="IRNazanin" w:eastAsia="IRNazanin"/>
          <w:color w:val="111111"/>
          <w:sz w:val="28"/>
          <w:sz w:val="28"/>
          <w:szCs w:val="28"/>
          <w:rtl w:val="true"/>
          <w:lang w:bidi="fa-IR"/>
        </w:rPr>
        <w:t xml:space="preserve">، و فی مسألة رجوع القید، إلی الهیئة فی الواجب المشروط و المطلق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الحاجة إلی مقدّمات الحکمة هنا ممنوعة، کما فی الأوامر و النواهی،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الحجر الأساس؛ أنّ الخلط بین الإطلاقین فی مباحث الأمر و المطلق و المقیّد، یوجب الانحرافات الکثیرة کما تری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یتمّ الاستدلال المزبور، فإنّ المستدلّ یرید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أیضا لا یخلو من التأسّف، مع توجّهه إلی بعض</w:t>
      </w:r>
    </w:p>
    <w:p>
      <w:pPr>
        <w:pStyle w:val="BookText"/>
        <w:rPr/>
      </w:pPr>
      <w:r>
        <w:rPr>
          <w:rFonts w:ascii="IRNazanin" w:hAnsi="IRNazanin" w:eastAsia="IRNazanin"/>
          <w:color w:val="111111"/>
          <w:sz w:val="28"/>
          <w:sz w:val="28"/>
          <w:szCs w:val="28"/>
          <w:rtl w:val="true"/>
          <w:lang w:bidi="fa-IR"/>
        </w:rPr>
        <w:t>هذه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أنّ الکلام فی المقیس علیه تامّ، بشهادة العرف و الوجدان، و أمّا فی المقیس فلا؛ لعدم وجود القرینة العامّة العدمیّة علی أنّ الشرط علّة منحصرة للجزاء، کما هو الظاهر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المفهوم فرع إثبات أمور، لو أمکن المناقشة فی بعض منها یختلّ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القید المأخوذ فی المقدّم، یکون دخیلا فی موضوع الحکم، أو فی ثبوت الحکم علی موضوعه، و المتکفّل لذلک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العقلاء بأنّ الأصل فی القیود أنّها احترازیّة، و لا تکون لغوا، و تکون دخیلة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التالی قضیّة إنشائیّة و حکما شرعیّا، یوجب کون القید المزبور، ظاهرا فی دخالته فی موضوع الحکم المذکور فی التالی؛ إن رجعت الشرطیّة إلی البتّیة، أو فی علّة ثبوت الحکم علی موضوعة المزبور فی المقدّم، و إلاّ فربّما لا یکون بین المقدّم و التالی دخالة موضوعیة، أو علّیة فی القضایا الإخباریّة، فبما أنّ القضیّة الشرطیّة شرعیّة متکفلة للحکم الإلهیّ، تکون ظاهرة فی أنّ القید المأخوذ فی المقدّم دخیل علی الوجهین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الارتباط الموجود بین المقدّم و التالی، یکون من قبیل الارتباط بین العلّة التامّة و المعلول، فلو کان الربط من قبیل الارتباط الإعدادیّ، فلا یثبت المقصود و المدّعی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المتکفّل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لإثبات عدم الشریک، و أنّ الربط یکون علی وجه العلّیة التامّة، و لو کان علی وجه الارتباط الناقص و الإعدادیّ، لکان یحتمل وجود الشریک المعانق معه فی حصول المعلول، و بالجملة المتکفل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الإطلاق بعد کون المتکلّم فی مقام البیان أوّلا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الحکم الإنشائیّ مفاد التالی یوجب أن یکون الربط تامّا، و إلاّ</w:t>
      </w:r>
    </w:p>
    <w:p>
      <w:pPr>
        <w:pStyle w:val="BookText"/>
        <w:rPr/>
      </w:pPr>
      <w:r>
        <w:rPr>
          <w:rFonts w:ascii="IRNazanin" w:hAnsi="IRNazanin" w:eastAsia="IRNazanin"/>
          <w:color w:val="111111"/>
          <w:sz w:val="28"/>
          <w:sz w:val="28"/>
          <w:szCs w:val="28"/>
          <w:rtl w:val="true"/>
          <w:lang w:bidi="fa-IR"/>
        </w:rPr>
        <w:t>یلزم ما فی حکم اللغویّة؛ لأنّ أخذ القید الناقص و إهمال تمام القیود، یرجع إلی کون القید المزبور أیضا لغوا فی محیط العقلاء الحاکمین بأنّ القید المزبور دخیل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جواز التمسّک بإطلاق الشرط لرفع الشریک؛ بدعوی أنّ سببیّة الشرط سببیّة عرفیّة، و هی غیر قابلة للجعل، و ما هو قابل للجعل یمکن التمسّک بإطلاقه، کما نسب إلی بعض مقاربی العصر</w:t>
      </w:r>
      <w:r>
        <w:rPr>
          <w:rStyle w:val="FootnoteAnchor"/>
          <w:rtl w:val="true"/>
        </w:rPr>
        <w:footnoteReference w:id="54"/>
      </w:r>
      <w:r>
        <w:rPr>
          <w:rFonts w:ascii="IRNazanin" w:hAnsi="IRNazanin" w:eastAsia="IRNazanin"/>
          <w:color w:val="111111"/>
          <w:sz w:val="28"/>
          <w:sz w:val="28"/>
          <w:szCs w:val="28"/>
          <w:rtl w:val="true"/>
          <w:lang w:bidi="fa-IR"/>
        </w:rPr>
        <w:t xml:space="preserve">، فاسد جدّاً؛ لما عرفت من صحّة التمسّک بالإطلاق الأحوالیّ، مع أنّ موضوعه الأشخاص </w:t>
      </w:r>
      <w:r>
        <w:rPr>
          <w:rStyle w:val="FootnoteAnchor"/>
          <w:rtl w:val="true"/>
        </w:rPr>
        <w:footnoteReference w:id="55"/>
      </w:r>
      <w:r>
        <w:rPr>
          <w:rFonts w:ascii="IRNazanin" w:hAnsi="IRNazanin" w:eastAsia="IRNazanin"/>
          <w:color w:val="111111"/>
          <w:sz w:val="28"/>
          <w:sz w:val="28"/>
          <w:szCs w:val="28"/>
          <w:rtl w:val="true"/>
          <w:lang w:bidi="fa-IR"/>
        </w:rPr>
        <w:t xml:space="preserve">، و من صحّة التمسّک بإطلاق الموضوع، مع أنّ کثیرا من الموضوعات عرفیّات غیر مجعولة، و التفصیل فی محلّه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هذا، یثبت حسب هذه المقدّمات إلی هنا؛ أنّ المقدّم و التالی لیسا من المتلازمین فی المعلولیّة لثالث، و لا من المتضایفین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إمکان تشکیل القضیّة الشرطیّة منهما، لا ینافی کون الأصل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التالی حکما شرعیّا إنشائیّا أو حکما عرفیا و قانونیّا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الربط بینهما یکون علی نحو العلّیة و المعلولیّة، و یکون المقدّم علّة، و التالی معلولا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یثبت ثالث الأمور التی یجب إثباتها حتّی یثبت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المقدّم علّة دون التالی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إثبات أصل علقة الربط،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الربط هو الربط العلّی،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 هی العلة التامّة، أو هو تمام الموضوع، و لا شریک له فی</w:t>
      </w:r>
    </w:p>
    <w:p>
      <w:pPr>
        <w:pStyle w:val="BookText"/>
        <w:rPr/>
      </w:pPr>
      <w:r>
        <w:rPr>
          <w:rFonts w:ascii="IRNazanin" w:hAnsi="IRNazanin" w:eastAsia="IRNazanin"/>
          <w:color w:val="111111"/>
          <w:sz w:val="28"/>
          <w:sz w:val="28"/>
          <w:szCs w:val="28"/>
          <w:rtl w:val="true"/>
          <w:lang w:bidi="fa-IR"/>
        </w:rPr>
        <w:t>الثبوت عند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إثبات أصل علقة الربط مقابل القضایا الاتفاقیّة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الربط الموجود ربط علّی مقابل الارتباط الثابت بین المتضایفین، و معلولی علّة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المقدّم علّة و لو کانت ناقصة، مقابل ما إذا کان التالی علّة ناقصة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المقدّم علّة تامّة مقابل عکسها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استفدنا کلّ هذه الأمور الأربعة من الخصوصیّات، و العمدة حکم العقلاء فیما إذا کان التالی حکما إنشائیّا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التمسّک بالظهور السیاقیّ، و أنّ ما هو المقدّم بالطبع هو المقدّم فی الوضع </w:t>
      </w:r>
      <w:r>
        <w:rPr>
          <w:rStyle w:val="FootnoteAnchor"/>
          <w:rtl w:val="true"/>
        </w:rPr>
        <w:footnoteReference w:id="57"/>
      </w:r>
      <w:r>
        <w:rPr>
          <w:rFonts w:ascii="IRNazanin" w:hAnsi="IRNazanin" w:eastAsia="IRNazanin"/>
          <w:color w:val="111111"/>
          <w:sz w:val="28"/>
          <w:sz w:val="28"/>
          <w:szCs w:val="28"/>
          <w:rtl w:val="true"/>
          <w:lang w:bidi="fa-IR"/>
        </w:rPr>
        <w:t>، فلا یخلو من التأسف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نظیر التمسّک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للترتّب </w:t>
      </w:r>
      <w:r>
        <w:rPr>
          <w:rStyle w:val="FootnoteAnchor"/>
          <w:rtl w:val="true"/>
        </w:rPr>
        <w:footnoteReference w:id="58"/>
      </w:r>
      <w:r>
        <w:rPr>
          <w:rFonts w:ascii="IRNazanin" w:hAnsi="IRNazanin" w:eastAsia="IRNazanin"/>
          <w:color w:val="111111"/>
          <w:sz w:val="28"/>
          <w:sz w:val="28"/>
          <w:szCs w:val="28"/>
          <w:rtl w:val="true"/>
          <w:lang w:bidi="fa-IR"/>
        </w:rPr>
        <w:t>، فإنّ الترتّب کما یکون فی القضیّة اللزومیة، یکون فی القضیّة الاتفاقیّة المشتملة علی المقدّم و التالی، و نظیر التمسّک بأنّ جزم الجملة الثانیة بالجملة الأولی، حسب القواعد النحویّة، فکلّ ذلک فی غیر محلّه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السبب هو اشتمال القضیّة علی الحکم الإنشائیّ فی التالی، ضرورة امتناع کون الحکم علّة لشی‌ء، و ضرورة حکم قاطبة العقلاء بأنّ المقدّم و ما هو تمام الموضوع لذلک الحکم أو القید المذکور فی المقدّم، علّة تامّة لثبوت الحکم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 هنا قد فرغنا من عهدة المبادئ التی یتوقّف إثبات المفهوم علیها، و لا وجه لإنکارها، بل فی إنکارها نوع مکابرة للعقل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المهمّ فی المسألة، و علیه یدور اختلاف تقاریب القوم فی المقام، رابعها، أی رابع تلک الأمور فی وجه، أو خامس هذه المبادئ فی وجه آخر، و هو إثبات کون المقدّم علّة تامّة منحصرة، و إثبات حصر الموضوع بالمذکور فی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الوجوه التی تمسّکوا بها لیست مختلفة فی تلک المبادئ، و لا یلیق الخلاف فیها، و إنّما الخلاف فی إثبات المبدأ الأخیر و الأمر الآخر، و هو الحصر، فلا وجه لما یستفاد من ظاهر القوم من اختلاف الأعلام فی کیفیّة استفادة العلّیة المنحصرة من القضیّة الشرطیّة، بل هم مختلفون فی جهة واحدة، و هی حصر المقدّم فی العلّیة، بعد اعتراف الکلّ بأصل العلّیة،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إثبات علّیة المقدّم للتالی فی استفادة المفهوم، ضرورة إمکان ذلک مع کونهما معلولی علّة ثالثة منحصرة، و ذلک لأنّ التالی و المقدّم إذا کانا معلولی ثالث، و کان الثالث علّة وحیدة لهما، یلزم من انتفاء المقدّم انتفاء تلک العلّة، و من انتفاء العلّة انتفاء التالی، و یثبت بذلک الانتفاء عند الانتفاء، لما لا یعقل أن یکون التالی ثابتا بعلّة أخری، لأنّه لا علّة له إلاّ ما هو علّة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نظرنا إلی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قصّرت 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استفادة المفهوم من هذه القضیّة مع کون القصر و الإفطار معلولی السفر، فلو کان علّة القصر و الإفطار منحصرة بالسفر، یلزم من انتفاء القصر انتفاء السفر، و من انتفاء السفر انتفاء الإفطار بالضرورة، حسب قانون العلّیة فیکون حکم الإفطار و عدمه دائرا مدار حکم السفر بالواسطة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للإفطار علّة أخری لا یمکن الحکم بالانتفاء عند الانتفاء،</w:t>
      </w:r>
      <w:bookmarkStart w:id="44" w:name="pg13167_140723"/>
    </w:p>
    <w:p>
      <w:pPr>
        <w:pStyle w:val="BookText"/>
        <w:rPr/>
      </w:pPr>
      <w:bookmarkEnd w:id="44"/>
      <w:r>
        <w:rPr>
          <w:rFonts w:ascii="IRNazanin" w:hAnsi="IRNazanin" w:eastAsia="IRNazanin"/>
          <w:color w:val="111111"/>
          <w:sz w:val="28"/>
          <w:sz w:val="28"/>
          <w:szCs w:val="28"/>
          <w:rtl w:val="true"/>
          <w:lang w:bidi="fa-IR"/>
        </w:rPr>
        <w:t>لإمکان ثبوت الإفطار و إن کان القصر منتفیا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إثبات هذا الحصر فی غایة الصعوبة، بل لا طریق لنا إلیه، و غایة ما یمکن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حصر العلّة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الشرطیّة إذا کانت مشتملة علی الحکم فی المقدّم و التالی، یمکن أن یکون المقدّم و التالی معلولی علّة ثالثة، بمساعدة العرف و العقلاء، و أمّا إذا کان المقدّم من الأمور التکوینیّة، فما هو المقطوع به عندهم هو أنّ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حکم معلول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المقدّم سبب جعل التالی، لا بمعنی الإفاضة و الخلق، ضرورة أنّ التالی من معالیل المقنّن و المشرّع بعلّیة المقدّم و سببیّته، أو باقتضائه و سنخیّته، کما لا یخفی</w:t>
      </w:r>
      <w:r>
        <w:rPr>
          <w:rFonts w:eastAsia="IRNazanin" w:cs="IRNazanin"/>
          <w:color w:val="111111"/>
          <w:sz w:val="28"/>
          <w:szCs w:val="28"/>
          <w:rtl w:val="true"/>
          <w:lang w:bidi="fa-IR"/>
        </w:rPr>
        <w:t>.</w:t>
      </w:r>
    </w:p>
    <w:p>
      <w:pPr>
        <w:pStyle w:val="Heading4"/>
        <w:numPr>
          <w:ilvl w:val="3"/>
          <w:numId w:val="1"/>
        </w:numPr>
        <w:rPr/>
      </w:pPr>
      <w:bookmarkStart w:id="45" w:name="__RefHeading___Toc559348_3244359995"/>
      <w:bookmarkStart w:id="46" w:name="_Toc17"/>
      <w:bookmarkEnd w:id="45"/>
      <w:r>
        <w:rPr>
          <w:rtl w:val="true"/>
        </w:rPr>
        <w:t>الوجوه المستدلّ بها علی العلّیة المنحصرة</w:t>
      </w:r>
      <w:bookmarkEnd w:id="46"/>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المتکفّل لإثبات الجزء الأخیر و 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حصر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تقاریب تصدّی لها الأعلام رحمهم اللَّه و الکلّ لا یخلو من الإشکال و الإعضال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أقواها، هو أنّ مقتضی الترتّب العلّی أن یکون المقدّم بعنوانه الخاصّ علّة، و لو لم تکن العلّة منحصرة لزم استناد التالی إلی الجامع بینهما، و هو خلاف ظاهر الترتّب علی المقدّم بعنوانه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 علی المجی‌ء ظاهر فی کون المجی‌ء بما هو مجی‌ء بخصوصه علّة، لا بما أنّه مصداق للجامع بینه و بین أمر آخر، و لازمه الانحصار</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ملخّص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قرّره السیّد الأستاذ البروجردیّ قدس سره و قد ذکر أنّه عرضه علی شیخه قدس سره و أجاب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عدم صدور الواحد عن الاثنین، و کون العلّة بحسب الحقیقة عبارة عن الجامع، أمر تقتضیه الدقّة العقلیّة، دون الأنظار العرفیّة، و المرجع هو العرف</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ضرورة أنّ المدّعی یستظهر من ظاهر الاستناد أنّ ما هو العلّة هو المجی‌ء، و لو کان العلّة جامع المجی‌ء و الخصوصیّة الأخری لکان ینبغی أن یستند إلی تلک الخصوصیّة الجامعة، و لکان ینبغی أن یذکر تلک الخصوصیّة، دون ما لا خصوصیّة له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لیست حول قاعدة صدور الکثیر من الواحد،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مصبّ القاعدة هی البسائط الحقیقیّة، و الوحدات الشخصیّة الذاتیّة المساوقة للوجود،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أیضا خروج عن جهة الاستدلال و إن کان استند إلیها السیّد الأستاذ البروجردیّ قدس سره </w:t>
      </w:r>
      <w:r>
        <w:rPr>
          <w:rStyle w:val="FootnoteAnchor"/>
          <w:rtl w:val="true"/>
        </w:rPr>
        <w:footnoteReference w:id="62"/>
      </w:r>
      <w:r>
        <w:rPr>
          <w:rFonts w:ascii="IRNazanin" w:hAnsi="IRNazanin" w:eastAsia="IRNazanin"/>
          <w:color w:val="111111"/>
          <w:sz w:val="28"/>
          <w:sz w:val="28"/>
          <w:szCs w:val="28"/>
          <w:rtl w:val="true"/>
          <w:lang w:bidi="fa-IR"/>
        </w:rPr>
        <w:t>إلاّ أنّه استناد إلی ما لا 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ذلک لم 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العلاّمة المحشّی قدس سره </w:t>
      </w:r>
      <w:r>
        <w:rPr>
          <w:rStyle w:val="FootnoteAnchor"/>
          <w:rtl w:val="true"/>
        </w:rPr>
        <w:footnoteReference w:id="63"/>
      </w:r>
      <w:r>
        <w:rPr>
          <w:rFonts w:ascii="IRNazanin" w:hAnsi="IRNazanin" w:eastAsia="IRNazanin"/>
          <w:color w:val="111111"/>
          <w:sz w:val="28"/>
          <w:sz w:val="28"/>
          <w:szCs w:val="28"/>
          <w:rtl w:val="true"/>
          <w:lang w:bidi="fa-IR"/>
        </w:rPr>
        <w:t>إلی تلک القاعدة، و قد ذکرنا العبارة الأولی التی له، فراجع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ما أفاده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القضیّة الشرطیّة یمکن أن تتشکّل من مطلق المتلازمین، فالعلّیة و المعلولیّة ممّا لا أصل لهما فی</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مقتضی ما مرّ منّا فی القضایا الشرطیّة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یکون التالی حکما إنشائیّا جعلیّا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المقدّم علّة بحکم العقلاء، 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العلّیة المصطلح علیها، و لا حاجة إلیها فی استفادة المفهوم، و ما هو المحتاج إلیه هو أنّ المقدّم تمام السبب لإرادة المولی و إیجاب الإکرام، و أنّه هو السبب الوحید لترشّح تلک الإرادة، حتّی یکون لازمه الانتفاء عند الانتفاء، فلا وجه لتوهّم العلّیة المولّدة، و لا العلّیة المفیضة فی المقام، و لا هی دخیلة فیما هو المهم لی من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یظهر علی ما قرّبناه، أنّ الدعوی هی استفادة العرف من جعل المجی‌ء فی المقدّم، أنّ خصوصیّة المجی‌ء توجب الإکرام، دون الأمر الآخر، و إلاّ کان علیه ذکرها، و لو کانت الخصوصیّة الأخری دخیلة و موجبة، لکان فی ذکر هذه الخصوصیّة إخلالا بما هو الدخیل فی الحکم، فمن عدم ذکر خصوصیّة أخری یستفاد عدم الشریک، و من اختیار خصوصیّة المجی‌ء یستفاد عدم البدیل، و الأوّل نتیجة الاستناد إلیه فی جعل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یتوجّه إلی هذا التقریب الإشکالات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 غیره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المجعول فی التالی مستند إلی هذه الخصوصیّة، و ما یستند إلی خصوصیّة أخری هو الحکم الآخر، فلا وجه لتوهّم أنّ الواحد یصدر من</w:t>
      </w:r>
    </w:p>
    <w:p>
      <w:pPr>
        <w:pStyle w:val="BookText"/>
        <w:rPr/>
      </w:pPr>
      <w:r>
        <w:rPr>
          <w:rFonts w:ascii="IRNazanin" w:hAnsi="IRNazanin" w:eastAsia="IRNazanin"/>
          <w:color w:val="111111"/>
          <w:sz w:val="28"/>
          <w:sz w:val="28"/>
          <w:szCs w:val="28"/>
          <w:rtl w:val="true"/>
          <w:lang w:bidi="fa-IR"/>
        </w:rPr>
        <w:t>الاثنین، بل الاثنان یصدران من الخصوصیّتین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الاستناد إلی القاعدة المزبورة کان فی غیر محلّه، و لا حاجة إلیها، و ما هو المستند إلیه هو التقریب العرفیّ غیر المندفع بما أفادوه، فإذا کانت الکرّیة من أسباب عدم الانفعال و المطریّة و الجریان و المیعان، کان ینبغی أن یذکر الجهة الجامعة لعدم الانفعال، فمن الإخلال بذکرها یظهر أنّ الجهة الوحیدة هی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الدفع الوحید عن التقریب المزبور، أنّ التمسّک المزبور و الاحتجاج المذکور، یتمّ إذا کانت الجهة الجامعة الممکن أخذها فی مقدّم القضیّة الشرطیّة ممکنة، و کانت من الجوامع القریبة غیر المخلّة بالغرض، و کانت معلومة المفهوم حسب الأفهام العرفیّة، و هذا ممّا یقلّ اتفاقه، و عندئذ لا یصحّ الاحتجاج و التمسّک بفعل المولی و أخذه خصوصیّة المجی‌ء و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الخصوصیّة هی الجهة الوحیدة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نتیجته أخذ الخصوصیّة دون الجامع، مع إمکانه ظهور القضیّة فی أنّ السبب الوحید للحکم فی التالی، هی الخصوصیّة المذکورة فی المقدّم، و تصیر النتیجة نفی سببیّة المطر و الجریان لعدم الانفعال، أو نفی موضوعیّتهما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الشأن إحراز إمکان أخذ الجامع القریب، و هذا ممّا لا سبیل إلیه إلاّ أحیانا، فافهم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الاستدلال المزبور من غیر الحاجة إلی التمسّک بالقاعدة المزبورة إذا کان العرف ینتقل إلی الجهة الجامعة، و إلاّ فلا یمکن التتمیم إلاّ بها کما لا یخفی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الاستدلال بناء علیه أنظار أشیر إلیها، و أهمّها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w:t>
      </w:r>
    </w:p>
    <w:p>
      <w:pPr>
        <w:pStyle w:val="BookText"/>
        <w:rPr/>
      </w:pPr>
      <w:r>
        <w:rPr>
          <w:rFonts w:ascii="IRNazanin" w:hAnsi="IRNazanin" w:eastAsia="IRNazanin"/>
          <w:color w:val="111111"/>
          <w:sz w:val="28"/>
          <w:sz w:val="28"/>
          <w:szCs w:val="28"/>
          <w:rtl w:val="true"/>
          <w:lang w:bidi="fa-IR"/>
        </w:rPr>
        <w:t>فرض صحّة القاعدة صغری و کبری، لا یکون ما نحن فیه من صدور الکثیر من الواحد، بل هنا صدور کثیر من الکثیر، ضرورة أنّ الاعتصام المجعول عقیب الکرّ، غیر الاعتصام المجعول عقیب الجاری و المطر، فلا یتوحّد الحکم المجعول حتّی یلزم توحّد الجهة المقتضیة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المجعول فی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یستند إلی جاعله و منشئه، لأنّه حکم إنشائیّ، و المقدّم فی حکم العلّة، و لیست العلّیة علی نعت الحقیقة فی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مقدّمات الحکمة الجاریة فی الجزاء و التالی، هو ارتباط الجزاء بالشرط، و إناطته به بالخصوص، و معناه دوران الجزاء مداره وجودا و عدما، حیث إنّه قیّد الجزاء بذلک الشرط، و لم یقیّد بشی‌ء آخر، لا علی نحو الاشتراک، و لا علی نحو الاستقلال، و هذا هو المقصود من المفهوم فی القضیّة، انتهی ملخّص ما أردنا نقله عن تقریرات العلاّمة الکاظمی قدس سرُّه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مقدّمات الإطلاق نفی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العاطفة الدالّة علی الشرکة، و نفی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الاستقلال و النیابة و البدلیّة، فإذا انتفی وجودهما یثبت الانحصار طبعا، فیثبت المفهوم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المقدّمات المزبورة تجری فی اللقب أیضا کما لا یخفی بتقریب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یفید إطلاقه عدم شرکة عمرو فی لزوم إکرام زید، لا بدّ و أنّ یفید إطلاقه عدم وجوب إکرام عمرو أیضا، لأنّه لو کان یجب إکرام عمرو لکان علیه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و أکرم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اقتصر علی الأوّل فینتفی الحکم بالنسبة إلی الثانی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ترک البدیل لا یلزم الإخلال بالغرض و المقصود، ضرورة</w:t>
      </w:r>
    </w:p>
    <w:p>
      <w:pPr>
        <w:pStyle w:val="BookText"/>
        <w:rPr/>
      </w:pPr>
      <w:r>
        <w:rPr>
          <w:rFonts w:ascii="IRNazanin" w:hAnsi="IRNazanin" w:eastAsia="IRNazanin"/>
          <w:color w:val="111111"/>
          <w:sz w:val="28"/>
          <w:sz w:val="28"/>
          <w:szCs w:val="28"/>
          <w:rtl w:val="true"/>
          <w:lang w:bidi="fa-IR"/>
        </w:rPr>
        <w:t>إمکان کون المجی‌ء تمام الموضوع، أو علّة لوجوب الإکرام، فإذا تحقّق المجی‌ء یجب الإکرام، و تکون هناک خصوصیّة أخری موجبة لإیجاب الإکرام، من غیر أن یلزم عقلا بیان تلک الخصوصیّة، فمقدّمات الحکمة لا تفید إلاّ ما ینافی الحکمة و المصلحة و الغرض، و أمّا الزائد علیها فهو محتاج إلی التقریب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یظهر الخلل فی الوجه الثالث، و هو التمسّک بمقدّماتها لإطلاق الشرط و نفی الشریک و البدیل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الإتیان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التخییر، مع أنّ المقصود هنا لیس نفی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إثبات المفهوم نفی سنخ الحکم، و من إنکار المفهوم إثبات جواز تعدّد الحکم فیما یمکن تعدّده، فیجب إکرام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الخصوصیّات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بوجوبات متعدّدة و إکرامات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فی الإتیان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 لا یثبت إلاّ إناطة الجزاء بالشرط علی سبیل التخییر، و هذا من الشواهد القطعیّة علی أنّ مقدّمات الحکمة، لا تفید نفی البدیل و الخصوصیّة الأخری النائبة عن الخصوصیّة المذکورة، أو المستقلّة فی اقتضائها للوجوب الآخر وراء الوجوب المزبور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لحدّ الآن، أنّ من شأن الإطلاق لیس نفی موضوعیّة الموضوع الآخر لسنخ الحکم المذکور فی القضیّة، و لا نفی علیّة العلّة الأخری غیر المزبورة فیها بالنسبة إلی سنخ ذلک الحکم بالضرورة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إطلاق الشرط أنّه یؤثر فی الجزاء، سواء سبقه الآخر، أو قارنه، و هذا هو المنتهی إلی المفهوم، ضرورة أنّ مع سبق الخصوصیّة الأخری المؤثّرة یلزم الإخلال بالإطلاق، کما لا یخفی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أنّ الکرّیة مستتبعة للاعتصام، سواء قارنها الجریان، أو سبقها، و معنی ذلک نفی دخالة الخصوصیّة الأخری فی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یتمّ التقریب المزبور فی صورة إمکان تعدّد الجزاء و تکرّره، کما فی إکرام زید، فعلی هذا لا مانع من کون الخصوصیّة المذکورة فی القضیّة مستتبعة للحکم، و لو کانت مسبوقة بالأخری فیتعدّد الحکم، و تندرج المسألة فی باب التداخل الآتی تفصیله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نفی دخالة الخصوصیّة الأخری و اقتضائها سنخ الحکم المذکور فی القضیّة، من شئون مقدّمات الحکمة کما عرفت، لما لا یلزم من الإخلال المزبور إخلال بالمقصود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لازم علی المولی بیانه، هی الأمور الراجعة إلی قیود شخص الحکم المذکور فی القضیّة، و أمّا نفی سنخ الحکم عن سائر الموضوعات، فهو خارج عن شأن المقدّمات الجاریة فی القضیّة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ظهور القضیّة فی أنّ الاعتصام مستند دائما إلی الکرّیة، فهو یرجع إلی الوجه الأوّل الّذی فرغنا منه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العلاّمة الأراکی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ثبوت المفهوم فی القضیّة الشرطیّة علی کون الشرط علّة منحصرة، و انتفائه علی عدم کونه کذلک، مستدرک، للاتفاق علی کون الشرط علّة منحصرة بالنسبة إلی شخص الحکم المعلّق علیه،</w:t>
      </w:r>
    </w:p>
    <w:p>
      <w:pPr>
        <w:pStyle w:val="BookText"/>
        <w:rPr/>
      </w:pPr>
      <w:r>
        <w:rPr>
          <w:rFonts w:ascii="IRNazanin" w:hAnsi="IRNazanin" w:eastAsia="IRNazanin"/>
          <w:color w:val="111111"/>
          <w:sz w:val="28"/>
          <w:sz w:val="28"/>
          <w:szCs w:val="28"/>
          <w:rtl w:val="true"/>
          <w:lang w:bidi="fa-IR"/>
        </w:rPr>
        <w:t>و علی هذا تلزم لغویّة النزاع فی انحصار علّیة الشرط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المفید فی ثبوت المفهوم و عدمه، البحث عن کون الجزاء المعلّق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إکرام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طبیعیّ الحکم، أو حصّة منه؟ فعلی الأوّل یثبت المفهوم، و علی الثانی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التکلیفیّ إمّا ینشأ بمادّته کالوجوب و التحریم، أو ینشأ بهیئته، و علی کلّ تقدیر یکون المنشأ عندنا کلّی الحکم و طبیعیّ الوجوب و التحریم، و علی هذا یمکن إحراز إطلاقه فی کلّ منهما بمقدّمات الحکمة، و إذا أحرز إطلاق الحکم ثبت أنّ المعلّق علی الشرط هو طبیعیّ الوجوب المطلق، فیثبت هذا الطبیعی بثبوت الشرط، و ینتفی بانتفائه، و لا حقیقة للمفهوم الّذی هو محلّ الکلام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علیه فی مفهوم اللقب، فشرع فی جوابه بما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یکون مورد نظره هو أنّ الحکم المجعول فی التالی إن کان مصداقا من الحکم، فلا یمکن إثبات هذا المصداق و إنشاؤه عقیب الخصوصیّة الأخری، حتّی یمکن نفیه بالإطلاق أو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المجعول حکما کلّیا یمکن أن یکون له المصداق الآخر عقیب الخصوصیّة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ضیافة زید وراء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یمکن نفیه بالمفهوم، فالمفهوم یدور مدار ذلک، و حیث إنّ المجعول هو الطبیعیّ، فیثبت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کونه طبیعیّا و کلّیا، أنّ طبع القضایا علی أنّ ترتّب الحکم یکون علی وجه الإهمال، و معلوم أنّها فی قوّة الجزئیّة لا إطلاق لها حتّی یشمل جمیع وجودات طبیعة الحکم، حتّی ینتفی الجمیع بانتفاء الشرط</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فی البین جهة زائدة علی ربط الحکم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دعوی الإطلاق فیها، و یثبت حینئذ المفهوم فی مثلها و فی</w:t>
      </w:r>
      <w:bookmarkStart w:id="47" w:name="pg13167_140731"/>
    </w:p>
    <w:p>
      <w:pPr>
        <w:pStyle w:val="BookText"/>
        <w:rPr/>
      </w:pPr>
      <w:bookmarkEnd w:id="47"/>
      <w:r>
        <w:rPr>
          <w:rFonts w:ascii="IRNazanin" w:hAnsi="IRNazanin" w:eastAsia="IRNazanin"/>
          <w:color w:val="111111"/>
          <w:sz w:val="28"/>
          <w:sz w:val="28"/>
          <w:szCs w:val="28"/>
          <w:rtl w:val="true"/>
          <w:lang w:bidi="fa-IR"/>
        </w:rPr>
        <w:t xml:space="preserve">الغایة و أداة الحصر، دون اللقب، و مثله الوصف </w:t>
      </w:r>
      <w:r>
        <w:rPr>
          <w:rStyle w:val="FootnoteAnchor"/>
          <w:rtl w:val="true"/>
        </w:rPr>
        <w:footnoteReference w:id="72"/>
      </w:r>
      <w:r>
        <w:rPr>
          <w:rFonts w:ascii="IRNazanin" w:hAnsi="IRNazanin" w:eastAsia="IRNazanin"/>
          <w:color w:val="111111"/>
          <w:sz w:val="28"/>
          <w:sz w:val="28"/>
          <w:szCs w:val="28"/>
          <w:rtl w:val="true"/>
          <w:lang w:bidi="fa-IR"/>
        </w:rPr>
        <w:t>، انتهی ملخّص ما أفید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جمیع ما أفاده قدس سرُّه و سلّمنا أنّ المفهوم یمکن دعواه بناء علی کون المنشأ فی التالی هو طبیعیّ الحکم، لکان اللاّزم بعد ذلک التمسّک بإطلاق الجزاء، و قد مرّ أنّ شأن مقدّمات الحکمة لیس إلاّ إثبات کون مصبّ الحکم تمام الموضوع، و أمّا نفی موضوعیّة غیره لسنخ الحکم فهو خارج عن عهدة تلک المقدّمات، کما عرفت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فی کلماته مواضع کثیرة من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أنّه 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المفهوم لو کان العلّیة المنحصرة، لکانت القضایا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اللقبیّة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مفهوم، و ذلک لأنّ الظاهر من کلّ قضیّة أنّ ما أخذ موضوعا فیها أنّه تمام الموضوع، و أنّ هذا الحکم المذکور فیها لا موضوع له إلاّ ذلک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من الضعف، و لو أراد إثبات أنّ قضیّة مقدّمات الحکمة هو أنّ الموضوع المذکور تمام الموضوع، و الحکم المذکور فیها شخصیّ لا موضوع له، فهو صحیح، إلاّ أنّه لا یثبت به المفهوم، و ما یثبت به المفهوم نفی موضوعیّة سائر الموضوعات الاخر لسنخ الحکم و لمماثله من الوجوب أو التحریم</w:t>
      </w:r>
      <w:r>
        <w:rPr>
          <w:rFonts w:eastAsia="IRNazanin" w:cs="IRNazanin"/>
          <w:color w:val="111111"/>
          <w:sz w:val="28"/>
          <w:szCs w:val="28"/>
          <w:rtl w:val="true"/>
          <w:lang w:bidi="fa-IR"/>
        </w:rPr>
        <w:t>.</w:t>
      </w:r>
    </w:p>
    <w:p>
      <w:pPr>
        <w:pStyle w:val="Heading4"/>
        <w:numPr>
          <w:ilvl w:val="3"/>
          <w:numId w:val="1"/>
        </w:numPr>
        <w:rPr/>
      </w:pPr>
      <w:bookmarkStart w:id="48" w:name="__RefHeading___Toc559350_3244359995"/>
      <w:bookmarkStart w:id="49" w:name="_Toc18"/>
      <w:bookmarkEnd w:id="48"/>
      <w:r>
        <w:rPr>
          <w:rtl w:val="true"/>
        </w:rPr>
        <w:t>تذنیب</w:t>
      </w:r>
      <w:r>
        <w:rPr>
          <w:rtl w:val="true"/>
        </w:rPr>
        <w:t xml:space="preserve">: </w:t>
      </w:r>
      <w:r>
        <w:rPr>
          <w:rtl w:val="true"/>
        </w:rPr>
        <w:t>حول ثبوت المفهوم لبعض القضایا الشرطیّة</w:t>
      </w:r>
      <w:bookmarkEnd w:id="4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الشرطیّة إذا کانت ظاهرة فی القضیّة الحقیقیّة التعلیقیّة، و کان الحکم المذکور فی التالی غیر قابل للتکرار بالطبع، فالمفهوم ثابت،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ظاهرا حسب الإطلاق فی أنّ کلّما تحقّقت الکرّیة فی الخارج یثبت للماء الاعتصام، فمعنی ذلک أنّ الجریان السابق علی الکرّیة لا ینفع، و لا یوجب الاعتصام، لأنّ الکرّیة المتأخّرة تستتبع الاعتصام، و لا یمکن أن یتعدّد الاعتصام بتعدّد الأسباب و الخصوصیّات، فیثبت نفی الاعتصام عند خصوصیّة الجریان و غیره، و لا نعنی من المفهوم إلاّ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القضایا الشرطیّة التی لا یکون المقدّم منحلا إلی القضیّة الحقیقیّة، أو یکون الحکم فی التالی قابلا للتکرار بحسب الطبع، فلا یثبت فیها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المستفاد منه قضیّة حقیقیّة و هو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تحقّقت الاستطاعة یجب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الحجّ لا یجب إلاّ بأوّل وجودها، فإنّه حینئذ لا یمکن نفی ثبوت الحجّ بسبب آخر غیر الاستطاعة، کالنذر حال التسکّع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 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المستفاد من المقدّم و لو کان قضیّة حقیقیّة، و لکن لمکان إمکان تعدّد الحکم بالخصوصیّات المتعدّدة، لا یمکن إثبات المفهوم بنفی الحکم عند تلک الخصوصیّات، ضرورة أنّ القضیّة الحقیقیّة هنا باقیة علی حالها، و مستتبعة للحکم دائما، من غیر تناف مع استتباع الخصوصیّة الأخری لمماثل الحکم المذکور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تحقّق المجی‌ء یتحقّق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علی حاله، سواء سبقت الخصوصیّة الأخری، أو لم تسبق، لأنّ مع سبق الخصوصیّة الأخری یلزم وجوب الإکرام الآخر و وجوب ثان، و من لحوق المجی‌ء یلزم الوجوب الآخر غیر ذلک الوجوب شخصا، کما لا یخفی</w:t>
      </w:r>
      <w:r>
        <w:rPr>
          <w:rFonts w:eastAsia="IRNazanin" w:cs="IRNazanin"/>
          <w:color w:val="111111"/>
          <w:sz w:val="28"/>
          <w:szCs w:val="28"/>
          <w:rtl w:val="true"/>
          <w:lang w:bidi="fa-IR"/>
        </w:rPr>
        <w:t>.</w:t>
      </w:r>
      <w:bookmarkStart w:id="50" w:name="pg13167_140733"/>
    </w:p>
    <w:p>
      <w:pPr>
        <w:pStyle w:val="BookText"/>
        <w:rPr/>
      </w:pPr>
      <w:bookmarkEnd w:id="50"/>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الشرطیّة الشرعیّة علی أقسام ثلاثة، لا یبعد ثبوت المفهوم للطائفة الأولی، دون الطائفتین الأخیرتین، و إنّما الشأن فی استفادة تلک القضیّة عرفا من الشرطیّة، و هذا یمکن فی صورة ثبوت الإطلاق الأفرادی و الأزمانیّ،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تعرف</w:t>
      </w:r>
      <w:r>
        <w:rPr>
          <w:rFonts w:eastAsia="IRNazanin" w:cs="IRNazanin"/>
          <w:color w:val="111111"/>
          <w:sz w:val="28"/>
          <w:szCs w:val="28"/>
          <w:rtl w:val="true"/>
          <w:lang w:bidi="fa-IR"/>
        </w:rPr>
        <w:t>.</w:t>
      </w:r>
    </w:p>
    <w:p>
      <w:pPr>
        <w:pStyle w:val="Heading4"/>
        <w:numPr>
          <w:ilvl w:val="3"/>
          <w:numId w:val="1"/>
        </w:numPr>
        <w:rPr/>
      </w:pPr>
      <w:bookmarkStart w:id="51" w:name="__RefHeading___Toc559352_3244359995"/>
      <w:bookmarkStart w:id="52" w:name="_Toc19"/>
      <w:bookmarkEnd w:id="51"/>
      <w:r>
        <w:rPr>
          <w:rtl w:val="true"/>
        </w:rPr>
        <w:t>ذنابة</w:t>
      </w:r>
      <w:r>
        <w:rPr>
          <w:rtl w:val="true"/>
        </w:rPr>
        <w:t xml:space="preserve">: </w:t>
      </w:r>
      <w:r>
        <w:rPr>
          <w:rtl w:val="true"/>
        </w:rPr>
        <w:t>حول الاستدلال علی المفهوم بالقضایا المستعملة فی الوصایا</w:t>
      </w:r>
      <w:bookmarkEnd w:id="52"/>
    </w:p>
    <w:p>
      <w:pPr>
        <w:pStyle w:val="BookText"/>
        <w:rPr/>
      </w:pPr>
      <w:r>
        <w:rPr>
          <w:rFonts w:ascii="IRNazanin" w:hAnsi="IRNazanin" w:eastAsia="IRNazanin"/>
          <w:color w:val="111111"/>
          <w:sz w:val="28"/>
          <w:sz w:val="28"/>
          <w:szCs w:val="28"/>
          <w:rtl w:val="true"/>
          <w:lang w:bidi="fa-IR"/>
        </w:rPr>
        <w:t>ربّما یستدلّ علی المفهوم بالقضایا المستعملة فی الوصایا و الأوقاف، فلو کانت القضیّة الموصی بها شرطیّة أو وصفیّة، فقال الموصی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هذا البستان لأولادی إن کانوا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لعدول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الغنیّ منهم سهما، أو الفاسق منهم حصّة، فیستدلّ علیه بالمفهوم، و أنّ الموصی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لأولادی إن کانوا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أنّهم إن لم یکونوا فقراء فلا شی‌ء منها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باقتضاء العرف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المفهوم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الإشکال علی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وجه عدم استحقاق الغنیّ و الفاسق منهم، خروجهم عن محطّ الوقف سواء ثبت المفهوم، أم لا، فی غیر محلّه، لأنّ نظر المستدلّ إلی أنّه استدلال عرفیّ فی المحاکم العرفیّة، غافلین عن هذه الدقیقة، و عن أنّ عدم اندراجهم فی محطّ الإنشاء کاف فی سقوط دعواهم، بل العرف یجد زائدا علیه دلیلا علی سقوط دعواهم، و أنّ الواقف أخرجهم، لا أنّه لم یدخلهم، ففرق بین عدم دخولهم فی محطّ الوقف، و بین إخراجهم منه حسب الإنشاء، فما فی کتب الأصحاب من المناقشة فی الاستدلال </w:t>
      </w:r>
      <w:r>
        <w:rPr>
          <w:rStyle w:val="FootnoteAnchor"/>
          <w:rtl w:val="true"/>
        </w:rPr>
        <w:footnoteReference w:id="75"/>
      </w:r>
      <w:r>
        <w:rPr>
          <w:rFonts w:ascii="IRNazanin" w:hAnsi="IRNazanin" w:eastAsia="IRNazanin"/>
          <w:color w:val="111111"/>
          <w:sz w:val="28"/>
          <w:sz w:val="28"/>
          <w:szCs w:val="28"/>
          <w:rtl w:val="true"/>
          <w:lang w:bidi="fa-IR"/>
        </w:rPr>
        <w:t>، لا یخلو من تأسّف</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تبیّن أنّ الموصی أوصی بوصیّة أخری، و هی أنّ</w:t>
      </w:r>
      <w:bookmarkStart w:id="53" w:name="pg13167_140734"/>
    </w:p>
    <w:p>
      <w:pPr>
        <w:pStyle w:val="BookText"/>
        <w:rPr/>
      </w:pPr>
      <w:bookmarkEnd w:id="53"/>
      <w:r>
        <w:rPr>
          <w:rFonts w:ascii="IRNazanin" w:hAnsi="IRNazanin" w:eastAsia="IRNazanin"/>
          <w:color w:val="111111"/>
          <w:sz w:val="28"/>
          <w:sz w:val="28"/>
          <w:szCs w:val="28"/>
          <w:rtl w:val="true"/>
          <w:lang w:bidi="fa-IR"/>
        </w:rPr>
        <w:t>منافع هذا البستان لأولادی إذا کانوا طلاّب النجف الأشرف، و کان جمیع أولاده أغنیاء و طلاّبا فی النجف، و لم تکن المنافع باقیة بحسب الأزمنة المتأخّرة حتی یمکن الجمع بین الوصیّتین بالتخصیص و التقیید، فهل لا یکون حکم العقلاء إلاّ صرف المنافع فیهم من غیر توهّم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أنّه لیس استدلالهم بالمفهوم من الدقّة العرفیّة، بل هو استدلال تسامحیّ،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المدّعی ترجع دعواه إلی جعل القید المزبور لغوا، و هذا خلاف مرتکز العقلاء فی باب احترازیّة القیود، فیستدلّون علی خلاف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القید خروج من لا یکون موصوفا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ادّعی أنّه لأجل خصوصیّة أخری، و هی کونه من الطلاّب فی النجف یستحقّ من المنافع، فإن کان من الموصی وصیّة منطبقة علیه، فتسمع دعواه من غیر توهّم المعارضة و التقیید، أو ترجیح المنطوق علی المفهوم المقصود فی المقام، فلاحظ فإنّه مزالّ الأقدام</w:t>
      </w:r>
      <w:r>
        <w:rPr>
          <w:rFonts w:eastAsia="IRNazanin" w:cs="IRNazanin"/>
          <w:color w:val="111111"/>
          <w:sz w:val="28"/>
          <w:szCs w:val="28"/>
          <w:rtl w:val="true"/>
          <w:lang w:bidi="fa-IR"/>
        </w:rPr>
        <w:t>.</w:t>
      </w:r>
    </w:p>
    <w:p>
      <w:pPr>
        <w:pStyle w:val="Heading4"/>
        <w:numPr>
          <w:ilvl w:val="3"/>
          <w:numId w:val="1"/>
        </w:numPr>
        <w:rPr/>
      </w:pPr>
      <w:bookmarkStart w:id="54" w:name="__RefHeading___Toc559354_3244359995"/>
      <w:bookmarkStart w:id="55" w:name="_Toc20"/>
      <w:bookmarkEnd w:id="54"/>
      <w:r>
        <w:rPr>
          <w:rtl w:val="true"/>
        </w:rPr>
        <w:t>تنبیهات</w:t>
      </w:r>
      <w:bookmarkEnd w:id="55"/>
    </w:p>
    <w:p>
      <w:pPr>
        <w:pStyle w:val="Heading5"/>
        <w:numPr>
          <w:ilvl w:val="4"/>
          <w:numId w:val="1"/>
        </w:numPr>
        <w:rPr/>
      </w:pPr>
      <w:bookmarkStart w:id="56" w:name="__RefHeading___Toc559356_3244359995"/>
      <w:bookmarkStart w:id="57" w:name="_Toc21"/>
      <w:bookmarkEnd w:id="56"/>
      <w:r>
        <w:rPr>
          <w:rtl w:val="true"/>
        </w:rPr>
        <w:t>التنبیه الأوّل</w:t>
      </w:r>
      <w:r>
        <w:rPr>
          <w:rtl w:val="true"/>
        </w:rPr>
        <w:t xml:space="preserve">: </w:t>
      </w:r>
      <w:r>
        <w:rPr>
          <w:rtl w:val="true"/>
        </w:rPr>
        <w:t>حول الإشکال فی مفهوم طائفة من القضایا الشرطیّة</w:t>
      </w:r>
      <w:bookmarkEnd w:id="57"/>
    </w:p>
    <w:p>
      <w:pPr>
        <w:pStyle w:val="Heading6"/>
        <w:numPr>
          <w:ilvl w:val="5"/>
          <w:numId w:val="1"/>
        </w:numPr>
        <w:rPr/>
      </w:pPr>
      <w:bookmarkStart w:id="58" w:name="__RefHeading___Toc559358_3244359995"/>
      <w:bookmarkStart w:id="59" w:name="_Toc22"/>
      <w:bookmarkEnd w:id="58"/>
      <w:r>
        <w:rPr>
          <w:rtl w:val="true"/>
        </w:rPr>
        <w:t>اشارة</w:t>
      </w:r>
      <w:bookmarkEnd w:id="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عدم المفهوم للقضایا الشرطیّة التی یکون مفاد الجملة و الخصوصیّة المأخوذة فیها انتفاء الحکم بانتفاء الموضوع، کآیة النبأ</w:t>
      </w:r>
      <w:r>
        <w:rPr>
          <w:rStyle w:val="FootnoteAnchor"/>
          <w:rtl w:val="true"/>
        </w:rPr>
        <w:footnoteReference w:id="76"/>
      </w:r>
      <w:r>
        <w:rPr>
          <w:rFonts w:ascii="IRNazanin" w:hAnsi="IRNazanin" w:eastAsia="IRNazanin"/>
          <w:color w:val="111111"/>
          <w:sz w:val="28"/>
          <w:sz w:val="28"/>
          <w:szCs w:val="28"/>
          <w:rtl w:val="true"/>
          <w:lang w:bidi="fa-IR"/>
        </w:rPr>
        <w:t xml:space="preserve">، و آیة التحصّن </w:t>
      </w:r>
      <w:r>
        <w:rPr>
          <w:rStyle w:val="FootnoteAnchor"/>
          <w:rtl w:val="true"/>
        </w:rPr>
        <w:footnoteReference w:id="77"/>
      </w:r>
      <w:r>
        <w:rPr>
          <w:rFonts w:ascii="IRNazanin" w:hAnsi="IRNazanin" w:eastAsia="IRNazanin"/>
          <w:color w:val="111111"/>
          <w:sz w:val="28"/>
          <w:sz w:val="28"/>
          <w:szCs w:val="28"/>
          <w:rtl w:val="true"/>
          <w:lang w:bidi="fa-IR"/>
        </w:rPr>
        <w:t>علی إشکال فیها، 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زید موجودا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ینتفی الحکم فی ناحیة المفهوم بانتفاء الموضوع، و فی المثل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المحمول فی سنخ هذه القضایا ثابتا لموضوع آخر،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یثبت له المفهوم علی القول به، لإمکان اقتضاء الخصوصیّة الأخری لوجوب إکرام زید،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هذه القضایا استعمالا دلیل علی أنّ المفهوم لیس مفاد أداة الشرط و الهیئة وضعا، و إلاّ یلزم المجازیّة أو تعدّد الوضع، و الکلّ غیر تامّ،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ثبوت المفهوم علی القول به، فی القضایا الشرطیّة التی یکون مفاد التالی معنی کلّیا،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افترق البائعان فالبیع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طبیعة اللزوم ذات أفراد کثیرة، و القضیّة الشرطیّة متکفّلة بمنطوقها لإثبات فرد من لزوم البیع عند الافتراق، و بمفهومها تتکفّل لنفی الفرد الآخر من تلک الطبیعة عن سائر الخصوصیّات و المقتضیات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من سنخ الحکم المنفیّ بالمفهوم، أی فرد مماثل للفرد الثابت فی المنطوق، المندرج تحت طبیعة کلّیة استعمالیّة فی ناحیة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طائفة من القضایا الشرطیّة، نشیر إلیها علی سبیل الإجمال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الأستاذ البروجردیّ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الشرطیّة علی قسمین،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مقدّمها بمنزلة الموضوع، و تالیها بمنزلة المحمول، فکأنّها قضیّة حملیّة ذکرت بصورة الشرطیّة، و ذلک کقول الطبیب مثلا للمریض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شربت الدواء الفلانیّ انقطع مرضک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بمنزلة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الدواء الفلانیّ قاطع لمرضک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 المنجّم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زحل فی الدرجة الکذائیّة رخصت الأسعار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نحو ذلک، فهذا القسم من الشرطیّات التی مفادها الحملیّات لا مفهوم لها</w:t>
      </w:r>
      <w:r>
        <w:rPr>
          <w:rStyle w:val="FootnoteAnchor"/>
          <w:rtl w:val="true"/>
        </w:rPr>
        <w:footnoteReference w:id="78"/>
      </w:r>
      <w:r>
        <w:rPr>
          <w:rFonts w:ascii="IRNazanin" w:hAnsi="IRNazanin" w:eastAsia="IRNazanin"/>
          <w:color w:val="111111"/>
          <w:sz w:val="28"/>
          <w:sz w:val="28"/>
          <w:szCs w:val="28"/>
          <w:rtl w:val="true"/>
          <w:lang w:bidi="fa-IR"/>
        </w:rPr>
        <w:t>، انتهی ما أردناه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القضایا الشرطیّة فی وجه، مفادها مفاد الحملیّات بلا فرق بین صنوفها، بل اختاره العلاّمة النائینیّ قدس سرُّه </w:t>
      </w:r>
      <w:r>
        <w:rPr>
          <w:rStyle w:val="FootnoteAnchor"/>
          <w:rtl w:val="true"/>
        </w:rPr>
        <w:footnoteReference w:id="79"/>
      </w:r>
      <w:r>
        <w:rPr>
          <w:rFonts w:ascii="IRNazanin" w:hAnsi="IRNazanin" w:eastAsia="IRNazanin"/>
          <w:color w:val="111111"/>
          <w:sz w:val="28"/>
          <w:sz w:val="28"/>
          <w:szCs w:val="28"/>
          <w:rtl w:val="true"/>
          <w:lang w:bidi="fa-IR"/>
        </w:rPr>
        <w:t>و قد فرغنا من فساد ذلک بما لا مزید علیه، و فی وجه کلّها قضایا شرطیّة مقابل الحملیّات، و من أقسام القضایا المعتبرة فی العلوم بلا رجوع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المفهوم فی القضیّة الشرطیّة و هو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ثابت فی هذه القضایا، لجریان جمیع التقاریب المنتهیة إلیه فیها بالضرورة، ضرورة إمکان انقطاع مرضه بخصوصیّة أخری و بالتداوی الآخر غیر الشرب، فإن کان لها المفهوم فیدلّ علی أنّ انقطاع مرضه مخصوص بهذا الشرب، و إلاّ فلا یدلّ علی الاختصاص بتلک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القول بالمفهوم للقضیّة الشرطیّة الشرعیّة التی کان التالی متضمّنا للحکم الکلّی،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یجب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فیما إذا أنشئ وجوب الإکرام بالهیئة</w:t>
      </w:r>
      <w:r>
        <w:rPr>
          <w:rStyle w:val="FootnoteAnchor"/>
          <w:rtl w:val="true"/>
        </w:rPr>
        <w:footnoteReference w:id="80"/>
      </w:r>
      <w:r>
        <w:rPr>
          <w:rFonts w:ascii="IRNazanin" w:hAnsi="IRNazanin" w:eastAsia="IRNazanin"/>
          <w:color w:val="111111"/>
          <w:sz w:val="28"/>
          <w:sz w:val="28"/>
          <w:szCs w:val="28"/>
          <w:rtl w:val="true"/>
          <w:lang w:bidi="fa-IR"/>
        </w:rPr>
        <w:t>، و المنکر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المنشأ بها لیس إلاّ مصداقا جزئیّا غیر مشتمل علی الفرد الآخر حتّی ینتفی به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بالإشارة الخارجیّة إلی ضربه مثلا، فإنّه 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هذه القضیّة هو أنّه إن لم یجئ فلا تضربه، لأنّه لم ینشئ معنی قابلا للثبوت فی ناحیة المنطوق، و للانتفاء فی ناحیة المفهوم، ضرورة أنّ ما کان شأنه ذلک لا بدّ و أن یکون کلیّا حتّی یثبت فی ناحیة المنطوق، و ینتفی فی ناحیة المفهوم، و یکون الانتفاء بالمفهوم لا لأجل انتفاء شخص الحکم، فإنّه لیس</w:t>
      </w:r>
    </w:p>
    <w:p>
      <w:pPr>
        <w:pStyle w:val="BookText"/>
        <w:rPr/>
      </w:pPr>
      <w:r>
        <w:rPr>
          <w:rFonts w:ascii="IRNazanin" w:hAnsi="IRNazanin" w:eastAsia="IRNazanin"/>
          <w:color w:val="111111"/>
          <w:sz w:val="28"/>
          <w:sz w:val="28"/>
          <w:szCs w:val="28"/>
          <w:rtl w:val="true"/>
          <w:lang w:bidi="fa-IR"/>
        </w:rPr>
        <w:t>مقصود المثبتین،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هذه العویصة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المفهوم هنا و عدمه، دائر مدار کون الموضوع له فی الهیئات عامّا أو خاصّا، فإن کان عامّا فلا بأس به، و إن کان خاصّا فلا یمکن إثباته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و العلاّمة الأراکیّ </w:t>
      </w:r>
      <w:r>
        <w:rPr>
          <w:rStyle w:val="FootnoteAnchor"/>
          <w:rtl w:val="true"/>
        </w:rPr>
        <w:footnoteReference w:id="83"/>
      </w:r>
      <w:r>
        <w:rPr>
          <w:rFonts w:ascii="IRNazanin" w:hAnsi="IRNazanin" w:eastAsia="IRNazanin"/>
          <w:color w:val="111111"/>
          <w:sz w:val="28"/>
          <w:sz w:val="28"/>
          <w:szCs w:val="28"/>
          <w:rtl w:val="true"/>
          <w:lang w:bidi="fa-IR"/>
        </w:rPr>
        <w:t>ذهبا إلی العموم فی ناحیة الوضع و الموضوع له، نجیا من هذه المهلکة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ینسب </w:t>
      </w:r>
      <w:r>
        <w:rPr>
          <w:rStyle w:val="FootnoteAnchor"/>
          <w:rtl w:val="true"/>
        </w:rPr>
        <w:footnoteReference w:id="84"/>
      </w:r>
      <w:r>
        <w:rPr>
          <w:rFonts w:ascii="Amiri" w:hAnsi="Amiri" w:eastAsia="Amiri" w:cs="Amiri"/>
          <w:color w:val="111111"/>
          <w:sz w:val="28"/>
          <w:sz w:val="28"/>
          <w:szCs w:val="28"/>
          <w:rtl w:val="true"/>
          <w:lang w:bidi="ar-SA"/>
        </w:rPr>
        <w:t xml:space="preserve">إلی العلاّمة المحشّی، الشیخ محمّد تقیّ قدس سرُّه </w:t>
      </w:r>
      <w:r>
        <w:rPr>
          <w:rStyle w:val="FootnoteAnchor"/>
          <w:rtl w:val="true"/>
        </w:rPr>
        <w:footnoteReference w:id="85"/>
      </w:r>
      <w:r>
        <w:rPr>
          <w:rFonts w:ascii="IRNazanin" w:hAnsi="IRNazanin" w:eastAsia="IRNazanin"/>
          <w:color w:val="111111"/>
          <w:sz w:val="28"/>
          <w:sz w:val="28"/>
          <w:szCs w:val="28"/>
          <w:rtl w:val="true"/>
          <w:lang w:bidi="fa-IR"/>
        </w:rPr>
        <w:t xml:space="preserve">أنّ فی ناحیة المفهوم ینتفی شخص الحکم أیضا، و لکنّه ممنوع، لما یظهر من الرجوع إلی کلام العلاّمة جدّی الفاضل فی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خلافه </w:t>
      </w:r>
      <w:r>
        <w:rPr>
          <w:rStyle w:val="FootnoteAnchor"/>
          <w:rtl w:val="true"/>
        </w:rPr>
        <w:footnoteReference w:id="8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یهمّ بالبحث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المنشأ بمادّة الوجوب و التحریم شخصیّ و جزئیّ بحسب الإرادة الجدّیة، و إن کان اللفظ بحسب الإرادة الاستعمالیّة مستعملا فی المعنی الکلیّ، إلاّ أنّ المناط هو الأوّل دون الثانی، فلا یختصّ الإشکال بالصورة المذکورة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و النواهی الواردة فی کلمات المعصومین لیست تشریعیّات حقیقة، لما أنّ المشرّع الحقیقیّ هو اللَّه تعالی، فتکون هذه الأوامر غیر مولویّة، بل هی حاکیات لأحکام اللَّه الثابتة، فوزانها وزان الجمل الخبریّة، فیکون فیها المفهوم، لأنّها ترجع إلی الجملة المشتملة علی المعانی الکلّیة،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w:t>
      </w:r>
    </w:p>
    <w:p>
      <w:pPr>
        <w:pStyle w:val="BookText"/>
        <w:rPr/>
      </w:pPr>
      <w:r>
        <w:rPr>
          <w:rFonts w:ascii="IRNazanin" w:hAnsi="IRNazanin" w:eastAsia="IRNazanin"/>
          <w:color w:val="111111"/>
          <w:sz w:val="28"/>
          <w:sz w:val="28"/>
          <w:szCs w:val="28"/>
          <w:rtl w:val="true"/>
          <w:lang w:bidi="fa-IR"/>
        </w:rPr>
        <w:t>فحکم اللَّه تعالی هو وجوب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مفوّضة إلیهم صلوات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جماعة، و لکنّه خلاف ما علیه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الإرجاع المزبور غیر لازم، لإمکان أن یکون الإنشاء إرشادیّا، و مع ذلک لا یکون راجعا إلی الکلّیة و الإخباریّة، بل وزانه وزان المنشأ الثابت، فإن کان المنشأ الثابت جملة شرطیّة مشتملة علی الهیئة فی الجزاء، فهو هنا و فی مرحلة الإرشاد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جملة مشتملة علی المعنی الاسمیّ العامّ، فهی فی مقام الإرشاد أیضا مثله، لئلا تلزم الخیانة فی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لو کان المفهوم متوقّفا علی کلّیة المعنی و عموم الموضوع له، فلا تنحلّ المشکلة بمثله الّذی زعمه الأستاذ البروجردیّ قدس سرُّه </w:t>
      </w:r>
      <w:r>
        <w:rPr>
          <w:rStyle w:val="FootnoteAnchor"/>
          <w:rtl w:val="true"/>
        </w:rPr>
        <w:footnoteReference w:id="8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تصدّوا للجواب عن هذه المشکلة، و هو بین ما یکون جوابا عرفیّا و تمسّکا بذیل العرف، و بین ما هو جواب 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w:t>
      </w:r>
      <w:r>
        <w:rPr>
          <w:rStyle w:val="FootnoteAnchor"/>
          <w:rtl w:val="true"/>
        </w:rPr>
        <w:footnoteReference w:id="88"/>
      </w:r>
      <w:r>
        <w:rPr>
          <w:rFonts w:ascii="IRNazanin" w:hAnsi="IRNazanin" w:eastAsia="IRNazanin"/>
          <w:color w:val="111111"/>
          <w:sz w:val="28"/>
          <w:sz w:val="28"/>
          <w:szCs w:val="28"/>
          <w:rtl w:val="true"/>
          <w:lang w:bidi="fa-IR"/>
        </w:rPr>
        <w:t>من أنّ من الممکن و قد وقع کثیرا، التصریح بالمفهوم فی القضایا الشرعیّة، من غیر أن یترقّب العرف و ینظر إلی جهة العموم فی وضع الحروف و خصوصه، بل الکلّ یشهدون 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یجئ زید فلا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مقصوده نفی الوجوب عند سائر الخصوصیّات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یفید أمرا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تحریم الإکرام عند سائر الخصوصیّات، بناء علی</w:t>
      </w:r>
    </w:p>
    <w:p>
      <w:pPr>
        <w:pStyle w:val="BookText"/>
        <w:rPr/>
      </w:pPr>
      <w:r>
        <w:rPr>
          <w:rFonts w:ascii="IRNazanin" w:hAnsi="IRNazanin" w:eastAsia="IRNazanin"/>
          <w:color w:val="111111"/>
          <w:sz w:val="28"/>
          <w:sz w:val="28"/>
          <w:szCs w:val="28"/>
          <w:rtl w:val="true"/>
          <w:lang w:bidi="fa-IR"/>
        </w:rPr>
        <w:t>کون النهی مفیدا للحرمة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یشهد علیه الوجدان، و یصدّقه العرف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یحمل قوله المصرّح به علی أنّه لیس مفهوم الجملة الأولی، أو یکون لنفی ما یحکم به العقل، و هو الحکم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هذا هو أمتن الوجوه العرفیّة التی تمسّک بها مثل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و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و العلاّمة النائینیّ </w:t>
      </w:r>
      <w:r>
        <w:rPr>
          <w:rStyle w:val="FootnoteAnchor"/>
          <w:rtl w:val="true"/>
        </w:rPr>
        <w:footnoteReference w:id="92"/>
      </w:r>
      <w:r>
        <w:rPr>
          <w:rFonts w:ascii="IRNazanin" w:hAnsi="IRNazanin" w:eastAsia="IRNazanin"/>
          <w:color w:val="111111"/>
          <w:sz w:val="28"/>
          <w:sz w:val="28"/>
          <w:szCs w:val="28"/>
          <w:rtl w:val="true"/>
          <w:lang w:bidi="fa-IR"/>
        </w:rPr>
        <w:t>رحمهما اللَّه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w:t>
      </w:r>
      <w:r>
        <w:rPr>
          <w:rStyle w:val="FootnoteAnchor"/>
          <w:rtl w:val="true"/>
        </w:rPr>
        <w:footnoteReference w:id="93"/>
      </w:r>
      <w:r>
        <w:rPr>
          <w:rFonts w:ascii="Amiri" w:hAnsi="Amiri" w:eastAsia="Amiri" w:cs="Amiri"/>
          <w:color w:val="111111"/>
          <w:sz w:val="28"/>
          <w:sz w:val="28"/>
          <w:szCs w:val="28"/>
          <w:rtl w:val="true"/>
          <w:lang w:bidi="ar-SA"/>
        </w:rPr>
        <w:t xml:space="preserve">، و ربّما یستظهر من العلاّمة المحشّی الأصفهانی قدس سرُّه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قضیّة إثبات العلّیة المنحصرة نفی الأحکام المماثلة للحکم المذکور فی التالی، و إلاّ یلزم کونه لغوا أو خلفا، ضرورة أنّ کلّ معلول شخصیّ علّته وحیدة طبعا و منحصرة عقلا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حرارة الماء الموجود فی القدر علّتها إذا کانت النار، فهی وحیدة و منحصرة، و لا داعی إلی إثبات حصرها، لأنّها واقعیّة ثابتة بالضرورة، فإذا أرید إثبات انحصار علّة حرارة الماء، فلا یکون المقصود إلاّ أنّ سائر الموجبات للحرارة لیست قابلة لتسخین الماء، فیکون الغرض نفی العلل الأخری عند وجودها عن التأثیر فیه، و نفی الحرارة عن الماء إلاّ عند ثبوت النار</w:t>
      </w:r>
      <w:r>
        <w:rPr>
          <w:rFonts w:eastAsia="IRNazanin" w:cs="IRNazanin"/>
          <w:color w:val="111111"/>
          <w:sz w:val="28"/>
          <w:szCs w:val="28"/>
          <w:rtl w:val="true"/>
          <w:lang w:bidi="fa-IR"/>
        </w:rPr>
        <w:t>.</w:t>
      </w:r>
      <w:bookmarkStart w:id="60" w:name="pg13167_140740"/>
    </w:p>
    <w:p>
      <w:pPr>
        <w:pStyle w:val="BookText"/>
        <w:rPr/>
      </w:pPr>
      <w:bookmarkEnd w:id="60"/>
      <w:r>
        <w:rPr>
          <w:rFonts w:ascii="IRNazanin" w:hAnsi="IRNazanin" w:eastAsia="IRNazanin"/>
          <w:color w:val="111111"/>
          <w:sz w:val="28"/>
          <w:sz w:val="28"/>
          <w:szCs w:val="28"/>
          <w:rtl w:val="true"/>
          <w:lang w:bidi="fa-IR"/>
        </w:rPr>
        <w:t>و هنا الأمر کذلک، فإنّ من إثبات حصر العلّیة بالمجی‌ء، لا یکون المقصود إلاّ نفی الوجوبات الاخر عند وجود الخصوصیّات الأخری، و إلاّ فلو کان الحکم المذکور فی القضیّة مورد النّظر ثبوتا و نفیا، فلا معنی لإثبات الحصر، فنفی الأفراد الاخر المماثلة للحکم الشخصیّ المذکور فی التالی، من تبعات حصر العلّیة الثابت للمقدّم،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العلّیة المنحصرة إن کانت تثبت بالإطلاق، فکما هی لا تثبت فی القضایا الشرطیّة التی یکون المفهوم فیها مسلوب الموضوع، کما فی القضایا الأولی التی مرّ تفصیلها</w:t>
      </w:r>
      <w:r>
        <w:rPr>
          <w:rStyle w:val="FootnoteAnchor"/>
          <w:rtl w:val="true"/>
        </w:rPr>
        <w:footnoteReference w:id="95"/>
      </w:r>
      <w:r>
        <w:rPr>
          <w:rFonts w:ascii="IRNazanin" w:hAnsi="IRNazanin" w:eastAsia="IRNazanin"/>
          <w:color w:val="111111"/>
          <w:sz w:val="28"/>
          <w:sz w:val="28"/>
          <w:szCs w:val="28"/>
          <w:rtl w:val="true"/>
          <w:lang w:bidi="fa-IR"/>
        </w:rPr>
        <w:t>، کذلک هی لا تثبت فی المقام، لأنّ الدلالة الوضعیّة الثابتة فی التالی توجب الظهور المنجّز، و هو مقدّم علی الظهور الإطلاقیّ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استفادة الحصر مستندة إلی القاعدة العقلیّة المشار إلیها</w:t>
      </w:r>
      <w:r>
        <w:rPr>
          <w:rStyle w:val="FootnoteAnchor"/>
          <w:rtl w:val="true"/>
        </w:rPr>
        <w:footnoteReference w:id="96"/>
      </w:r>
      <w:r>
        <w:rPr>
          <w:rFonts w:ascii="Amiri" w:hAnsi="Amiri" w:eastAsia="Amiri" w:cs="Amiri"/>
          <w:color w:val="111111"/>
          <w:sz w:val="28"/>
          <w:sz w:val="28"/>
          <w:szCs w:val="28"/>
          <w:rtl w:val="true"/>
          <w:lang w:bidi="ar-SA"/>
        </w:rPr>
        <w:t>، کان لهذا الحلّ الصناعیّ 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الممکن دعوی انحلال المعضلة مطلقا حسب الصناعة، لأنّه لا یتوقّف علی کون المنشأ فی التالی سنخ الحکم، حتّی یقدّم الظهور الوضعیّ علی الإطلاقیّ، بل المنشأ فی التالی علی کلّ تقدیر شخص الحکم، و لکن معنی الحکم المماثل موقوف علی إثبات حصر العلّیة، فلو ثبت فلا بدّ من نفیه بحکم الضرورة</w:t>
      </w:r>
      <w:r>
        <w:rPr>
          <w:rFonts w:eastAsia="IRNazanin" w:cs="IRNazanin"/>
          <w:color w:val="111111"/>
          <w:sz w:val="28"/>
          <w:szCs w:val="28"/>
          <w:rtl w:val="true"/>
          <w:lang w:bidi="fa-IR"/>
        </w:rPr>
        <w:t>.</w:t>
      </w:r>
    </w:p>
    <w:p>
      <w:pPr>
        <w:pStyle w:val="Heading6"/>
        <w:numPr>
          <w:ilvl w:val="5"/>
          <w:numId w:val="1"/>
        </w:numPr>
        <w:rPr/>
      </w:pPr>
      <w:bookmarkStart w:id="61" w:name="__RefHeading___Toc559360_3244359995"/>
      <w:bookmarkStart w:id="62" w:name="_Toc23"/>
      <w:bookmarkEnd w:id="61"/>
      <w:r>
        <w:rPr>
          <w:rtl w:val="true"/>
        </w:rPr>
        <w:t>تذنیب</w:t>
      </w:r>
      <w:r>
        <w:rPr>
          <w:rtl w:val="true"/>
        </w:rPr>
        <w:t xml:space="preserve">: </w:t>
      </w:r>
      <w:r>
        <w:rPr>
          <w:rtl w:val="true"/>
        </w:rPr>
        <w:t>حول دلالة بعض الطوائف من القضایا الشرطیّة علی المفهوم</w:t>
      </w:r>
      <w:bookmarkEnd w:id="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منّا القول بالمفهوم فی بعض الطوائف من القضایا الشرطیّة الشرعیّة، و علمت أنّ ذلک لا یتقوّم بالقول بانحصار العلّیة و إن کان یستفاد منها</w:t>
      </w:r>
    </w:p>
    <w:p>
      <w:pPr>
        <w:pStyle w:val="BookText"/>
        <w:rPr/>
      </w:pPr>
      <w:r>
        <w:rPr>
          <w:rFonts w:ascii="IRNazanin" w:hAnsi="IRNazanin" w:eastAsia="IRNazanin"/>
          <w:color w:val="111111"/>
          <w:sz w:val="28"/>
          <w:sz w:val="28"/>
          <w:szCs w:val="28"/>
          <w:rtl w:val="true"/>
          <w:lang w:bidi="fa-IR"/>
        </w:rPr>
        <w:t>الحصر، إلاّ أنّ المفهوم لا یستند إلیه، بل هما معا یستفادان من تلک القضیّة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المنشأ فی التالی فی أمثال تلک القضایا التی لا یتحمّل التالی تکرار الطبیعة منتف، سواء کان آلة الإنشاء معانی اسمیّة، أو حرفیّة، فیکون المنشأ کلّیا أو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إنّ المستفاد منه أنّ کلّما جاء زید، و کلَّما تحقّق مجی‌ء زید، یتحقّق لزوم قتله، فإنّ المفهوم ثابت، و لا تکون الخصوصیّة الأخری مقتضیة للوجوب المزبور و لو کان شخصیّا، فلو أرید إثبات وجوب القتل عند خصوصیّة أخری، فهو منفیّ بالمفهوم، لما یلزم استناد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الظاهر الثابت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المقدّم فی فرض، مع أنّ الظاهر من القضیّة ثبوت الاستناد فی جمیع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حصر العلّیة بالمجی‌ء، إلاّ أنّ المفهوم دائر مدار ثبوت الإطلاق الأزمانیّ و الأفرادیّ،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سقوط الخلاف إذا کان الحکم فی المفهوم، منتفیا بانتفاء الموضوع کما مرّ</w:t>
      </w:r>
      <w:r>
        <w:rPr>
          <w:rStyle w:val="FootnoteAnchor"/>
          <w:rtl w:val="true"/>
        </w:rPr>
        <w:footnoteReference w:id="98"/>
      </w:r>
      <w:r>
        <w:rPr>
          <w:rFonts w:ascii="IRNazanin" w:hAnsi="IRNazanin" w:eastAsia="IRNazanin"/>
          <w:color w:val="111111"/>
          <w:sz w:val="28"/>
          <w:sz w:val="28"/>
          <w:szCs w:val="28"/>
          <w:rtl w:val="true"/>
          <w:lang w:bidi="fa-IR"/>
        </w:rPr>
        <w:t>، و أمّا إذا کان الموضوع قابلا للوجود، بحیث لا یکون موضوعا للمنطوق، و لکن یخرج المفهوم عن السالبة بانتفاء الموضوع، فهل حینئذ یثبت المفهوم أیضا، أم 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مفاد المنطوق وجوب الاستقبال عند المجی‌ء الاختیاریّ فرضا، فإذا لم یجئ فلا یعقل الاستقبال، و لکن یمکن إحضاره و مجیئه بإکراه، و عندئذ یحصل موضوع المفهوم، لإمکان استقباله، فهل</w:t>
      </w:r>
      <w:bookmarkStart w:id="63" w:name="pg13167_140742"/>
    </w:p>
    <w:p>
      <w:pPr>
        <w:pStyle w:val="BookText"/>
        <w:rPr/>
      </w:pPr>
      <w:bookmarkEnd w:id="63"/>
      <w:r>
        <w:rPr>
          <w:rFonts w:ascii="IRNazanin" w:hAnsi="IRNazanin" w:eastAsia="IRNazanin"/>
          <w:color w:val="111111"/>
          <w:sz w:val="28"/>
          <w:sz w:val="28"/>
          <w:szCs w:val="28"/>
          <w:rtl w:val="true"/>
          <w:lang w:bidi="fa-IR"/>
        </w:rPr>
        <w:t>قضیّة المفهوم هنا أیضا نفی وجوب الاستقبال، أم لا و تکون القضیّة بلا مفهوم، کما کانت من الأوّل؟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دلیل المفهوم لا یقصر عن شمولها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مقدّمات الإطلاق مشکوک جریانها فی هذه الصورة، و کانت القضیّة فی عدم جریان تلک المقدّمات مثل القضایا السالبة بانتفاء الموضوع، 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الموضوع مفروض الوجود، و 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القضیّة السالبة أعمّ، فهل یثبت المفهوم عند وجود الموضوع،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الفرار من اللغویّة یقتضی الحکم بالمفهوم، و أنّ الموضوع مفروض الوجود</w:t>
      </w:r>
      <w:r>
        <w:rPr>
          <w:rStyle w:val="FootnoteAnchor"/>
          <w:rtl w:val="true"/>
        </w:rPr>
        <w:footnoteReference w:id="99"/>
      </w:r>
      <w:r>
        <w:rPr>
          <w:rFonts w:ascii="IRNazanin" w:hAnsi="IRNazanin" w:eastAsia="IRNazanin"/>
          <w:color w:val="111111"/>
          <w:sz w:val="28"/>
          <w:sz w:val="28"/>
          <w:szCs w:val="28"/>
          <w:rtl w:val="true"/>
          <w:lang w:bidi="fa-IR"/>
        </w:rPr>
        <w:t>، غیر تامّة، لإمکان کون القرینة علی عدم فرض الموضوع، شاهدا علی عدم المفهوم رأسا، فلا داعی إلی الإقرار بالمفهوم أوّلا حتّی یتشبّث بذیل اللغویّة، فتدبّر</w:t>
      </w:r>
      <w:r>
        <w:rPr>
          <w:rFonts w:eastAsia="IRNazanin" w:cs="IRNazanin"/>
          <w:color w:val="111111"/>
          <w:sz w:val="28"/>
          <w:szCs w:val="28"/>
          <w:rtl w:val="true"/>
          <w:lang w:bidi="fa-IR"/>
        </w:rPr>
        <w:t>.</w:t>
      </w:r>
    </w:p>
    <w:p>
      <w:pPr>
        <w:pStyle w:val="Heading5"/>
        <w:numPr>
          <w:ilvl w:val="4"/>
          <w:numId w:val="1"/>
        </w:numPr>
        <w:rPr/>
      </w:pPr>
      <w:bookmarkStart w:id="64" w:name="__RefHeading___Toc559362_3244359995"/>
      <w:bookmarkStart w:id="65" w:name="_Toc24"/>
      <w:bookmarkEnd w:id="64"/>
      <w:r>
        <w:rPr>
          <w:rtl w:val="true"/>
        </w:rPr>
        <w:t>التنبیه الثانی</w:t>
      </w:r>
      <w:r>
        <w:rPr>
          <w:rtl w:val="true"/>
        </w:rPr>
        <w:t xml:space="preserve">: </w:t>
      </w:r>
      <w:r>
        <w:rPr>
          <w:rtl w:val="true"/>
        </w:rPr>
        <w:t>حول اشتمال الجملة الشرطیّة علی العلّة المصرّح بها</w:t>
      </w:r>
      <w:bookmarkEnd w:id="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الجملة الشرطیّة أو کلّ ما کان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أخذ المفهوم منها منوط بإثبات العلّیة و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العلّة المصرّح بها،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 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 المفهوم یستفاد من الدلالة الوضعیّة للأداة أو</w:t>
      </w:r>
      <w:bookmarkStart w:id="66" w:name="pg13167_140743"/>
    </w:p>
    <w:p>
      <w:pPr>
        <w:pStyle w:val="BookText"/>
        <w:rPr/>
      </w:pPr>
      <w:bookmarkEnd w:id="66"/>
      <w:r>
        <w:rPr>
          <w:rFonts w:ascii="IRNazanin" w:hAnsi="IRNazanin" w:eastAsia="IRNazanin"/>
          <w:color w:val="111111"/>
          <w:sz w:val="28"/>
          <w:sz w:val="28"/>
          <w:szCs w:val="28"/>
          <w:rtl w:val="true"/>
          <w:lang w:bidi="fa-IR"/>
        </w:rPr>
        <w:t>للهیئة، فتلزم المجازیة بنفی المفهوم، کما لا یثبت المفهوم بمقدّمات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آیة النبأ، فإنّ فیها تعلیل الحکم بلزوم التبیّن بقوله تعالی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تُصِیبُوا قَوْماً بِجَهالَةٍ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المقدّم فی العلّیة مع ظهور حرف التعلیل فیها، یجتمعان فی أنّ العلّة هو المجی‌ء و العلم معا، و یثبت الانحصار بمقدّمات الإطلاق علی القول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دعوی بلا بیّنة و لا برهان، و لا یساعدها العرف و لا الوجدان، فیکون المجی‌ء توطئة فی القضیّة من غیر دخالة له فیها، و یکون تمام العلّة هو العلم، فافهم و انتظر</w:t>
      </w:r>
      <w:r>
        <w:rPr>
          <w:rFonts w:eastAsia="IRNazanin" w:cs="IRNazanin"/>
          <w:color w:val="111111"/>
          <w:sz w:val="28"/>
          <w:szCs w:val="28"/>
          <w:rtl w:val="true"/>
          <w:lang w:bidi="fa-IR"/>
        </w:rPr>
        <w:t>.</w:t>
      </w:r>
    </w:p>
    <w:p>
      <w:pPr>
        <w:pStyle w:val="Heading5"/>
        <w:numPr>
          <w:ilvl w:val="4"/>
          <w:numId w:val="1"/>
        </w:numPr>
        <w:rPr/>
      </w:pPr>
      <w:bookmarkStart w:id="67" w:name="__RefHeading___Toc559364_3244359995"/>
      <w:bookmarkStart w:id="68" w:name="_Toc25"/>
      <w:bookmarkEnd w:id="67"/>
      <w:r>
        <w:rPr>
          <w:rtl w:val="true"/>
        </w:rPr>
        <w:t>التنبیه الثالث</w:t>
      </w:r>
      <w:r>
        <w:rPr>
          <w:rtl w:val="true"/>
        </w:rPr>
        <w:t xml:space="preserve">: </w:t>
      </w:r>
      <w:r>
        <w:rPr>
          <w:rtl w:val="true"/>
        </w:rPr>
        <w:t>فی المراد من العلّة المنحصرة</w:t>
      </w:r>
      <w:bookmarkEnd w:id="68"/>
    </w:p>
    <w:p>
      <w:pPr>
        <w:pStyle w:val="BookText"/>
        <w:rPr/>
      </w:pPr>
      <w:r>
        <w:rPr>
          <w:rFonts w:ascii="IRNazanin" w:hAnsi="IRNazanin" w:eastAsia="IRNazanin"/>
          <w:color w:val="111111"/>
          <w:sz w:val="28"/>
          <w:sz w:val="28"/>
          <w:szCs w:val="28"/>
          <w:rtl w:val="true"/>
          <w:lang w:bidi="fa-IR"/>
        </w:rPr>
        <w:t xml:space="preserve">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الانحصار الحقیقیّ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بامتناع تقیید المفهوم أو المنطوق، بل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الانحصار الأعمّ منه و من الإضافیّ، فإذا ورد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و ضیفک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فمفهومه نفی الوجوب عند انتفاء کلیهما، و حصر العلّیة فیهما بإثبات أنّ کلّ واحد علّة تامّة، و لا علیّة لشی‌ء آخر وراءهما، أو إرجاعهما إلی واحد، بتوهّم امتناع تعدّدها مع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إن کان المفهوم مستفادا من الدلالة الوضعیّة المدّعاة لأداة الشرط أو للهیئة، یلزم المجازیّة إذا ورد التقیید علی المفهوم، للزوم استعمالها فی غیر ما وضعت 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مستفادا من الإطلاق کما عرفت </w:t>
      </w:r>
      <w:r>
        <w:rPr>
          <w:rStyle w:val="FootnoteAnchor"/>
          <w:rtl w:val="true"/>
        </w:rPr>
        <w:footnoteReference w:id="101"/>
      </w:r>
      <w:r>
        <w:rPr>
          <w:rFonts w:ascii="IRNazanin" w:hAnsi="IRNazanin" w:eastAsia="IRNazanin"/>
          <w:color w:val="111111"/>
          <w:sz w:val="28"/>
          <w:sz w:val="28"/>
          <w:szCs w:val="28"/>
          <w:rtl w:val="true"/>
          <w:lang w:bidi="fa-IR"/>
        </w:rPr>
        <w:t>، فلا تلزم المجازیّة، و یکون القید</w:t>
      </w:r>
    </w:p>
    <w:p>
      <w:pPr>
        <w:pStyle w:val="BookText"/>
        <w:rPr/>
      </w:pPr>
      <w:r>
        <w:rPr>
          <w:rFonts w:ascii="IRNazanin" w:hAnsi="IRNazanin" w:eastAsia="IRNazanin"/>
          <w:color w:val="111111"/>
          <w:sz w:val="28"/>
          <w:sz w:val="28"/>
          <w:szCs w:val="28"/>
          <w:rtl w:val="true"/>
          <w:lang w:bidi="fa-IR"/>
        </w:rPr>
        <w:t>موجبا لخروج العلّیة المنحصرة من الحقیقیّة إلی الإضافیّة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ذلک ما إذا تعدّد الجزاء و اتحد الشرط،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فإنّه لا یستکشف منه أنّ حدیث العلّیة المنحصرة باطل، بل یتبیّن منه أنّ الانحصار إضافیّ،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هنا فی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التقیید الوارد علی خلاف إطلاق المفهوم، یوجب تقیید المفهوم حقیقة و أوّلا و بالذات، أم یرجع إلی تقیید المنطوق، و تصیر النتیجة تضییق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إذا بلغ قدر کرّ فهو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بعد السؤال عن الماء الجاری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قضیّة المفهوم أنّ کلّ ماء لا یبلغ کرّا لیس بمعتصم، و هذا قابل للتقیید بإخراج الماء الجاری عن مصبّ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یرجع إلی تقیید المنطوق، بإخراجه عن الحصر الظاهر فی الحقیقیّ إلی الإضافیّ، فیکون مفاد القضیّة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کرّا أو جاریا فهو معتصم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هو الأظهر فی محیط العرف، تقیید المفهوم بعد الاعتراف به، و أمّا فی محیط الصناعة فیتعیّن تقیید المنطوق، لأنّه مصبّ الإطلاق المنتهی إلی المفهوم، فیکون المفهوم فی جمیع الفروض مصونا من التقیید، و یعدّ تابعا فی السعة و الضیق للمنطوق، فلاحظ فإنّه ینفعک بالنسبة إلی البحث الآتی إن شاء اللَّه تعالی </w:t>
      </w:r>
      <w:r>
        <w:rPr>
          <w:rStyle w:val="FootnoteAnchor"/>
          <w:rtl w:val="true"/>
        </w:rPr>
        <w:footnoteReference w:id="103"/>
      </w:r>
      <w:r>
        <w:rPr>
          <w:rFonts w:ascii="Amiri" w:hAnsi="Amiri" w:eastAsia="Amiri" w:cs="Amiri"/>
          <w:color w:val="111111"/>
          <w:sz w:val="28"/>
          <w:sz w:val="28"/>
          <w:szCs w:val="28"/>
          <w:rtl w:val="true"/>
          <w:lang w:bidi="ar-SA"/>
        </w:rPr>
        <w:t>و تأمّل جدّاً</w:t>
      </w:r>
      <w:r>
        <w:rPr>
          <w:rFonts w:eastAsia="Amiri" w:cs="Amiri" w:ascii="Amiri" w:hAnsi="Amiri"/>
          <w:color w:val="111111"/>
          <w:sz w:val="28"/>
          <w:szCs w:val="28"/>
          <w:rtl w:val="true"/>
          <w:lang w:bidi="ar-SA"/>
        </w:rPr>
        <w:t>.</w:t>
      </w:r>
      <w:bookmarkStart w:id="69" w:name="pg13167_140745"/>
    </w:p>
    <w:p>
      <w:pPr>
        <w:pStyle w:val="Heading5"/>
        <w:numPr>
          <w:ilvl w:val="4"/>
          <w:numId w:val="1"/>
        </w:numPr>
        <w:rPr/>
      </w:pPr>
      <w:bookmarkStart w:id="70" w:name="__RefHeading___Toc559366_3244359995"/>
      <w:bookmarkStart w:id="71" w:name="_Toc26"/>
      <w:bookmarkEnd w:id="69"/>
      <w:bookmarkEnd w:id="70"/>
      <w:r>
        <w:rPr>
          <w:rtl w:val="true"/>
        </w:rPr>
        <w:t>التنبیه الرابع</w:t>
      </w:r>
      <w:r>
        <w:rPr>
          <w:rtl w:val="true"/>
        </w:rPr>
        <w:t xml:space="preserve">: </w:t>
      </w:r>
      <w:r>
        <w:rPr>
          <w:rtl w:val="true"/>
        </w:rPr>
        <w:t>حول ما إذا تعدّد الشرط و اتحد الجزاء</w:t>
      </w:r>
      <w:bookmarkEnd w:id="71"/>
    </w:p>
    <w:p>
      <w:pPr>
        <w:pStyle w:val="Heading6"/>
        <w:numPr>
          <w:ilvl w:val="5"/>
          <w:numId w:val="1"/>
        </w:numPr>
        <w:rPr/>
      </w:pPr>
      <w:bookmarkStart w:id="72" w:name="__RefHeading___Toc559368_3244359995"/>
      <w:bookmarkStart w:id="73" w:name="_Toc27"/>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إذا تعدّد الشرط و اتحد الجزاء، مثلا إذا وردت 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الحیلة فی المسألة، و أنّه هل هناک مفهوم </w:t>
      </w:r>
      <w:r>
        <w:rPr>
          <w:rStyle w:val="FootnoteAnchor"/>
          <w:rtl w:val="true"/>
        </w:rPr>
        <w:footnoteReference w:id="104"/>
      </w:r>
      <w:r>
        <w:rPr>
          <w:rFonts w:ascii="IRNazanin" w:hAnsi="IRNazanin" w:eastAsia="IRNazanin"/>
          <w:color w:val="111111"/>
          <w:sz w:val="28"/>
          <w:sz w:val="28"/>
          <w:szCs w:val="28"/>
          <w:rtl w:val="true"/>
          <w:lang w:bidi="fa-IR"/>
        </w:rPr>
        <w:t>، أم لا</w:t>
      </w:r>
      <w:r>
        <w:rPr>
          <w:rStyle w:val="FootnoteAnchor"/>
          <w:rtl w:val="true"/>
        </w:rPr>
        <w:footnoteReference w:id="105"/>
      </w:r>
      <w:r>
        <w:rPr>
          <w:rFonts w:ascii="IRNazanin" w:hAnsi="IRNazanin" w:eastAsia="IRNazanin"/>
          <w:color w:val="111111"/>
          <w:sz w:val="28"/>
          <w:sz w:val="28"/>
          <w:szCs w:val="28"/>
          <w:rtl w:val="true"/>
          <w:lang w:bidi="fa-IR"/>
        </w:rPr>
        <w:t xml:space="preserve">؟ و علی الثانی هل یقیّد المنطوق </w:t>
      </w:r>
      <w:r>
        <w:rPr>
          <w:rStyle w:val="FootnoteAnchor"/>
          <w:rtl w:val="true"/>
        </w:rPr>
        <w:footnoteReference w:id="106"/>
      </w:r>
      <w:r>
        <w:rPr>
          <w:rFonts w:ascii="IRNazanin" w:hAnsi="IRNazanin" w:eastAsia="IRNazanin"/>
          <w:color w:val="111111"/>
          <w:sz w:val="28"/>
          <w:sz w:val="28"/>
          <w:szCs w:val="28"/>
          <w:rtl w:val="true"/>
          <w:lang w:bidi="fa-IR"/>
        </w:rPr>
        <w:t xml:space="preserve">، أم المفهوم </w:t>
      </w:r>
      <w:r>
        <w:rPr>
          <w:rStyle w:val="FootnoteAnchor"/>
          <w:rtl w:val="true"/>
        </w:rPr>
        <w:footnoteReference w:id="1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النتیجة تقیید الإطلاق المثبت للعلّیة</w:t>
      </w:r>
      <w:r>
        <w:rPr>
          <w:rStyle w:val="FootnoteAnchor"/>
          <w:rtl w:val="true"/>
        </w:rPr>
        <w:footnoteReference w:id="108"/>
      </w:r>
      <w:r>
        <w:rPr>
          <w:rFonts w:ascii="IRNazanin" w:hAnsi="IRNazanin" w:eastAsia="IRNazanin"/>
          <w:color w:val="111111"/>
          <w:sz w:val="28"/>
          <w:sz w:val="28"/>
          <w:szCs w:val="28"/>
          <w:rtl w:val="true"/>
          <w:lang w:bidi="fa-IR"/>
        </w:rPr>
        <w:t>، أو الإطلاق المثبت للحصر و الانحصار</w:t>
      </w:r>
      <w:r>
        <w:rPr>
          <w:rStyle w:val="FootnoteAnchor"/>
          <w:rtl w:val="true"/>
        </w:rPr>
        <w:footnoteReference w:id="109"/>
      </w:r>
      <w:r>
        <w:rPr>
          <w:rFonts w:ascii="IRNazanin" w:hAnsi="IRNazanin" w:eastAsia="IRNazanin"/>
          <w:color w:val="111111"/>
          <w:sz w:val="28"/>
          <w:sz w:val="28"/>
          <w:szCs w:val="28"/>
          <w:rtl w:val="true"/>
          <w:lang w:bidi="fa-IR"/>
        </w:rPr>
        <w:t xml:space="preserve">، حتّی یکون علی الأوّل موضوع القصر مرکّبا من الخفاءین، و علی الثانی یکون کلّ واحد موضوعا مستقلاّ، أو غیر ذلک </w:t>
      </w:r>
      <w:r>
        <w:rPr>
          <w:rStyle w:val="FootnoteAnchor"/>
          <w:rtl w:val="true"/>
        </w:rPr>
        <w:footnoteReference w:id="110"/>
      </w:r>
      <w:r>
        <w:rPr>
          <w:rFonts w:ascii="IRNazanin" w:hAnsi="IRNazanin" w:eastAsia="IRNazanin"/>
          <w:color w:val="111111"/>
          <w:sz w:val="28"/>
          <w:sz w:val="28"/>
          <w:szCs w:val="28"/>
          <w:rtl w:val="true"/>
          <w:lang w:bidi="fa-IR"/>
        </w:rPr>
        <w:t>؟ وجوه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فی المقام یستدعی البحث عن مسألتین</w:t>
      </w:r>
      <w:r>
        <w:rPr>
          <w:rFonts w:eastAsia="IRNazanin" w:cs="IRNazanin"/>
          <w:color w:val="111111"/>
          <w:sz w:val="28"/>
          <w:szCs w:val="28"/>
          <w:rtl w:val="true"/>
          <w:lang w:bidi="fa-IR"/>
        </w:rPr>
        <w:t>:</w:t>
      </w:r>
    </w:p>
    <w:p>
      <w:pPr>
        <w:pStyle w:val="Heading6"/>
        <w:numPr>
          <w:ilvl w:val="5"/>
          <w:numId w:val="1"/>
        </w:numPr>
        <w:rPr/>
      </w:pPr>
      <w:bookmarkStart w:id="74" w:name="__RefHeading___Toc559370_3244359995"/>
      <w:bookmarkStart w:id="75" w:name="_Toc28"/>
      <w:bookmarkEnd w:id="74"/>
      <w:r>
        <w:rPr>
          <w:rtl w:val="true"/>
        </w:rPr>
        <w:t>المسألة الأولی</w:t>
      </w:r>
      <w:r>
        <w:rPr>
          <w:rtl w:val="true"/>
        </w:rPr>
        <w:t xml:space="preserve">: </w:t>
      </w:r>
      <w:r>
        <w:rPr>
          <w:rtl w:val="true"/>
        </w:rPr>
        <w:t>فی بیان المختار بناء علی عدم المفهوم</w:t>
      </w:r>
      <w:bookmarkEnd w:id="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إنکار المفهوم، أو عدم المفهوم فی خصوص المقام، فهل تکون النتیجة حسب التحقیق، اشتراط القصر بخفاء الأذان و الجدران معا، أم یتعیّن القول بکفایة کلّ واحد للزوم القصر؟</w:t>
      </w:r>
    </w:p>
    <w:p>
      <w:pPr>
        <w:pStyle w:val="BookText"/>
        <w:rPr/>
      </w:pPr>
      <w:r>
        <w:rPr>
          <w:rFonts w:ascii="IRNazanin" w:hAnsi="IRNazanin" w:eastAsia="IRNazanin"/>
          <w:color w:val="111111"/>
          <w:sz w:val="28"/>
          <w:sz w:val="28"/>
          <w:szCs w:val="28"/>
          <w:rtl w:val="true"/>
          <w:lang w:bidi="fa-IR"/>
        </w:rPr>
        <w:t xml:space="preserve">لا سبیل إلی الأول، لأنّ قضیّة الإطلاق المنتهی إلی أنّ خفاء الأذان تمام العلّة، أو تمام الموضوع لوجوب القصر، باق علی حاله، و هکذا فی ناحیة خفاء الجدران، فلا معنی لتقیید هذا الإطلاق و معناه وجوب القصر عند کلّ واحد من الخفاءین، و تصیر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أو الجدران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إلی التقیید، و هو خلاف الأصل، و العطف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انفصال القضیّتین بحسب الورود فی الشریعة، فیتعیّن الثانی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الإقرار بالمفهوم فیما نحن فیه، لا سبیل إلی توهّم تقیید کلّ من المنطوقین بالآخر، فیکون کلّ من المقدّمین جزء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احتمال ثالث یشترک فیه هذه المسألة و المسألة الآتیة، إلاّ أنّ تقدیمه هنا أولی، حتّی یتمحّض البحث فی الآتیة حول کیفیّة الجمع بین المفهومین و المنطوقین، و ذلک الاحتمال هو أن تکون وحدة الجزاء شاهدة علی وحدة العلّة حسب النّظر العرفیّ، أو قاعدة امتناع صدور الواحد من الکثیر، و 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السبب المنتهی إلی القصر أمر واحد، و إلیه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الجدران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أمکن المناقشة فی التمسّک بالقاعدة المعروفة و لکن سدّ فهم العرف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صدّقه الأستاذ العلاّمة البروجردیّ </w:t>
      </w:r>
      <w:r>
        <w:rPr>
          <w:rStyle w:val="FootnoteAnchor"/>
          <w:rtl w:val="true"/>
        </w:rPr>
        <w:footnoteReference w:id="111"/>
      </w:r>
      <w:r>
        <w:rPr>
          <w:rFonts w:ascii="Amiri" w:hAnsi="Amiri" w:eastAsia="Amiri" w:cs="Amiri"/>
          <w:color w:val="111111"/>
          <w:sz w:val="28"/>
          <w:sz w:val="28"/>
          <w:szCs w:val="28"/>
          <w:rtl w:val="true"/>
          <w:lang w:bidi="ar-SA"/>
        </w:rPr>
        <w:t xml:space="preserve">و العلاّمة جدّی المحشّی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قد کنّا فی الفقه نؤیّد ذلک، بل اخترناه علی ما ببالی فی تحریراتنا الفقهیّة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76" w:name="pg13167_140747"/>
    </w:p>
    <w:p>
      <w:pPr>
        <w:pStyle w:val="BookText"/>
        <w:rPr/>
      </w:pPr>
      <w:bookmarkEnd w:id="76"/>
      <w:r>
        <w:rPr>
          <w:rFonts w:ascii="IRNazanin" w:hAnsi="IRNazanin" w:eastAsia="IRNazanin"/>
          <w:color w:val="111111"/>
          <w:sz w:val="28"/>
          <w:sz w:val="28"/>
          <w:szCs w:val="28"/>
          <w:rtl w:val="true"/>
          <w:lang w:bidi="fa-IR"/>
        </w:rPr>
        <w:t>و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الطریقیّة کما یمکن أن یکون الجامع موضوعا، و یکون المجموع طریقا نافذا، یمکن أن یکون الجامع موضوعا، و کلّ واحد من الطریقین مستقلاّ فی الطریقیّة و الکاشفیّة عن حصول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الکثیر إلی الواحد و إرجاع العناوین المختلفة إلی العنوان الواحد بحیث یؤخذ به یحتاج إلی القرینة، و قد صنعنا ذلک فی مسألة الکرّ</w:t>
      </w:r>
      <w:r>
        <w:rPr>
          <w:rStyle w:val="FootnoteAnchor"/>
          <w:rtl w:val="true"/>
        </w:rPr>
        <w:footnoteReference w:id="114"/>
      </w:r>
      <w:r>
        <w:rPr>
          <w:rFonts w:ascii="IRNazanin" w:hAnsi="IRNazanin" w:eastAsia="IRNazanin"/>
          <w:color w:val="111111"/>
          <w:sz w:val="28"/>
          <w:sz w:val="28"/>
          <w:szCs w:val="28"/>
          <w:rtl w:val="true"/>
          <w:lang w:bidi="fa-IR"/>
        </w:rPr>
        <w:t xml:space="preserve">، بدعوی أنّ موضوع اللاانفعال هو الماء الکثیر و صنعه الأصحاب رحمهم اللَّه فی صلاة المسافر، بإرجاع العناوین الکثیرة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السفر</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لکنّه بلا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فی المقام بین الجهة المبحوث عنها، و هی المسألة الأصولیّة، و بین المسألة الفقهیّة، و تطویل الکلام حول خصوص المثال، أو الخصوصیّة المستفادة منه بإعمالها فی سائر الأمثلة، و من العجیب وقوع جمع فی هذا الخلط، کما یظهر بالمراجعة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6"/>
        <w:numPr>
          <w:ilvl w:val="5"/>
          <w:numId w:val="1"/>
        </w:numPr>
        <w:rPr/>
      </w:pPr>
      <w:bookmarkStart w:id="77" w:name="__RefHeading___Toc559372_3244359995"/>
      <w:bookmarkStart w:id="78" w:name="_Toc29"/>
      <w:bookmarkEnd w:id="77"/>
      <w:r>
        <w:rPr>
          <w:rtl w:val="true"/>
        </w:rPr>
        <w:t>المسألة الثانیة</w:t>
      </w:r>
      <w:r>
        <w:rPr>
          <w:rtl w:val="true"/>
        </w:rPr>
        <w:t xml:space="preserve">: </w:t>
      </w:r>
      <w:r>
        <w:rPr>
          <w:rtl w:val="true"/>
        </w:rPr>
        <w:t>فی بیان المختار بناء علی ثبوت المفهوم</w:t>
      </w:r>
      <w:bookmarkEnd w:id="78"/>
    </w:p>
    <w:p>
      <w:pPr>
        <w:pStyle w:val="Heading6"/>
        <w:numPr>
          <w:ilvl w:val="5"/>
          <w:numId w:val="1"/>
        </w:numPr>
        <w:rPr/>
      </w:pPr>
      <w:bookmarkStart w:id="79" w:name="__RefHeading___Toc559374_3244359995"/>
      <w:bookmarkStart w:id="80" w:name="_Toc30"/>
      <w:bookmarkEnd w:id="79"/>
      <w:r>
        <w:rPr>
          <w:rtl w:val="true"/>
        </w:rPr>
        <w:t>اشارة</w:t>
      </w:r>
      <w:bookmarkEnd w:id="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المفهوم، أو بناء علی القول به فی خصوص المثال المذکور، کما ادّعاه السیّد الأستاذ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سیق للتحدید، فیکون له المفهوم علی إشکال فیه </w:t>
      </w:r>
      <w:r>
        <w:rPr>
          <w:rStyle w:val="FootnoteAnchor"/>
          <w:rtl w:val="true"/>
        </w:rPr>
        <w:footnoteReference w:id="116"/>
      </w:r>
      <w:r>
        <w:rPr>
          <w:rFonts w:ascii="IRNazanin" w:hAnsi="IRNazanin" w:eastAsia="IRNazanin"/>
          <w:color w:val="111111"/>
          <w:sz w:val="28"/>
          <w:sz w:val="28"/>
          <w:szCs w:val="28"/>
          <w:rtl w:val="true"/>
          <w:lang w:bidi="fa-IR"/>
        </w:rPr>
        <w:t>، یقع الکلام فی مرحلتین</w:t>
      </w:r>
      <w:r>
        <w:rPr>
          <w:rFonts w:eastAsia="IRNazanin" w:cs="IRNazanin"/>
          <w:color w:val="111111"/>
          <w:sz w:val="28"/>
          <w:szCs w:val="28"/>
          <w:rtl w:val="true"/>
          <w:lang w:bidi="fa-IR"/>
        </w:rPr>
        <w:t>:</w:t>
      </w:r>
      <w:bookmarkStart w:id="81" w:name="pg13167_140748"/>
    </w:p>
    <w:p>
      <w:pPr>
        <w:pStyle w:val="Heading6"/>
        <w:numPr>
          <w:ilvl w:val="5"/>
          <w:numId w:val="1"/>
        </w:numPr>
        <w:rPr/>
      </w:pPr>
      <w:bookmarkStart w:id="82" w:name="__RefHeading___Toc559376_3244359995"/>
      <w:bookmarkStart w:id="83" w:name="_Toc31"/>
      <w:bookmarkEnd w:id="81"/>
      <w:bookmarkEnd w:id="82"/>
      <w:r>
        <w:rPr>
          <w:rtl w:val="true"/>
        </w:rPr>
        <w:t>المرحلة الأولی</w:t>
      </w:r>
      <w:r>
        <w:rPr>
          <w:rtl w:val="true"/>
        </w:rPr>
        <w:t xml:space="preserve">: </w:t>
      </w:r>
      <w:r>
        <w:rPr>
          <w:rtl w:val="true"/>
        </w:rPr>
        <w:t>فی تشخیص مصبّ التعارض</w:t>
      </w:r>
      <w:bookmarkEnd w:id="83"/>
    </w:p>
    <w:p>
      <w:pPr>
        <w:pStyle w:val="Heading6"/>
        <w:numPr>
          <w:ilvl w:val="5"/>
          <w:numId w:val="1"/>
        </w:numPr>
        <w:rPr/>
      </w:pPr>
      <w:bookmarkStart w:id="84" w:name="__RefHeading___Toc559378_3244359995"/>
      <w:bookmarkStart w:id="85" w:name="_Toc32"/>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فی أنّ التعارض المتراءی بینهما هل یکون بین مفهوم کلّ مع منطوق الآخر، أم یکون بین المنطوقین، أم اختلاف المبانی یوجب اختلافا فی ذلک؟</w:t>
      </w:r>
    </w:p>
    <w:p>
      <w:pPr>
        <w:pStyle w:val="BookText"/>
        <w:rPr/>
      </w:pPr>
      <w:r>
        <w:rPr>
          <w:rFonts w:ascii="IRNazanin" w:hAnsi="IRNazanin" w:eastAsia="IRNazanin"/>
          <w:color w:val="111111"/>
          <w:sz w:val="28"/>
          <w:sz w:val="28"/>
          <w:szCs w:val="28"/>
          <w:rtl w:val="true"/>
          <w:lang w:bidi="fa-IR"/>
        </w:rPr>
        <w:t>قال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هو الثانی علی جمیع المبانی فی استفادة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کون الدلیل هو التبادر أو الانصراف، فالتنافی بین المنطوقین واضح، لأنّه یرجع القضیّة کأنّها إلی الصراحة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العلّة المنحصرة للقصر هو خفاء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کون الدلیل هو الإطلاق، فیقع التعارض بین أصالتی الإطلاق فی الجملتین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فیما مضی فی التنبیه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ثبوت الإطلاق، و أخذ المفهوم، و بعد قابلیّته للتقیید عرفا مع الغفلة عن حال المنطوق، یکون مرجع التقیید هو إطلاق المفهوم حسب العرف، و إن کان یرجع إلی تقیید المنطوق حقیقة حسب الصناعة</w:t>
      </w:r>
      <w:r>
        <w:rPr>
          <w:rStyle w:val="FootnoteAnchor"/>
          <w:rtl w:val="true"/>
        </w:rPr>
        <w:footnoteReference w:id="118"/>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للقائل بالتبادر و الانصراف إنکار المفهوم عند تعدّد الشرط، و کأنّه یری أن المتبادر من الأداة الشرطیّة أو الهیئة انحصار العلّة حقیقة، فلو تبیّن ثبوت العلّة الأخری للمحمول فی التالی، تبیّن سقوط تبادره و انصرافه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یقول بتبادر الانحصار من مجموع العلّتین، أو انصرافه منهما، فربّما تختلف المسالک علی اختلاف المبانی، فینکر المفهوم رأسا من کان یستند فی إثباته إلی مثل التبادر و الانصراف</w:t>
      </w:r>
      <w:r>
        <w:rPr>
          <w:rFonts w:eastAsia="IRNazanin" w:cs="IRNazanin"/>
          <w:color w:val="111111"/>
          <w:sz w:val="28"/>
          <w:szCs w:val="28"/>
          <w:rtl w:val="true"/>
          <w:lang w:bidi="fa-IR"/>
        </w:rPr>
        <w:t>.</w:t>
      </w:r>
      <w:bookmarkStart w:id="86" w:name="pg13167_140749"/>
    </w:p>
    <w:p>
      <w:pPr>
        <w:pStyle w:val="BookText"/>
        <w:rPr/>
      </w:pPr>
      <w:bookmarkEnd w:id="86"/>
      <w:r>
        <w:rPr>
          <w:rFonts w:ascii="IRNazanin" w:hAnsi="IRNazanin" w:eastAsia="IRNazanin"/>
          <w:color w:val="111111"/>
          <w:sz w:val="28"/>
          <w:sz w:val="28"/>
          <w:szCs w:val="28"/>
          <w:rtl w:val="true"/>
          <w:lang w:bidi="fa-IR"/>
        </w:rPr>
        <w:t>نعم، علی القول بالإطلاق فلا تختلف المسالک فی تقریب الإطلاق، لإمکان تقییدها بمقدار الدلیل المقیّد،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یختلف باختلاف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من یدّعی التبادر أو الانصراف، یقول بتبادر العلّة التامّة المنحصرة الأعمّ من الانحصار الحقیقیّ و الإضافیّ، أو بانصرافها إلیه، فلا بدّ من اختیار المفهوم لنفی علّیة الأمر الثالث و الخصوصیّة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تقیید المنطوق بعد کون مفاده العلّة المنحصرة الأعمّ من الانحصار الحقیقیّ أو الإضافیّ، لا یرجع إلی محصّل، لأنّ قضیّة دعوی التبادر و الانصراف و مقتضی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کلّ قضیّة 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الانحصار الأعمّ، و لکنّه إذا لم یکن فی البین علّة ثانیة فهو حقیقیّ، و إذا کان هناک علّة ثانیة فهو 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اللتیّا و التی، الدعوی المزبورة و هی تبادر المعنی الأعمّ من الحقیقیّ و الإضافیّ، مشکلة جدّاً، بخلاف الانصراف، ضرورة أنّ الموضوع له لا بدّ و أن یکون فارغا من الأمر المردّد، فتأمّل تعرف</w:t>
      </w:r>
      <w:r>
        <w:rPr>
          <w:rFonts w:eastAsia="IRNazanin" w:cs="IRNazanin"/>
          <w:color w:val="111111"/>
          <w:sz w:val="28"/>
          <w:szCs w:val="28"/>
          <w:rtl w:val="true"/>
          <w:lang w:bidi="fa-IR"/>
        </w:rPr>
        <w:t>.</w:t>
      </w:r>
    </w:p>
    <w:p>
      <w:pPr>
        <w:pStyle w:val="Heading6"/>
        <w:numPr>
          <w:ilvl w:val="5"/>
          <w:numId w:val="1"/>
        </w:numPr>
        <w:rPr/>
      </w:pPr>
      <w:bookmarkStart w:id="87" w:name="__RefHeading___Toc559380_3244359995"/>
      <w:bookmarkStart w:id="88" w:name="_Toc33"/>
      <w:bookmarkEnd w:id="87"/>
      <w:r>
        <w:rPr>
          <w:rtl w:val="true"/>
        </w:rPr>
        <w:t>تنبیه و توضیح</w:t>
      </w:r>
      <w:r>
        <w:rPr>
          <w:rtl w:val="true"/>
        </w:rPr>
        <w:t xml:space="preserve">: </w:t>
      </w:r>
      <w:r>
        <w:rPr>
          <w:rtl w:val="true"/>
        </w:rPr>
        <w:t>فی بیان ثمرة النزاع</w:t>
      </w:r>
      <w:bookmarkEnd w:id="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یخطر بالبال السؤال عن ثمرة هذا الخلاف المنسوب إلی القدماء و المتأخّرین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إن کان بین المفهوم و المنطوق، یلزم رجوع القید إلی المفهوم، و یستلزم کون کلّ واحد من المنطوقین علّة تامّة للقصر، ضرورة أنّ مفاد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تقیید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مع خفاء الأذان یقصّر، و إذا لم یخف الأذان فلا یقصّر، إلاّ إذا خفیت الجدران، فلو کان الواصل إلینا فی الدلیل ذلک، فلا شبهة فی أنّ فهم العرف متعیّن فی القول بأنّ کلّ واحد منهما علّة تامّة، و یکون مفاد المجموع حصر العلّة فیهما لنفی العلّة الثالثة، فلو شکّ فی لزوم القصر عند خفاء الأشجار فیرفع بذلک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مسلک المتأخّرین فیلزم رجوعه إلی المنطوق، فیوجب الخلاف فی أنّ الإطلاق المتقیّد به هو الإطلاق المنتهی إلی العلّیة التامّة، أو الإطلاق المنتهی إلی الانحصار، أو بعض الإطلاقات الاخر، فعلی مسلک القدماء تکون المعضلة منحلّة، و علی مبنی المتأخّرین یعضل الأمر، و یشکل جدّاً، کما تری من ذی قبل إن شاء اللَّه تعالی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القید إلی المفهوم غیر ممکن عقلا، ضرورة أنّ المفهوم من تبعات المنطوق و حصر العلّة، فلا بدّ و أن یلزم أن یتوجّه القید إلی المنطوق المصبّ للإطلاق، و هو محطّ مقدّمات الحکمة، فیکون التعارض بین المنطوقین طبعا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هذا خروج عن فهم العرف، و یشهد له ذهاب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المقالة، و المتّبع هو ذلک جدّاً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ورود العلّة الثانیة و هو مثلا خفاء الجدران، تقیید جانب</w:t>
      </w:r>
    </w:p>
    <w:p>
      <w:pPr>
        <w:pStyle w:val="BookText"/>
        <w:rPr/>
      </w:pPr>
      <w:r>
        <w:rPr>
          <w:rFonts w:ascii="IRNazanin" w:hAnsi="IRNazanin" w:eastAsia="IRNazanin"/>
          <w:color w:val="111111"/>
          <w:sz w:val="28"/>
          <w:sz w:val="28"/>
          <w:szCs w:val="28"/>
          <w:rtl w:val="true"/>
          <w:lang w:bidi="fa-IR"/>
        </w:rPr>
        <w:t>المنطوق حسب الاصطلاح فی باب التقییدات، بل هنا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قضیّة الإطلاق هو انحصار العلّة فی الأذان انحصارا حقیقیّا، و بعد ورود الدلیل علی علّیة خفاء الجدران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الانحصار إضافیّ، فلا یتصرّف فی المنطوق بإیراد قید علیه کسائر الموارد، بل کان مقتضی دلیل المفهوم، أنّ المنطوق علّة تامّة منحصرة بانحصار حقیقیّ، و مقتضی الدلیل المقیّد أنّ المنطوق علّة تامّة منحصرة بانحصار إضافیّ، فهذا التقیید یوجب التوسعة فی ناحیة المنطوق، لا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تخیّله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تقیید المفهوم لا بدّ و أن یرجع إلی المنطوق </w:t>
      </w:r>
      <w:r>
        <w:rPr>
          <w:rStyle w:val="FootnoteAnchor"/>
          <w:rtl w:val="true"/>
        </w:rPr>
        <w:footnoteReference w:id="122"/>
      </w:r>
      <w:r>
        <w:rPr>
          <w:rFonts w:ascii="IRNazanin" w:hAnsi="IRNazanin" w:eastAsia="IRNazanin"/>
          <w:color w:val="111111"/>
          <w:sz w:val="28"/>
          <w:sz w:val="28"/>
          <w:szCs w:val="28"/>
          <w:rtl w:val="true"/>
          <w:lang w:bidi="fa-IR"/>
        </w:rPr>
        <w:t>، إن کان یرجع إلی غیر ما ذکرناه، فهو خال من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کلّ واحدة من الشرطیّتین مع قطع النّظر عن الأخری، هو کون المقدّم علّة تامّة منحصرة، و إذا قیست إحداهما إلی الأخری تحصل المعارضة بدوا بین المفهوم و المنطوق، و إذا عالجناهما یحصل التصرّف فی المنطوق بالتقیید الوارد علی المفهوم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مفاد مقدّمات الإطلاق إلاّ أنّ کلّما تحقّق خفاء الأذان، لا بدّ و أن یتعقّبه القصر، من غیر جواز تبدیل مفاد مقدّمات الإطلاق إلی مفاهیم العلّة التامّة المنحصرة، فإنّ فی ذلک إضرارا بحقّ القانون، فإذا کان مفاد المقدّمات المذکورة تلک القضیّة، یکون لها المفهوم حینئذ، و یقیّد المفهوم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یستکشف من التقیید أنّ القضیّة کانت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تحقّق خفاء الأذان أو الجدران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فلاحظ و تدبّر</w:t>
      </w:r>
      <w:r>
        <w:rPr>
          <w:rFonts w:eastAsia="IRNazanin" w:cs="IRNazanin"/>
          <w:color w:val="111111"/>
          <w:sz w:val="28"/>
          <w:szCs w:val="28"/>
          <w:rtl w:val="true"/>
          <w:lang w:bidi="fa-IR"/>
        </w:rPr>
        <w:t>.</w:t>
      </w:r>
      <w:bookmarkStart w:id="89" w:name="pg13167_140752"/>
    </w:p>
    <w:p>
      <w:pPr>
        <w:pStyle w:val="Heading6"/>
        <w:numPr>
          <w:ilvl w:val="5"/>
          <w:numId w:val="1"/>
        </w:numPr>
        <w:rPr/>
      </w:pPr>
      <w:bookmarkStart w:id="90" w:name="__RefHeading___Toc559382_3244359995"/>
      <w:bookmarkStart w:id="91" w:name="_Toc34"/>
      <w:bookmarkEnd w:id="89"/>
      <w:bookmarkEnd w:id="90"/>
      <w:r>
        <w:rPr>
          <w:rtl w:val="true"/>
        </w:rPr>
        <w:t>إیقاظ</w:t>
      </w:r>
      <w:r>
        <w:rPr>
          <w:rtl w:val="true"/>
        </w:rPr>
        <w:t xml:space="preserve">: </w:t>
      </w:r>
      <w:r>
        <w:rPr>
          <w:rtl w:val="true"/>
        </w:rPr>
        <w:t>حول استفادة المفهوم من الإطلاق</w:t>
      </w:r>
      <w:bookmarkEnd w:id="91"/>
    </w:p>
    <w:p>
      <w:pPr>
        <w:pStyle w:val="BookText"/>
        <w:rPr/>
      </w:pPr>
      <w:r>
        <w:rPr>
          <w:rFonts w:ascii="IRNazanin" w:hAnsi="IRNazanin" w:eastAsia="IRNazanin"/>
          <w:color w:val="111111"/>
          <w:sz w:val="28"/>
          <w:sz w:val="28"/>
          <w:szCs w:val="28"/>
          <w:rtl w:val="true"/>
          <w:lang w:bidi="fa-IR"/>
        </w:rPr>
        <w:t>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المفهوم علی مسلک المتأخّرین لا تتقوّم بإثبات العلّیة المنحصرة، بل تتقوّم بثبوت الإطلاق، و إذا ثبت الإطلاق المزبور یستفاد منه أمران عرضا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 علّة تامّة منحصرة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 لا یکون المفهوم فی الاستفادة متأخّرا عن الأمر الأوّل حتّی یناط به، فإجراء البحث حول العلّیة المنحصرة،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فرض إطلاق فی حدّ ذاته یستعقبه المفهوم أیضا، و لا یجوز قبل أخذ المفهوم قیام المنطوقین أحدهما بالآخر، لما لا تهافت بین الإیجابیّات و الإطلاق الّذی هو رفض القیود أوّلا و بالذات، بل لا یعقل ذلک، لأنّها عدمیّات، فما یوجب تهافتهما أحیانا هو أخذ المفهوم من کلّ واحد منهما، ثمّ عرض المفهوم علی المنطوق الآخر، فإذا جمع بینهما ربّما ینتقل العرف إلی أنّ فی ناحیة المنطوق، وقع تصرّف بورود قید موجب لتوسعته،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الإطلاقین بالعلّیة التامّة المنحصرة، یوجب کون المنطوقین متعارضین بالذات، و هو تفسیر غیر صحیح قطعا، إمّا لأجل أنّ مفاد الإطلاق لیس ذلک، أو لأجل عدم تقوّم المفهوم رأسا بإثبات الانحصار متقدّما علیه، کما عرفت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لیعذرنی إخوانی علی الخروج عن الاختصار، لما فیه النّفع الکثیر و هو حلّ مشکلة المسألة، و بذلک ترتفع المعارضة و المکاذبة، و به یعالج الشرطیّات مع وحدة الجزاء، و ینحفظ المفهوم لنفی الزائد، فاغتنم</w:t>
      </w:r>
      <w:r>
        <w:rPr>
          <w:rFonts w:eastAsia="IRNazanin" w:cs="IRNazanin"/>
          <w:color w:val="111111"/>
          <w:sz w:val="28"/>
          <w:szCs w:val="28"/>
          <w:rtl w:val="true"/>
          <w:lang w:bidi="fa-IR"/>
        </w:rPr>
        <w:t>.</w:t>
      </w:r>
      <w:bookmarkStart w:id="92" w:name="pg13167_140753"/>
    </w:p>
    <w:p>
      <w:pPr>
        <w:pStyle w:val="Heading6"/>
        <w:numPr>
          <w:ilvl w:val="5"/>
          <w:numId w:val="1"/>
        </w:numPr>
        <w:rPr/>
      </w:pPr>
      <w:bookmarkStart w:id="93" w:name="__RefHeading___Toc559384_3244359995"/>
      <w:bookmarkStart w:id="94" w:name="_Toc35"/>
      <w:bookmarkEnd w:id="92"/>
      <w:bookmarkEnd w:id="93"/>
      <w:r>
        <w:rPr>
          <w:rtl w:val="true"/>
        </w:rPr>
        <w:t>المرحلة الثانیة</w:t>
      </w:r>
      <w:r>
        <w:rPr>
          <w:rtl w:val="true"/>
        </w:rPr>
        <w:t xml:space="preserve">: </w:t>
      </w:r>
      <w:r>
        <w:rPr>
          <w:rtl w:val="true"/>
        </w:rPr>
        <w:t>فی کیفیّة العلاج بین المنطوقین</w:t>
      </w:r>
      <w:bookmarkEnd w:id="94"/>
    </w:p>
    <w:p>
      <w:pPr>
        <w:pStyle w:val="Heading6"/>
        <w:numPr>
          <w:ilvl w:val="5"/>
          <w:numId w:val="1"/>
        </w:numPr>
        <w:rPr/>
      </w:pPr>
      <w:bookmarkStart w:id="95" w:name="__RefHeading___Toc559386_3244359995"/>
      <w:bookmarkStart w:id="96" w:name="_Toc36"/>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بناء علی کون التکاذب و التعارض بالذات بین المنطوقین، فما الحیلة فی سبیل علاجهما، و ما المرجّح لتعیین التصرّف فی أحد الإطلاقین 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المنتهی إلی إثبات العلّیة التامّة، و الإطلاق المنتهی إلی العلّة المنحصرة؟</w:t>
      </w:r>
    </w:p>
    <w:p>
      <w:pPr>
        <w:pStyle w:val="BookText"/>
        <w:rPr/>
      </w:pPr>
      <w:r>
        <w:rPr>
          <w:rFonts w:ascii="IRNazanin" w:hAnsi="IRNazanin" w:eastAsia="IRNazanin"/>
          <w:color w:val="111111"/>
          <w:sz w:val="28"/>
          <w:sz w:val="28"/>
          <w:szCs w:val="28"/>
          <w:rtl w:val="true"/>
          <w:lang w:bidi="fa-IR"/>
        </w:rPr>
        <w:t>فإن کان المتعیّن التصرف فی الأوّل، 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المقدّمین فی الشرطیّتین جزء العلّة، و یثبت المفهوم بالنسبة إلی نفی العلّة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تعیّن التصرّف فی الثانی، 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منهما تمام العلّة، و یتمّ المفهوم بالنسبة إلی نفی العلّة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مشکلة التعیین اختلفت أنظار القوم فی المسألة، حتّی اختار جمع منهم عدم إمکان الترجیح </w:t>
      </w:r>
      <w:r>
        <w:rPr>
          <w:rStyle w:val="FootnoteAnchor"/>
          <w:rtl w:val="true"/>
        </w:rPr>
        <w:footnoteReference w:id="123"/>
      </w:r>
      <w:r>
        <w:rPr>
          <w:rFonts w:ascii="IRNazanin" w:hAnsi="IRNazanin" w:eastAsia="IRNazanin"/>
          <w:color w:val="111111"/>
          <w:sz w:val="28"/>
          <w:sz w:val="28"/>
          <w:szCs w:val="28"/>
          <w:rtl w:val="true"/>
          <w:lang w:bidi="fa-IR"/>
        </w:rPr>
        <w:t>، و تصیر النتیجة علی هذا هو الأخذ بالقدر المتیقّن و الاحتیاط، و هو بجعل کلّ واحد منهما جزء العلّة، حتّی یختفی الجدران و الأذان فی ناحیة الخروج من البلد، و یخرج عن الاختفاء کلّ منهما فی ناحیة الدخول إلیه،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أسلوب البحث فلیعلم أمران آخران، أو أمور</w:t>
      </w:r>
      <w:r>
        <w:rPr>
          <w:rFonts w:eastAsia="IRNazanin" w:cs="IRNazanin"/>
          <w:color w:val="111111"/>
          <w:sz w:val="28"/>
          <w:szCs w:val="28"/>
          <w:rtl w:val="true"/>
          <w:lang w:bidi="fa-IR"/>
        </w:rPr>
        <w:t>:</w:t>
      </w:r>
    </w:p>
    <w:p>
      <w:pPr>
        <w:pStyle w:val="Heading6"/>
        <w:numPr>
          <w:ilvl w:val="5"/>
          <w:numId w:val="1"/>
        </w:numPr>
        <w:rPr/>
      </w:pPr>
      <w:bookmarkStart w:id="97" w:name="__RefHeading___Toc559388_3244359995"/>
      <w:bookmarkStart w:id="98" w:name="_Toc37"/>
      <w:bookmarkEnd w:id="97"/>
      <w:r>
        <w:rPr>
          <w:rtl w:val="true"/>
        </w:rPr>
        <w:t>أحدها</w:t>
      </w:r>
      <w:r>
        <w:rPr>
          <w:rtl w:val="true"/>
        </w:rPr>
        <w:t xml:space="preserve">: </w:t>
      </w:r>
      <w:r>
        <w:rPr>
          <w:rtl w:val="true"/>
        </w:rPr>
        <w:t>فی عدم اختلاف البحث بناء علی الطریقیّة و الموضوعیّة</w:t>
      </w:r>
      <w:bookmarkEnd w:id="9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القوم ظنّوا أنّ من الاحتمالات الرئیسة فی هذه المسألة، کون کلّ واحد</w:t>
      </w:r>
      <w:bookmarkStart w:id="99" w:name="pg13167_140754"/>
    </w:p>
    <w:p>
      <w:pPr>
        <w:pStyle w:val="BookText"/>
        <w:rPr/>
      </w:pPr>
      <w:bookmarkEnd w:id="99"/>
      <w:r>
        <w:rPr>
          <w:rFonts w:ascii="IRNazanin" w:hAnsi="IRNazanin" w:eastAsia="IRNazanin"/>
          <w:color w:val="111111"/>
          <w:sz w:val="28"/>
          <w:sz w:val="28"/>
          <w:szCs w:val="28"/>
          <w:rtl w:val="true"/>
          <w:lang w:bidi="fa-IR"/>
        </w:rPr>
        <w:t>من المنطوقین عنوانا طریقیّا إلی معنی واحد، فیکون ذلک المعنی الواحد شرطا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الالتزام بذلک </w:t>
      </w:r>
      <w:r>
        <w:rPr>
          <w:rStyle w:val="FootnoteAnchor"/>
          <w:rtl w:val="true"/>
        </w:rPr>
        <w:footnoteReference w:id="125"/>
      </w:r>
      <w:r>
        <w:rPr>
          <w:rFonts w:ascii="IRNazanin" w:hAnsi="IRNazanin" w:eastAsia="IRNazanin"/>
          <w:color w:val="111111"/>
          <w:sz w:val="28"/>
          <w:sz w:val="28"/>
          <w:szCs w:val="28"/>
          <w:rtl w:val="true"/>
          <w:lang w:bidi="fa-IR"/>
        </w:rPr>
        <w:t>، و مع هذا یکون لکلّ واحد منهما المفهوم، و تقع المعارضة بین المفهوم و المنطوق، أو بین المنطوقین، و ذلک لأنّ من المحتمل کون العنوان الثالث موضوعا بحسب مقام الثبوت، و لکن کلّ واحد من الخفاءین طریق معتبر، و تکون قضیّة مقدّمات الحکمة القائمة علی طریقیّة خفاء الأذان، نافیة لطریقیّة خفاء الجدران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مفاد کلّ واحد منهما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خفاء الأذان علی بعدک من البلد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خفاء الجدران علیه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 الأوّل هو أنّه إذا لم یقم خفاء الأذان علیه فلا تقصّر، و تصیر النتیجة ما تحرّر، عین ما تحرّر علی القول بالموضوعیّة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أساس البحث علی القول بالموضوعیّة و الطریقیّة، خلافا لما یظهر منهم رحمهم اللَّه حیث ظنّوا خلافه، و جعلوا ذلک من إحدی الاحتمالات المقابلة لسائر الاحتمالات</w:t>
      </w:r>
      <w:r>
        <w:rPr>
          <w:rFonts w:eastAsia="IRNazanin" w:cs="IRNazanin"/>
          <w:color w:val="111111"/>
          <w:sz w:val="28"/>
          <w:szCs w:val="28"/>
          <w:rtl w:val="true"/>
          <w:lang w:bidi="fa-IR"/>
        </w:rPr>
        <w:t>.</w:t>
      </w:r>
    </w:p>
    <w:p>
      <w:pPr>
        <w:pStyle w:val="Heading6"/>
        <w:numPr>
          <w:ilvl w:val="5"/>
          <w:numId w:val="1"/>
        </w:numPr>
        <w:rPr/>
      </w:pPr>
      <w:bookmarkStart w:id="100" w:name="__RefHeading___Toc559390_3244359995"/>
      <w:bookmarkStart w:id="101" w:name="_Toc38"/>
      <w:bookmarkEnd w:id="100"/>
      <w:r>
        <w:rPr>
          <w:rtl w:val="true"/>
        </w:rPr>
        <w:t>ثانیها</w:t>
      </w:r>
      <w:r>
        <w:rPr>
          <w:rtl w:val="true"/>
        </w:rPr>
        <w:t xml:space="preserve">: </w:t>
      </w:r>
      <w:r>
        <w:rPr>
          <w:rtl w:val="true"/>
        </w:rPr>
        <w:t>حول التشبّث بالإطلاق المنتهی إلی إثبات أصل علیّة المقدم للتالی</w:t>
      </w:r>
      <w:bookmarkEnd w:id="10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أن یکون کلّ واحد من الإطلاقین المزبورین، مورد التصرّف لعلاج المتعارضین، کذلک یمکن أن یکون هناک إطلاق آخر هو مورد التصرّف، و ذلک هو الإطلاق المنتهی إلی إثبات أصل علیّة المقدّم للتالی، ضرورة أنّ ذلک أیضا ثابت بالإطلاق، و إلاّ فلو صرّح فی القضیّة الشرطیّة بالعلّة تکون هی العلّة، و المقدّم یسقط عن العلّیة و عن کونه جزءها، و هذا دلیل علی أنّ أصل العلّیة أیضا ثابت بالإطلاق</w:t>
      </w:r>
      <w:r>
        <w:rPr>
          <w:rFonts w:eastAsia="IRNazanin" w:cs="IRNazanin"/>
          <w:color w:val="111111"/>
          <w:sz w:val="28"/>
          <w:szCs w:val="28"/>
          <w:rtl w:val="true"/>
          <w:lang w:bidi="fa-IR"/>
        </w:rPr>
        <w:t>.</w:t>
      </w:r>
      <w:bookmarkStart w:id="102" w:name="pg13167_140755"/>
    </w:p>
    <w:p>
      <w:pPr>
        <w:pStyle w:val="BookText"/>
        <w:rPr/>
      </w:pPr>
      <w:bookmarkEnd w:id="102"/>
      <w:r>
        <w:rPr>
          <w:rFonts w:ascii="IRNazanin" w:hAnsi="IRNazanin" w:eastAsia="IRNazanin"/>
          <w:color w:val="111111"/>
          <w:sz w:val="28"/>
          <w:sz w:val="28"/>
          <w:szCs w:val="28"/>
          <w:rtl w:val="true"/>
          <w:lang w:bidi="fa-IR"/>
        </w:rPr>
        <w:t>و لکن هذا الإطلاق لیس مورد البحث و النّظر فی کلمات المحقّقین، لأنّه لا یلزم من المعارضة المزبورة تصرّف فیه و إخلال بأصالة الإطلاق فی ناحیته، لانحفاظ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لفهم العلّیة المنحصرة المقدّمات الکثیرة و مبادئ الحکمة العدیدة، بل هی مفاد واحدة منها، فلاحظ و تدبّر جیّدا</w:t>
      </w:r>
      <w:r>
        <w:rPr>
          <w:rFonts w:eastAsia="IRNazanin" w:cs="IRNazanin"/>
          <w:color w:val="111111"/>
          <w:sz w:val="28"/>
          <w:szCs w:val="28"/>
          <w:rtl w:val="true"/>
          <w:lang w:bidi="fa-IR"/>
        </w:rPr>
        <w:t>.</w:t>
      </w:r>
    </w:p>
    <w:p>
      <w:pPr>
        <w:pStyle w:val="Heading6"/>
        <w:numPr>
          <w:ilvl w:val="5"/>
          <w:numId w:val="1"/>
        </w:numPr>
        <w:rPr/>
      </w:pPr>
      <w:bookmarkStart w:id="103" w:name="__RefHeading___Toc559392_3244359995"/>
      <w:bookmarkStart w:id="104" w:name="_Toc39"/>
      <w:bookmarkEnd w:id="103"/>
      <w:r>
        <w:rPr>
          <w:rtl w:val="true"/>
        </w:rPr>
        <w:t>ثالثها</w:t>
      </w:r>
      <w:r>
        <w:rPr>
          <w:rtl w:val="true"/>
        </w:rPr>
        <w:t xml:space="preserve">: </w:t>
      </w:r>
      <w:r>
        <w:rPr>
          <w:rtl w:val="true"/>
        </w:rPr>
        <w:t>فی لزوم حمل بعض الشرطیّات علی العلّیة التامّة</w:t>
      </w:r>
      <w:bookmarkEnd w:id="104"/>
    </w:p>
    <w:p>
      <w:pPr>
        <w:pStyle w:val="BookText"/>
        <w:rPr/>
      </w:pPr>
      <w:r>
        <w:rPr>
          <w:rFonts w:ascii="IRNazanin" w:hAnsi="IRNazanin" w:eastAsia="IRNazanin"/>
          <w:color w:val="111111"/>
          <w:sz w:val="28"/>
          <w:sz w:val="28"/>
          <w:szCs w:val="28"/>
          <w:rtl w:val="true"/>
          <w:lang w:bidi="fa-IR"/>
        </w:rPr>
        <w:t>ربّما یتعیّن فی بعض القضایا الشرطیّة المتکاذبة، حملهما علی العلّیة التامّة، لأمر خارج عن الصناعة فی المقام، و ذلک فیما إذا لم یمکن أن یکون کلّ واحد منهما جزء العلّة، لما بینهما من التقابل المانع عن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إذا کان جاریا فهو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ماء بئر فهو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یمکن أن یکون کلّ من البئر و الجاری جزء العلّة، لما لا یمکن اجتماعهما، فحینئذ یتعیّن حملهما علی أنّ کلّ واحد علّة تامّة، کما لا یخفی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توجد القرینة الخارجیّة علی أنّ کلّ واحد منهما مصداق لموضوع ثالث، فإنّه یخرج عن الجهة المبحوث عنها فی المقام، و ذلک أیضا فی المثال المذکور فإنّ المحرّر منّا فی الفقه أنّ ما هو المعتصم حقیقة هو الماء ذو المادّة، و البئر و الجاری لیسا بما هما البئر و الجاری غیر معتصمین، بل هما بما أنّهما ذوا مادّة معتصمان، و تفصیله فی محلّه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05" w:name="pg13167_140756"/>
    </w:p>
    <w:p>
      <w:pPr>
        <w:pStyle w:val="Heading6"/>
        <w:numPr>
          <w:ilvl w:val="5"/>
          <w:numId w:val="1"/>
        </w:numPr>
        <w:rPr/>
      </w:pPr>
      <w:bookmarkStart w:id="106" w:name="__RefHeading___Toc559394_3244359995"/>
      <w:bookmarkStart w:id="107" w:name="_Toc40"/>
      <w:bookmarkEnd w:id="105"/>
      <w:bookmarkEnd w:id="106"/>
      <w:r>
        <w:rPr>
          <w:rtl w:val="true"/>
        </w:rPr>
        <w:t>رابعها</w:t>
      </w:r>
      <w:r>
        <w:rPr>
          <w:rtl w:val="true"/>
        </w:rPr>
        <w:t xml:space="preserve">: </w:t>
      </w:r>
      <w:r>
        <w:rPr>
          <w:rtl w:val="true"/>
        </w:rPr>
        <w:t>فی تمحّض البحث عن إمکان الجمع بین المنطوقین و عدمه</w:t>
      </w:r>
      <w:bookmarkEnd w:id="107"/>
    </w:p>
    <w:p>
      <w:pPr>
        <w:pStyle w:val="BookText"/>
        <w:rPr/>
      </w:pPr>
      <w:r>
        <w:rPr>
          <w:rFonts w:ascii="IRNazanin" w:hAnsi="IRNazanin" w:eastAsia="IRNazanin"/>
          <w:color w:val="111111"/>
          <w:sz w:val="28"/>
          <w:sz w:val="28"/>
          <w:szCs w:val="28"/>
          <w:rtl w:val="true"/>
          <w:lang w:bidi="fa-IR"/>
        </w:rPr>
        <w:t>البحث هنا ممحّض حول إمکان الجمع بین المنطوقین و عدمه، و أمّا بناء علی عدم إمکانه، فهل یتعیّن المراجعة إلی الأصول العملیّة، و الأخذ بالقدر المتیقّن، أم تندرج المسألة فی أخبار التخییر و الترجیح بالرجوع إلی المرجّحات، و عند فقدها یکون أحدهما لازم الأخذ، و أنّ التخییر ابتدائیّ، أم استدامیّ؟ فهو موکول إلی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المحتمل أن یکون کلّ واحد من العلّتین سببا مستقلاّ، بحیث لو اجتمعا یسقطان عن السببیّة، و بذلک الاحتمال یسقط القول بلزوم الأخذ بالقدر المتیقّن منهما، و هو المحافظة علی اجتماعهما، و یکون المتعیّن حینئذ الرجوع إلی أخبار التخییر کما لا یخفی، دون الأصول العملیّة</w:t>
      </w:r>
      <w:r>
        <w:rPr>
          <w:rFonts w:eastAsia="IRNazanin" w:cs="IRNazanin"/>
          <w:color w:val="111111"/>
          <w:sz w:val="28"/>
          <w:szCs w:val="28"/>
          <w:rtl w:val="true"/>
          <w:lang w:bidi="fa-IR"/>
        </w:rPr>
        <w:t>.</w:t>
      </w:r>
    </w:p>
    <w:p>
      <w:pPr>
        <w:pStyle w:val="Heading6"/>
        <w:numPr>
          <w:ilvl w:val="5"/>
          <w:numId w:val="1"/>
        </w:numPr>
        <w:rPr/>
      </w:pPr>
      <w:bookmarkStart w:id="108" w:name="__RefHeading___Toc559396_3244359995"/>
      <w:bookmarkStart w:id="109" w:name="_Toc41"/>
      <w:bookmarkEnd w:id="108"/>
      <w:r>
        <w:rPr>
          <w:rtl w:val="true"/>
        </w:rPr>
        <w:t>الوجوه الموجبة للتصرّف فی الإطلاق المثبت للمفهوم و الانحصار</w:t>
      </w:r>
      <w:bookmarkEnd w:id="109"/>
    </w:p>
    <w:p>
      <w:pPr>
        <w:pStyle w:val="Heading6"/>
        <w:numPr>
          <w:ilvl w:val="5"/>
          <w:numId w:val="1"/>
        </w:numPr>
        <w:rPr/>
      </w:pPr>
      <w:bookmarkStart w:id="110" w:name="__RefHeading___Toc559398_3244359995"/>
      <w:bookmarkStart w:id="111" w:name="_Toc42"/>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إذا تبیّن محلّ البحث و حدود الخلاف و معضلة المسألة، فما یمکن أن یکون وجها لکون الإطلاق المنتهی إلی إثبات الانحصار و المفهوم، مورد التصرّف دون غیره أمور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العلّیة للمقدّم بالنسبة إلی التالی، مستندة إلی الوضع أو القرائن الخاصّة، دون الإطلاق و مقدّماته، فیکون التصرّف فیها علی خلاف تلک القرائن التی مرّ تقریبها</w:t>
      </w:r>
      <w:r>
        <w:rPr>
          <w:rStyle w:val="FootnoteAnchor"/>
          <w:rtl w:val="true"/>
        </w:rPr>
        <w:footnoteReference w:id="127"/>
      </w:r>
      <w:r>
        <w:rPr>
          <w:rFonts w:ascii="IRNazanin" w:hAnsi="IRNazanin" w:eastAsia="IRNazanin"/>
          <w:color w:val="111111"/>
          <w:sz w:val="28"/>
          <w:sz w:val="28"/>
          <w:szCs w:val="28"/>
          <w:rtl w:val="true"/>
          <w:lang w:bidi="fa-IR"/>
        </w:rPr>
        <w:t>، فلا بدّ و أن یتعیّن التصرّف فی ناحیة الإطلاق المنتهی إلی إثبات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منّا فی بعض التنبیهات السابقة</w:t>
      </w:r>
      <w:r>
        <w:rPr>
          <w:rStyle w:val="FootnoteAnchor"/>
          <w:rtl w:val="true"/>
        </w:rPr>
        <w:footnoteReference w:id="128"/>
      </w:r>
      <w:r>
        <w:rPr>
          <w:rFonts w:ascii="IRNazanin" w:hAnsi="IRNazanin" w:eastAsia="IRNazanin"/>
          <w:color w:val="111111"/>
          <w:sz w:val="28"/>
          <w:sz w:val="28"/>
          <w:szCs w:val="28"/>
          <w:rtl w:val="true"/>
          <w:lang w:bidi="fa-IR"/>
        </w:rPr>
        <w:t>، إمکان التصریح بالعلّة فی القضیّة الشرطیّة، و هو یورث سقوط القضیّة عن إثبات المفهوم بالقضیّة الشرطیّة، و یشهد علی أنّ استناد التالی إلی المقدّم بالعلّیة، یکون بالإطلاق و عدم التصریح بالعلّة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الدلیل الوحید عندی فی استناد التالی فی القضایا الشرطیّة الشرعیّة إلی المقدّم، هو کون التالی حکما إنشائیّا، لا إخباریّا، و علی هذا لیست القرینة المزبورة إلاّ عدم التصریح بالعلّة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الدلالة الوضعیّة للأداة</w:t>
      </w:r>
      <w:r>
        <w:rPr>
          <w:rStyle w:val="FootnoteAnchor"/>
          <w:rtl w:val="true"/>
        </w:rPr>
        <w:footnoteReference w:id="129"/>
      </w:r>
      <w:r>
        <w:rPr>
          <w:rFonts w:ascii="IRNazanin" w:hAnsi="IRNazanin" w:eastAsia="IRNazanin"/>
          <w:color w:val="111111"/>
          <w:sz w:val="28"/>
          <w:sz w:val="28"/>
          <w:szCs w:val="28"/>
          <w:rtl w:val="true"/>
          <w:lang w:bidi="fa-IR"/>
        </w:rPr>
        <w:t>و الهیئة</w:t>
      </w:r>
      <w:r>
        <w:rPr>
          <w:rStyle w:val="FootnoteAnchor"/>
          <w:rtl w:val="true"/>
        </w:rPr>
        <w:footnoteReference w:id="130"/>
      </w:r>
      <w:r>
        <w:rPr>
          <w:rFonts w:ascii="IRNazanin" w:hAnsi="IRNazanin" w:eastAsia="IRNazanin"/>
          <w:color w:val="111111"/>
          <w:sz w:val="28"/>
          <w:sz w:val="28"/>
          <w:szCs w:val="28"/>
          <w:rtl w:val="true"/>
          <w:lang w:bidi="fa-IR"/>
        </w:rPr>
        <w:t>و غیرها لإثبات أصل العلّیة، غیر راجع إلی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موضوعة لها یتعیّن ذلک، کما لو قلنا بأنّها موضوعة لإفادة العلّیة المنحصرة الأعمّ من الانحصار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إمکان مثل ذلک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التصرّف المزبور مجازیّة و تصرّف فی 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الانصراف هو انحصار العلّة علی الوجه الأعمّ من الحقیقیّ، فإنّه لا یلزم منه القصور فی الانصراف المدّعی فی المسألة، خلافا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و الأمر سهل جدّاً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نقول، بأنّ استفادة العلّیة بالإطلاق دون الانحصار، فإنّه مستند إلی القاعدة العقلیّة، فیتعیّن التصرّف فی ناحیة الإطلاق المنتهی إلی إثبات العلّیة، دون ما یثبت به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إسقاط العلّیة یلزم سقوط الحصر، کما یأتی الکلام حوله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کلام العلاّمة المحشّی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رفع الید عن إطلاق الحصر، أهون من رفع الید عن أصل الحصر فتدبّر</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التصرّف فی أصالة الاستقلال تصرّف فی أصل الحصر، و التصرّف فی أصالة الانحصار تصرّف فی إطلاق الحصر، و فی ذلک الدوران یتعیّن الثانی، أخذا بحفظ الظهورات علی حدّ الإمکان، من غیر أن یکون ذلک خروجا عن الجمع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الصغری بأنّ التصرّف فی العلّیة و الاستقلال، لیس هدما لأصل الحصر، لأنّ القضیّة باقیة علی إفادة الحصر، و یکون مفادها بعد الجمع نفی العلّة الثانیة، کما عرفت فی ابتداء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القضیّتان إلی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و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المفهوم النافی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فی أصالة الاستقلال، لا توجب الإخلال بمفاد أصالة الحصر، و هو أنّ الحکم المذکور فی التالی مستند إلی العلّة الواحدة، ضرورة أنّ ذلک محفوظ، لأنّ ترکّبها لا ینافی وحدتها، بخلاف التصرّف فی أصالة الانحصار، فإنّه یوجب أن یکون للحکم المزبور علّتان،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أصالة الاستقلال، لا یورث حمل الحصر علی الحصر الإضافیّ، بل یکون الحصر باقیا علی حقیقته، و تکون العلّة ذات جزءین، و أمّا التصرّف فی أصالة الحصر فیوجب حمل الحصر علی الإضافیّ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المکاذبة و التکافح بین المنطوقین، هو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القضیّتین الشرطیّتین إمّا ترجعان إلی القضیّة الشرطیّة الواحدة المعطوفة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و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ترجعان إلی القضیّتین المعطوفتین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أو خفیت الجدران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العلم الإجمالیّ قابل للانحلال، لأنّ التصرّف إمّا یقع فی أصالة الحصر، أو فی أصالة الاستقلال، فإن وقع فی أصالة الحصر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وقع فی أصالة الاستقلال فیلزم منه أیضا التصرّف فی أصالة الحصر أیضا بالضرورة، لأنّ خفاء الجدران إذا لم یکن مستقلاّ، فلا یعقل الانحصار بالنسبة إلیه، فیتولّد هناک علم تفصیلیّ بالتصرّف فی أصالة الحصر، و شکّ بدویّ فی التصرّف فی أصالة الاستقلال، فیرجع إلی أصالة الإطلاق لحفظ الاستقلال، دون الإطلاق المنتهی إلی إثبات الحصر،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انحلال العلم الإجمالیّ إلی العلم التفصیلیّ و الشکّ البدویّ، هی المحافظة علی أصالة الإطلاق و الاستقلال فی ناحیة الشکّ فی التصرّف فی العلّیة التامّة، و یتعیّن التصرّف فی ناحیة الإطلاق و أصالة الانحصار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إنّ هذا العلم التفصیلیّ المتولّد من العلم الإجمالیّ، لا یتمکّن من حلّه، لما یلزم منه الدور و الخلف </w:t>
      </w:r>
      <w:r>
        <w:rPr>
          <w:rStyle w:val="FootnoteAnchor"/>
          <w:rtl w:val="true"/>
        </w:rPr>
        <w:footnoteReference w:id="134"/>
      </w:r>
      <w:r>
        <w:rPr>
          <w:rFonts w:ascii="IRNazanin" w:hAnsi="IRNazanin" w:eastAsia="IRNazanin"/>
          <w:color w:val="111111"/>
          <w:sz w:val="28"/>
          <w:sz w:val="28"/>
          <w:szCs w:val="28"/>
          <w:rtl w:val="true"/>
          <w:lang w:bidi="fa-IR"/>
        </w:rPr>
        <w:t>، کما تحرّر فی بحوث الأقلّ و الأکثر</w:t>
      </w:r>
      <w:r>
        <w:rPr>
          <w:rStyle w:val="FootnoteAnchor"/>
          <w:rtl w:val="true"/>
        </w:rPr>
        <w:footnoteReference w:id="135"/>
      </w:r>
      <w:r>
        <w:rPr>
          <w:rFonts w:ascii="IRNazanin" w:hAnsi="IRNazanin" w:eastAsia="IRNazanin"/>
          <w:color w:val="111111"/>
          <w:sz w:val="28"/>
          <w:sz w:val="28"/>
          <w:szCs w:val="28"/>
          <w:rtl w:val="true"/>
          <w:lang w:bidi="fa-IR"/>
        </w:rPr>
        <w:t xml:space="preserve">، و اختار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Style w:val="FootnoteAnchor"/>
          <w:rtl w:val="true"/>
        </w:rPr>
        <w:footnoteReference w:id="136"/>
      </w:r>
      <w:r>
        <w:rPr>
          <w:rFonts w:ascii="Amiri" w:hAnsi="Amiri" w:eastAsia="Amiri" w:cs="Amiri"/>
          <w:color w:val="111111"/>
          <w:sz w:val="28"/>
          <w:sz w:val="28"/>
          <w:szCs w:val="28"/>
          <w:rtl w:val="true"/>
          <w:lang w:bidi="ar-SA"/>
        </w:rPr>
        <w:t>، و أیّده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بعض الأحیان لا منع من الالتزام بانحلاله حکما، نظرا إلی التفکیک بین الأحکام الواقعیّة و الظاهریّة، فیجری الأصل لنفی الزائد بغیر معارض، کما فی</w:t>
      </w:r>
    </w:p>
    <w:p>
      <w:pPr>
        <w:pStyle w:val="BookText"/>
        <w:rPr/>
      </w:pPr>
      <w:r>
        <w:rPr>
          <w:rFonts w:ascii="IRNazanin" w:hAnsi="IRNazanin" w:eastAsia="IRNazanin"/>
          <w:color w:val="111111"/>
          <w:sz w:val="28"/>
          <w:sz w:val="28"/>
          <w:szCs w:val="28"/>
          <w:rtl w:val="true"/>
          <w:lang w:bidi="fa-IR"/>
        </w:rPr>
        <w:t>الأقلّ و الأکثر، و أمّا فیما نحن فیه فلیس النّظر إلی إجراء الأصول العملیّة فی مورد الشکّ البدویّ، بل المقصود هو التمسّک بأصالة الإطلاق العقلائیّة، و هو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بناء العقلاء أیضا علی أصل آخر، و هو حمل کلّ کلام علی الإطلاق إلاّ ما أحرز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إحراز أعمّ من الإحراز التفصیلیّ، و فیما نحن فیه کذلک،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الأقوی فی النّظر کما أشرنا إلیه فی ذیل الوجه الثانی، هو أنّ تقیید أصالة الاستقلال و التصرّف فیها، لا یوجب التصرّف فی أصالة الانحصار، کما أنّ التصرّف فی أصالة الانحصار، لا یوجب شیئا فی أصالة الاستقلال، فلا علم تفصیلیّ و شکّ بدویّ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 فلأنّ مفاد مقدّمات الإطلاق المنتهی إلی حصر العلّة، لیس إلاّ أنّ للحکم المذکور فی التالی علّة واحدة، و أمّا أنّ تلک العلّة هل هی خفاء الأذان، أم شی‌ء آخر؟ فهو خارج عن عهدة ذلک الإطلاق و داخل فی عهدة أصالة الإطلاق المنتهی إلی أن شخص خفاء الأذان علّة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توهّمه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التصرّف المزبور یورث التصرّف فی أصالة الانحصار، منشؤه تخیّل أنّ الإطلاق المنتهی إلی أصالة الانحصار، یفید أنّ شخص الخفاء علّة منحصرة، مع أنّ دخالة شخص خفاء الأذان، مستندة إلی الإطلاق المنتهی إلی أصالة الاستقلال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ما ذکرناه بالنظر إلی أنّ أصالة الانحصار إذا کانت مستندة إلی القاعدة العقلیّة، فکما یکون إثبات أنّ شخص الخفاء علّة تامّة علی عهدة أصالة الاستقلال،</w:t>
      </w:r>
    </w:p>
    <w:p>
      <w:pPr>
        <w:pStyle w:val="BookText"/>
        <w:rPr/>
      </w:pPr>
      <w:r>
        <w:rPr>
          <w:rFonts w:ascii="IRNazanin" w:hAnsi="IRNazanin" w:eastAsia="IRNazanin"/>
          <w:color w:val="111111"/>
          <w:sz w:val="28"/>
          <w:sz w:val="28"/>
          <w:szCs w:val="28"/>
          <w:rtl w:val="true"/>
          <w:lang w:bidi="fa-IR"/>
        </w:rPr>
        <w:t>و القاعدة لیست متعرّضة إلاّ لإفادة معنی کبرویّ، کذلک أصالة الانحصار لیست متعرّضة لحدود العلّة الشخصیّة، بل العلّة الشخصیّة مستفادة من الإطلاق الآخر، فافهم و اغتنم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من التصرّف فی أصالة الاستقلال یلزم ترکّب العلّة، و تکون أصالة الانحصار باقیة علی حالها، و هو أنّ الحکم المزبور له العلّة الواحدة، و هی بعد التصرّف هی خفاء الأذان و الجدران معا، فتبقی أصالة الانحصار الحقیقیّ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تصرّفنا فی أصالة الانحصار، یلزم انقلاب الانحصار الحقیقیّ إلی الإضافی، للزوم کون الحکم المزبور ذا علّتین، هما خفاء الأذان، و خفاء 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مواضع النّظر فی کلمات العلاّمة المحشّی </w:t>
      </w:r>
      <w:r>
        <w:rPr>
          <w:rStyle w:val="FootnoteAnchor"/>
          <w:rtl w:val="true"/>
        </w:rPr>
        <w:footnoteReference w:id="138"/>
      </w:r>
      <w:r>
        <w:rPr>
          <w:rFonts w:ascii="IRNazanin" w:hAnsi="IRNazanin" w:eastAsia="IRNazanin"/>
          <w:color w:val="111111"/>
          <w:sz w:val="28"/>
          <w:sz w:val="28"/>
          <w:szCs w:val="28"/>
          <w:rtl w:val="true"/>
          <w:lang w:bidi="fa-IR"/>
        </w:rPr>
        <w:t xml:space="preserve">، و تقریرات الکاظمیّ </w:t>
      </w:r>
      <w:r>
        <w:rPr>
          <w:rStyle w:val="FootnoteAnchor"/>
          <w:rtl w:val="true"/>
        </w:rPr>
        <w:footnoteReference w:id="13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غیره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الانحصار فی کلّ واحد منهما، تنادی بأنّ العلّة وحیدة، و لا تنادی بأنّ خفاء الأذان علّة وحیدة، و عندئذ بالتصرّف فی أصالة الاستقلال، لا یلزم التصرّف فی أصالة الانحصار، لانحفاظ ندائهما بعد،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العلّة التامّة و جعل الشرط جزء العلّة، یستلزم تقیید الانحصار أیضا، فإنّه لا یعقل الانحصار مع کونه جزء العلّة، و هذا بخلاف تقیید الانحصار، فإنّه لا یلزم منه تقیید العلّة التامّة کما لا یخفی، فیدور الأمر بین تقیید واحد و تقییدین، و معلوم أنّ الأوّل أولی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تقریرات الکاظمیّ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تقیید العلّة التامّة یوجب رفع موضوع</w:t>
      </w:r>
    </w:p>
    <w:p>
      <w:pPr>
        <w:pStyle w:val="BookText"/>
        <w:rPr/>
      </w:pPr>
      <w:r>
        <w:rPr>
          <w:rFonts w:ascii="IRNazanin" w:hAnsi="IRNazanin" w:eastAsia="IRNazanin"/>
          <w:color w:val="111111"/>
          <w:sz w:val="28"/>
          <w:sz w:val="28"/>
          <w:szCs w:val="28"/>
          <w:rtl w:val="true"/>
          <w:lang w:bidi="fa-IR"/>
        </w:rPr>
        <w:t>الانحصار، لا أنّه یوجب تقییدا زائدا، کما مرّ فی تقیید الهیئة و المادّة</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غیر متحصّل، ضرورة أنّ الانحصار و العلّیة التامّة یمکن أن یثبتا فی عرض واحد، و لا یصیر أحدهما موضوعا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الانحصار لیس إلاّ نفی العلّیة للآخر، و ربّما لا یکون من الأوصاف الثبوتیّة للشی‌ء حتّی یکون له الموضوع المفروض </w:t>
      </w:r>
      <w:r>
        <w:rPr>
          <w:rStyle w:val="FootnoteAnchor"/>
          <w:rtl w:val="true"/>
        </w:rPr>
        <w:footnoteReference w:id="143"/>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ما عرفت منّا، من إنکار أصل لزوم التقییدین من تقیید أصالة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رتبة تقیید العلّة التامّة متقدّمة علی رتبة تقیید الانحصار، لوضوح أنّ کون الشی‌ء علّة منحصرة أو غیر منحصرة، إنّما یکون بعد کون الشی‌ء علّة تامّة، و مقتضی تقدّم الرتبة هو إرجاع القید إلی العلّة التامّة، و جعل الشرط جزء العلّة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التقریرات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تقدّم الرتبة لا ینفع بعد العلم الإجمالیّ بورود التقیید علی أحد الإطلاقین، و لیس تقدّم الرتبة موجبا لانحلاله کما لا یخفی</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أیضا فی غیر محلّه، ضرورة أنّ من یتمسّک بهذا الوجه یرید إحیاء الارتکاز بحلّ المشکلة من طریقه، و من ناحیة العرف بأنّ حکم العقلاء فی أمثال المقام لیس الإجمال، بل العقلاء یرجعون القید إلی أصالة الانحصار، دون الأصل الآخر، سواء انحلّ به العلم الإجمالیّ، أم لم ینحلّ، فإنّه خروج عن محیطهم، فلیتدبّر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المستدلّ تحلیل العلم، و أنّ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تلک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 بأنّ أصالة الانحصار متعیّنة للتصرّف، دون أصالة الاستقلال، و بذلک یکشف حدود الإرادة الجدّیة، و أنّ المجعول استقلال کلّ واحد من المقدّمین فی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صفة الانحصار إمّا لیست صفة ثبوتیّة، أو لا تکون معلول صفة العلّیة حتّی یتأخّر عنها بالرتبة، ضرورة أنّ التأخّر و التقدّم بالرتبة لا یتصوّر بین کلّ شی‌ء مع ملازمه، فربّما تعتبر الصفتان المزبورتان معا للموضوع الواحد، کما عرفت فی الوجه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الموجب لوقوع المعارضة إنّما هو ظهور کلّ من القضیّتین فی الانحصار، دون الاستقلال، فما هو السبب الوحید و ما هو منشأ المکاذبة أولی بالتصرّف من غیره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الاستقلال فی کلّ واحد منهما، لا تمنع الأخری، بخلاف أصالة الانحصار، فلا معنی للتصرّف فیما لا یوجب المکاذبة، بل یتعیّن التصرّف فیما هو المنشأ لها و السبب المولّد لتلک المعارضة، و بذلک تنحلّ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یقاومه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العلم الإجمالیّ باق علی حاله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لما عرفت أنّ نظر المستدلّ إلی حلّه حسب فهم العقلاء بأنّ من ذلک التقریب یستکشف محطّ التصرّف و التقیید، و ینحلّ العلم انحلالا حقیقیّا طبعا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إمکان رفع المعارضة بالتصرّف فی أصالة الاستقلال لو کان کافیا، بدعوی العلم الإجمالیّ کما ادعوه </w:t>
      </w:r>
      <w:r>
        <w:rPr>
          <w:rStyle w:val="FootnoteAnchor"/>
          <w:rtl w:val="true"/>
        </w:rPr>
        <w:footnoteReference w:id="148"/>
      </w:r>
      <w:r>
        <w:rPr>
          <w:rFonts w:ascii="IRNazanin" w:hAnsi="IRNazanin" w:eastAsia="IRNazanin"/>
          <w:color w:val="111111"/>
          <w:sz w:val="28"/>
          <w:sz w:val="28"/>
          <w:szCs w:val="28"/>
          <w:rtl w:val="true"/>
          <w:lang w:bidi="fa-IR"/>
        </w:rPr>
        <w:t>، لکان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رفع المعارضة یمکن بالتصرّف فی أصل علّیة المقدّم للتالی، و قد مرّ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أصل</w:t>
      </w:r>
      <w:bookmarkStart w:id="112" w:name="pg13167_140764"/>
    </w:p>
    <w:p>
      <w:pPr>
        <w:pStyle w:val="BookText"/>
        <w:rPr/>
      </w:pPr>
      <w:bookmarkEnd w:id="112"/>
      <w:r>
        <w:rPr>
          <w:rFonts w:ascii="IRNazanin" w:hAnsi="IRNazanin" w:eastAsia="IRNazanin"/>
          <w:color w:val="111111"/>
          <w:sz w:val="28"/>
          <w:sz w:val="28"/>
          <w:szCs w:val="28"/>
          <w:rtl w:val="true"/>
          <w:lang w:bidi="fa-IR"/>
        </w:rPr>
        <w:t xml:space="preserve">العلّیة أیضا مستند إلی الإطلاق، دون الوضع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تصیر النتیجة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العلم الإجمالیّ رجوع القید إمّا إلی أصالة الإطلاق المنتهیة إلی إثبات أصل العلّیة، أو إلی أصالة الإطلاق المنتهیة إلی الاستقلال فی العلیة، أو إلی أصالة الانحصار، و لا مرجح لکون أحدهما المعین مرجعا للقید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کما أن ظهور القضیة فی أصل علیة المقدم بالنسبة إلی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کما عرفت،</w:t>
      </w:r>
      <w:r>
        <w:rPr>
          <w:rStyle w:val="FootnoteAnchor"/>
          <w:rtl w:val="true"/>
        </w:rPr>
        <w:footnoteReference w:id="150"/>
      </w:r>
      <w:r>
        <w:rPr>
          <w:rFonts w:ascii="IRNazanin" w:hAnsi="IRNazanin" w:eastAsia="IRNazanin"/>
          <w:color w:val="111111"/>
          <w:sz w:val="28"/>
          <w:sz w:val="28"/>
          <w:szCs w:val="28"/>
          <w:rtl w:val="true"/>
          <w:lang w:bidi="fa-IR"/>
        </w:rPr>
        <w:t>کذلک ظهور القضیة بالنسبة إلی أصالة الاستقلال محفوظ، و لا موجب لسریان الإخلال إلیه، و لا یجوز بعد کون منشأ المکاذبة هو الظهور الثالث لها، و هو ظهورها فی الانحصار، و لا یبقی حینئذ لدعوی العلم الإجمالیّ محلّ و لا مقام، فافهم و تأمّل تامّا، فإنّه من مزالّ الأقدام</w:t>
      </w:r>
      <w:r>
        <w:rPr>
          <w:rFonts w:eastAsia="IRNazanin" w:cs="IRNazanin"/>
          <w:color w:val="111111"/>
          <w:sz w:val="28"/>
          <w:szCs w:val="28"/>
          <w:rtl w:val="true"/>
          <w:lang w:bidi="fa-IR"/>
        </w:rPr>
        <w:t>.</w:t>
      </w:r>
    </w:p>
    <w:p>
      <w:pPr>
        <w:pStyle w:val="Heading6"/>
        <w:numPr>
          <w:ilvl w:val="5"/>
          <w:numId w:val="1"/>
        </w:numPr>
        <w:rPr/>
      </w:pPr>
      <w:bookmarkStart w:id="113" w:name="__RefHeading___Toc559400_3244359995"/>
      <w:bookmarkStart w:id="114" w:name="_Toc43"/>
      <w:bookmarkEnd w:id="113"/>
      <w:r>
        <w:rPr>
          <w:rtl w:val="true"/>
        </w:rPr>
        <w:t>وهم و دفع</w:t>
      </w:r>
      <w:bookmarkEnd w:id="114"/>
    </w:p>
    <w:p>
      <w:pPr>
        <w:pStyle w:val="BookText"/>
        <w:rPr/>
      </w:pPr>
      <w:r>
        <w:rPr>
          <w:rFonts w:ascii="IRNazanin" w:hAnsi="IRNazanin" w:eastAsia="IRNazanin"/>
          <w:color w:val="111111"/>
          <w:sz w:val="28"/>
          <w:sz w:val="28"/>
          <w:szCs w:val="28"/>
          <w:rtl w:val="true"/>
          <w:lang w:bidi="fa-IR"/>
        </w:rPr>
        <w:t>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یتراءی فی کلماتهم من الإطلاقین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المنتهی إلی إثبات العلّیة التامّة، و الإطلاق المنتهی إلی إثبات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ثلاثة إطلاقات، أو ثلاث أصالات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العلّیة، أصالة الاستقلال، و أصالة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أکثر من ذلک </w:t>
      </w:r>
      <w:r>
        <w:rPr>
          <w:rStyle w:val="FootnoteAnchor"/>
          <w:rtl w:val="true"/>
        </w:rPr>
        <w:footnoteReference w:id="151"/>
      </w:r>
      <w:r>
        <w:rPr>
          <w:rFonts w:ascii="IRNazanin" w:hAnsi="IRNazanin" w:eastAsia="IRNazanin"/>
          <w:color w:val="111111"/>
          <w:sz w:val="28"/>
          <w:sz w:val="28"/>
          <w:szCs w:val="28"/>
          <w:rtl w:val="true"/>
          <w:lang w:bidi="fa-IR"/>
        </w:rPr>
        <w:t>، کلّه خال من التحصیل، و لیس هناک إلاّ إطلاق واحد و مقدّمات واحدة، منتهیة إلی أنّ الشرط هی العلّة التامّة، و لا شی‌ء آخر یکون علّة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تنعقد ثلاث مقدّمات للإطلاق،</w:t>
      </w:r>
    </w:p>
    <w:p>
      <w:pPr>
        <w:pStyle w:val="BookText"/>
        <w:rPr/>
      </w:pPr>
      <w:r>
        <w:rPr>
          <w:rFonts w:ascii="IRNazanin" w:hAnsi="IRNazanin" w:eastAsia="IRNazanin"/>
          <w:color w:val="111111"/>
          <w:sz w:val="28"/>
          <w:sz w:val="28"/>
          <w:szCs w:val="28"/>
          <w:rtl w:val="true"/>
          <w:lang w:bidi="fa-IR"/>
        </w:rPr>
        <w:t xml:space="preserve">و لا تنعقد الإطلاقات الثلاثة أو الأربعة، بل المقدّمات الواحدة تنتج أنّ مطلق العتق واجب، و مطلق الرقبة المؤمنة واجب عتقها، و یکون الوجوب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کذلک الأمر هنا، و لا یجوز ملاحظة کلّ واحد منها مستقلاّ، و ترتیب المقدّمات الخاصّة المنتهیة إلی إطلاقه مستقلاّ أیضا، بل هناک مقدّمات واحدة منتهیة إلی ثبوت الإطلاق فی الکلام من کلّ ناحیة، من ناحیة الهیئة، و المادّة، و الموضوع و غیرها،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غایة المتانة بالنسبة إلی المتعلّق و الموضوع، و أمّا بالنسبة إلی الحکم فلا، و ذلک لما تقرّر منّا</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الإطلاق المتمسّک به لإثبات الوجوب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غیر الإطلاق المتمسّک به لإثبات أنّ الطبیعة بنفسها تمام الموضوع، و لا شریک و لا بدیل لها، فإنّ الإطلاق الأوّل یرجع إلی الانصراف، و الإلقاء بلا قید لا یثبت به القسم الخاصّ من الجامع لو کان فی البین جامع، و الإطلاق الثانی هو الإطلاق المصطلح علیه فی المطلق و المقیّد، المنتهی إلی إثبات أنّ ما هو المتعلّق تمام الموضوع، و ما هو الموضوع هو تمام المراد، و لا شریک و لا بدیل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الإطلاق المتمسّک به لإثبات علّیة المقدّم للتالی هو الإطلاق الأوّل، و الإطلاق المتمسّک به لإثبات أنّ الشرط و المقدّم تمام الموضوع و لا شریک له هو الثانی، و لا ینبغی الخلط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تکفی المقدّمات الواحدة لإثبات أنّ الشرط و المقدّم تمام الموضوع، و لا شریک له، و بتلک الواحدة یثبت الإطلاق للکلام من کلّ جانب، فلا بدّ حینئذ من النّظر إلی الجانب المنتهی إلی المعارضة فی المقام حتّی یتصرّف فیه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معنی للعلم الإجمالیّ بورود القید إمّا علی الإطلاق الکذائیّ، أو الإطلاق الکذائی، إمّا بأصالة الاستقلال، أو أصالة الانحصار، بل نعلم بورود القید علی</w:t>
      </w:r>
      <w:bookmarkStart w:id="115" w:name="pg13167_140766"/>
    </w:p>
    <w:p>
      <w:pPr>
        <w:pStyle w:val="BookText"/>
        <w:rPr/>
      </w:pPr>
      <w:bookmarkEnd w:id="115"/>
      <w:r>
        <w:rPr>
          <w:rFonts w:ascii="IRNazanin" w:hAnsi="IRNazanin" w:eastAsia="IRNazanin"/>
          <w:color w:val="111111"/>
          <w:sz w:val="28"/>
          <w:sz w:val="28"/>
          <w:szCs w:val="28"/>
          <w:rtl w:val="true"/>
          <w:lang w:bidi="fa-IR"/>
        </w:rPr>
        <w:t>الإطلاق الواحد المزبور الثابت للکلام الواحد من کلّ جهة شکّ فی إطلاقه، فإذا قامت القرینة الخارجیّة علی الإخلال فی جانب یؤخذ به معیّنا، و لا شبهة فی أنّ ذلک هو الجانب المنتهی إلی المکاذبة و المعارضة،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 لا معنی للعلم الإجمالیّ، أو علی تقدیر وجوده فهو منحلّ حسب فهم العرف و حکمه، بأنّ المرجع للقید هی أصالة الانحصار،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فی أصالة الانحصار لا یستلزم فسادا، و أمّا التصرّف فی أصالة الاستقلال فیستلزم کون کلّ واحدة من القضیّتین متضمّنة حین الصدور لجزء العلّة، و هو إخلال بالغرض البعید عن ساحة المولی، و إلقاء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ذلک علی بعض المصالح حمل علی خلاف الأفهام الابتدائیّة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الأصحاب رحمهم اللَّه فی موقف استفادة علّیة المقدّم للجزاء علّیة تامّة، قد أقرّوا بهذا الإطلاق، و بنوا علی أنّ إنکاره یوجب الإخلال بالغرض </w:t>
      </w:r>
      <w:r>
        <w:rPr>
          <w:rStyle w:val="FootnoteAnchor"/>
          <w:rtl w:val="true"/>
        </w:rPr>
        <w:footnoteReference w:id="153"/>
      </w:r>
      <w:r>
        <w:rPr>
          <w:rFonts w:ascii="IRNazanin" w:hAnsi="IRNazanin" w:eastAsia="IRNazanin"/>
          <w:color w:val="111111"/>
          <w:sz w:val="28"/>
          <w:sz w:val="28"/>
          <w:szCs w:val="28"/>
          <w:rtl w:val="true"/>
          <w:lang w:bidi="fa-IR"/>
        </w:rPr>
        <w:t>، بخلاف الإطلاق المنتهی إلی إثبات أصالة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المناقشة فی هذا الأخیر، و لکن الإنصاف أنّ المحصول منه و من الوجه السادس، هو تعیین التصرّف فی أصالة الانحصار، فلاحظ و اغتنم</w:t>
      </w:r>
      <w:r>
        <w:rPr>
          <w:rFonts w:eastAsia="IRNazanin" w:cs="IRNazanin"/>
          <w:color w:val="111111"/>
          <w:sz w:val="28"/>
          <w:szCs w:val="28"/>
          <w:rtl w:val="true"/>
          <w:lang w:bidi="fa-IR"/>
        </w:rPr>
        <w:t>.</w:t>
      </w:r>
    </w:p>
    <w:p>
      <w:pPr>
        <w:pStyle w:val="Heading5"/>
        <w:numPr>
          <w:ilvl w:val="4"/>
          <w:numId w:val="1"/>
        </w:numPr>
        <w:rPr/>
      </w:pPr>
      <w:bookmarkStart w:id="116" w:name="__RefHeading___Toc559402_3244359995"/>
      <w:bookmarkStart w:id="117" w:name="_Toc44"/>
      <w:bookmarkEnd w:id="116"/>
      <w:r>
        <w:rPr>
          <w:rtl w:val="true"/>
        </w:rPr>
        <w:t>التنبیه الخامس</w:t>
      </w:r>
      <w:r>
        <w:rPr>
          <w:rtl w:val="true"/>
        </w:rPr>
        <w:t xml:space="preserve">: </w:t>
      </w:r>
      <w:r>
        <w:rPr>
          <w:rtl w:val="true"/>
        </w:rPr>
        <w:t>فی تداخل الأسباب و المسبّبات</w:t>
      </w:r>
      <w:bookmarkEnd w:id="117"/>
    </w:p>
    <w:p>
      <w:pPr>
        <w:pStyle w:val="Heading6"/>
        <w:numPr>
          <w:ilvl w:val="5"/>
          <w:numId w:val="1"/>
        </w:numPr>
        <w:rPr/>
      </w:pPr>
      <w:bookmarkStart w:id="118" w:name="__RefHeading___Toc559404_3244359995"/>
      <w:bookmarkStart w:id="119" w:name="_Toc45"/>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إذا تعدّد الشرط و اتحد الجزاء، فهل یتعدّد الجزاء وجوبا و حکما، أم لا، و علی تقدیر تعدّده وجوبا و حکما یلزم أن یتعدّد وجودا و امتثالا، أم 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المسألة هی المسألة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الأسباب و المسبّبات و العلل و المعالیل</w:t>
      </w:r>
      <w:r>
        <w:rPr>
          <w:rFonts w:eastAsia="IRNazanin" w:cs="IRNazanin"/>
          <w:color w:val="111111"/>
          <w:sz w:val="28"/>
          <w:szCs w:val="28"/>
          <w:rtl w:val="true"/>
          <w:lang w:bidi="fa-IR"/>
        </w:rPr>
        <w:t>».</w:t>
      </w:r>
      <w:bookmarkStart w:id="120" w:name="pg13167_140767"/>
    </w:p>
    <w:p>
      <w:pPr>
        <w:pStyle w:val="BookText"/>
        <w:rPr/>
      </w:pPr>
      <w:bookmarkEnd w:id="120"/>
      <w:r>
        <w:rPr>
          <w:rFonts w:ascii="IRNazanin" w:hAnsi="IRNazanin" w:eastAsia="IRNazanin"/>
          <w:color w:val="111111"/>
          <w:sz w:val="28"/>
          <w:sz w:val="28"/>
          <w:szCs w:val="28"/>
          <w:rtl w:val="true"/>
          <w:lang w:bidi="fa-IR"/>
        </w:rPr>
        <w:t>و قبل الخوض فی أصل المسألتین، لا بدّ من تقدیم أمور لا بأس بها إیضاحا للمسألة، لما فیها النّفع الکثیر فی الفقه</w:t>
      </w:r>
      <w:r>
        <w:rPr>
          <w:rFonts w:eastAsia="IRNazanin" w:cs="IRNazanin"/>
          <w:color w:val="111111"/>
          <w:sz w:val="28"/>
          <w:szCs w:val="28"/>
          <w:rtl w:val="true"/>
          <w:lang w:bidi="fa-IR"/>
        </w:rPr>
        <w:t>:</w:t>
      </w:r>
    </w:p>
    <w:p>
      <w:pPr>
        <w:pStyle w:val="Heading6"/>
        <w:numPr>
          <w:ilvl w:val="5"/>
          <w:numId w:val="1"/>
        </w:numPr>
        <w:rPr/>
      </w:pPr>
      <w:bookmarkStart w:id="121" w:name="__RefHeading___Toc559406_3244359995"/>
      <w:bookmarkStart w:id="122" w:name="_Toc46"/>
      <w:bookmarkEnd w:id="121"/>
      <w:r>
        <w:rPr>
          <w:rtl w:val="true"/>
        </w:rPr>
        <w:t>الأمر الأوّل</w:t>
      </w:r>
      <w:r>
        <w:rPr>
          <w:rtl w:val="true"/>
        </w:rPr>
        <w:t xml:space="preserve">: </w:t>
      </w:r>
      <w:r>
        <w:rPr>
          <w:rtl w:val="true"/>
        </w:rPr>
        <w:t xml:space="preserve">حول المراد من </w:t>
      </w:r>
      <w:r>
        <w:rPr>
          <w:rtl w:val="true"/>
        </w:rPr>
        <w:t>«</w:t>
      </w:r>
      <w:r>
        <w:rPr>
          <w:rtl w:val="true"/>
        </w:rPr>
        <w:t>تداخل الأسباب و المسبّبات</w:t>
      </w:r>
      <w:r>
        <w:rPr>
          <w:rtl w:val="true"/>
        </w:rPr>
        <w:t>»</w:t>
      </w:r>
      <w:bookmarkEnd w:id="122"/>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الأسباب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تعدّد الشرط و اتحد الجزاء، فهل فی مقام التشریع و الجعل یستلزم تعدّد الشرط تعدّد المشروط له، و هل یتعدّد الحکم فی التالی بتعدّد المقدّم، و یتعدّد الإیجاب و الجعل بتعدّد السبب المذکور فی المقدّم، أم لا؟</w:t>
      </w:r>
    </w:p>
    <w:p>
      <w:pPr>
        <w:pStyle w:val="BookText"/>
        <w:rPr/>
      </w:pPr>
      <w:r>
        <w:rPr>
          <w:rFonts w:ascii="IRNazanin" w:hAnsi="IRNazanin" w:eastAsia="IRNazanin"/>
          <w:color w:val="111111"/>
          <w:sz w:val="28"/>
          <w:sz w:val="28"/>
          <w:szCs w:val="28"/>
          <w:rtl w:val="true"/>
          <w:lang w:bidi="fa-IR"/>
        </w:rPr>
        <w:t xml:space="preserve">فإن کان یستلزم تعدّد السبب تعدّد المسبّب و المجعول تشریعا و جعلا، فهو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تداخل العلل و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سبب أثّر فی مسبّبه، و استعقب حکما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یستلزم ذلک، بل یکون السبب المتقدّم مستتبعا للحکم فی مرحلة التشریع دون التأخّر، أو یستلزمان فی صورة التقارن حکما واحدا و إیجابا وجدانیّا، فهو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التداخل فی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المسبّبات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علی تقدیر القول بتداخل الأسباب، و أنّ السبب المتأخّر لا یوجب شیئا، و فی صورة المقارنة یکون المجموع مؤثّرا و سببا، فلا کلام و لا نزاع فی مقام الامتثال، ضرورة کفایة الوجود الواحد و المصداق الفارد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تقدیر القول بعدم التداخل فی مرحلة التشریع و الجعل، و أنّه یکون الوجوب مثلا متعدّدا بتعدّد السبب و العلّة، فهل فی مقام الامتثال یکفی أیضا المصداق الواحد و الامتثال الفارد، أم لا بدّ من الامتثالات حسب تعدّد الأسباب، فالأوّل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تداخلها</w:t>
      </w:r>
      <w:r>
        <w:rPr>
          <w:rFonts w:eastAsia="IRNazanin" w:cs="IRNazanin"/>
          <w:color w:val="111111"/>
          <w:sz w:val="28"/>
          <w:szCs w:val="28"/>
          <w:rtl w:val="true"/>
          <w:lang w:bidi="fa-IR"/>
        </w:rPr>
        <w:t>».</w:t>
      </w:r>
      <w:bookmarkStart w:id="123" w:name="pg13167_140768"/>
    </w:p>
    <w:p>
      <w:pPr>
        <w:pStyle w:val="BookText"/>
        <w:rPr/>
      </w:pPr>
      <w:bookmarkEnd w:id="123"/>
      <w:r>
        <w:rPr>
          <w:rFonts w:ascii="IRNazanin" w:hAnsi="IRNazanin" w:eastAsia="IRNazanin"/>
          <w:color w:val="111111"/>
          <w:sz w:val="28"/>
          <w:sz w:val="28"/>
          <w:szCs w:val="28"/>
          <w:rtl w:val="true"/>
          <w:lang w:bidi="fa-IR"/>
        </w:rPr>
        <w:t>فعلی ما تبیّن و اتضح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یوهمه عنوان الأصحاب رحمهم اللَّه من تداخل الأسباب بما هی أسباب </w:t>
      </w:r>
      <w:r>
        <w:rPr>
          <w:rStyle w:val="FootnoteAnchor"/>
          <w:rtl w:val="true"/>
        </w:rPr>
        <w:footnoteReference w:id="154"/>
      </w:r>
      <w:r>
        <w:rPr>
          <w:rFonts w:ascii="IRNazanin" w:hAnsi="IRNazanin" w:eastAsia="IRNazanin"/>
          <w:color w:val="111111"/>
          <w:sz w:val="28"/>
          <w:sz w:val="28"/>
          <w:szCs w:val="28"/>
          <w:rtl w:val="true"/>
          <w:lang w:bidi="fa-IR"/>
        </w:rPr>
        <w:t>، فی غیر محلّه، ضرورة امتناع تداخلها مع الإقرار بالسببیّة المستقلّة، فالمقصود هو تداخل ذواتها فی السببیّة، و اجتماعهما فی التأثیر مثلا</w:t>
      </w:r>
      <w:r>
        <w:rPr>
          <w:rFonts w:eastAsia="IRNazanin" w:cs="IRNazanin"/>
          <w:color w:val="111111"/>
          <w:sz w:val="28"/>
          <w:szCs w:val="28"/>
          <w:rtl w:val="true"/>
          <w:lang w:bidi="fa-IR"/>
        </w:rPr>
        <w:t>.</w:t>
      </w:r>
    </w:p>
    <w:p>
      <w:pPr>
        <w:pStyle w:val="Heading6"/>
        <w:numPr>
          <w:ilvl w:val="5"/>
          <w:numId w:val="1"/>
        </w:numPr>
        <w:rPr/>
      </w:pPr>
      <w:bookmarkStart w:id="124" w:name="__RefHeading___Toc559408_3244359995"/>
      <w:bookmarkStart w:id="125" w:name="_Toc47"/>
      <w:bookmarkEnd w:id="124"/>
      <w:r>
        <w:rPr>
          <w:rtl w:val="true"/>
        </w:rPr>
        <w:t>الأمر الثانی</w:t>
      </w:r>
      <w:r>
        <w:rPr>
          <w:rtl w:val="true"/>
        </w:rPr>
        <w:t xml:space="preserve">: </w:t>
      </w:r>
      <w:r>
        <w:rPr>
          <w:rtl w:val="true"/>
        </w:rPr>
        <w:t>فی أنحاء تداخل المسبّبات</w:t>
      </w:r>
      <w:bookmarkEnd w:id="125"/>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تداخل الأسباب إذا انتهی إلی أصالة عدم التداخل، فیکون البحث فی تداخل المسبّبات علی وجه الرخصة، و إذا انتهی إلی أصالة التداخل فیها، فیکون التداخل فی مرحلة الامتثال و المسبّبات علی وجه العزیمة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الأمر بالصلاة عقیب کلّ واحد من الزلزلة و الخسوف،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تزلزلت الأرض فصلّ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انخسف القمر 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بالتداخل بین الأسباب یکون الواجب واحدا، و لا یجوز حینئذ الصلاة فی مقام الامتثال مرارا، لأنّه من الصلاة بلا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بعدم التداخل یتعدّد الوجوب و الواجب، و یکون المکلّف ذمّته مشغولة بالصلاتین، و حینئذ إن قلنا بتداخل المسبّبات یجوز له الاکتفاء بواحدة، کما یجوز له التکرار، فیکون له الرخصة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تداخلها یتعیّن علیه التکرار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التداخل فی المسببات مختلفة،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المسبّب المتعدّد وجوبا غیر متعدّد لونا و خصوصیّة، فیکون الامتثال الأوّل مجزیا قهرا،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bookmarkStart w:id="126" w:name="pg13167_140769"/>
    </w:p>
    <w:p>
      <w:pPr>
        <w:pStyle w:val="BookText"/>
        <w:rPr/>
      </w:pPr>
      <w:bookmarkEnd w:id="126"/>
      <w:r>
        <w:rPr>
          <w:rFonts w:ascii="IRNazanin" w:hAnsi="IRNazanin" w:eastAsia="IRNazanin"/>
          <w:color w:val="111111"/>
          <w:sz w:val="28"/>
          <w:sz w:val="28"/>
          <w:szCs w:val="28"/>
          <w:rtl w:val="true"/>
          <w:lang w:bidi="fa-IR"/>
        </w:rPr>
        <w:t>ذو خصوصیّة فهو فی اختیار العبد و المکلّف، و فی کونه من تداخل المسبّب إشکال، بل هو یدخل فی تداخل بعض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بأنّ مع تعدّد الأمر بالغسل عند تعدّد سببه، إنّ الغسل الواحد بنیّة واحدة یکفی عن سائر الأغسال، فلا یبقی أمر بالنسبة إلی الفرد الآخر، فتکون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الکفایة منوطة بتعدّد النیّة فهو و إن کان رخصة، إلاّ أنّه خروج عن تداخل المسبّبات، و دخول فی تداخل بعض المسبّب، و هو العمل دون نیّته التی هی خیر منه، و یکون جزء المأمور به بالضرورة، فلا تخلط، و لا تغفل</w:t>
      </w:r>
      <w:r>
        <w:rPr>
          <w:rFonts w:eastAsia="IRNazanin" w:cs="IRNazanin"/>
          <w:color w:val="111111"/>
          <w:sz w:val="28"/>
          <w:szCs w:val="28"/>
          <w:rtl w:val="true"/>
          <w:lang w:bidi="fa-IR"/>
        </w:rPr>
        <w:t>.</w:t>
      </w:r>
    </w:p>
    <w:p>
      <w:pPr>
        <w:pStyle w:val="Heading6"/>
        <w:numPr>
          <w:ilvl w:val="5"/>
          <w:numId w:val="1"/>
        </w:numPr>
        <w:rPr/>
      </w:pPr>
      <w:bookmarkStart w:id="127" w:name="__RefHeading___Toc559410_3244359995"/>
      <w:bookmarkStart w:id="128" w:name="_Toc48"/>
      <w:bookmarkEnd w:id="127"/>
      <w:r>
        <w:rPr>
          <w:rtl w:val="true"/>
        </w:rPr>
        <w:t>الأمر الثالث</w:t>
      </w:r>
      <w:r>
        <w:rPr>
          <w:rtl w:val="true"/>
        </w:rPr>
        <w:t xml:space="preserve">: </w:t>
      </w:r>
      <w:r>
        <w:rPr>
          <w:rtl w:val="true"/>
        </w:rPr>
        <w:t>حول ارتباط هذه المسألة بمسألة تعدّد الشرط و اتحاد الجزاء</w:t>
      </w:r>
      <w:bookmarkEnd w:id="128"/>
    </w:p>
    <w:p>
      <w:pPr>
        <w:pStyle w:val="BookText"/>
        <w:rPr/>
      </w:pPr>
      <w:r>
        <w:rPr>
          <w:rFonts w:ascii="IRNazanin" w:hAnsi="IRNazanin" w:eastAsia="IRNazanin"/>
          <w:color w:val="111111"/>
          <w:sz w:val="28"/>
          <w:sz w:val="28"/>
          <w:szCs w:val="28"/>
          <w:rtl w:val="true"/>
          <w:lang w:bidi="fa-IR"/>
        </w:rPr>
        <w:t xml:space="preserve">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أنّ التنبیه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متصدّیا لموضوع البحث فی هذا التنبیه، فإنّه إن قلنا فی التنبیه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واحد من الشرطین جزء السبب، فلا یأتی البحث هنا، لما لا تعدّد للسبب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واحد من الشرطین علّة مستقلّة، فیصحّ البحث هنا عن التداخل و عدمه، کما صرّح به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بمعزل عن التحقیق، ضرورة أنّ النزاع کما یأتی لا یختصّ بصورة تعدّد السبب نوعا، بل یأتی فی صورة تعدّد السبب شخصا، فلو فرضنا أنّ الخسوف و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لإیجاب الصلاة، و فرضنا تکرار الخسوف و الزلزلة، فیکون هو من تعدّد السبب، و یندرج فی محطّ البحث، کما سیمرّ علیک توضیحه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التقادیر فی المسألة السابقة یتّضح البحث هنا</w:t>
      </w:r>
      <w:r>
        <w:rPr>
          <w:rFonts w:eastAsia="IRNazanin" w:cs="IRNazanin"/>
          <w:color w:val="111111"/>
          <w:sz w:val="28"/>
          <w:szCs w:val="28"/>
          <w:rtl w:val="true"/>
          <w:lang w:bidi="fa-IR"/>
        </w:rPr>
        <w:t>.</w:t>
      </w:r>
      <w:bookmarkStart w:id="129" w:name="pg13167_140770"/>
    </w:p>
    <w:p>
      <w:pPr>
        <w:pStyle w:val="BookText"/>
        <w:rPr/>
      </w:pPr>
      <w:bookmarkEnd w:id="129"/>
      <w:r>
        <w:rPr>
          <w:rFonts w:ascii="IRNazanin" w:hAnsi="IRNazanin" w:eastAsia="IRNazanin"/>
          <w:color w:val="111111"/>
          <w:sz w:val="28"/>
          <w:sz w:val="28"/>
          <w:szCs w:val="28"/>
          <w:rtl w:val="true"/>
          <w:lang w:bidi="fa-IR"/>
        </w:rPr>
        <w:t>اللهمّ إلاّ أن یقال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العناوین المأخوذة فی المقدّم معرّفات لما هو السبب، فإن کان السبب قابلا للتکرار فهو، و إلاّ فلا یصحّ البحث، لما لا یتکرّر السبب نوعا و لا شخصا حتّی یندرج فی موضوع الخلاف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هذا یرجع ما أفاده الفخر قدس سرُّه کما یأتی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 الالتزام بأنّ عناوین الشروط معرّفات، لا معنی للنزاع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إطلاق کلامه نظر، ضرورة أنّه مع کونها معرّفات یمکن تعدّد السبب الواقعیّ شخصا، فلو لم یتقبل التعدّد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النزاع طبعا، فلاحظ و اغتنم</w:t>
      </w:r>
      <w:r>
        <w:rPr>
          <w:rFonts w:eastAsia="IRNazanin" w:cs="IRNazanin"/>
          <w:color w:val="111111"/>
          <w:sz w:val="28"/>
          <w:szCs w:val="28"/>
          <w:rtl w:val="true"/>
          <w:lang w:bidi="fa-IR"/>
        </w:rPr>
        <w:t>.</w:t>
      </w:r>
    </w:p>
    <w:p>
      <w:pPr>
        <w:pStyle w:val="Heading6"/>
        <w:numPr>
          <w:ilvl w:val="5"/>
          <w:numId w:val="1"/>
        </w:numPr>
        <w:rPr/>
      </w:pPr>
      <w:bookmarkStart w:id="130" w:name="__RefHeading___Toc559412_3244359995"/>
      <w:bookmarkStart w:id="131" w:name="_Toc49"/>
      <w:bookmarkEnd w:id="130"/>
      <w:r>
        <w:rPr>
          <w:rtl w:val="true"/>
        </w:rPr>
        <w:t>الأمر الرابع</w:t>
      </w:r>
      <w:r>
        <w:rPr>
          <w:rtl w:val="true"/>
        </w:rPr>
        <w:t xml:space="preserve">: </w:t>
      </w:r>
      <w:r>
        <w:rPr>
          <w:rtl w:val="true"/>
        </w:rPr>
        <w:t>فی اعتبار الوحدة الجنسیّة و النوعیّة دون الشخصیّة و الاعتباریّة فی السبب و المسبّب</w:t>
      </w:r>
      <w:bookmarkEnd w:id="131"/>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البحث فی المسألة الأولی هو ما إذا تعدّد السبب </w:t>
      </w:r>
      <w:r>
        <w:rPr>
          <w:rStyle w:val="FootnoteAnchor"/>
          <w:rtl w:val="true"/>
        </w:rPr>
        <w:footnoteReference w:id="160"/>
      </w:r>
      <w:r>
        <w:rPr>
          <w:rFonts w:ascii="IRNazanin" w:hAnsi="IRNazanin" w:eastAsia="IRNazanin"/>
          <w:color w:val="111111"/>
          <w:sz w:val="28"/>
          <w:sz w:val="28"/>
          <w:szCs w:val="28"/>
          <w:rtl w:val="true"/>
          <w:lang w:bidi="fa-IR"/>
        </w:rPr>
        <w:t>، فلا بدّ و أن یکون السبب قابلا للتعدّد النوعیّ أو الشخصیّ، کما فی الأمثلة المزبورة، و أمّا إذا لم یکن قابلا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هو مندرجا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فرض أنّ السبب المجعول فی القضیّة هو صرف وجوده، و طبیعیّ ناقض العدم، و بتعبیر آخر أوّل وجود الطبیعة، فإنّه أیضا خارج من محطّ النزاع حکما، و إن کان قابلا للتعدّد عقلا، فلو کان موضوع صلاة الآیة صرف وجود الکسوف و الزلزلة، فهو خارج عن محطّ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المسألة الأولی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تداخل المسبّبات یکون فی مورد یمکن تعدّدها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عنوان البحث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تعدّد السبب هل یتعدّد المسبّب،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واحدا جنسا أو نوعا، و أمّا إذا کان واحدا شخصا فلا معنی للبحث عن التعدّد، 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زید عمرا فیقتل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ارتدّ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عن تداخل المسبّبات بلا وجه، لأنّ الوحدة المأخوذة فی محلّ النزاع هی وحدة نوعیّة أو جنسیّة، دون الوحدة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یلحق بالوحدة الشخصیّة فی الخروج عن محطّ النزاع الوحدة الاعتباریّة، کما إذا اعتبر فی الجزاء صرف الوجود الّذی یرجع إلی عدم صدقه علی الکثیر و إن وجد دفعة، باعتبار أنّ الصرف ما لا یقبل التکرار طولا، و لا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الوحدة الشخصیّة فی المسبّب لا تضرّ بالنزاع فی المسألة الأولی، لإمکان الالتزام بتعدّد الوجوب حسب تعدّد السبب، و لکن لمکان توحّد المسبّب شخصا یحمل الوجوب علی التأکّد، فإن تقدّم أحد السببین علی الآخر یکون الوجوب المتأخّر مؤکّدا، و إلاّ ففی صورة التقارن یحدث الوجوب الواحد المتأکّد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ثمرة ذلک فی أنّ مخالفة هذا النحو من التکلیف الوجوبیّ ربّما تکون من الکبائر، أو تعدّ من الإصرار أحیانا، فما عن العلاّمة النائینیّ هنا</w:t>
      </w:r>
      <w:r>
        <w:rPr>
          <w:rStyle w:val="FootnoteAnchor"/>
          <w:rtl w:val="true"/>
        </w:rPr>
        <w:footnoteReference w:id="161"/>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التصوّر لا یضرّ الوحدة الشخصیّة فی ناحیة المسبّب بالنزاع فی المسألة الأولی، بخلاف المسألة الثانیة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العجیب ما أفاده العلاّمة النائینیّ رحمه اللَّه من التفصیل فی الوحدات الشخصیّة</w:t>
      </w:r>
      <w:r>
        <w:rPr>
          <w:rStyle w:val="FootnoteAnchor"/>
          <w:rtl w:val="true"/>
        </w:rPr>
        <w:footnoteReference w:id="162"/>
      </w:r>
      <w:r>
        <w:rPr>
          <w:rFonts w:ascii="IRNazanin" w:hAnsi="IRNazanin" w:eastAsia="IRNazanin"/>
          <w:color w:val="111111"/>
          <w:sz w:val="28"/>
          <w:sz w:val="28"/>
          <w:szCs w:val="28"/>
          <w:rtl w:val="true"/>
          <w:lang w:bidi="fa-IR"/>
        </w:rPr>
        <w:t>بما لا یرجع إلی محصّل، و یکون خارجا عن محطّ الخلاف و الکلام</w:t>
      </w:r>
      <w:r>
        <w:rPr>
          <w:rFonts w:eastAsia="IRNazanin" w:cs="IRNazanin"/>
          <w:color w:val="111111"/>
          <w:sz w:val="28"/>
          <w:szCs w:val="28"/>
          <w:rtl w:val="true"/>
          <w:lang w:bidi="fa-IR"/>
        </w:rPr>
        <w:t>!!</w:t>
      </w:r>
      <w:bookmarkStart w:id="132" w:name="pg13167_140772"/>
    </w:p>
    <w:p>
      <w:pPr>
        <w:pStyle w:val="BookText"/>
        <w:rPr/>
      </w:pPr>
      <w:bookmarkEnd w:id="132"/>
      <w:r>
        <w:rPr>
          <w:rFonts w:ascii="IRNazanin" w:hAnsi="IRNazanin" w:eastAsia="IRNazanin"/>
          <w:color w:val="111111"/>
          <w:sz w:val="28"/>
          <w:sz w:val="28"/>
          <w:szCs w:val="28"/>
          <w:rtl w:val="true"/>
          <w:lang w:bidi="fa-IR"/>
        </w:rPr>
        <w:t xml:space="preserve">و قد تعرّض لکلامه مع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133" w:name="__RefHeading___Toc559414_3244359995"/>
      <w:bookmarkStart w:id="134" w:name="_Toc50"/>
      <w:bookmarkEnd w:id="133"/>
      <w:r>
        <w:rPr>
          <w:rtl w:val="true"/>
        </w:rPr>
        <w:t>الأمر الخامس</w:t>
      </w:r>
      <w:r>
        <w:rPr>
          <w:rtl w:val="true"/>
        </w:rPr>
        <w:t xml:space="preserve">: </w:t>
      </w:r>
      <w:r>
        <w:rPr>
          <w:rtl w:val="true"/>
        </w:rPr>
        <w:t xml:space="preserve">فی المراد من </w:t>
      </w:r>
      <w:r>
        <w:rPr>
          <w:rtl w:val="true"/>
        </w:rPr>
        <w:t>«</w:t>
      </w:r>
      <w:r>
        <w:rPr>
          <w:rtl w:val="true"/>
        </w:rPr>
        <w:t>وحدة الجزاء</w:t>
      </w:r>
      <w:r>
        <w:rPr>
          <w:rtl w:val="true"/>
        </w:rPr>
        <w:t>»</w:t>
      </w:r>
      <w:bookmarkEnd w:id="134"/>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المجعول فی القضیّتین واحدا عنوانا و قیدا، فلو تعدّدا عنوانا، أو اتحدا عنوانا و تعدّدا قیدا و خصوصیّة، فهو خارج عن محطّ الکلام فی المسألتین، 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أجنبت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مسست المیّت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المأمور به فی الأولی غسل الجنابة، و المأمور به فی الثانیة غسل مسّ المیّت، فهو خارج عن محطّ البحث، لأنّ الجزاء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من القول بعدم تداخل الأسباب و المسبّبات إلاّ إذا قام الدلیل الخاصّ التعبّدی، کما فی مورد الأغسال </w:t>
      </w:r>
      <w:r>
        <w:rPr>
          <w:rStyle w:val="FootnoteAnchor"/>
          <w:rtl w:val="true"/>
        </w:rPr>
        <w:footnoteReference w:id="164"/>
      </w:r>
      <w:r>
        <w:rPr>
          <w:rFonts w:ascii="IRNazanin" w:hAnsi="IRNazanin" w:eastAsia="IRNazanin"/>
          <w:color w:val="111111"/>
          <w:sz w:val="28"/>
          <w:sz w:val="28"/>
          <w:szCs w:val="28"/>
          <w:rtl w:val="true"/>
          <w:lang w:bidi="fa-IR"/>
        </w:rPr>
        <w:t xml:space="preserve">، فعدّ الأغسال من صغریات هاتین المسألتین </w:t>
      </w:r>
      <w:r>
        <w:rPr>
          <w:rStyle w:val="FootnoteAnchor"/>
          <w:rtl w:val="true"/>
        </w:rPr>
        <w:footnoteReference w:id="165"/>
      </w:r>
      <w:r>
        <w:rPr>
          <w:rFonts w:ascii="IRNazanin" w:hAnsi="IRNazanin" w:eastAsia="IRNazanin"/>
          <w:color w:val="111111"/>
          <w:sz w:val="28"/>
          <w:sz w:val="28"/>
          <w:szCs w:val="28"/>
          <w:rtl w:val="true"/>
          <w:lang w:bidi="fa-IR"/>
        </w:rPr>
        <w:t>، فی غیر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الجهة المبحوث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المأمور به فی القضیّتین واحدا عنوانا و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یأتی فی بحوث المسألة الثانیة بحث یختصّ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مع تعدّد المسبّب قیدا، هل یمکن الالتزام بالتداخل أحیانا حسب القواعد العقلیّة، أم لا؟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تفصیل هذه المسألة مذکور منّا فی الفقه فی بحوث نیّة الصوم </w:t>
      </w:r>
      <w:r>
        <w:rPr>
          <w:rStyle w:val="FootnoteAnchor"/>
          <w:rtl w:val="true"/>
        </w:rPr>
        <w:footnoteReference w:id="166"/>
      </w:r>
      <w:r>
        <w:rPr>
          <w:rFonts w:ascii="IRNazanin" w:hAnsi="IRNazanin" w:eastAsia="IRNazanin"/>
          <w:color w:val="111111"/>
          <w:sz w:val="28"/>
          <w:sz w:val="28"/>
          <w:szCs w:val="28"/>
          <w:rtl w:val="true"/>
          <w:lang w:bidi="fa-IR"/>
        </w:rPr>
        <w:t>، و سیمرّ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إجماله فی المسألة الثانیة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135" w:name="pg13167_140773"/>
    </w:p>
    <w:p>
      <w:pPr>
        <w:pStyle w:val="BookText"/>
        <w:rPr/>
      </w:pPr>
      <w:bookmarkEnd w:id="135"/>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الموجبة لتعدّد الجزاء أعمّ من القیود الخارجیّة و الذهنیّة، کالقیود المنوّعة لطبیعة الغسل، و تقسّم تلک الطبیعة إلی غسل الجمعة، و الجنابة و غیره، فإنّ کلّ هذه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 محطّ الأمر، و بذلک یتعدّد الجزاء، و یخرج من محطّ النزاع</w:t>
      </w:r>
      <w:r>
        <w:rPr>
          <w:rFonts w:eastAsia="IRNazanin" w:cs="IRNazanin"/>
          <w:color w:val="111111"/>
          <w:sz w:val="28"/>
          <w:szCs w:val="28"/>
          <w:rtl w:val="true"/>
          <w:lang w:bidi="fa-IR"/>
        </w:rPr>
        <w:t>.</w:t>
      </w:r>
    </w:p>
    <w:p>
      <w:pPr>
        <w:pStyle w:val="Heading6"/>
        <w:numPr>
          <w:ilvl w:val="5"/>
          <w:numId w:val="1"/>
        </w:numPr>
        <w:rPr/>
      </w:pPr>
      <w:bookmarkStart w:id="136" w:name="__RefHeading___Toc559416_3244359995"/>
      <w:bookmarkStart w:id="137" w:name="_Toc51"/>
      <w:bookmarkEnd w:id="136"/>
      <w:r>
        <w:rPr>
          <w:rtl w:val="true"/>
        </w:rPr>
        <w:t>الأمر السادس</w:t>
      </w:r>
      <w:r>
        <w:rPr>
          <w:rtl w:val="true"/>
        </w:rPr>
        <w:t xml:space="preserve">: </w:t>
      </w:r>
      <w:r>
        <w:rPr>
          <w:rtl w:val="true"/>
        </w:rPr>
        <w:t>فی سقوط النزاع بناء علی رجوع الشرطیة إلی البتّیة</w:t>
      </w:r>
      <w:bookmarkEnd w:id="137"/>
    </w:p>
    <w:p>
      <w:pPr>
        <w:pStyle w:val="BookText"/>
        <w:rPr/>
      </w:pPr>
      <w:r>
        <w:rPr>
          <w:rFonts w:ascii="IRNazanin" w:hAnsi="IRNazanin" w:eastAsia="IRNazanin"/>
          <w:color w:val="111111"/>
          <w:sz w:val="28"/>
          <w:sz w:val="28"/>
          <w:szCs w:val="28"/>
          <w:rtl w:val="true"/>
          <w:lang w:bidi="fa-IR"/>
        </w:rPr>
        <w:t>بناء علی رجوع القضیّة الشرطیّة إلی القضیّة البتّیة، فهل یسقط هذا النزاع،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فی المقام لیس محصورا بالقضایا الشرطیّة، بل یأتی النزاع فیما إذا تعدّد العنوان، و کان کلّ عنوان محکوما بحکم واحد، و اتفق انطباقهما علی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أرجعنا القضیّة الشرطیّة إلی البتّیة، و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المجامع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المجامع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تقدّم أحدهما، و تأخّر الآخر، فهل یتعدّد الحکم، أم لا، أو إذا تقارنا یتعدّد الحکم، أم لا؟</w:t>
      </w:r>
    </w:p>
    <w:p>
      <w:pPr>
        <w:pStyle w:val="BookText"/>
        <w:rPr/>
      </w:pPr>
      <w:r>
        <w:rPr>
          <w:rFonts w:ascii="IRNazanin" w:hAnsi="IRNazanin" w:eastAsia="IRNazanin"/>
          <w:color w:val="111111"/>
          <w:sz w:val="28"/>
          <w:sz w:val="28"/>
          <w:szCs w:val="28"/>
          <w:rtl w:val="true"/>
          <w:lang w:bidi="fa-IR"/>
        </w:rPr>
        <w:t>فلا یختصّ النزاع فی المقام بالقضیّة الشرطیّة، بل جهة النزاع أعمّ من ذلک، و أعمّ من کون تعدّد السبب ثابتا بالأدلّة اللفظیّة، أو کان ممّا یثبت بالإجماع أو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یقع من یعتقد برجوع الشرطیّة إلی البتّیة</w:t>
      </w:r>
      <w:r>
        <w:rPr>
          <w:rStyle w:val="FootnoteAnchor"/>
          <w:rtl w:val="true"/>
        </w:rPr>
        <w:footnoteReference w:id="168"/>
      </w:r>
      <w:r>
        <w:rPr>
          <w:rFonts w:ascii="IRNazanin" w:hAnsi="IRNazanin" w:eastAsia="IRNazanin"/>
          <w:color w:val="111111"/>
          <w:sz w:val="28"/>
          <w:sz w:val="28"/>
          <w:szCs w:val="28"/>
          <w:rtl w:val="true"/>
          <w:lang w:bidi="fa-IR"/>
        </w:rPr>
        <w:t xml:space="preserve">فی حیص و بیص،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انخسف القمر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شابهه، فإنّه لا موضوع حتّی یرجع الشرط إلی عنوانه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برجوعه إلی أنّ مدرک الخسوف أو الکسوف أو الزلزلة</w:t>
      </w:r>
      <w:bookmarkStart w:id="138" w:name="pg13167_140774"/>
    </w:p>
    <w:p>
      <w:pPr>
        <w:pStyle w:val="BookText"/>
        <w:rPr/>
      </w:pPr>
      <w:bookmarkEnd w:id="138"/>
      <w:r>
        <w:rPr>
          <w:rFonts w:ascii="IRNazanin" w:hAnsi="IRNazanin" w:eastAsia="IRNazanin"/>
          <w:color w:val="111111"/>
          <w:sz w:val="28"/>
          <w:sz w:val="28"/>
          <w:szCs w:val="28"/>
          <w:rtl w:val="true"/>
          <w:lang w:bidi="fa-IR"/>
        </w:rPr>
        <w:t>یصلّی، و هذا أیضا من الشواهد علی بطلان الإرجاع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لا یمکن إرجاعه علی النحو المزبور أیضا، کما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البیت فصلّ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الإرجاع المزبور یخلّ بالمقصود، کما لا یخفی</w:t>
      </w:r>
      <w:r>
        <w:rPr>
          <w:rFonts w:eastAsia="IRNazanin" w:cs="IRNazanin"/>
          <w:color w:val="111111"/>
          <w:sz w:val="28"/>
          <w:szCs w:val="28"/>
          <w:rtl w:val="true"/>
          <w:lang w:bidi="fa-IR"/>
        </w:rPr>
        <w:t>.</w:t>
      </w:r>
    </w:p>
    <w:p>
      <w:pPr>
        <w:pStyle w:val="Heading6"/>
        <w:numPr>
          <w:ilvl w:val="5"/>
          <w:numId w:val="1"/>
        </w:numPr>
        <w:rPr/>
      </w:pPr>
      <w:bookmarkStart w:id="139" w:name="__RefHeading___Toc559418_3244359995"/>
      <w:bookmarkStart w:id="140" w:name="_Toc52"/>
      <w:bookmarkEnd w:id="139"/>
      <w:r>
        <w:rPr>
          <w:rtl w:val="true"/>
        </w:rPr>
        <w:t>الأمر السابع</w:t>
      </w:r>
      <w:r>
        <w:rPr>
          <w:rtl w:val="true"/>
        </w:rPr>
        <w:t xml:space="preserve">: </w:t>
      </w:r>
      <w:r>
        <w:rPr>
          <w:rtl w:val="true"/>
        </w:rPr>
        <w:t>حول الأقوال و الاحتمالات فی المسألة</w:t>
      </w:r>
      <w:bookmarkEnd w:id="140"/>
    </w:p>
    <w:p>
      <w:pPr>
        <w:pStyle w:val="BookText"/>
        <w:rPr/>
      </w:pPr>
      <w:r>
        <w:rPr>
          <w:rFonts w:ascii="IRNazanin" w:hAnsi="IRNazanin" w:eastAsia="IRNazanin"/>
          <w:color w:val="111111"/>
          <w:sz w:val="28"/>
          <w:sz w:val="28"/>
          <w:szCs w:val="28"/>
          <w:rtl w:val="true"/>
          <w:lang w:bidi="fa-IR"/>
        </w:rPr>
        <w:t>الأقوال فی المسألة حسبما قیل خمسة</w:t>
      </w:r>
      <w:r>
        <w:rPr>
          <w:rStyle w:val="FootnoteAnchor"/>
          <w:rtl w:val="true"/>
        </w:rPr>
        <w:footnoteReference w:id="169"/>
      </w:r>
      <w:r>
        <w:rPr>
          <w:rFonts w:ascii="Amiri" w:hAnsi="Amiri" w:eastAsia="Amiri" w:cs="Amiri"/>
          <w:color w:val="111111"/>
          <w:sz w:val="28"/>
          <w:sz w:val="28"/>
          <w:szCs w:val="28"/>
          <w:rtl w:val="true"/>
          <w:lang w:bidi="ar-SA"/>
        </w:rPr>
        <w:t>، و المعروف منها ثلاثة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فالمنسوب إلی المشهور عدم التداخل فی المسألتین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نسب إلی جمع </w:t>
      </w:r>
      <w:r>
        <w:rPr>
          <w:rStyle w:val="FootnoteAnchor"/>
          <w:rtl w:val="true"/>
        </w:rPr>
        <w:footnoteReference w:id="172"/>
      </w:r>
      <w:r>
        <w:rPr>
          <w:rFonts w:ascii="IRNazanin" w:hAnsi="IRNazanin" w:eastAsia="IRNazanin"/>
          <w:color w:val="111111"/>
          <w:sz w:val="28"/>
          <w:sz w:val="28"/>
          <w:szCs w:val="28"/>
          <w:rtl w:val="true"/>
          <w:lang w:bidi="fa-IR"/>
        </w:rPr>
        <w:t xml:space="preserve">و فیهم العلاّمة الخوانساری قدس سرُّه </w:t>
      </w:r>
      <w:r>
        <w:rPr>
          <w:rStyle w:val="FootnoteAnchor"/>
          <w:rtl w:val="true"/>
        </w:rPr>
        <w:footnoteReference w:id="173"/>
      </w:r>
      <w:r>
        <w:rPr>
          <w:rFonts w:ascii="IRNazanin" w:hAnsi="IRNazanin" w:eastAsia="IRNazanin"/>
          <w:color w:val="111111"/>
          <w:sz w:val="28"/>
          <w:sz w:val="28"/>
          <w:szCs w:val="28"/>
          <w:rtl w:val="true"/>
          <w:lang w:bidi="fa-IR"/>
        </w:rPr>
        <w:t>التداخل، و نتیجة التداخل فی الأسباب هو التداخل فی المسبّبات أیضا،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الحلّیّ رحمه اللَّه التفصیل بین ما إذا تعدّدت الأسباب نوعا أو جنسا، فقال فیه بعدمه، و ما إذا تعدّدت شخصا فقال فیه بالتداخل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احتمالان آخران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فی المسألة الأولی، و علی تقدیر عدم التداخل یتعیّن التداخل فی المسألة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حکم العقل و العرف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احتمال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التفصیل بین ما إذا تقارنا فیکونان سببا واحدا، و إذا لم یتقارنا یکون کلّ واحد سببا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یقتضیه عنوان المسألة هو أنّ مع تعدّد الشرط، و اتحاد الجزاء ثبوتا و واقعا، هل یلزم من تعدّد الشرط و السبب تعدّد الوجوب و المسبّب فی مرحلة الإنشاء، أم لا؟</w:t>
      </w:r>
    </w:p>
    <w:p>
      <w:pPr>
        <w:pStyle w:val="BookText"/>
        <w:rPr/>
      </w:pPr>
      <w:r>
        <w:rPr>
          <w:rFonts w:ascii="IRNazanin" w:hAnsi="IRNazanin" w:eastAsia="IRNazanin"/>
          <w:color w:val="111111"/>
          <w:sz w:val="28"/>
          <w:sz w:val="28"/>
          <w:szCs w:val="28"/>
          <w:rtl w:val="true"/>
          <w:lang w:bidi="fa-IR"/>
        </w:rPr>
        <w:t xml:space="preserve">و ما تقتضیه أدلّة المتخاصمین و کیفیّة استدلالهم، هو أنّ تعدّد الشرط و اتحاد الجزاء صورة و ظاهرا، هل یقتضی التصرّف فی ناحیة الشرط لجعل السببین سببا واحدا فی التأثیر و السببیّة، أو التصرّف فی وحدة المسبّب، بجعل المسبّب کثیرا و متکثّرا بدخول القید علیه، و تعنونه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إنّهم خلطوا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یستظهر من مختلف عباراتهم، مع إمکان البحث عن المسألتین مستقلاّ، و یختلف فیهما النّظر أحیانا، فتکون الأقوال غیر واردة علی مسألة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عقد البحث هنا فی مسائل مختلفة حتّی یتّضح حقیقة الأمر، و إن کان الظاهر أنّهم مختلفون فی المسألة الثانیة فی تداخل الأسباب و المسبّبات،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الأولی واضحة، ضرورة مع وحدة الجزاء ثبوتا و واقعا یتعیّن تداخل الأسباب، و لو فرض تعدّد المسبّب و الحکم یتعیّن تداخل المسبّبات، لأنّ الإجزاء قهریّ، غیر صحیحة کما یأتی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لیست المسألة الأولی مثل الثانیة فی الخلاف،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جدّاً</w:t>
      </w:r>
      <w:r>
        <w:rPr>
          <w:rFonts w:eastAsia="IRNazanin" w:cs="IRNazanin"/>
          <w:color w:val="111111"/>
          <w:sz w:val="28"/>
          <w:szCs w:val="28"/>
          <w:rtl w:val="true"/>
          <w:lang w:bidi="fa-IR"/>
        </w:rPr>
        <w:t>.</w:t>
      </w:r>
      <w:bookmarkStart w:id="141" w:name="pg13167_140776"/>
    </w:p>
    <w:p>
      <w:pPr>
        <w:pStyle w:val="Heading6"/>
        <w:numPr>
          <w:ilvl w:val="5"/>
          <w:numId w:val="1"/>
        </w:numPr>
        <w:rPr/>
      </w:pPr>
      <w:bookmarkStart w:id="142" w:name="__RefHeading___Toc559420_3244359995"/>
      <w:bookmarkStart w:id="143" w:name="_Toc53"/>
      <w:bookmarkEnd w:id="141"/>
      <w:bookmarkEnd w:id="142"/>
      <w:r>
        <w:rPr>
          <w:rtl w:val="true"/>
        </w:rPr>
        <w:t>الأمر الثامن</w:t>
      </w:r>
      <w:r>
        <w:rPr>
          <w:rtl w:val="true"/>
        </w:rPr>
        <w:t xml:space="preserve">: </w:t>
      </w:r>
      <w:r>
        <w:rPr>
          <w:rtl w:val="true"/>
        </w:rPr>
        <w:t>فی مقتضی الأصول العملیّة فی المقام</w:t>
      </w:r>
      <w:bookmarkEnd w:id="143"/>
    </w:p>
    <w:p>
      <w:pPr>
        <w:pStyle w:val="BookText"/>
        <w:rPr/>
      </w:pPr>
      <w:r>
        <w:rPr>
          <w:rFonts w:ascii="IRNazanin" w:hAnsi="IRNazanin" w:eastAsia="IRNazanin"/>
          <w:color w:val="111111"/>
          <w:sz w:val="28"/>
          <w:sz w:val="28"/>
          <w:szCs w:val="28"/>
          <w:rtl w:val="true"/>
          <w:lang w:bidi="fa-IR"/>
        </w:rPr>
        <w:t>مقتضی الأصول العملیّة فی المسألة الأصولیّة، و فی مسألة الشکّ فی تأثیر السبب الثانی، أو الشکّ فی تأثیرهما مستقلاّ عند تقارنهما، عدم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مقتضی استصحاب العدم المحمولیّ، ضرورة عدم حالة سابقة للعدم النعتیّ، مثلا إذا نام بعد ما بال، و شکّ فی تأثیر النوم، فلا یستصحب عدم تأثیر النوم، لما أنّه یحتمل أن یوجد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لنا استصحاب عدم تأثیر النوم بعدم جعل الشرع مؤثّریته، بناء علی إمکان جعل السببیّة و التأثیر فی الاعتبار و الشرعیّات، أی لم یکن النوم المتأخّر عن البول فی الأزل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 التأثیر من تبعات الماهیّات و لا یکون قابلا للجعل عند حدوث الشرع، فلا یجری هذا العدم المحمولیّ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إجراء الأصل بجعل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مجراه، و نفی السببیّة عن المتأخّر، فهو غیر نافع، لما لا أثر شرعا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الأثر الشرعیّ ثابت للسبب بالحمل الشائع، و هو النوم و البول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الأصل فی صورة تقارن السببین،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مسألة التداخل فی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المسبّبات بعد الإقرار بعدم التداخل، فیرجع الشکّ إلی الشکّ فی السقوط، فیکون المرجع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المسألة الأصولیّة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حال المسألة الفقهیّة، فإن جری الأصل فی المسألة الأصولیّة فهو، و إلاّ فتصل النوبة إلی البراءة عن التکلیف الزائد فی صورتی التقارن و عدمه، کما هو الواضح</w:t>
      </w:r>
      <w:r>
        <w:rPr>
          <w:rFonts w:eastAsia="IRNazanin" w:cs="IRNazanin"/>
          <w:color w:val="111111"/>
          <w:sz w:val="28"/>
          <w:szCs w:val="28"/>
          <w:rtl w:val="true"/>
          <w:lang w:bidi="fa-IR"/>
        </w:rPr>
        <w:t>.</w:t>
      </w:r>
      <w:bookmarkStart w:id="144" w:name="pg13167_140777"/>
    </w:p>
    <w:p>
      <w:pPr>
        <w:pStyle w:val="Heading6"/>
        <w:numPr>
          <w:ilvl w:val="5"/>
          <w:numId w:val="1"/>
        </w:numPr>
        <w:rPr/>
      </w:pPr>
      <w:bookmarkStart w:id="145" w:name="__RefHeading___Toc559422_3244359995"/>
      <w:bookmarkStart w:id="146" w:name="_Toc54"/>
      <w:bookmarkEnd w:id="144"/>
      <w:bookmarkEnd w:id="145"/>
      <w:r>
        <w:rPr>
          <w:rtl w:val="true"/>
        </w:rPr>
        <w:t>الأمر التاسع</w:t>
      </w:r>
      <w:r>
        <w:rPr>
          <w:rtl w:val="true"/>
        </w:rPr>
        <w:t xml:space="preserve">: </w:t>
      </w:r>
      <w:r>
        <w:rPr>
          <w:rtl w:val="true"/>
        </w:rPr>
        <w:t xml:space="preserve">حول المراد من </w:t>
      </w:r>
      <w:r>
        <w:rPr>
          <w:rtl w:val="true"/>
        </w:rPr>
        <w:t>«</w:t>
      </w:r>
      <w:r>
        <w:rPr>
          <w:rtl w:val="true"/>
        </w:rPr>
        <w:t>المسبّب</w:t>
      </w:r>
      <w:r>
        <w:rPr>
          <w:rtl w:val="true"/>
        </w:rPr>
        <w:t>»</w:t>
      </w:r>
      <w:bookmarkEnd w:id="146"/>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مفاد الهیئة فی الجزاء، أم هو مفاد المادّة، فیکون التوضّؤ مسبّبا؟ و قد تعرّضنا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 المسألة الأولی، فراجع</w:t>
      </w:r>
      <w:r>
        <w:rPr>
          <w:rFonts w:eastAsia="IRNazanin" w:cs="IRNazanin"/>
          <w:color w:val="111111"/>
          <w:sz w:val="28"/>
          <w:szCs w:val="28"/>
          <w:rtl w:val="true"/>
          <w:lang w:bidi="fa-IR"/>
        </w:rPr>
        <w:t>.</w:t>
      </w:r>
    </w:p>
    <w:p>
      <w:pPr>
        <w:pStyle w:val="Heading6"/>
        <w:numPr>
          <w:ilvl w:val="5"/>
          <w:numId w:val="1"/>
        </w:numPr>
        <w:rPr/>
      </w:pPr>
      <w:bookmarkStart w:id="147" w:name="__RefHeading___Toc559424_3244359995"/>
      <w:bookmarkStart w:id="148" w:name="_Toc55"/>
      <w:bookmarkEnd w:id="147"/>
      <w:r>
        <w:rPr>
          <w:rtl w:val="true"/>
        </w:rPr>
        <w:t>تذنیب</w:t>
      </w:r>
      <w:bookmarkEnd w:id="148"/>
    </w:p>
    <w:p>
      <w:pPr>
        <w:pStyle w:val="BookText"/>
        <w:rPr/>
      </w:pPr>
      <w:r>
        <w:rPr>
          <w:rFonts w:ascii="IRNazanin" w:hAnsi="IRNazanin" w:eastAsia="IRNazanin"/>
          <w:color w:val="111111"/>
          <w:sz w:val="28"/>
          <w:sz w:val="28"/>
          <w:szCs w:val="28"/>
          <w:rtl w:val="true"/>
          <w:lang w:bidi="fa-IR"/>
        </w:rPr>
        <w:t>قد أشرنا فی مطاوی بحوثنا السابقة إلی أنّ البحث فی المقام فرع ثبوت الإطلاق لکلّ واحد من القضیّتین، و یکون المطلوب فی کلّ واحد منهما الوجود الساری، لا صرف الوجود، فلو کان الامتثال متخلّلا بین السببین، و لم یقتض السبب المتأخّر شیئا، فهو خارج عن البحث بالضرورة، بل لا بدّ و أن یکون کلّ واحد فی حدّ ذاته مقتضیا للمسبّب حال الانفراد، فلا تغفل،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هذه الأمور فالکلام یقع فی مسألتین حسبما عرفت منّا، و فی کلّ مسألة جهتان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عن تداخل الأسباب، و بحث آخر عن تداخل المسببات</w:t>
      </w:r>
      <w:r>
        <w:rPr>
          <w:rFonts w:eastAsia="IRNazanin" w:cs="IRNazanin"/>
          <w:color w:val="111111"/>
          <w:sz w:val="28"/>
          <w:szCs w:val="28"/>
          <w:rtl w:val="true"/>
          <w:lang w:bidi="fa-IR"/>
        </w:rPr>
        <w:t>:</w:t>
      </w:r>
    </w:p>
    <w:p>
      <w:pPr>
        <w:pStyle w:val="Heading6"/>
        <w:numPr>
          <w:ilvl w:val="5"/>
          <w:numId w:val="1"/>
        </w:numPr>
        <w:rPr/>
      </w:pPr>
      <w:bookmarkStart w:id="149" w:name="__RefHeading___Toc559426_3244359995"/>
      <w:bookmarkStart w:id="150" w:name="_Toc56"/>
      <w:bookmarkEnd w:id="149"/>
      <w:r>
        <w:rPr>
          <w:rtl w:val="true"/>
        </w:rPr>
        <w:t>المسألة الأولی</w:t>
      </w:r>
      <w:r>
        <w:rPr>
          <w:rtl w:val="true"/>
        </w:rPr>
        <w:t xml:space="preserve">: </w:t>
      </w:r>
      <w:r>
        <w:rPr>
          <w:rtl w:val="true"/>
        </w:rPr>
        <w:t>فی تعدّد الجزاء حکما</w:t>
      </w:r>
      <w:bookmarkEnd w:id="150"/>
    </w:p>
    <w:p>
      <w:pPr>
        <w:pStyle w:val="Heading6"/>
        <w:numPr>
          <w:ilvl w:val="5"/>
          <w:numId w:val="1"/>
        </w:numPr>
        <w:rPr/>
      </w:pPr>
      <w:bookmarkStart w:id="151" w:name="__RefHeading___Toc559428_3244359995"/>
      <w:bookmarkStart w:id="152" w:name="_Toc57"/>
      <w:bookmarkEnd w:id="151"/>
      <w:r>
        <w:rPr>
          <w:rtl w:val="true"/>
        </w:rPr>
        <w:t>الجهة الأولی</w:t>
      </w:r>
      <w:r>
        <w:rPr>
          <w:rtl w:val="true"/>
        </w:rPr>
        <w:t xml:space="preserve">: </w:t>
      </w:r>
      <w:r>
        <w:rPr>
          <w:rtl w:val="true"/>
        </w:rPr>
        <w:t>فی الأسباب</w:t>
      </w:r>
      <w:bookmarkEnd w:id="1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تعدّد الشرط و اتحد الجزاء حقیقة و ثبوتا، و کانت وحدته مفروغا منها، فهل یمکن الالتزام باقتضاء کلّ واحد من الشرطین أثرا مخصوصا به و سببا خاصّا،</w:t>
      </w:r>
    </w:p>
    <w:p>
      <w:pPr>
        <w:pStyle w:val="BookText"/>
        <w:rPr/>
      </w:pPr>
      <w:r>
        <w:rPr>
          <w:rFonts w:ascii="IRNazanin" w:hAnsi="IRNazanin" w:eastAsia="IRNazanin"/>
          <w:color w:val="111111"/>
          <w:sz w:val="28"/>
          <w:sz w:val="28"/>
          <w:szCs w:val="28"/>
          <w:rtl w:val="true"/>
          <w:lang w:bidi="fa-IR"/>
        </w:rPr>
        <w:t>أم لا؟ و هذا هو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الأمر تأسیسا مع وحدة الآمر و المأمور غیر ممکن، لأنّ تشخّص الأمر التأسیسیّ و الإرادة المظهرة بالمراد، و لو کان المراد واحدا فی الإرادتین فلا بدّ و أن تکون الإرادة واحدة بالسنخ و إن کانت متعدّدة بالشخص، و إذا کانت هی واحدة فالحکم واحد، و لکنّ الثانی یکون تأکیدا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فی جمیع أنحاء الأحکام واحدة بالسنخ، مع تعدّد الحکم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المراد من الوحدة السنخیّة هو أنّ الإرادة فیما نحن فیه مع وحدة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التوضّؤ و صلاة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تنشأ من منشأ واحد، و میزان تعدّد الحکم تعدّد مناشئه، لاختلاف الحکم باختلاف تلک المناشئ الراجعة إلی المصالح و المفاسد، و لا شبهة فی أنّ التوضّؤ بطبیعته الوحدانیّة، لیس إلاّ ذا مصلحة موجبة للأمر به، و لا معنی للأمرین التأسیسیّین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للإرادة التأکیدیّة و للبعث التأکیدیّ، بل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تأسیسیّ، إلاّ أنّ بعد ملاحظة وحدة المتعلّق یحکم بأنّ الوجوب متأکّد، و الثانی مثلا مؤکّد للأوّل من غیر أن یکون الثانی منشأ بعنوان التأکید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کذلک، و لکن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الثانی مستتبعا للعقاب الخاصّ، و للثواب و الإطاعة المخصوصة، مع أنّ الأمر لیس کذلک، فالمقصود من نفی التأسیس هو نفی ذلک بنفی آثاره الخاصّة، و عندئذ یرجع السبب الثانی إلی سقوطه عن السببیّة، سواء کان تعدّد السبب نوعیّا، أو کان تعدّد السبب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مضی تفصیل هذه المسألة فی بحوث اقتضاء الأمر للتکرار و عدمه </w:t>
      </w:r>
      <w:r>
        <w:rPr>
          <w:rStyle w:val="FootnoteAnchor"/>
          <w:rtl w:val="true"/>
        </w:rPr>
        <w:footnoteReference w:id="177"/>
      </w:r>
      <w:r>
        <w:rPr>
          <w:rFonts w:ascii="IRNazanin" w:hAnsi="IRNazanin" w:eastAsia="IRNazanin"/>
          <w:color w:val="111111"/>
          <w:sz w:val="28"/>
          <w:sz w:val="28"/>
          <w:szCs w:val="28"/>
          <w:rtl w:val="true"/>
          <w:lang w:bidi="fa-IR"/>
        </w:rPr>
        <w:t>، و بعض المناسبات الاخر</w:t>
      </w:r>
      <w:r>
        <w:rPr>
          <w:rStyle w:val="FootnoteAnchor"/>
          <w:rtl w:val="true"/>
        </w:rPr>
        <w:footnoteReference w:id="178"/>
      </w:r>
      <w:r>
        <w:rPr>
          <w:rFonts w:ascii="IRNazanin" w:hAnsi="IRNazanin" w:eastAsia="IRNazanin"/>
          <w:color w:val="111111"/>
          <w:sz w:val="28"/>
          <w:sz w:val="28"/>
          <w:szCs w:val="28"/>
          <w:rtl w:val="true"/>
          <w:lang w:bidi="fa-IR"/>
        </w:rPr>
        <w:t>، و لعلّه من المسائل الواضحة بالتأمّل و إن خفیّ علی بعض أهله،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وحدة الآمر و غفلته، یمکن الالتزام بتعدّد الأمر التأسیسیّ فی مفروض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مضافا إلی امتناع الغفلة فی الشرع الإسلامیّ، لا یخرج بذلک الأمر الثانی عن التأکیدیّ إلی التأسیسیّ، لما لا یترتّب علیه آثاره من تعدّد العقاب و الثواب بعصیانهما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بالاشتداد فیهما مجرّد تخیّل، لأنّه لا بدّ من إثبات التعدّد حتّی یشتدّ، و لا شبهة عقلا و لا فی نظر العقلاء بأنّ الثانی لا یستعقبه شی‌ء من آثار الأمر التأسیسیّ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أمر الوالد بشی‌ء، و الأمّ بذلک الشی‌ء یتعدّد الأمر التأسیسیّ بالضرورة، کما یتعدّد بتعدّد المکلّف و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الطبیعة تستلزم وحدة المصلحة الباعثة للأمر، فی غیر محلّه، لأنّ أغراض الآمرین ربّما تکون مختلفة حسب أوامرهم،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تعدّد العقاب تابع لتعدّد الأمر التأسیسیّ، و هو مع وحدة الآمر و المأمور و المأمور به غیر ممکن، فتأمّل جدّاً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الممکن کون الطبیعة مهملة، و عندئذ مع وحدتها یمکن تعلّق الأمرین التأسیسیّین بهما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153" w:name="pg13167_140780"/>
    </w:p>
    <w:p>
      <w:pPr>
        <w:pStyle w:val="BookText"/>
        <w:rPr/>
      </w:pPr>
      <w:bookmarkEnd w:id="153"/>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الإهمال الثبوتیّ غیر معقول، فیکون خارجا عن محطّ الکلام، للزوم تعدّد السبب، و الإهمال الإثباتیّ ممکن، و یکون حینئذ أیضا خروجا عن البحث،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الفرض ثبوت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نسب إلی الشیخ الأعظم قدس سرُّه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 العلاّمة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المراد من المسبّب هو التوضّؤ</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فی غیر محلّه إذا کان مورد کلامه هذه المسألة، لما لا یعقل مع وحدة الوجوب البحث عن تداخل الأسباب و عدمه، فیعلم منه أنّ المقصود هو التوضّؤ، و یکون هو المسبّب الواحد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المسألة الآتیة یجوز أن یجعل کلّ من الوجوب و الطبیعة مرادا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الحاجة إلی التأویل، و من غیر کونه اضطرابا فی کلامه رحمه اللَّه کما فی تقریرات سیّدنا الأستاذ البروجردیّ رحمه اللَّه </w:t>
      </w:r>
      <w:r>
        <w:rPr>
          <w:rStyle w:val="FootnoteAnchor"/>
          <w:rtl w:val="true"/>
        </w:rPr>
        <w:footnoteReference w:id="18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ینبغی أن نبحث عن ذلک فی الأمور السابقة کما لا یخفی، و الأمر سهل</w:t>
      </w:r>
      <w:r>
        <w:rPr>
          <w:rFonts w:eastAsia="IRNazanin" w:cs="IRNazanin"/>
          <w:color w:val="111111"/>
          <w:sz w:val="28"/>
          <w:szCs w:val="28"/>
          <w:rtl w:val="true"/>
          <w:lang w:bidi="fa-IR"/>
        </w:rPr>
        <w:t>.</w:t>
      </w:r>
    </w:p>
    <w:p>
      <w:pPr>
        <w:pStyle w:val="Heading6"/>
        <w:numPr>
          <w:ilvl w:val="5"/>
          <w:numId w:val="1"/>
        </w:numPr>
        <w:rPr/>
      </w:pPr>
      <w:bookmarkStart w:id="154" w:name="__RefHeading___Toc559430_3244359995"/>
      <w:bookmarkStart w:id="155" w:name="_Toc58"/>
      <w:bookmarkEnd w:id="154"/>
      <w:r>
        <w:rPr>
          <w:rtl w:val="true"/>
        </w:rPr>
        <w:t>الجهة الثانیة</w:t>
      </w:r>
      <w:r>
        <w:rPr>
          <w:rtl w:val="true"/>
        </w:rPr>
        <w:t xml:space="preserve">: </w:t>
      </w:r>
      <w:r>
        <w:rPr>
          <w:rtl w:val="true"/>
        </w:rPr>
        <w:t>فی المسبّبات</w:t>
      </w:r>
      <w:bookmarkEnd w:id="155"/>
    </w:p>
    <w:p>
      <w:pPr>
        <w:pStyle w:val="BookText"/>
        <w:rPr/>
      </w:pPr>
      <w:r>
        <w:rPr>
          <w:rFonts w:ascii="IRNazanin" w:hAnsi="IRNazanin" w:eastAsia="IRNazanin"/>
          <w:color w:val="111111"/>
          <w:sz w:val="28"/>
          <w:sz w:val="28"/>
          <w:szCs w:val="28"/>
          <w:rtl w:val="true"/>
          <w:lang w:bidi="fa-IR"/>
        </w:rPr>
        <w:t>لو فرضنا إمکان صدور الأمر الثانی تأسیسا، و إمکان کونهما فی حال المقارنة مستقلّین، فلا شبهة فی تداخل المسبّبات، ضرورة أنّ تمام ما هو المأمور به بالأمر الثانی عین الأوّل، فإذا امتثله المکلّف فقد أطاع عن الأمرین، و امتثل التکلیفین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الأب بالتصدّق علی زید بدرهم عند مجیئه، و أمرت الأمّ بالتصدّق علیه بدرهم عند صلاته مثلا، فإنّه یتوجّه إلی الابن أمران تأسیسیان،</w:t>
      </w:r>
      <w:bookmarkStart w:id="156" w:name="pg13167_140781"/>
    </w:p>
    <w:p>
      <w:pPr>
        <w:pStyle w:val="BookText"/>
        <w:rPr/>
      </w:pPr>
      <w:bookmarkEnd w:id="156"/>
      <w:r>
        <w:rPr>
          <w:rFonts w:ascii="IRNazanin" w:hAnsi="IRNazanin" w:eastAsia="IRNazanin"/>
          <w:color w:val="111111"/>
          <w:sz w:val="28"/>
          <w:sz w:val="28"/>
          <w:szCs w:val="28"/>
          <w:rtl w:val="true"/>
          <w:lang w:bidi="fa-IR"/>
        </w:rPr>
        <w:t>و یکفی الامتثال الواحد و إعطاء زید درهما بالضرورة، لأنّه تمام ما یطلبه الأب و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الإجزاء اختیاریّ فی أمثال المقام أیضا، کما صوّرناه فی مثل الصلاة المعادة و صلاة الآیات، قضاء لحقّ الأدلّة النافذة لهذا الاعتبار العرفیّ </w:t>
      </w:r>
      <w:r>
        <w:rPr>
          <w:rStyle w:val="FootnoteAnchor"/>
          <w:rtl w:val="true"/>
        </w:rPr>
        <w:footnoteReference w:id="182"/>
      </w:r>
      <w:r>
        <w:rPr>
          <w:rFonts w:ascii="IRNazanin" w:hAnsi="IRNazanin" w:eastAsia="IRNazanin"/>
          <w:color w:val="111111"/>
          <w:sz w:val="28"/>
          <w:sz w:val="28"/>
          <w:szCs w:val="28"/>
          <w:rtl w:val="true"/>
          <w:lang w:bidi="fa-IR"/>
        </w:rPr>
        <w:t>، فیمکن أن یقال بإمکان بقاء الأمر الثانی أو الأوّل بعد الامتثال، و لکنّه خارج عن البحث هنا، و هو مسألة إمکان الاکتفاء بالامتثال الواحد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الممکن دعوی عدم حصول الامتثال فی التعبّدیات إلاّ بقصد الأمر، فلو امتثل مرّة بقصد الأمر المعیّن، فلا یتحقّق الامتثال بالنسبة إلی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مضافا إلی عدم تمامیّة الکبری، خارج أیضا عن المقصود بالبحث کما أشیر إلیه، و هو إمکان الامتثال بالواحد عن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عبادیّة کلّ واحد من الأمرین تقتضی أن یمتثل مستقلاّ، و قصدهما معا یضرّ بکلّ واحد منهما، للزوم کونه منبعثا عن الأمر علی سبیل الجزئیّة، و هو غیر صحیح، لأنّ الشرط هو الانبعاث من کلّ واحد من الأمرین علی سبیل العلّیة التامّة، و علی هذا لا بدّ من تکرار الامتثال حتّی یکون مجزیا عن کلّ واحد من الأمرین، فتأمّل جیّدا، و المسألة واضحة فی محلّها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 w:name="__RefHeading___Toc559432_3244359995"/>
      <w:bookmarkStart w:id="158" w:name="_Toc59"/>
      <w:bookmarkEnd w:id="157"/>
      <w:r>
        <w:rPr>
          <w:rtl w:val="true"/>
        </w:rPr>
        <w:t>المسألة الثانیة</w:t>
      </w:r>
      <w:r>
        <w:rPr>
          <w:rtl w:val="true"/>
        </w:rPr>
        <w:t xml:space="preserve">: </w:t>
      </w:r>
      <w:r>
        <w:rPr>
          <w:rtl w:val="true"/>
        </w:rPr>
        <w:t>فی تعدّد الامتثال</w:t>
      </w:r>
      <w:bookmarkEnd w:id="15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تعدّد السبب و اتحد الجزاء حسب الظاهر، فهل یجب الأخذ بظاهر المقدّم و هو تعدّد السبب، و الحکم بعد ذلک بتعدّد الجزاء، قضاء لحقّ التعدّد المستفاد من المقدّم، أم یجب الأخذ بظاهر المسبّب و هی وحدته، و الحکم بوحدة السبب</w:t>
      </w:r>
    </w:p>
    <w:p>
      <w:pPr>
        <w:pStyle w:val="BookText"/>
        <w:rPr/>
      </w:pPr>
      <w:r>
        <w:rPr>
          <w:rFonts w:ascii="IRNazanin" w:hAnsi="IRNazanin" w:eastAsia="IRNazanin"/>
          <w:color w:val="111111"/>
          <w:sz w:val="28"/>
          <w:sz w:val="28"/>
          <w:szCs w:val="28"/>
          <w:rtl w:val="true"/>
          <w:lang w:bidi="fa-IR"/>
        </w:rPr>
        <w:t>و تداخل الذوات فی السببیّة؟</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کما یمکن أن یکون مفاد الهیئة، یمکن أن یکون نفس الطبیعة و المادّة، فإن کان الأوّل فیلزم من تعدّد الوجوب و الحکم تعدّد المتعلّق و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تعدّد السبب بناء علی عدم التداخل، تعدّد المسبّب بالذات، و هو الوجوب مثلا، و من تعدّد الوجوب تعدّد المادّة و المتعلّق، لعدم إمکان تعدّده مع وحدته کما مرّ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الثانی، فیلزم من تعدّد السبب تعدّد المسبّب و هی الطبیعة، و هو التوضّؤ مثلا، و من تعدّد الطبیعة تعدّد الوجوب و الحکم، لامتناع تخلّف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تری فی کلمات الشیخ من جعل المسبّب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الهیئة،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المادّة</w:t>
      </w:r>
      <w:r>
        <w:rPr>
          <w:rStyle w:val="FootnoteAnchor"/>
          <w:rtl w:val="true"/>
        </w:rPr>
        <w:footnoteReference w:id="185"/>
      </w:r>
      <w:r>
        <w:rPr>
          <w:rFonts w:ascii="IRNazanin" w:hAnsi="IRNazanin" w:eastAsia="IRNazanin"/>
          <w:color w:val="111111"/>
          <w:sz w:val="28"/>
          <w:sz w:val="28"/>
          <w:szCs w:val="28"/>
          <w:rtl w:val="true"/>
          <w:lang w:bidi="fa-IR"/>
        </w:rPr>
        <w:t>، فهو لأجل عدم الفرق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تقریرات العلاّمة الأراکیّ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قیاس الشرطیّات التشریعیّة بالتکوینیّة، بجعل المادّة هی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خال من التحصیل، لبطلان القیاس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قابلیّة السببیّة للجعل مستقلاّ، أو تبعا و عدم قابلیّتها له مطلقا، أجنبیّة عن هذا البحث، و لا یتوقّف الکلام فی المقام علی تلک المسألة، کما لا یخفی</w:t>
      </w:r>
      <w:r>
        <w:rPr>
          <w:rFonts w:eastAsia="IRNazanin" w:cs="IRNazanin"/>
          <w:color w:val="111111"/>
          <w:sz w:val="28"/>
          <w:szCs w:val="28"/>
          <w:rtl w:val="true"/>
          <w:lang w:bidi="fa-IR"/>
        </w:rPr>
        <w:t>.</w:t>
      </w:r>
      <w:bookmarkStart w:id="159" w:name="pg13167_140783"/>
    </w:p>
    <w:p>
      <w:pPr>
        <w:pStyle w:val="Heading6"/>
        <w:numPr>
          <w:ilvl w:val="5"/>
          <w:numId w:val="1"/>
        </w:numPr>
        <w:rPr/>
      </w:pPr>
      <w:bookmarkStart w:id="160" w:name="__RefHeading___Toc559434_3244359995"/>
      <w:bookmarkStart w:id="161" w:name="_Toc60"/>
      <w:bookmarkEnd w:id="159"/>
      <w:bookmarkEnd w:id="160"/>
      <w:r>
        <w:rPr>
          <w:rtl w:val="true"/>
        </w:rPr>
        <w:t>التحقیق فی أصل مسألة تداخل الأسباب و المسبّبات</w:t>
      </w:r>
      <w:bookmarkEnd w:id="161"/>
    </w:p>
    <w:p>
      <w:pPr>
        <w:pStyle w:val="Heading6"/>
        <w:numPr>
          <w:ilvl w:val="5"/>
          <w:numId w:val="1"/>
        </w:numPr>
        <w:rPr/>
      </w:pPr>
      <w:bookmarkStart w:id="162" w:name="__RefHeading___Toc559436_3244359995"/>
      <w:bookmarkStart w:id="163" w:name="_Toc61"/>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و البحث هنا یقع فی جهات</w:t>
      </w:r>
      <w:r>
        <w:rPr>
          <w:rFonts w:eastAsia="IRNazanin" w:cs="IRNazanin"/>
          <w:color w:val="111111"/>
          <w:sz w:val="28"/>
          <w:szCs w:val="28"/>
          <w:rtl w:val="true"/>
          <w:lang w:bidi="fa-IR"/>
        </w:rPr>
        <w:t>:</w:t>
      </w:r>
    </w:p>
    <w:p>
      <w:pPr>
        <w:pStyle w:val="Heading6"/>
        <w:numPr>
          <w:ilvl w:val="5"/>
          <w:numId w:val="1"/>
        </w:numPr>
        <w:rPr/>
      </w:pPr>
      <w:bookmarkStart w:id="164" w:name="__RefHeading___Toc559438_3244359995"/>
      <w:bookmarkStart w:id="165" w:name="_Toc62"/>
      <w:bookmarkEnd w:id="164"/>
      <w:r>
        <w:rPr>
          <w:rtl w:val="true"/>
        </w:rPr>
        <w:t>الجهة الأولی</w:t>
      </w:r>
      <w:r>
        <w:rPr>
          <w:rtl w:val="true"/>
        </w:rPr>
        <w:t xml:space="preserve">: </w:t>
      </w:r>
      <w:r>
        <w:rPr>
          <w:rtl w:val="true"/>
        </w:rPr>
        <w:t>فی الوجوه الدالّة علی التصرّف فی المقدّم أو التالی</w:t>
      </w:r>
      <w:bookmarkEnd w:id="165"/>
    </w:p>
    <w:p>
      <w:pPr>
        <w:pStyle w:val="Heading6"/>
        <w:numPr>
          <w:ilvl w:val="5"/>
          <w:numId w:val="1"/>
        </w:numPr>
        <w:rPr/>
      </w:pPr>
      <w:bookmarkStart w:id="166" w:name="__RefHeading___Toc559440_3244359995"/>
      <w:bookmarkStart w:id="167" w:name="_Toc63"/>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إذا تعدّد الشرط و السبب نوعا و اتحد الجزاء، فهل یتعیّن التصرّف فی ظاهر المقدّم، أم یتعیّن التصرّف فی ظاهر التالی؟ بعد العلم الإجمالیّ بلزوم التصرّف فی أحدهما، لامتناع بقائهما علی حالهما، و هو تعدّد السبب و وحدة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إطلاق کلّ واحد من المقدّم و التالی، یقتضی تعدّد السبب فی المقدّم، و وحدة المسبّب فی الجزاء 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اختلفوا فی هذه المسألة و هی تداخل الأسباب و عدمه، و ذکروا وجوها لتعیین أحد الظهورین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السبب مستند إلی الدلالة الوضعیّة أو ما یقرب منها، لأنّ کلّ واحدة من القضیّتین تدلّ علی دخالة الشرط، إمّا بالوضع کما مرّ</w:t>
      </w:r>
      <w:r>
        <w:rPr>
          <w:rStyle w:val="FootnoteAnchor"/>
          <w:rtl w:val="true"/>
        </w:rPr>
        <w:footnoteReference w:id="187"/>
      </w:r>
      <w:r>
        <w:rPr>
          <w:rFonts w:ascii="IRNazanin" w:hAnsi="IRNazanin" w:eastAsia="IRNazanin"/>
          <w:color w:val="111111"/>
          <w:sz w:val="28"/>
          <w:sz w:val="28"/>
          <w:szCs w:val="28"/>
          <w:rtl w:val="true"/>
          <w:lang w:bidi="fa-IR"/>
        </w:rPr>
        <w:t>، أو لأجل خصوصیّات نفس القضیّة، و لو کان السبب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البول مثلا فی المثال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تامّة، و النوم المتأخّر ساقطا عن العلّیة، یلزم سقوط القضیّة عن الدلالة بالمرّة، و هو خلاف الأصل، بخلاف التصرّف فی الجزاء فإنّه بالتصرّف فیه، و تقییده علی الوجه الموجب لتعدّده القابل لتعلّق الأوامر الکثیرة به، یتحفّظ علی مفاد الشرط، و لا یلزم سقوط دلالتها کما لا یخفی، و لا تلزم لغویّتها فی عبارة أخری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استناد الجزاء إلی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الإطلاق الراجع إلی</w:t>
      </w:r>
    </w:p>
    <w:p>
      <w:pPr>
        <w:pStyle w:val="BookText"/>
        <w:rPr/>
      </w:pPr>
      <w:r>
        <w:rPr>
          <w:rFonts w:ascii="IRNazanin" w:hAnsi="IRNazanin" w:eastAsia="IRNazanin"/>
          <w:color w:val="111111"/>
          <w:sz w:val="28"/>
          <w:sz w:val="28"/>
          <w:szCs w:val="28"/>
          <w:rtl w:val="true"/>
          <w:lang w:bidi="fa-IR"/>
        </w:rPr>
        <w:t>الانصراف و الفهم الخاصّ من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کفهم الوجوب النفسیّ من الأمر، لا الإطلاق المصطلح علیه فی باب المطلق و المقیّد، و وحدة الجزاء مستندة إلی الإطلاق المصطلح علیه فی الباب المزبور، و إذا تعارض الإطلاقان یتعیّن الأوّل، لأقوائیّته، و لأنّه لیس من الإطلاق الحاصل من رفض القیود، بل هو ناشئ من المعنی المستند إلی کثرة الاستعمال، و أنس الذهن، و إلی القرینة العدمیّة، و هی عدم التعلیل بأمر آخر غیر الشرط، فعندئذ یکون السبب المتأخّر باقیا علی سببیّته الإجمالیّة، و مقتضی ذلک بقاؤه علی علّیته التامّة، فیکون الجزاء متعیّنا للتصرّف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التصرّف فی الجزاء من التصرّف الشائع و هو التقیید، حتّی بلغ الأمر إلی أن شاع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نتیجة هذا التقریب تفصیل بدیع فی المسألة، و هو أنّ فی صورة المقارنة یکون السببان متداخلین، و فی صورة التعاقب یکون السبب المتأخّر مؤثّرا، و ذلک لأنّ فی الصورة الأولی یکون أصل الاستناد محفوظا، و فی صورة 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لزوم إسقاط أصل الاستناد، و طرح الإطلاق المصطلح علیه فی باب الأوامر و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ثبوت أصل العلّیة و الاستناد، و بعد ثبوت ذلک لا بدّ من التصرّف فی الجزاء و طرح إطلاقه، بأخذ الإطلاق المنتهی إلی إثبات العلّیة التامّة للشرط، حذرا من التالی الفاسد المذکور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یتعارض الإطلاق المصطلح علیه فی البابین، مع الإطلاق المصطلح علیه فی باب المطلق و المقیّد، یتقدّم الإطلاق الأوّل، و نتیجة تقدّمه التفصیل بین الصورتین، لأنّ فی صورة التقارن یکون الإطلاق المصطلح علیه فی البابین باقیا علی حاله، و الإطلاق الموجود فی الجزاء أیضا غیر معارض، و فی صورة التعاقب یکون السبب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تقدیم الإطلاق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 علی أصل السببیّة، و حیث إنّه لا معنی له لا بدّ من تتمیم السببیّة بالإطلاق المصطلح علیه</w:t>
      </w:r>
      <w:bookmarkStart w:id="168" w:name="pg13167_140785"/>
    </w:p>
    <w:p>
      <w:pPr>
        <w:pStyle w:val="BookText"/>
        <w:rPr/>
      </w:pPr>
      <w:bookmarkEnd w:id="168"/>
      <w:r>
        <w:rPr>
          <w:rFonts w:ascii="IRNazanin" w:hAnsi="IRNazanin" w:eastAsia="IRNazanin"/>
          <w:color w:val="111111"/>
          <w:sz w:val="28"/>
          <w:sz w:val="28"/>
          <w:szCs w:val="28"/>
          <w:rtl w:val="true"/>
          <w:lang w:bidi="fa-IR"/>
        </w:rPr>
        <w:t>فی باب المطلق و المقیّد، و أنّ ما هو تمام السبب هو النوم، و عندئذ یتعیّن التصرّف فی إطلاق الجزاء، فیکون المأمور به غسل الجمعة و الجنابة و مسّ المیّت، أو الوضوء البولیّ و النومیّ، أو غیر ذلک من القیود الممکن تصوّرها</w:t>
      </w:r>
      <w:r>
        <w:rPr>
          <w:rFonts w:eastAsia="IRNazanin" w:cs="IRNazanin"/>
          <w:color w:val="111111"/>
          <w:sz w:val="28"/>
          <w:szCs w:val="28"/>
          <w:rtl w:val="true"/>
          <w:lang w:bidi="fa-IR"/>
        </w:rPr>
        <w:t>.</w:t>
      </w:r>
    </w:p>
    <w:p>
      <w:pPr>
        <w:pStyle w:val="Heading6"/>
        <w:numPr>
          <w:ilvl w:val="5"/>
          <w:numId w:val="1"/>
        </w:numPr>
        <w:rPr/>
      </w:pPr>
      <w:bookmarkStart w:id="169" w:name="__RefHeading___Toc559442_3244359995"/>
      <w:bookmarkStart w:id="170" w:name="_Toc64"/>
      <w:bookmarkEnd w:id="169"/>
      <w:r>
        <w:rPr>
          <w:rtl w:val="true"/>
        </w:rPr>
        <w:t>وهم و دفع</w:t>
      </w:r>
      <w:bookmarkEnd w:id="170"/>
    </w:p>
    <w:p>
      <w:pPr>
        <w:pStyle w:val="BookText"/>
        <w:rPr/>
      </w:pPr>
      <w:r>
        <w:rPr>
          <w:rFonts w:ascii="IRNazanin" w:hAnsi="IRNazanin" w:eastAsia="IRNazanin"/>
          <w:color w:val="111111"/>
          <w:sz w:val="28"/>
          <w:sz w:val="28"/>
          <w:szCs w:val="28"/>
          <w:rtl w:val="true"/>
          <w:lang w:bidi="fa-IR"/>
        </w:rPr>
        <w:t>ربّما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المفروضة فی القضیّتین لیست شخصیّة، حتّی یقال بلزوم کون الخطاب المتأخّر فی صورة التداخل لغوا و الأمر بالوضوء إنشاء محضا، بل الخطابات حسب التحقیق قانونیّة کلّیة، فلا یکون المتأخّر لغوا بعد کون السبب المتأخّر متقدّما بالنسبة إلی الشخص الآخر، أو بالنسبة إلی المکلّف الواحد فی حال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الظاهر من کلّ واحدة من القضیّتین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الانحلال الحکمیّ، و کونهما من القضایا الحقیقیّة عرفا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بول یکون سببا للوضوء، و کلّ وضوء سببا للنوم، و التصرّف فی الصدر بإسقاط أصل سببیّة النوم المتأخّر، خلاف هذه القاعدة المستفادة من الإطلاق المصطلح علیه فی البابین، و أمّا التصرّف فی الذیل بتقییده فخلاف الإطلاق المصطلح علیه فی باب المطلق و المقیّد، فافهم و اغتنم، و کن علی بصیرة من أمرک</w:t>
      </w:r>
      <w:r>
        <w:rPr>
          <w:rFonts w:eastAsia="IRNazanin" w:cs="IRNazanin"/>
          <w:color w:val="111111"/>
          <w:sz w:val="28"/>
          <w:szCs w:val="28"/>
          <w:rtl w:val="true"/>
          <w:lang w:bidi="fa-IR"/>
        </w:rPr>
        <w:t>.</w:t>
      </w:r>
    </w:p>
    <w:p>
      <w:pPr>
        <w:pStyle w:val="Heading6"/>
        <w:numPr>
          <w:ilvl w:val="5"/>
          <w:numId w:val="1"/>
        </w:numPr>
        <w:rPr/>
      </w:pPr>
      <w:bookmarkStart w:id="171" w:name="__RefHeading___Toc559444_3244359995"/>
      <w:bookmarkStart w:id="172" w:name="_Toc65"/>
      <w:bookmarkEnd w:id="171"/>
      <w:r>
        <w:rPr>
          <w:rtl w:val="true"/>
        </w:rPr>
        <w:t>وهم آخر و دفع</w:t>
      </w:r>
      <w:bookmarkEnd w:id="17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الأستاذ البروجردی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نظر القوم إلی بیان ما یکون قرینة علی تقیید المتعلّق، مع أنّ عمدة الإشکال إنّما هو فی قابلیّة المتعلّق للتقیّد، إذ لا مقیّد فی البین بالبداهة إلاّ ما هو یتوهّم من قید الغیریّة، بأن یکون المتعلّق للوجوب فی کلّ واحد من الخطابین، عبارة عن الوضوء المقیّد بکونه غیر ما هو المتعلّق فی الخطاب</w:t>
      </w:r>
    </w:p>
    <w:p>
      <w:pPr>
        <w:pStyle w:val="BookText"/>
        <w:rPr/>
      </w:pPr>
      <w:r>
        <w:rPr>
          <w:rFonts w:ascii="IRNazanin" w:hAnsi="IRNazanin" w:eastAsia="IRNazanin"/>
          <w:color w:val="111111"/>
          <w:sz w:val="28"/>
          <w:sz w:val="28"/>
          <w:szCs w:val="28"/>
          <w:rtl w:val="true"/>
          <w:lang w:bidi="fa-IR"/>
        </w:rPr>
        <w:t>الآخر، و ذلک یستلزم نظر کلّ منهما إلی الآخر، و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إثبات إمکان القول بعدم التداخل، ثمّ البحث فی المسألة فی مقام الاستظهار و تقدیم أحد الإطلاقین علی الآخر، فتدبّر</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منه فی غیر محلّه، لإمکان تعنون الطبیعة بعنوان الشرط،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أجنبت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أدرکت الجمعة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مسست المیّت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یمکن تقیید کلّ واحد منها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الجنابة، و الجمعة، و مسّ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نحن فیه یکون الأمر بالوضوء فی الأوّل مقیّدا بالوضوء البولیّ، و فی الثانی بالوضوء النومیّ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وضوحه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 علیه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السبب متعدّدا بالشخص، فهو یأتی فی الجهة الآتیة المقیّدة لخصوصیّات بحوثه إن شاء اللَّه تعالی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حدیث أخذ العلّة فی المعلول </w:t>
      </w:r>
      <w:r>
        <w:rPr>
          <w:rStyle w:val="FootnoteAnchor"/>
          <w:rtl w:val="true"/>
        </w:rPr>
        <w:footnoteReference w:id="190"/>
      </w:r>
      <w:r>
        <w:rPr>
          <w:rFonts w:ascii="IRNazanin" w:hAnsi="IRNazanin" w:eastAsia="IRNazanin"/>
          <w:color w:val="111111"/>
          <w:sz w:val="28"/>
          <w:sz w:val="28"/>
          <w:szCs w:val="28"/>
          <w:rtl w:val="true"/>
          <w:lang w:bidi="fa-IR"/>
        </w:rPr>
        <w:t>فممّا یضحک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حدیث أنّ التقیید المزبور مع إطلاق الهیئة یورث وجوب الجنابة و مسّ المیّت، فهو أفحش من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التداخل یلزم أن یکون المولی فی حال إنشاء کلّ واحد من القضیّتین مخلا بغرضه، و غیر واف بمطلوبه و مقصوده، و ذلک لأنّ فی صورة تقارنهما یکون کلّ واحد من السببین جزء العلّة، و قد أخلّ المولی بغرضه حیث جعل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العلّة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صورة التعاقب یکون ما هو السبب مقیّدا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البول المتقدّم علی النوم علّة و سببا و هکذا، مع أنّه أخلّ بذلک، و جعل کلّ واحد سببا</w:t>
      </w:r>
    </w:p>
    <w:p>
      <w:pPr>
        <w:pStyle w:val="BookText"/>
        <w:rPr/>
      </w:pPr>
      <w:r>
        <w:rPr>
          <w:rFonts w:ascii="IRNazanin" w:hAnsi="IRNazanin" w:eastAsia="IRNazanin"/>
          <w:color w:val="111111"/>
          <w:sz w:val="28"/>
          <w:sz w:val="28"/>
          <w:szCs w:val="28"/>
          <w:rtl w:val="true"/>
          <w:lang w:bidi="fa-IR"/>
        </w:rPr>
        <w:t>مستقلاّ، سواء تقارنا، أو تعاقبا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التداخل فلا یلزم شی‌ء ممّا ذکر إلاّ تقیید الجزاء، و هو أمر رائج دائر فی الفقه من أوّله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الإخلال المذکور أیضا یلزم فی ناحیة الجزاء، لأنّ المطلوب إذا کان مقیّدا فقد أخلّ به فی صورة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الإخلال بالغرض فی ناحیة الشرط یتکرّر، لأنّه فی صورة التقارن قد أخلّ بجعل ما هو الجزء کلاّ و مستقلاّ، و فی صورة التعاقب قد أخلّ بجعل ما هو المطلق موضوعا، مع أنّه مقیّد بصورة النوم المقدّم علی البول، فی محلّه، إلاّ أنّه یتکرّر أیضا فی ناحیة الجزاء، لأنّ المطلوب فی إحدی القضیّتین هو غسل الجمعة، و الأخری هو غسل الجنابة، مع أنّه أخلّ بهما بجعل نفس الطبیعة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تقیید واحد</w:t>
      </w:r>
      <w:r>
        <w:rPr>
          <w:rStyle w:val="FootnoteAnchor"/>
          <w:rtl w:val="true"/>
        </w:rPr>
        <w:footnoteReference w:id="191"/>
      </w:r>
      <w:r>
        <w:rPr>
          <w:rFonts w:ascii="IRNazanin" w:hAnsi="IRNazanin" w:eastAsia="IRNazanin"/>
          <w:color w:val="111111"/>
          <w:sz w:val="28"/>
          <w:sz w:val="28"/>
          <w:szCs w:val="28"/>
          <w:rtl w:val="true"/>
          <w:lang w:bidi="fa-IR"/>
        </w:rPr>
        <w:t>، غیر مسموعة، لما لا یعقل بقاء الآخر علی إطلاقه، کما تحرّر فی محله، و تصیر النتیجة تقیید کلّ واحد من الإطلاقین فی الجزاءین، فلا رجحان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کون ذلک من الإخلال بالغرض الّذی لا بدّ من الفرار منه، حتّی یکون أحدهما راجحا علی الآخر إذا استلزم أقلّیة الإخلال، محلّ المناقشة و المنع، و ترجع المسألة إلی لزوم التقیید الواحد و الکثیر، و مجرّد تعدّد التقیید الأکثریّ فی ناحیة الموضوع، لا یوجب رجحان تقدیم إطلاق الصدر علی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النّظر فی الوجه الآتی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قضیّة التداخل تقیید کلّ واحد من القضیّتین فی ناحیة الشرط بالقیدین، فیکون مجموع التقییدات أربعة، و ذلک لأنّ من الالتزام</w:t>
      </w:r>
    </w:p>
    <w:p>
      <w:pPr>
        <w:pStyle w:val="BookText"/>
        <w:rPr/>
      </w:pPr>
      <w:r>
        <w:rPr>
          <w:rFonts w:ascii="IRNazanin" w:hAnsi="IRNazanin" w:eastAsia="IRNazanin"/>
          <w:color w:val="111111"/>
          <w:sz w:val="28"/>
          <w:sz w:val="28"/>
          <w:szCs w:val="28"/>
          <w:rtl w:val="true"/>
          <w:lang w:bidi="fa-IR"/>
        </w:rPr>
        <w:t>بالتداخل یکون کلّ واحد من الشرطین، جزء العلّة و السبب فی صورة التقارن، و یکون کلّ واحد منهما مقیّدا بعدم الآخر فی صورة التعاقب، و إذا لوحظ ذلک بالنسبة إلی کلّ واحد من الدلیلین، یلزم التقییدات الأربعة، و أمّا من الالتزام بعدم التداخل فلا یلزم إلاّ التقییدان،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الواضح تقیید منطوق کلّ واحد بالآخر مستقلاّ، بل إذا قیّد أحد المنطوقین بالآخر یلزم تقیید المنطوق الآخر بالأوّل، غیر مسموعة، ضرورة أنّ من الممکن أن یکون البول جزء العلّة مثلا، و لا یکون النوم مثله، فلا بدّ من تقیید کلّ منطوق بمنطوق آخر حتّی یثبت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صحیح للزوم اللغویة، ضرورة أنّ النوم مثلا إذا کان سببا مستقلاّ فإن کان هو المقدّم، فیستند إلیه المسبّب، و إذا کان هو المتأخّر و البول متقدّما، فلا داعی إلی اعتبار جزئیّته للسببیّة، و هکذا فی صورة التقارن، فلا یکون إلاّ تقییدان فی ناحیة الصدر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العلاّمة قدس سرُّه </w:t>
      </w:r>
      <w:r>
        <w:rPr>
          <w:rStyle w:val="FootnoteAnchor"/>
          <w:rtl w:val="true"/>
        </w:rPr>
        <w:footnoteReference w:id="1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ظهور الجملة الشرطیّة فی کون الشرط سببا أو کاشفا عن السبب و مقتضیا للتعدّد، بیان لما هو المراد من الإطلاق، و لا دوران بین ظهور الجملة فی حدوث الجزاء و ظهور الإطلاق، ضرورة أنّ ظهور الإطلاق یکون معلّقا علی عدم البیان، و ظهورها فی ذلک صالح لأن یکون بیانا، فلا ظهور له مع ظهورها، فلا یلزم علی القول بعدم التداخل تصرّف أصلا، بخلاف القول بالتداخل، کما لا یخفی</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فیما سبق من أنّ العلّیة التامّة لکلّ واحد من الشرطین، تثبت</w:t>
      </w:r>
    </w:p>
    <w:p>
      <w:pPr>
        <w:pStyle w:val="BookText"/>
        <w:rPr/>
      </w:pPr>
      <w:r>
        <w:rPr>
          <w:rFonts w:ascii="IRNazanin" w:hAnsi="IRNazanin" w:eastAsia="IRNazanin"/>
          <w:color w:val="111111"/>
          <w:sz w:val="28"/>
          <w:sz w:val="28"/>
          <w:szCs w:val="28"/>
          <w:rtl w:val="true"/>
          <w:lang w:bidi="fa-IR"/>
        </w:rPr>
        <w:t>بالإطلاق المصطلح علیه فی باب المطلق و المقیّد</w:t>
      </w:r>
      <w:r>
        <w:rPr>
          <w:rStyle w:val="FootnoteAnchor"/>
          <w:rtl w:val="true"/>
        </w:rPr>
        <w:footnoteReference w:id="194"/>
      </w:r>
      <w:r>
        <w:rPr>
          <w:rFonts w:ascii="IRNazanin" w:hAnsi="IRNazanin" w:eastAsia="IRNazanin"/>
          <w:color w:val="111111"/>
          <w:sz w:val="28"/>
          <w:sz w:val="28"/>
          <w:szCs w:val="28"/>
          <w:rtl w:val="true"/>
          <w:lang w:bidi="fa-IR"/>
        </w:rPr>
        <w:t>، و الإطلاق المحرز فی الجزاء یقتضی کون الطبیعة تمام الموضوع، و لا قید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أن یکون إطلاق الصدر قرینة لأمکن عکسه، لعدم انعقاد الإطلاق للصدر، و عدم استقراره بعد إمکان لحوق القید به، فإذا استقرّ کلّ واحد مع قطع النّظر عن الآخر، یمکن أن یصیر کلّ واحد قرینة علی الآخر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تخیّل أنّ ظهور الصدر مقدّم علی ظهور الذیل فیما نحن فیه، لأنّ الجزاء جملة مستقلّة، غیر نافع، ضرورة أنّ المتکلّم یصحّ أن یجعل ذیل کلامه قرینة علی الصدر و إن کانا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صدر کلّ واحد مع ذیله غیر متنافیین، بل التنافی یحصل من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القضیّتین لیستا باقیتین علی الإطلاقین فی الصدر و الذیل، للزوم الامتناع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یوجد فی تقریرات العلمین الأراکیّ </w:t>
      </w:r>
      <w:r>
        <w:rPr>
          <w:rStyle w:val="FootnoteAnchor"/>
          <w:rtl w:val="true"/>
        </w:rPr>
        <w:footnoteReference w:id="195"/>
      </w:r>
      <w:r>
        <w:rPr>
          <w:rFonts w:ascii="Amiri" w:hAnsi="Amiri" w:eastAsia="Amiri" w:cs="Amiri"/>
          <w:color w:val="111111"/>
          <w:sz w:val="28"/>
          <w:sz w:val="28"/>
          <w:szCs w:val="28"/>
          <w:rtl w:val="true"/>
          <w:lang w:bidi="ar-SA"/>
        </w:rPr>
        <w:t xml:space="preserve">و النائینیّ رحمهما اللَّه </w:t>
      </w:r>
      <w:r>
        <w:rPr>
          <w:rStyle w:val="FootnoteAnchor"/>
          <w:rtl w:val="true"/>
        </w:rPr>
        <w:footnoteReference w:id="196"/>
      </w:r>
      <w:r>
        <w:rPr>
          <w:rFonts w:ascii="IRNazanin" w:hAnsi="IRNazanin" w:eastAsia="IRNazanin"/>
          <w:color w:val="111111"/>
          <w:sz w:val="28"/>
          <w:sz w:val="28"/>
          <w:szCs w:val="28"/>
          <w:rtl w:val="true"/>
          <w:lang w:bidi="fa-IR"/>
        </w:rPr>
        <w:t>مع ما فیها من الغرائب البعیدة عن ساحتهما و ساحة المسألة رأسا، و لا سیّما فی الأوّل منهما،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أصل الوجه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العلاّمة رحمه اللَّه </w:t>
      </w:r>
      <w:r>
        <w:rPr>
          <w:rStyle w:val="FootnoteAnchor"/>
          <w:rtl w:val="true"/>
        </w:rPr>
        <w:footnoteReference w:id="197"/>
      </w:r>
      <w:r>
        <w:rPr>
          <w:rFonts w:ascii="Amiri" w:hAnsi="Amiri" w:eastAsia="Amiri" w:cs="Amiri"/>
          <w:color w:val="111111"/>
          <w:sz w:val="28"/>
          <w:sz w:val="28"/>
          <w:szCs w:val="28"/>
          <w:rtl w:val="true"/>
          <w:lang w:bidi="ar-SA"/>
        </w:rPr>
        <w:t xml:space="preserve">و تبعها العلاّمة المحشّی رحمه اللَّه </w:t>
      </w:r>
      <w:r>
        <w:rPr>
          <w:rStyle w:val="FootnoteAnchor"/>
          <w:rtl w:val="true"/>
        </w:rPr>
        <w:footnoteReference w:id="19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الجزاء لا ظهور له فی وحدة المطلوب و تعدّده، بل هو بلا اقتضاء من هذه الجهة، و إنّما یجزئ الواحد فی امتثال الأمر، لکونه ممّا یتحقّق به المأمور به، و لذلک یتحقّق الامتثال أیضا بفردین من الطبیعیّ المأمور به إن أتی بهما دفعة واحدة،</w:t>
      </w:r>
    </w:p>
    <w:p>
      <w:pPr>
        <w:pStyle w:val="BookText"/>
        <w:rPr/>
      </w:pPr>
      <w:r>
        <w:rPr>
          <w:rFonts w:ascii="IRNazanin" w:hAnsi="IRNazanin" w:eastAsia="IRNazanin"/>
          <w:color w:val="111111"/>
          <w:sz w:val="28"/>
          <w:sz w:val="28"/>
          <w:szCs w:val="28"/>
          <w:rtl w:val="true"/>
          <w:lang w:bidi="fa-IR"/>
        </w:rPr>
        <w:t>فعلی هذا لا یقع التعارض بین ظهور الجزاء و ظهور الشرطین الدّالین علی التعدّد، لأنّ الأوّل بلا اقتضاء،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دلّ الدلیل علی أنّ المطلوب متعدّد، لا یعارضه حکم العقل المزبور، بل یکون ظهور القضیّة الشرطیّة فی تأثیر الشرط مستقلاّ فی الجزاء، رافعا حقیقة لموضوع حکم العقل بأنّ المطلوب واحد یحصل امتثاله بإتیانه مرّة و واردا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أنّهم اتکلوا علی أمثال هذه التخیّلات فی الاجتهاد المحتاج إلی استقرار الظهور فی محیط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کلّ واحد من الصدر و الجزاء، لا ظهور لهما فی الاستقلال و الوحدة لفظیّا، حسبما هو الواضح عندهم و مصرّحین به، و إذا کان کلّ واحد بالإطلاق المصطلح فی باب المطلق و المقیّد، فلا مرجّح لأحدهما علی الآخر، و الإطلاق الثابت للجزاء لا یثبت الوحدة و لا التعدّد بمفهومهما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مقتضی ذلک هو أن الوضوء تمام المطلوب، و لا شی‌ء آخر دخیل، و عندئذ کیف یمکن تأثیر السببین بإیراد الطلبین علی الموضوع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أحد الأمرین حفظا للسنخیّة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إمّا إرجاع التعدّد الثابت بإطلاق الصدر إلی الواحد بالوحدة النوعیّة بالحمل الشائع، لا بمفهومه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إرجاع الجزاء إلی المتعدّد بإیراد القیدین علی الوضوء، حتّی یحصل لکل مؤثّر متأثّر، و لا مرجّح فی البین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العقل یحکم بلزوم الوحدة فی الجزاء، و إطلاق الشرط بیان بالنسبة إلیه </w:t>
      </w:r>
      <w:r>
        <w:rPr>
          <w:rStyle w:val="FootnoteAnchor"/>
          <w:rtl w:val="true"/>
        </w:rPr>
        <w:footnoteReference w:id="199"/>
      </w:r>
      <w:r>
        <w:rPr>
          <w:rFonts w:ascii="IRNazanin" w:hAnsi="IRNazanin" w:eastAsia="IRNazanin"/>
          <w:color w:val="111111"/>
          <w:sz w:val="28"/>
          <w:sz w:val="28"/>
          <w:szCs w:val="28"/>
          <w:rtl w:val="true"/>
          <w:lang w:bidi="fa-IR"/>
        </w:rPr>
        <w:t>، مدفوعة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بلزوم وحدة الشرط بعد حکمه بوحدة الجزاء فیکون إطلاق الجزاء بیانا لإطلاق الشرط، و لإرجاع کلّ</w:t>
      </w:r>
    </w:p>
    <w:p>
      <w:pPr>
        <w:pStyle w:val="BookText"/>
        <w:rPr/>
      </w:pPr>
      <w:r>
        <w:rPr>
          <w:rFonts w:ascii="IRNazanin" w:hAnsi="IRNazanin" w:eastAsia="IRNazanin"/>
          <w:color w:val="111111"/>
          <w:sz w:val="28"/>
          <w:sz w:val="28"/>
          <w:szCs w:val="28"/>
          <w:rtl w:val="true"/>
          <w:lang w:bidi="fa-IR"/>
        </w:rPr>
        <w:t>شرط إلی عدم الاستقلال فی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الحجر الأساس، أنّ مقدّمات الإطلاق فی الجزاء لا تورث عنوان الوحدة، و لکن تستتبع أنّ الطبیعة بلا قید تمام الموضوع، و لا جزء و لا قید لها، و مقتضی ذلک وحدة الشرط، و مقدّمات الإطلاق فی الصدر تستتبع تعدّد الجزاء، و لا وجه لترجیح التصرّف فی أحدهما المعیّن دون الآخر حسب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ارتضاه الفقیه الهمدانیّ </w:t>
      </w:r>
      <w:r>
        <w:rPr>
          <w:rStyle w:val="FootnoteAnchor"/>
          <w:rtl w:val="true"/>
        </w:rPr>
        <w:footnoteReference w:id="200"/>
      </w:r>
      <w:r>
        <w:rPr>
          <w:rFonts w:ascii="IRNazanin" w:hAnsi="IRNazanin" w:eastAsia="IRNazanin"/>
          <w:color w:val="111111"/>
          <w:sz w:val="28"/>
          <w:sz w:val="28"/>
          <w:szCs w:val="28"/>
          <w:rtl w:val="true"/>
          <w:lang w:bidi="fa-IR"/>
        </w:rPr>
        <w:t xml:space="preserve">، و اتخذه مسلکا شیخ مشایخنا جدّ أولادی قدس سرُّه </w:t>
      </w:r>
      <w:r>
        <w:rPr>
          <w:rStyle w:val="FootnoteAnchor"/>
          <w:rtl w:val="true"/>
        </w:rPr>
        <w:footnoteReference w:id="201"/>
      </w:r>
      <w:r>
        <w:rPr>
          <w:rFonts w:ascii="IRNazanin" w:hAnsi="IRNazanin" w:eastAsia="IRNazanin"/>
          <w:color w:val="111111"/>
          <w:sz w:val="28"/>
          <w:sz w:val="28"/>
          <w:szCs w:val="28"/>
          <w:rtl w:val="true"/>
          <w:lang w:bidi="fa-IR"/>
        </w:rPr>
        <w:t xml:space="preserve">فی أخریات عمره، و ربّما یوجد ذلک فی بعض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 العلاّمة رحمه اللَّه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مقتضی قیاس التشریع بالتکوین أنّ اشتغال الذمّة یتکرّر بتکرّر سببه، کما هو الأمر فی التکوین بعد وجود 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القیاس غیر جائز، مع أنّ قضیّة القیاس هی التداخل فی صورة التقارن، بل و التعاقب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المهمّ إثبات تعدّد السبب واقعا، و مجرّد اقتضاء الإطلاق لا یکفی، لاحتمال کون إطلاق الجزاء قرینة علیه، فلم یحرز تعدّد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أحرز ذلک فلا بدّ و أن یتکثّر الاشتغال، و تصیر النتیجة کشف القید فی الطبیعة علی الوجه المحرّر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العلاّمة رحمه اللَّه </w:t>
      </w:r>
      <w:r>
        <w:rPr>
          <w:rStyle w:val="FootnoteAnchor"/>
          <w:rtl w:val="true"/>
        </w:rPr>
        <w:footnoteReference w:id="204"/>
      </w:r>
      <w:r>
        <w:rPr>
          <w:rFonts w:ascii="IRNazanin" w:hAnsi="IRNazanin" w:eastAsia="IRNazanin"/>
          <w:color w:val="111111"/>
          <w:sz w:val="28"/>
          <w:sz w:val="28"/>
          <w:szCs w:val="28"/>
          <w:rtl w:val="true"/>
          <w:lang w:bidi="fa-IR"/>
        </w:rPr>
        <w:t>أیضا، و یوجد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رحمه اللَّه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قضیّة القواعد اللفظیّة سببیّة کلّ شرط للجزاء مستقلاّ، و نتیجة ذلک تعدّد الفعل المشتغل به، و لو لم یتعدّد ذلک فهو إمّا لأجل عدم المقتضی، أو لأجل المانع، و کلاهما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من المخالطة، و ذلک لأنّ الالتزام بشقّیه کلیهما ممکن، فکما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لوجود المانع، و هو إطلاق الجزاء المثبت لمرادیّة الطبیعة بما هی هی من غیر قید، و لا یدفع ذلک بما ذکره فی ذیل کلامه </w:t>
      </w:r>
      <w:r>
        <w:rPr>
          <w:rStyle w:val="FootnoteAnchor"/>
          <w:rtl w:val="true"/>
        </w:rPr>
        <w:footnoteReference w:id="206"/>
      </w:r>
      <w:r>
        <w:rPr>
          <w:rFonts w:ascii="IRNazanin" w:hAnsi="IRNazanin" w:eastAsia="IRNazanin"/>
          <w:color w:val="111111"/>
          <w:sz w:val="28"/>
          <w:sz w:val="28"/>
          <w:szCs w:val="28"/>
          <w:rtl w:val="true"/>
          <w:lang w:bidi="fa-IR"/>
        </w:rPr>
        <w:t>، کذلک یمکن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لأجل الشکّ فی المقتضی، ضرورة أنّ کون السبب متعدّدا غیر معلوم إلاّ بعد استقرار ظهور الصدر علی الذیل بإعدامه و إفنائه، و هو أوّل الکلام، فلو کان إطلاق الجزاء مقدّما فلا مقتضی لتعدّد الفعل المشتغل به رأسا،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الاقتضاء ثابت مطلقا</w:t>
      </w:r>
      <w:r>
        <w:rPr>
          <w:rStyle w:val="FootnoteAnchor"/>
          <w:rtl w:val="true"/>
        </w:rPr>
        <w:footnoteReference w:id="207"/>
      </w:r>
      <w:r>
        <w:rPr>
          <w:rFonts w:ascii="Amiri" w:hAnsi="Amiri" w:eastAsia="Amiri" w:cs="Amiri"/>
          <w:color w:val="111111"/>
          <w:sz w:val="28"/>
          <w:sz w:val="28"/>
          <w:szCs w:val="28"/>
          <w:rtl w:val="true"/>
          <w:lang w:bidi="ar-SA"/>
        </w:rPr>
        <w:t>، فاسد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الشرطین فی حدّ ذاته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السبب، و کلّ واحد من المثبتین فی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لحقّ أولویّة التأسیس علی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تعدّد الطبیعة و الوجود، لامتناع تعدّد الوجوب التأسیسیّ، کما مرّ فی المسألة الأولی </w:t>
      </w:r>
      <w:r>
        <w:rPr>
          <w:rStyle w:val="FootnoteAnchor"/>
          <w:rtl w:val="true"/>
        </w:rPr>
        <w:footnoteReference w:id="208"/>
      </w:r>
      <w:r>
        <w:rPr>
          <w:rFonts w:ascii="IRNazanin" w:hAnsi="IRNazanin" w:eastAsia="IRNazanin"/>
          <w:color w:val="111111"/>
          <w:sz w:val="28"/>
          <w:sz w:val="28"/>
          <w:szCs w:val="28"/>
          <w:rtl w:val="true"/>
          <w:lang w:bidi="fa-IR"/>
        </w:rPr>
        <w:t>، فتأسیسیّة کلّ واحد من المثبتین و المتحرّکین تستلزم وجود قید فی المأمور به حتّی یتعدّد، و الّذی یقتضی خلاف کلّ ذلک هو إطلاق المادّة، و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أهون عرفا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الشکّ فی إطلاق المادّة، بمعنی أنّه لا معنی لإطلاق المادّة</w:t>
      </w:r>
    </w:p>
    <w:p>
      <w:pPr>
        <w:pStyle w:val="BookText"/>
        <w:rPr/>
      </w:pPr>
      <w:r>
        <w:rPr>
          <w:rFonts w:ascii="IRNazanin" w:hAnsi="IRNazanin" w:eastAsia="IRNazanin"/>
          <w:color w:val="111111"/>
          <w:sz w:val="28"/>
          <w:sz w:val="28"/>
          <w:szCs w:val="28"/>
          <w:rtl w:val="true"/>
          <w:lang w:bidi="fa-IR"/>
        </w:rPr>
        <w:t>إلاّ إطلاق الحکم المتعلّق بها، و قد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اشتهر من إطلاق المادّة مع قطع النّظر عن الحکم </w:t>
      </w:r>
      <w:r>
        <w:rPr>
          <w:rStyle w:val="FootnoteAnchor"/>
          <w:rtl w:val="true"/>
        </w:rPr>
        <w:footnoteReference w:id="209"/>
      </w:r>
      <w:r>
        <w:rPr>
          <w:rFonts w:ascii="IRNazanin" w:hAnsi="IRNazanin" w:eastAsia="IRNazanin"/>
          <w:color w:val="111111"/>
          <w:sz w:val="28"/>
          <w:sz w:val="28"/>
          <w:szCs w:val="28"/>
          <w:rtl w:val="true"/>
          <w:lang w:bidi="fa-IR"/>
        </w:rPr>
        <w:t>، ممّا لا أساس له و لا یتصوّر، فما هو المطلق هو الحکم المتعلّق بالمادّة، و حینئذ للمتکلّم أن یتّکل علی قرینة أولویّة التأسیس علی التأکید حتّی فی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المولی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فی دلیل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بالوضوء ثانیا، یدور الأمر بین التأسیس و التأکید، و الأوّل مقدّم، و تصیر النتیجة فیما نحن فیه تقدیم الصدر علی الذیل، لعدم ثبوت الإطلاق فی ذیل کلّ واحد من القضیّتین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ذلک فلا أقلّ من الشکّ، فلا معارض لإطلاق الشرط و الصدر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لأولویّة التأسیس من التأکید إلاّ إذا أرید من الأمر التأکیدیّ الأمر المستعمل فی التأکید، أو فی الاستحباب، أو الإرشاد، و کلّ ذلک خطأ، و قد مرّ منّا</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التأکیدیّ لیس إلاّ مثل التأسیسیّ فی المبادئ و الإرادة، و لو اختلفا فی ذلک للزم أن لا یکون تأکید، فالتأکید فی مورد یتّحد الأوّل و الثانی فیه کما لا یخفی، و إذا کان کلّ واحد عین الآخر فلا معنی لأولویّة التأسیس من التأکید، لأنّ کلّ واحد من المثبتین وجوبیّ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کذلک، إلاّ أنّ اختلافهما فی التبعات و الآثار، ضرورة أنّ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ینتزع منه التأکید باعتبار وقوعه عقیب الأوّل مع</w:t>
      </w:r>
    </w:p>
    <w:p>
      <w:pPr>
        <w:pStyle w:val="BookText"/>
        <w:rPr/>
      </w:pPr>
      <w:r>
        <w:rPr>
          <w:rFonts w:ascii="IRNazanin" w:hAnsi="IRNazanin" w:eastAsia="IRNazanin"/>
          <w:color w:val="111111"/>
          <w:sz w:val="28"/>
          <w:sz w:val="28"/>
          <w:szCs w:val="28"/>
          <w:rtl w:val="true"/>
          <w:lang w:bidi="fa-IR"/>
        </w:rPr>
        <w:t>اتحادهما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موضوعا للإطاعة و العصیان، و لا مستتبعا للثواب و العقاب، و لا یسأل عنه، و لا یؤاخذ علیه استقلالا، بخلاف الأمر التأسیسیّ، و لا شبهة فی أنّ کلّ أمر فی حدّ ذاته ظاهر فی أنّه مستقلّ فی هذه التبعات و الآثار، فیدور الأمر بین قرینة وحدة المتعلّق، و قرینة ذلک، فإن قدّم أولویّة التأسیس من التأکید یلزم عدم التداخل فیما نحن فیه، و هکذا إذا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قدّمنا ذاک فیلزم التداخل بالنتیجة، کما مرّ فی مقدّمات المسألة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الطبیعة لیست بحدّ ذاتها إلاّ مهملة، و لا تدلّ علی الوحدة حتّی یتوهّم أقوائیّتها فی الوحدة من أولویّة التأسیس </w:t>
      </w:r>
      <w:r>
        <w:rPr>
          <w:rStyle w:val="FootnoteAnchor"/>
          <w:rtl w:val="true"/>
        </w:rPr>
        <w:footnoteReference w:id="213"/>
      </w:r>
      <w:r>
        <w:rPr>
          <w:rFonts w:ascii="IRNazanin" w:hAnsi="IRNazanin" w:eastAsia="IRNazanin"/>
          <w:color w:val="111111"/>
          <w:sz w:val="28"/>
          <w:sz w:val="28"/>
          <w:szCs w:val="28"/>
          <w:rtl w:val="true"/>
          <w:lang w:bidi="fa-IR"/>
        </w:rPr>
        <w:t>، نعم هی موضوعة للبعث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قضیّة مقدّمات الإطلاق هو أنّها تمام الموضوع، و لا قید لها فی مقام الإرادة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الشأن فی حصول تلک المقدّمات، لإمکان الاتکال علی القرینة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للإضرار بها وجود ما یصلح للقرینیّة، و لا نحتاج إلی القرینة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إمکان إثبات وحدة المراد بإطلاق الجزاء، حتّی یمکن أن تکون قرینة علی التصرّف فی الذیل، و مع وجود الارتکاز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کلّ أمر ظاهر فی أنّه مستقلّ و موضوع للعصیان و الإطاعة، و مستتبع للثواب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إتمام مقدّمات الحکمة فی الجزاء، فلا معارض رأسا لإطلاق الشرط</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إطلاق الشرط هو العموم الاستغراقیّ، و قضیّة إطلاق الذیل لیس شیئا وراء کون الطبیعة تمام الموضوع، و إذا وقع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العامّ و المطلق یقدّم العامّ، لأنّه بیان للمطلق دون العکس، و لأجله قیل</w:t>
      </w:r>
    </w:p>
    <w:p>
      <w:pPr>
        <w:pStyle w:val="BookText"/>
        <w:rPr/>
      </w:pPr>
      <w:r>
        <w:rPr>
          <w:rFonts w:ascii="IRNazanin" w:hAnsi="IRNazanin" w:eastAsia="IRNazanin"/>
          <w:color w:val="111111"/>
          <w:sz w:val="28"/>
          <w:sz w:val="28"/>
          <w:szCs w:val="28"/>
          <w:rtl w:val="true"/>
          <w:lang w:bidi="fa-IR"/>
        </w:rPr>
        <w:t xml:space="preserve">فیما یتعارض العامّ و المطلق اللّذین بینهما العموم من وجه بتقدیم العامّ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الإطلاق فی المقدّم تفید أنّ کلّ بول سبب، و کلّ نوم سبب، و فی التالی لا تفید إلاّ صرف الوجود و الطبیعة، و لا شبهة فی عدم إمکان الأخذ بالعموم و الإطلاق المزبور، فعندئذ یقع التعارض بین العامّ و الإطلاق فی البول المتأخر، و تکون قضیّة العموم أنّه سبب، و قضیّة الإطلاق عدم سببیّته، و لا یقاوم الإطلاق العموم المزبور، إمّا لأجل أنّه متعرّض لخصوص الفرد المذکور، فیکون بیانا لذلک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لأجل أنّه یقتضی سببیّة البول المتأخّر مستقیما، و أمّا الإطلاق النافی فهو بطریق غیر مستقیم یقتضی عدم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ذاک علی هذا، و هکذا فی صورة التقارن،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الجزاء إلی الشرط نسبة الحکم إلی الموضوع، و قضیّة ذلک إمّا تقدیم إطلاق الصدر علی الذیل مطلقا، أو فی صورة خاصّة، و هی ما إذا کانت القضیّتان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فلیتوضّأ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 فلیتوضّأ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الشرطیّتین الصریحتین فلا یکون الجزاء حکما للشرط</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الموضوع و الشرط ناظر إلی استتباع کلّ بول لوضوء یخصّ به، أو لوجوب یخصّ به، و هکذا فی ناحیة النوم، و أمّا إطلاق الجزاء فلا یکون ناظرا إلی الموضوع و إلی ما فی الصدر، ضرورة أنّ الإطلاق فی الجزاء ثابت للهیئة بالنسبة إلی المادّة، لا للهیئة و المادّة بالنسبة إلی العلّة و السبب، فعندئذ یکون النّظر من ناحیة الصدر نظرا مستقیما إلی الذیل، لما لا معنی لاعتبار کون البول موضوعا إلاّ باعتبار الوضوء المترتّب علیه، و أمّا فی ناحیة الذیل فلا یکون فیه</w:t>
      </w:r>
      <w:bookmarkStart w:id="173" w:name="pg13167_140796"/>
    </w:p>
    <w:p>
      <w:pPr>
        <w:pStyle w:val="BookText"/>
        <w:rPr/>
      </w:pPr>
      <w:bookmarkEnd w:id="173"/>
      <w:r>
        <w:rPr>
          <w:rFonts w:ascii="IRNazanin" w:hAnsi="IRNazanin" w:eastAsia="IRNazanin"/>
          <w:color w:val="111111"/>
          <w:sz w:val="28"/>
          <w:sz w:val="28"/>
          <w:szCs w:val="28"/>
          <w:rtl w:val="true"/>
          <w:lang w:bidi="fa-IR"/>
        </w:rPr>
        <w:t>نظر مستقیم إلی الصدر إلاّ بضمیمة حکم العقل، و هذا یکفی فی ترجیح جانب الصدر علی الذیل</w:t>
      </w:r>
      <w:r>
        <w:rPr>
          <w:rFonts w:eastAsia="IRNazanin" w:cs="IRNazanin"/>
          <w:color w:val="111111"/>
          <w:sz w:val="28"/>
          <w:szCs w:val="28"/>
          <w:rtl w:val="true"/>
          <w:lang w:bidi="fa-IR"/>
        </w:rPr>
        <w:t>.</w:t>
      </w:r>
    </w:p>
    <w:p>
      <w:pPr>
        <w:pStyle w:val="Heading6"/>
        <w:numPr>
          <w:ilvl w:val="5"/>
          <w:numId w:val="1"/>
        </w:numPr>
        <w:rPr/>
      </w:pPr>
      <w:bookmarkStart w:id="174" w:name="__RefHeading___Toc559446_3244359995"/>
      <w:bookmarkStart w:id="175" w:name="_Toc66"/>
      <w:bookmarkEnd w:id="174"/>
      <w:r>
        <w:rPr>
          <w:rtl w:val="true"/>
        </w:rPr>
        <w:t>تذییل</w:t>
      </w:r>
      <w:r>
        <w:rPr>
          <w:rtl w:val="true"/>
        </w:rPr>
        <w:t xml:space="preserve">: </w:t>
      </w:r>
      <w:r>
        <w:rPr>
          <w:rtl w:val="true"/>
        </w:rPr>
        <w:t>فی التمسّک بالارتکاز العقلائیّ لإثبات تعدّد الأسباب</w:t>
      </w:r>
      <w:bookmarkEnd w:id="175"/>
    </w:p>
    <w:p>
      <w:pPr>
        <w:pStyle w:val="BookText"/>
        <w:rPr/>
      </w:pPr>
      <w:r>
        <w:rPr>
          <w:rFonts w:ascii="IRNazanin" w:hAnsi="IRNazanin" w:eastAsia="IRNazanin"/>
          <w:color w:val="111111"/>
          <w:sz w:val="28"/>
          <w:sz w:val="28"/>
          <w:szCs w:val="28"/>
          <w:rtl w:val="true"/>
          <w:lang w:bidi="fa-IR"/>
        </w:rPr>
        <w:t>کان ینبغی أن تکون المسألة معنونة علی وجه آخر، و هو أنّ تقدیم الصدر علی الذیل، و إطلاق المقدّم و الشرط علی إطلاق التالی و الجزاء، و إطلاق الموضوع علی الحکم المقصود فی المقام، ممّا یرتکز عند عامّة العقلاء و کافّة الفقهاء، إلاّ الذین اتخذوا سبیل العقلیّات فی فهم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بدّ حسب الصناعة من توجیه السبب فی حکم العقلاء و فهمهم، کما فی مسألة الأمر و الوجوب، و مسألة الأمر و اقتضائه عند الإطلاق النفسیّة و العینیّة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و هکذا فی ناحیة النهی من غیر انتظار إشکال فی أصل هذه المسألة و ما ذکرنا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المناقشة فی کلّ واحد برأسه، و لکن یحصل من المجموع أنّ الارتکاز یساعد علی ذلک، و یکفی ذهاب المشهور</w:t>
      </w:r>
      <w:r>
        <w:rPr>
          <w:rStyle w:val="FootnoteAnchor"/>
          <w:rtl w:val="true"/>
        </w:rPr>
        <w:footnoteReference w:id="215"/>
      </w:r>
      <w:r>
        <w:rPr>
          <w:rFonts w:ascii="IRNazanin" w:hAnsi="IRNazanin" w:eastAsia="IRNazanin"/>
          <w:color w:val="111111"/>
          <w:sz w:val="28"/>
          <w:sz w:val="28"/>
          <w:szCs w:val="28"/>
          <w:rtl w:val="true"/>
          <w:lang w:bidi="fa-IR"/>
        </w:rPr>
        <w:t>إلیه لأمثال هذه البحوث العرفیة، و لا یعتنی بتدقیقات جمع من الأفاضل إلاّ تشحیذا للأذهان و ترغیبا فی إمعان النّظر و الاجتهاد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القول بعدم التداخل فی أمثال هذه القضایا من الواضح الغنیّ عن البیان، إلاّ مع قیام القرائن الخاصّة، کما فی بعض الموارد فی کتاب الطهارة، أو الکفّارات، علی ما هو المحکیّ فی بعض الکلمات </w:t>
      </w:r>
      <w:r>
        <w:rPr>
          <w:rStyle w:val="FootnoteAnchor"/>
          <w:rtl w:val="true"/>
        </w:rPr>
        <w:footnoteReference w:id="21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bookmarkStart w:id="176" w:name="pg13167_140797"/>
    </w:p>
    <w:p>
      <w:pPr>
        <w:pStyle w:val="Heading6"/>
        <w:numPr>
          <w:ilvl w:val="5"/>
          <w:numId w:val="1"/>
        </w:numPr>
        <w:rPr/>
      </w:pPr>
      <w:bookmarkStart w:id="177" w:name="__RefHeading___Toc559448_3244359995"/>
      <w:bookmarkStart w:id="178" w:name="_Toc67"/>
      <w:bookmarkEnd w:id="176"/>
      <w:bookmarkEnd w:id="177"/>
      <w:r>
        <w:rPr>
          <w:rtl w:val="true"/>
        </w:rPr>
        <w:t>حول اختیار الوالد المحقّق لتعدّد السبب و المسبّب</w:t>
      </w:r>
      <w:bookmarkEnd w:id="178"/>
    </w:p>
    <w:p>
      <w:pPr>
        <w:pStyle w:val="BookText"/>
        <w:rPr/>
      </w:pPr>
      <w:r>
        <w:rPr>
          <w:rFonts w:ascii="IRNazanin" w:hAnsi="IRNazanin" w:eastAsia="IRNazanin"/>
          <w:color w:val="111111"/>
          <w:sz w:val="28"/>
          <w:sz w:val="28"/>
          <w:szCs w:val="28"/>
          <w:rtl w:val="true"/>
          <w:lang w:bidi="fa-IR"/>
        </w:rPr>
        <w:t>قد مضی فی ذیل الوجوه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الممکن أن یقال بتعدّد السبب، حفظا لإطلاق الشرط، و تعدّد المسبّب و هو الوجوب، من غیر أن یلزم تعدّد المادّة و الوضوء، و بذلک یجمع بین الإطلاقین، و العرف لا یحکم إلاّ بأنّ عقیب کلّ سبب وجوب، و أمّا أنّ کلّ وجوب متعلّق بموضوع علی حدة فهو أمر آخر خارج عن مسألتنا، و لا یلزم من ذلک کون الوجوب الثانی مجازا أیضا، کما عرفت منّا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یلزم أن یکون الوجوب متأکّدا، و هذا ممّا لا بأس بالالتزام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نسب إلی العقلاء من الحکم بعدم التداخل صحیح، إلاّ أنّه لا یلزم منه عدم التداخل المقصود فی الباب، و هو تعدّد الطبیعة و الوضوء فی المثال المعروف، و لا داعی إلی دعوی تعدّده بعد إمکان الأخذ بإطلاق کلّ واحد من الصدر و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للتصرّف فی أحد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شبهة أوضحها السیّد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 ثغورها بما لا مزید علیه، إلی أن التزم بأنّ التمسک بأولویّة التأسیس من التأکید هنا غیر تامّ، لإطلاق المادّة، و هو رافع لموضوع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التأسیس خیر من التأکید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للوجهین اللّذین ذکرهما الشیخ </w:t>
      </w:r>
      <w:r>
        <w:rPr>
          <w:rStyle w:val="FootnoteAnchor"/>
          <w:rtl w:val="true"/>
        </w:rPr>
        <w:footnoteReference w:id="218"/>
      </w:r>
      <w:r>
        <w:rPr>
          <w:rFonts w:ascii="IRNazanin" w:hAnsi="IRNazanin" w:eastAsia="IRNazanin"/>
          <w:color w:val="111111"/>
          <w:sz w:val="28"/>
          <w:sz w:val="28"/>
          <w:szCs w:val="28"/>
          <w:rtl w:val="true"/>
          <w:lang w:bidi="fa-IR"/>
        </w:rPr>
        <w:t xml:space="preserve">لتحکیم ذلک، و أنّ تعدّد السبب ینتهی إلی تعدّد المادّة، و أجاب عنهما، و من شاء فلیراجع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لا حاجة لنا إلی الطواف حول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هذه الشبهة سقوط الوجوه المتمسّک بها لترجیح الإطلاق فی ناحیة الصدر علی الذیل، لأنّه فرع لزوم التصرّف فی أحد الإطلاقین، و فرع العلم الإجمالیّ بعدم إمکان الأخذ بهما مجموعا، و لو کان المسبّب هو الوجوب القابل للتعدّد علی الوجه المزبور فیتعدّد المسبّب، من غیر أن تشتغل الذمّة بأکثر من طبیعة واحدة، و هی الوضوء من غیر قید و 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الشبهة العقلیّة حمل الوجوبین علی التأکید، و لأجل وحدة المتعلّق لا یبقی وجه للتمسّک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التأسیس خیر من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تصیر النتیجة هی أصالة التداخل،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تندفع هذه الشبهة بما تحرّر فی محلّه من أنّ الإرادة من الصفات التی تحتاج فی وجودها إلی المبادئ، و لا یمکن أن توجد فی النّفس جزافا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 غیر فرق بین الإرادة الفاعلیّة و الآمریّة، فإنّها أیضا تکوینیّة متعلّقة بالبعث نحو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إذا تعدّد السبب فإمّا یرجع ذلک إلی أنّ التعدّد صوریّ، و السبب الواقعیّ واحد، فیکون من الکواشف الشرعیّة عن السبب الواقعیّ، و یصیر معرّفا لما هو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ما هو المأخوذ فی الدلیل حسب الأصل اللفظیّ، مؤثّرا بنفسه و سببا و موضوعا بعنوانه، و بالجملة دخیلا بما له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 قبیل الأوّل، فلا تکون الإرادة الباعثة نحو الوضوء إلاّ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قبیل الثانی، فلا یعقل أن تکون تلک الإرادة واحدة، لما عرفت من احتیاجها إلی المبادئ فی وجودها و تحقّقها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البول و النوم مرآتین للحدث الّذی هو الجامع، فلا یکون الأمر إلاّ</w:t>
      </w:r>
    </w:p>
    <w:p>
      <w:pPr>
        <w:pStyle w:val="BookText"/>
        <w:rPr/>
      </w:pPr>
      <w:r>
        <w:rPr>
          <w:rFonts w:ascii="IRNazanin" w:hAnsi="IRNazanin" w:eastAsia="IRNazanin"/>
          <w:color w:val="111111"/>
          <w:sz w:val="28"/>
          <w:sz w:val="28"/>
          <w:szCs w:val="28"/>
          <w:rtl w:val="true"/>
          <w:lang w:bidi="fa-IR"/>
        </w:rPr>
        <w:t>واحدا، و یکون معلول الإذعان بذلک الحدث، و یترشّح عقیب التصوّر و التصدیق إرادة التشریع و البعث، و مع وحدة الجامع المتصوّر لا تتعدّد الإرادة بالضرورة، و إذا کانا مؤثّرین و دخیلین کلّ مع قطع النّظر عن الآخر فلتصوّر البول، و التصدیق بأنّه یوجب الوضوء و یستتبع إیجاب الوضوء، و تصوّر النوم کذلک، و لا یعقل کون إرادة الإیجاب واحدة، لتعدّد المبادئ المنتهیة إلی تعدّدها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تنحلّ معضلة المسألة بما لا مزید علیه، من غیر الحاجة إلی الوجوه الاخر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ذکرناه یرجع ما عن فخر الإسلام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الأسباب إن کانت معرّفات لا یترتّب علیه مسألة عدم التداخل، بخلاف ما إذا کانت مؤثّرات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الدخیلات فی الحکم،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أورده الفخر رحمه اللَّه علی والده قدس سرُّه فی محلّه بحسب التصور، لا التصدیق، ضرورة أنّ الأصل اللفظیّ یقتضی کون الشرط بعنوانه دخیلا، لا بجامعه، و ما أوردناه علی والدنا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أیضا عقلا و عرفا، ضرورة أنّ مقتضی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تعدّد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الإرادة الإلزامیّة علی وجه التأسیس لا التأکید، و قضیّة حکم العرف فی القضیّتین الشرطیّتین و أمثالهما، دخالة العناوین بما لها من المعانی فی ترشّح الإرادة لا بجامعها، فلیتدبّر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أصحابنا المتأخّرین کأنّهم لم یصلوا إلی مرام الفخر رحمه اللَّه فی المسألة، و ظنّوا أنّه لا یرجع إلی محصّل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یتمّ ما أفاده قدس سرُّه فی المسألة الآتیة، و هی ما إذا تعدّد السبب تعدّدا</w:t>
      </w:r>
      <w:bookmarkStart w:id="179" w:name="pg13167_140800"/>
    </w:p>
    <w:p>
      <w:pPr>
        <w:pStyle w:val="BookText"/>
        <w:rPr/>
      </w:pPr>
      <w:bookmarkEnd w:id="179"/>
      <w:r>
        <w:rPr>
          <w:rFonts w:ascii="IRNazanin" w:hAnsi="IRNazanin" w:eastAsia="IRNazanin"/>
          <w:color w:val="111111"/>
          <w:sz w:val="28"/>
          <w:sz w:val="28"/>
          <w:szCs w:val="28"/>
          <w:rtl w:val="true"/>
          <w:lang w:bidi="fa-IR"/>
        </w:rPr>
        <w:t>بالشخص، کما لا یخفی</w:t>
      </w:r>
      <w:r>
        <w:rPr>
          <w:rFonts w:eastAsia="IRNazanin" w:cs="IRNazanin"/>
          <w:color w:val="111111"/>
          <w:sz w:val="28"/>
          <w:szCs w:val="28"/>
          <w:rtl w:val="true"/>
          <w:lang w:bidi="fa-IR"/>
        </w:rPr>
        <w:t>.</w:t>
      </w:r>
    </w:p>
    <w:p>
      <w:pPr>
        <w:pStyle w:val="Heading6"/>
        <w:numPr>
          <w:ilvl w:val="5"/>
          <w:numId w:val="1"/>
        </w:numPr>
        <w:rPr/>
      </w:pPr>
      <w:bookmarkStart w:id="180" w:name="__RefHeading___Toc559450_3244359995"/>
      <w:bookmarkStart w:id="181" w:name="_Toc68"/>
      <w:bookmarkEnd w:id="180"/>
      <w:r>
        <w:rPr>
          <w:rtl w:val="true"/>
        </w:rPr>
        <w:t>تنبیه</w:t>
      </w:r>
      <w:r>
        <w:rPr>
          <w:rtl w:val="true"/>
        </w:rPr>
        <w:t xml:space="preserve">: </w:t>
      </w:r>
      <w:r>
        <w:rPr>
          <w:rtl w:val="true"/>
        </w:rPr>
        <w:t xml:space="preserve">فی اندفاع شبهة </w:t>
      </w:r>
      <w:r>
        <w:rPr>
          <w:rtl w:val="true"/>
        </w:rPr>
        <w:t>«</w:t>
      </w:r>
      <w:r>
        <w:rPr>
          <w:rtl w:val="true"/>
        </w:rPr>
        <w:t>العوائد</w:t>
      </w:r>
      <w:r>
        <w:rPr>
          <w:rtl w:val="true"/>
        </w:rPr>
        <w:t xml:space="preserve">» </w:t>
      </w:r>
      <w:r>
        <w:rPr>
          <w:rtl w:val="true"/>
        </w:rPr>
        <w:t xml:space="preserve">بما فی </w:t>
      </w:r>
      <w:r>
        <w:rPr>
          <w:rtl w:val="true"/>
        </w:rPr>
        <w:t>«</w:t>
      </w:r>
      <w:r>
        <w:rPr>
          <w:rtl w:val="true"/>
        </w:rPr>
        <w:t>المطارح</w:t>
      </w:r>
      <w:r>
        <w:rPr>
          <w:rtl w:val="true"/>
        </w:rPr>
        <w:t>»</w:t>
      </w:r>
      <w:bookmarkEnd w:id="181"/>
    </w:p>
    <w:p>
      <w:pPr>
        <w:pStyle w:val="BookText"/>
        <w:rPr/>
      </w:pPr>
      <w:r>
        <w:rPr>
          <w:rFonts w:ascii="IRNazanin" w:hAnsi="IRNazanin" w:eastAsia="IRNazanin"/>
          <w:color w:val="111111"/>
          <w:sz w:val="28"/>
          <w:sz w:val="28"/>
          <w:szCs w:val="28"/>
          <w:rtl w:val="true"/>
          <w:lang w:bidi="fa-IR"/>
        </w:rPr>
        <w:t xml:space="preserve">یمکن أن تندفع الشبهة المزبورة المشار إلیها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النراقیّ قدس سرُّه أیضا</w:t>
      </w:r>
      <w:r>
        <w:rPr>
          <w:rStyle w:val="FootnoteAnchor"/>
          <w:rtl w:val="true"/>
        </w:rPr>
        <w:footnoteReference w:id="223"/>
      </w:r>
      <w:r>
        <w:rPr>
          <w:rFonts w:ascii="Amiri" w:hAnsi="Amiri" w:eastAsia="Amiri" w:cs="Amiri"/>
          <w:color w:val="111111"/>
          <w:sz w:val="28"/>
          <w:sz w:val="28"/>
          <w:szCs w:val="28"/>
          <w:rtl w:val="true"/>
          <w:lang w:bidi="ar-SA"/>
        </w:rPr>
        <w:t xml:space="preserve">بما أشیر إلیه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 العلاّمة قدس سرُّه </w:t>
      </w:r>
      <w:r>
        <w:rPr>
          <w:rStyle w:val="FootnoteAnchor"/>
          <w:rtl w:val="true"/>
        </w:rPr>
        <w:footnoteReference w:id="224"/>
      </w:r>
      <w:r>
        <w:rPr>
          <w:rFonts w:ascii="IRNazanin" w:hAnsi="IRNazanin" w:eastAsia="IRNazanin"/>
          <w:color w:val="111111"/>
          <w:sz w:val="28"/>
          <w:sz w:val="28"/>
          <w:szCs w:val="28"/>
          <w:rtl w:val="true"/>
          <w:lang w:bidi="fa-IR"/>
        </w:rPr>
        <w:t>و هو ببیان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المرتکز العقلائیّ و الأفهام العرفیّة ناهضة علی أنّ المجعول فی الجزاء و الطبیعة المأمور بها، تقلع أثر الشرط و تدفع خاصّته، و لا تکون الأوامر و النواهی إلاّ مترشّحات عن تلک الخواصّ و الآثار المودعة فی تلک الطبائع، حسب مذهب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تلک الأوامر علی المصلحة فی الجعل و إن کان یدفع به مشکلة عقلیّة و هی نسبة الجزاف إلی الحقّ عزّ اسمه و لکن هو خلاف بناء الأصحاب رحمهم اللَّه و الارتکاز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ینتقل العرف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أنّ البول یستتبع أثرا، و ذلک الأثر یمحی بالوضوء و هکذا من غیر توجّه إلی الوجوب و الحکم، فلو تعدّد السبب فیکون کلّ من البول و النوم مقتضیا لأثر یخصّه، و لا یرتفع ذلک إلاّ بالوضوء المخصوص به، فیتعدّد المزیل لتعدّد الأثر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هو وجه عرفیّ لا عقلیّ، ضرورة إمکان زوال الأثر المستند إلی الوضوء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لو کان أثر کلّ من البول و النوم مخالفا للآخر، یمکن أن یکون الوضوء مزیلا لهما بحسب الثبوت، و لکن العرف ینتقل من کلّ من السببین إلی تعدّد الأثر و استتباع جهة خاصّة به لا تزول إلاّ بمزیل مخصوص به، فلیتدبّر جیّدا</w:t>
      </w:r>
      <w:r>
        <w:rPr>
          <w:rFonts w:eastAsia="IRNazanin" w:cs="IRNazanin"/>
          <w:color w:val="111111"/>
          <w:sz w:val="28"/>
          <w:szCs w:val="28"/>
          <w:rtl w:val="true"/>
          <w:lang w:bidi="fa-IR"/>
        </w:rPr>
        <w:t>.</w:t>
      </w:r>
      <w:bookmarkStart w:id="182" w:name="pg13167_140801"/>
    </w:p>
    <w:p>
      <w:pPr>
        <w:pStyle w:val="Heading6"/>
        <w:numPr>
          <w:ilvl w:val="5"/>
          <w:numId w:val="1"/>
        </w:numPr>
        <w:rPr/>
      </w:pPr>
      <w:bookmarkStart w:id="183" w:name="__RefHeading___Toc559452_3244359995"/>
      <w:bookmarkStart w:id="184" w:name="_Toc69"/>
      <w:bookmarkEnd w:id="182"/>
      <w:bookmarkEnd w:id="183"/>
      <w:r>
        <w:rPr>
          <w:rtl w:val="true"/>
        </w:rPr>
        <w:t>بحث و تفصیل</w:t>
      </w:r>
      <w:r>
        <w:rPr>
          <w:rtl w:val="true"/>
        </w:rPr>
        <w:t xml:space="preserve">: </w:t>
      </w:r>
      <w:r>
        <w:rPr>
          <w:rtl w:val="true"/>
        </w:rPr>
        <w:t>فی حکم صورتی التعاقب و التقارن</w:t>
      </w:r>
      <w:bookmarkEnd w:id="184"/>
    </w:p>
    <w:p>
      <w:pPr>
        <w:pStyle w:val="BookText"/>
        <w:rPr/>
      </w:pPr>
      <w:r>
        <w:rPr>
          <w:rFonts w:ascii="IRNazanin" w:hAnsi="IRNazanin" w:eastAsia="IRNazanin"/>
          <w:color w:val="111111"/>
          <w:sz w:val="28"/>
          <w:sz w:val="28"/>
          <w:szCs w:val="28"/>
          <w:rtl w:val="true"/>
          <w:lang w:bidi="fa-IR"/>
        </w:rPr>
        <w:t xml:space="preserve">لا شبهة فی صورة التعاقب علی ما عرفت منّا، من أنّ الأصل عدم تداخل الأسباب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تقارنا فقد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الوجوه السابقة تنتهی إلی التداخل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العقلاء فهو غیر واضح عندی فی صورة المقارنة، لقوّة انتقالهم من العلل التکوینیّة فی صورة الاجتماع إلی العلل التشریعیّة، فکما أنّ النار و الشمس متداخلتان فی تسخین الماء حال الاجتماع، فکذلک البول و النوم و الزلزلة و الکسوف و هکذا، فلا یحصل من تقارنهما تعدّد الفعل المشتغل به، فلیتأمّل</w:t>
      </w:r>
      <w:r>
        <w:rPr>
          <w:rFonts w:eastAsia="IRNazanin" w:cs="IRNazanin"/>
          <w:color w:val="111111"/>
          <w:sz w:val="28"/>
          <w:szCs w:val="28"/>
          <w:rtl w:val="true"/>
          <w:lang w:bidi="fa-IR"/>
        </w:rPr>
        <w:t>.</w:t>
      </w:r>
    </w:p>
    <w:p>
      <w:pPr>
        <w:pStyle w:val="Heading6"/>
        <w:numPr>
          <w:ilvl w:val="5"/>
          <w:numId w:val="1"/>
        </w:numPr>
        <w:rPr/>
      </w:pPr>
      <w:bookmarkStart w:id="185" w:name="__RefHeading___Toc559454_3244359995"/>
      <w:bookmarkStart w:id="186" w:name="_Toc70"/>
      <w:bookmarkEnd w:id="185"/>
      <w:r>
        <w:rPr>
          <w:rtl w:val="true"/>
        </w:rPr>
        <w:t>الجهة الثانیة</w:t>
      </w:r>
      <w:r>
        <w:rPr>
          <w:rtl w:val="true"/>
        </w:rPr>
        <w:t xml:space="preserve">: </w:t>
      </w:r>
      <w:r>
        <w:rPr>
          <w:rtl w:val="true"/>
        </w:rPr>
        <w:t>فی حکم التعدّد الشخصی للشرط</w:t>
      </w:r>
      <w:bookmarkEnd w:id="186"/>
    </w:p>
    <w:p>
      <w:pPr>
        <w:pStyle w:val="BookText"/>
        <w:rPr/>
      </w:pPr>
      <w:r>
        <w:rPr>
          <w:rFonts w:ascii="IRNazanin" w:hAnsi="IRNazanin" w:eastAsia="IRNazanin"/>
          <w:color w:val="111111"/>
          <w:sz w:val="28"/>
          <w:sz w:val="28"/>
          <w:szCs w:val="28"/>
          <w:rtl w:val="true"/>
          <w:lang w:bidi="fa-IR"/>
        </w:rPr>
        <w:t>إذا تعدّد الشرط شخصا، فهل هنا تتداخل الأسباب، أم لا؟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المشهور کما عرفت عدم التداخل </w:t>
      </w:r>
      <w:r>
        <w:rPr>
          <w:rStyle w:val="FootnoteAnchor"/>
          <w:rtl w:val="true"/>
        </w:rPr>
        <w:footnoteReference w:id="226"/>
      </w:r>
      <w:r>
        <w:rPr>
          <w:rFonts w:ascii="Amiri" w:hAnsi="Amiri" w:eastAsia="Amiri" w:cs="Amiri"/>
          <w:color w:val="111111"/>
          <w:sz w:val="28"/>
          <w:sz w:val="28"/>
          <w:szCs w:val="28"/>
          <w:rtl w:val="true"/>
          <w:lang w:bidi="ar-SA"/>
        </w:rPr>
        <w:t>، و عن الحلّی رحمه اللَّه التداخل هنا</w:t>
      </w:r>
      <w:r>
        <w:rPr>
          <w:rStyle w:val="FootnoteAnchor"/>
          <w:rtl w:val="true"/>
        </w:rPr>
        <w:footnoteReference w:id="227"/>
      </w:r>
      <w:r>
        <w:rPr>
          <w:rFonts w:ascii="IRNazanin" w:hAnsi="IRNazanin" w:eastAsia="IRNazanin"/>
          <w:color w:val="111111"/>
          <w:sz w:val="28"/>
          <w:sz w:val="28"/>
          <w:szCs w:val="28"/>
          <w:rtl w:val="true"/>
          <w:lang w:bidi="fa-IR"/>
        </w:rPr>
        <w:t xml:space="preserve">و إن قال بعدمه فیما سبق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بعض کلمات الشیخ </w:t>
      </w:r>
      <w:r>
        <w:rPr>
          <w:rStyle w:val="FootnoteAnchor"/>
          <w:rtl w:val="true"/>
        </w:rPr>
        <w:footnoteReference w:id="229"/>
      </w:r>
      <w:r>
        <w:rPr>
          <w:rFonts w:ascii="IRNazanin" w:hAnsi="IRNazanin" w:eastAsia="IRNazanin"/>
          <w:color w:val="111111"/>
          <w:sz w:val="28"/>
          <w:sz w:val="28"/>
          <w:szCs w:val="28"/>
          <w:rtl w:val="true"/>
          <w:lang w:bidi="fa-IR"/>
        </w:rPr>
        <w:t xml:space="preserve">و ما أفاده السیّد الأستاذ البروجردیّ </w:t>
      </w:r>
      <w:r>
        <w:rPr>
          <w:rStyle w:val="FootnoteAnchor"/>
          <w:rtl w:val="true"/>
        </w:rPr>
        <w:footnoteReference w:id="230"/>
      </w:r>
      <w:r>
        <w:rPr>
          <w:rFonts w:ascii="IRNazanin" w:hAnsi="IRNazanin" w:eastAsia="IRNazanin"/>
          <w:color w:val="111111"/>
          <w:sz w:val="28"/>
          <w:sz w:val="28"/>
          <w:szCs w:val="28"/>
          <w:rtl w:val="true"/>
          <w:lang w:bidi="fa-IR"/>
        </w:rPr>
        <w:t xml:space="preserve">، هو عدم التداخل هنا، و التداخل فیما سبق، عکس تفصیل الحلّی </w:t>
      </w:r>
      <w:r>
        <w:rPr>
          <w:rStyle w:val="FootnoteAnchor"/>
          <w:rtl w:val="true"/>
        </w:rPr>
        <w:footnoteReference w:id="2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لا بدّ من الإشارة إلیه هنا أمور، حتی یتّضح حقیقة الأمر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هذه المرحلة لا یتصوّر التقارن، فتکون الوجوه المستند إلیها فی البحث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الراجعة إلی أنّ التصرّف فی إطلاق الشرط یکون من ناحیتین، بخلاف التصرّف فی إطلاق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ساقطة، و هکذا کلّ وجه یرجع إلی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التی أوردها السیّد الأستاذ البروجردی قدس سرُّه علی أساس المسألة من امتناع تقیید الجزاء</w:t>
      </w:r>
      <w:r>
        <w:rPr>
          <w:rStyle w:val="FootnoteAnchor"/>
          <w:rtl w:val="true"/>
        </w:rPr>
        <w:footnoteReference w:id="232"/>
      </w:r>
      <w:r>
        <w:rPr>
          <w:rFonts w:ascii="IRNazanin" w:hAnsi="IRNazanin" w:eastAsia="IRNazanin"/>
          <w:color w:val="111111"/>
          <w:sz w:val="28"/>
          <w:sz w:val="28"/>
          <w:szCs w:val="28"/>
          <w:rtl w:val="true"/>
          <w:lang w:bidi="fa-IR"/>
        </w:rPr>
        <w:t>، تجری هنا، و ما جعلناه مفرّا منها و حلاّ لها فی تلک المرحلة</w:t>
      </w:r>
      <w:r>
        <w:rPr>
          <w:rStyle w:val="FootnoteAnchor"/>
          <w:rtl w:val="true"/>
        </w:rPr>
        <w:footnoteReference w:id="233"/>
      </w:r>
      <w:r>
        <w:rPr>
          <w:rFonts w:ascii="IRNazanin" w:hAnsi="IRNazanin" w:eastAsia="IRNazanin"/>
          <w:color w:val="111111"/>
          <w:sz w:val="28"/>
          <w:sz w:val="28"/>
          <w:szCs w:val="28"/>
          <w:rtl w:val="true"/>
          <w:lang w:bidi="fa-IR"/>
        </w:rPr>
        <w:t>لا یأتی فی هذه المرحلة، ضرورة أنّ تقیید الوضوء و الغسل بعنوان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الجنابة و البول و النوم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ممکنا هناک، و لا یمکن هنا، فلا بدّ من التقیید بوجه آخر و هو المرّة الثانیة و التکرار و غیر ذلک، و سیأتی فی بحث تداخل المسبّبات إشکال هذا النحو من التقیید بما لا مزید علیه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ما استدلّ به لإثبات امتناع التقیید، هو أنّ کلّ واحد من الدلیلین لیس ناظرا إلی الآخر</w:t>
      </w:r>
      <w:r>
        <w:rPr>
          <w:rStyle w:val="FootnoteAnchor"/>
          <w:rtl w:val="true"/>
        </w:rPr>
        <w:footnoteReference w:id="235"/>
      </w:r>
      <w:r>
        <w:rPr>
          <w:rFonts w:ascii="IRNazanin" w:hAnsi="IRNazanin" w:eastAsia="IRNazanin"/>
          <w:color w:val="111111"/>
          <w:sz w:val="28"/>
          <w:sz w:val="28"/>
          <w:szCs w:val="28"/>
          <w:rtl w:val="true"/>
          <w:lang w:bidi="fa-IR"/>
        </w:rPr>
        <w:t>، و هذا فیما نحن فیه غیر تام، لوحدة الدلیل کما لا یخفی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التی أوضحها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علی أساس البحث تأتی هنا، و ما جعلناه جوابا و حلاّ لها</w:t>
      </w:r>
      <w:r>
        <w:rPr>
          <w:rStyle w:val="FootnoteAnchor"/>
          <w:rtl w:val="true"/>
        </w:rPr>
        <w:footnoteReference w:id="237"/>
      </w:r>
      <w:r>
        <w:rPr>
          <w:rFonts w:ascii="IRNazanin" w:hAnsi="IRNazanin" w:eastAsia="IRNazanin"/>
          <w:color w:val="111111"/>
          <w:sz w:val="28"/>
          <w:sz w:val="28"/>
          <w:szCs w:val="28"/>
          <w:rtl w:val="true"/>
          <w:lang w:bidi="fa-IR"/>
        </w:rPr>
        <w:t>لا یأتی هنا، لأنّ المفروض هنا تعدّد</w:t>
      </w:r>
    </w:p>
    <w:p>
      <w:pPr>
        <w:pStyle w:val="BookText"/>
        <w:rPr/>
      </w:pPr>
      <w:r>
        <w:rPr>
          <w:rFonts w:ascii="IRNazanin" w:hAnsi="IRNazanin" w:eastAsia="IRNazanin"/>
          <w:color w:val="111111"/>
          <w:sz w:val="28"/>
          <w:sz w:val="28"/>
          <w:szCs w:val="28"/>
          <w:rtl w:val="true"/>
          <w:lang w:bidi="fa-IR"/>
        </w:rPr>
        <w:t>السبب من نوع واحد، فیکون المراد فی ناحیة السبب واحدا، و المجعول للسببیّة هو النوم، فلا یلزم منه تعدّد الإرادة علی الوجه المحرّر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تعدّد السبب، فلا بدّ و أن یکون ذلک بلحاظ کثرة الوجود، فإذا کان مصداق النوم الموجود أوّل الزوال سببا، فلا بدّ من کون الملحوظ هی الطبیعة المتخصّصة بالوجود، لا نفسها، و حیث إنّ وجود المصداق الثانی غیر وجود المصداق الأوّل، فلا یکون هناک جامع حتّی یکون هو السبب بذاته، فإذا لم یکن جامع فلا بدّ و أن تتعدّد إرادة الإیجاب فی ناحیة الجزاء، و هو یقتضی تعدّد المادّة فی تلک الناحیة حتّی لا یلزم محذور عقلیّ، و هو تعدّد الإرادة التأسیسیّة مع وحدة المتعلّق، کما مرّ مرارا بما لا مزید علیه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أنّ استفادة تعدّد السبب هنا مشکل، لأنّ الإطلاق لا یفید إلاّ أنّ النوم مثلا تمام العلّة، و الإطلاق السریانیّ ممّا لا أساس له، و لأجل هذا یشکل تصویر تعدّد السبب هنا و فی المسألة السابقة علی الوجه المقصود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کلّ نوم یستتبع الوضوء، و کلّ بول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 هذه الشبهة لا بدّ من التوسّل إمّا بفهم العرف أنّ الأمر کذلک، کما فی قوله تعالی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239"/>
      </w:r>
      <w:r>
        <w:rPr>
          <w:rFonts w:ascii="IRNazanin" w:hAnsi="IRNazanin" w:eastAsia="IRNazanin"/>
          <w:color w:val="111111"/>
          <w:sz w:val="28"/>
          <w:sz w:val="28"/>
          <w:szCs w:val="28"/>
          <w:rtl w:val="true"/>
          <w:lang w:bidi="fa-IR"/>
        </w:rPr>
        <w:t xml:space="preserve">و أمثاله، أو بالبحث فرضا، لإمکان أن یوجد فی الفقه أحیانا قرینة لفظیّة فی الأدلّة الخاصّة علی السریان، کما إذا أفید ذلک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أمثالهما، و إلاّ فما هو القدر المتیقّن من تعدّد السبب ما إذا تخلّل الامتثال بین الأسباب، و أمّا إذا لم یتخلّل فلا دلیل علی سببیّة کلّ فرد من النوم، أو علی سببیّة البول و النوم، فلاحظ و اغتنم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فرغنا من المسألة الأصولیّة یکون البحث لغوا، لما</w:t>
      </w:r>
      <w:bookmarkStart w:id="187" w:name="pg13167_140804"/>
    </w:p>
    <w:p>
      <w:pPr>
        <w:pStyle w:val="BookText"/>
        <w:rPr/>
      </w:pPr>
      <w:bookmarkEnd w:id="187"/>
      <w:r>
        <w:rPr>
          <w:rFonts w:ascii="IRNazanin" w:hAnsi="IRNazanin" w:eastAsia="IRNazanin"/>
          <w:color w:val="111111"/>
          <w:sz w:val="28"/>
          <w:sz w:val="28"/>
          <w:szCs w:val="28"/>
          <w:rtl w:val="true"/>
          <w:lang w:bidi="fa-IR"/>
        </w:rPr>
        <w:t>لا یوجد فی الفقه مورد یحرز السببیّة المطلقة حسب الدلیل حتّی یکون صغری هذه المسألة إلاّ شاذّا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حصّلت هذه الأمور، فمن ملاحظة بعض الوجوه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حکم العقلاء، مع قطع النّظر عن القرائن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أصالة عدم التداخل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مفروغیّة المسألة حسب نظر العقلاء عندنا غیر واضحة، و إذا راجعنا الأمثلة الخاصّة فی محیطهم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الأمثلة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کثیرا ما خلاف ذلک، فالحقّ أنّ تأسیس الأصل اللفظیّ و العقلائیّ فی هذه المسألة، فی غایة الإشکال، لاختلاف الأمثلة، و لاختلاف خصوصیّات الموضوعات و الطبائع المأخوذة فی نفس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یرجع القول بالتداخل فی مسألة نواقض الوضوء، و مسوّغات التیمّم، و موجبات الغسل و أمثالها، و لا یظهر لی أنّ ذهاب الأصحاب رحمهم اللَّه فی هذه المواقف إلی التداخل کان لأجل الإجماع أو القرائن الخاصّة، بل ربّما کان ذلک لشهادة نفس الموضوعات علیه، کما تشهد علی عدم التداخل فی مواقف اخر، و یشکل الأمر فی ثالث، و اللَّه ولیّ التوفیق</w:t>
      </w:r>
      <w:r>
        <w:rPr>
          <w:rFonts w:eastAsia="IRNazanin" w:cs="IRNazanin"/>
          <w:color w:val="111111"/>
          <w:sz w:val="28"/>
          <w:szCs w:val="28"/>
          <w:rtl w:val="true"/>
          <w:lang w:bidi="fa-IR"/>
        </w:rPr>
        <w:t>.</w:t>
      </w:r>
    </w:p>
    <w:p>
      <w:pPr>
        <w:pStyle w:val="Heading6"/>
        <w:numPr>
          <w:ilvl w:val="5"/>
          <w:numId w:val="1"/>
        </w:numPr>
        <w:rPr/>
      </w:pPr>
      <w:bookmarkStart w:id="188" w:name="__RefHeading___Toc559456_3244359995"/>
      <w:bookmarkStart w:id="189" w:name="_Toc71"/>
      <w:bookmarkEnd w:id="188"/>
      <w:r>
        <w:rPr>
          <w:rtl w:val="true"/>
        </w:rPr>
        <w:t>الجهة الثالثة</w:t>
      </w:r>
      <w:r>
        <w:rPr>
          <w:rtl w:val="true"/>
        </w:rPr>
        <w:t xml:space="preserve">: </w:t>
      </w:r>
      <w:r>
        <w:rPr>
          <w:rtl w:val="true"/>
        </w:rPr>
        <w:t>حول تعدّد المسبّب و عدمه</w:t>
      </w:r>
      <w:bookmarkEnd w:id="189"/>
    </w:p>
    <w:p>
      <w:pPr>
        <w:pStyle w:val="Heading6"/>
        <w:numPr>
          <w:ilvl w:val="5"/>
          <w:numId w:val="1"/>
        </w:numPr>
        <w:rPr/>
      </w:pPr>
      <w:bookmarkStart w:id="190" w:name="__RefHeading___Toc559458_3244359995"/>
      <w:bookmarkStart w:id="191" w:name="_Toc72"/>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بناء علی تعدّد السبب و المسبّب، فهل یتداخل المسبّب، أم لا، أو یفصّل بین ما إذا تعدّد السبب شخصیّا، و ما لو تعدّد نوعیّا؟</w:t>
      </w:r>
    </w:p>
    <w:p>
      <w:pPr>
        <w:pStyle w:val="BookText"/>
        <w:rPr/>
      </w:pPr>
      <w:r>
        <w:rPr>
          <w:rFonts w:ascii="IRNazanin" w:hAnsi="IRNazanin" w:eastAsia="IRNazanin"/>
          <w:color w:val="111111"/>
          <w:sz w:val="28"/>
          <w:sz w:val="28"/>
          <w:szCs w:val="28"/>
          <w:rtl w:val="true"/>
          <w:lang w:bidi="fa-IR"/>
        </w:rPr>
        <w:t>و الکلام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الثبوت، و أنّه هل یعقل الالتزام بالتداخل، أم 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بعد الفراغ من إمکان التداخل، هل یقتضی القواعد الأوّلیة جوازه، أم لا؟</w:t>
      </w:r>
    </w:p>
    <w:p>
      <w:pPr>
        <w:pStyle w:val="BookText"/>
        <w:rPr/>
      </w:pPr>
      <w:r>
        <w:rPr>
          <w:rFonts w:ascii="IRNazanin" w:hAnsi="IRNazanin" w:eastAsia="IRNazanin"/>
          <w:color w:val="111111"/>
          <w:sz w:val="28"/>
          <w:sz w:val="28"/>
          <w:szCs w:val="28"/>
          <w:rtl w:val="true"/>
          <w:lang w:bidi="fa-IR"/>
        </w:rPr>
        <w:t>و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بعد الفراغ من عدم جواز التداخل و الامتثال مرّة واحدة، فهل هناک دلیل علی التداخل، أم لا؟</w:t>
      </w:r>
    </w:p>
    <w:p>
      <w:pPr>
        <w:pStyle w:val="BookText"/>
        <w:rPr/>
      </w:pPr>
      <w:r>
        <w:rPr>
          <w:rFonts w:ascii="IRNazanin" w:hAnsi="IRNazanin" w:eastAsia="IRNazanin"/>
          <w:color w:val="111111"/>
          <w:sz w:val="28"/>
          <w:sz w:val="28"/>
          <w:szCs w:val="28"/>
          <w:rtl w:val="true"/>
          <w:lang w:bidi="fa-IR"/>
        </w:rPr>
        <w:t>و قبل الخوض فی هذه المقامات لا بدّ من تقدیم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تقیید الجزاء فیما یتعدّد السبب نوعا، و یکون الجزاء ممّا لا یکون له الموضوع، بل الجزاء مشتملا علی الحکم و المتعلّق کما فی الأغسال و أمثالها، ممکن و واضح، و یکون نتیجة التقیید تباین الجزاءین، فإنّ غسل الجمعة و الجنابة بعد التقیید متباینان بالضرورة، و لا یتصوّر هنا التقیید علی وجه تکون النسبة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تعدّد السبب شخصیّا یکون تقیید الجزاء علی سبیل آخر، فیکون الغسل متقیّدا بالجنابة الأولی و الثانیة، أو یتقیّد الوضوء بالمرّة و المرّة الثانیة، أو الفرد الثانی مریدا بذلک عنوان الفرد، لا الفرد الخارجیّ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للجزاء موضوع زائد علی المتعلّق،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یمکن تقییدهما علی وجه تکون النسبة بینهما عموما مطلقا، یمکن تقییدهما علی وجه تکون النسبة بینهما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یقیّد بقولک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الرقبة 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 العالمة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یقیّد بالقرشیّة و غیر القرشیّة و هکذا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إمکان تقیید الطائفة الأولی علی وجه تکون النسبة عموما مطلقا، فهو محلّ الخلاف، و هکذا الطائفة الثانیة و المحرّر منّا فی محلّه امتناعه </w:t>
      </w:r>
      <w:r>
        <w:rPr>
          <w:rStyle w:val="FootnoteAnchor"/>
          <w:rtl w:val="true"/>
        </w:rPr>
        <w:footnoteReference w:id="240"/>
      </w:r>
      <w:r>
        <w:rPr>
          <w:rFonts w:ascii="IRNazanin" w:hAnsi="IRNazanin" w:eastAsia="IRNazanin"/>
          <w:color w:val="111111"/>
          <w:sz w:val="28"/>
          <w:sz w:val="28"/>
          <w:szCs w:val="28"/>
          <w:rtl w:val="true"/>
          <w:lang w:bidi="fa-IR"/>
        </w:rPr>
        <w:t>، لأنّه کما یمتنع تعدّد الوجوب التأسیسیّ مع وحدة المتعلّق، کذلک فی هذه الصورة، کما لا یخفی وجهه، و مرّ تفصیله فی بحوث الضدّ</w:t>
      </w:r>
      <w:r>
        <w:rPr>
          <w:rStyle w:val="FootnoteAnchor"/>
          <w:rtl w:val="true"/>
        </w:rPr>
        <w:footnoteReference w:id="241"/>
      </w:r>
      <w:r>
        <w:rPr>
          <w:rFonts w:ascii="IRNazanin" w:hAnsi="IRNazanin" w:eastAsia="IRNazanin"/>
          <w:color w:val="111111"/>
          <w:sz w:val="28"/>
          <w:sz w:val="28"/>
          <w:szCs w:val="28"/>
          <w:rtl w:val="true"/>
          <w:lang w:bidi="fa-IR"/>
        </w:rPr>
        <w:t xml:space="preserve">و اجتماع الأمر و النهی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192" w:name="pg13167_140806"/>
    </w:p>
    <w:p>
      <w:pPr>
        <w:pStyle w:val="Heading6"/>
        <w:numPr>
          <w:ilvl w:val="5"/>
          <w:numId w:val="1"/>
        </w:numPr>
        <w:rPr/>
      </w:pPr>
      <w:bookmarkStart w:id="193" w:name="__RefHeading___Toc559460_3244359995"/>
      <w:bookmarkStart w:id="194" w:name="_Toc73"/>
      <w:bookmarkEnd w:id="192"/>
      <w:bookmarkEnd w:id="193"/>
      <w:r>
        <w:rPr>
          <w:rtl w:val="true"/>
        </w:rPr>
        <w:t>المقام الأوّل</w:t>
      </w:r>
      <w:r>
        <w:rPr>
          <w:rtl w:val="true"/>
        </w:rPr>
        <w:t xml:space="preserve">: </w:t>
      </w:r>
      <w:r>
        <w:rPr>
          <w:rtl w:val="true"/>
        </w:rPr>
        <w:t>فی إمکان تداخل المسبّب ثبوتا</w:t>
      </w:r>
      <w:bookmarkEnd w:id="194"/>
    </w:p>
    <w:p>
      <w:pPr>
        <w:pStyle w:val="BookText"/>
        <w:rPr/>
      </w:pPr>
      <w:r>
        <w:rPr>
          <w:rFonts w:ascii="IRNazanin" w:hAnsi="IRNazanin" w:eastAsia="IRNazanin"/>
          <w:color w:val="111111"/>
          <w:sz w:val="28"/>
          <w:sz w:val="28"/>
          <w:szCs w:val="28"/>
          <w:rtl w:val="true"/>
          <w:lang w:bidi="fa-IR"/>
        </w:rPr>
        <w:t>إذا تبیّنت هذه المقدّمة بتفصیل منّا، فالکلام یقع فی المقام الأوّل و مرحلة الثبوت، و هناک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الشیخ الأعظم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دعوی امتناع تداخل المسبّبین، و ذلک لأنّ متعلّق التکالیف حینئذ هو الفرد المغایر للفرد الواجب بالسّبب الأوّل، و لا یعقل تداخل الفردین من ماهیّة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یعقل ورود دلیل علی التداخل أیضا علی ذلک التقدیر إلاّ أن یکون ناسخا لحکم السببیّة</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یتمّ فیما لو تعدّد السبب نوعا، فإنّ الغسل لأجل ورود القید علیه یکون متنوّعا بنوعین، و لا یکون هنا فرد أو فردان من ماهیّة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یکون الفرد الخارجیّ مورد الأمر حتّی یمتنع التداخل، بل ما هو مورد الأمر لو کان فهو عنوان الفرد بالحمل الأوّلی، و عندئذ یمکن دعوی کفایة المصداق المنطبق علیه العنوانان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ترشّح الإرادتین علی واحد 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البعث إلی الفردین منه من غیر تقیید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لأمکن الالتزام بالتداخل، بل یتعیّن التداخل کما یأتی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فی بعض الأحیان، تکون النسبة بین الجزاءین بعد التقیید عموما من وجه، و إمکان الالتزام بالتداخل هنا موجود أیضا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بالامتناع، و هو أنّ قضیّة امتناع</w:t>
      </w:r>
    </w:p>
    <w:p>
      <w:pPr>
        <w:pStyle w:val="BookText"/>
        <w:rPr/>
      </w:pPr>
      <w:r>
        <w:rPr>
          <w:rFonts w:ascii="IRNazanin" w:hAnsi="IRNazanin" w:eastAsia="IRNazanin"/>
          <w:color w:val="111111"/>
          <w:sz w:val="28"/>
          <w:sz w:val="28"/>
          <w:szCs w:val="28"/>
          <w:rtl w:val="true"/>
          <w:lang w:bidi="fa-IR"/>
        </w:rPr>
        <w:t>اجتماع الحکمین المتضادّین علی واحد، امتناع اجتماع الحکمین المتماثلین علی واحد، فلو کان القید المفروض فی الجزاء موجبا لکون النسبة بین الجزاءین تباینا، فلا یعقل التداخل بین المتباینات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موجبا لکون النسبة عموما من وجه مثلا، فیلزم اجتماع المثلین علی واحد شخصیّ إذا أرید الامتثال الواحد المجتمع فیه العنوان، للزوم کون المجمع معروض الوجوبین، و هو أیضا ممتنع، فعلی هذا لا یعقل التداخل حتّی یبحث عن مسألته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تحرّر فی محلّه </w:t>
      </w:r>
      <w:r>
        <w:rPr>
          <w:rStyle w:val="FootnoteAnchor"/>
          <w:rtl w:val="true"/>
        </w:rPr>
        <w:footnoteReference w:id="246"/>
      </w:r>
      <w:r>
        <w:rPr>
          <w:rFonts w:ascii="IRNazanin" w:hAnsi="IRNazanin" w:eastAsia="IRNazanin"/>
          <w:color w:val="111111"/>
          <w:sz w:val="28"/>
          <w:sz w:val="28"/>
          <w:szCs w:val="28"/>
          <w:rtl w:val="true"/>
          <w:lang w:bidi="fa-IR"/>
        </w:rPr>
        <w:t>أوّلا، و أنّ التماثل و التضادّ ممنوع بین الأحکام ثانیا، و بأنّ الخارج ظرف الاتصاف لا الوجود ثالثا،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یتّحد السبب نوعا و یتعدّد بالشخص، إن قیّد الجزاء علی صورة التکثیر الفردیّ بأن یقال بعد السبب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السبب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معقول، لأجل أنّ الإطلاق الأوّل أیضا لا بدّ و أن یطرأ علیه القید کما عرفت </w:t>
      </w:r>
      <w:r>
        <w:rPr>
          <w:rStyle w:val="FootnoteAnchor"/>
          <w:rtl w:val="true"/>
        </w:rPr>
        <w:footnoteReference w:id="247"/>
      </w:r>
      <w:r>
        <w:rPr>
          <w:rFonts w:ascii="IRNazanin" w:hAnsi="IRNazanin" w:eastAsia="IRNazanin"/>
          <w:color w:val="111111"/>
          <w:sz w:val="28"/>
          <w:sz w:val="28"/>
          <w:szCs w:val="28"/>
          <w:rtl w:val="true"/>
          <w:lang w:bidi="fa-IR"/>
        </w:rPr>
        <w:t>، و لا یمکن بقاؤه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الجزاء فی هذه الفرض یصیر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وضوءین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إشکال عقلیّ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إذا توضّأ مرّة واحدة فقط، فیلزم أحد الأمور الآتیة علی سبیل منع الخلوّ، و الکلّ باطل، ضرورة أنّ الوضوء المزبور لا لون له حتّی یسقط به أحد الأمرین معیّنا، فإمّا یلزم سقوطهما، أو سقوط واحد منهما لا بعینه، أو عدم سقوطهما، و الکلّ غیر جائز</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فعندئذ لا بدّ من تقیید الوجود علی وجه یکون له لون خاصّ، و هذا أیضا</w:t>
      </w:r>
    </w:p>
    <w:p>
      <w:pPr>
        <w:pStyle w:val="BookText"/>
        <w:rPr/>
      </w:pPr>
      <w:r>
        <w:rPr>
          <w:rFonts w:ascii="IRNazanin" w:hAnsi="IRNazanin" w:eastAsia="IRNazanin"/>
          <w:color w:val="111111"/>
          <w:sz w:val="28"/>
          <w:sz w:val="28"/>
          <w:szCs w:val="28"/>
          <w:rtl w:val="true"/>
          <w:lang w:bidi="fa-IR"/>
        </w:rPr>
        <w:t>یستلزم إشکالا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جواز الاکتفاء بالوضوءات بعد تکرّر أسبابها، و عدم جواز الاکتفاء بصلاة الآیات عند تحقّق الزلازل الکثیرة، لأنّ کلّ جزاء متلوّن بلون مخصوص به لا بدّ من قصده حین الامتثال، لتعلّق الأمر به کسائر القیود الذهنیّة، و هذا ممّا لا یلتزم به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قیّد الوضوء المتعقّب بالنوم الأوّل بالوضوء الأوّل الکذائیّ، فیلزم أن یکون ذلک قیدا و لو لم یتعقّبه النوم الثانی، مع أنّ الضرورة قاضیة بخلافه، فإنّ تقیید الوضوء عقیب النوم الأوّل لأجل السبب و النوم الثانی، و إلاّ فلا یکون له المقیّد، و لا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یلزم إشکال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فی الشریعة و فی القانون، کیف یتصوّر القید علی وجه لا یلزم التلاعب فی إرادة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فلیتأمّل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دفع الشبهة الأخیرة بأنّ المجعول یکون علی نحو القضیّة الحقیقیّة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مصداق من النوم سبب لوضوء یخصّ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یستفاد من القانون أنّ کلّ مصداق من النوم أو البول و هکذا، یستتبع مصداقا من الوضوء، من غیر الحاجة فی هذا المقام إلی التقیید بالسبب الأوّل أو الثانی، حتّی تلزم الشبهة و الإشکال الثانی الّذی مرّ فی کلامنا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فی مقام الامتثال إذا امتثل المکلّف واحدا من الوضوءات، فلا بدّ أن یلزم علی سبیل منع الخلوّ أحد المحاذیر المزبورة، فهو مندفع بما تحرّر منّا فی کتاب الصوم عند ما أفتی الأصحاب رحمهم اللَّه بأنّه لا یعتبر فی نیّة قضاء</w:t>
      </w:r>
      <w:bookmarkStart w:id="195" w:name="pg13167_140809"/>
    </w:p>
    <w:p>
      <w:pPr>
        <w:pStyle w:val="BookText"/>
        <w:rPr/>
      </w:pPr>
      <w:bookmarkEnd w:id="195"/>
      <w:r>
        <w:rPr>
          <w:rFonts w:ascii="IRNazanin" w:hAnsi="IRNazanin" w:eastAsia="IRNazanin"/>
          <w:color w:val="111111"/>
          <w:sz w:val="28"/>
          <w:sz w:val="28"/>
          <w:szCs w:val="28"/>
          <w:rtl w:val="true"/>
          <w:lang w:bidi="fa-IR"/>
        </w:rPr>
        <w:t>شهر رمضان قصد الیوم المعیّن، بل یکفی أن یأتی بقضاء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القیود المزبورة العقلیّة دفعا للشبهة فی مقام الامتثال بل و فی مقام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تعلّق الإرادة المتعدّدة بالعنوان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بدّ منها و من قصدها، و عدم التزام الفقهاء بذلک لا یوجب خللا فی المسألة،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مثل قضاء رمضان و الصلوات التزمنا بأنّ المأمور به واحد،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هناک إثباتا</w:t>
      </w:r>
      <w:r>
        <w:rPr>
          <w:rStyle w:val="FootnoteAnchor"/>
          <w:rtl w:val="true"/>
        </w:rPr>
        <w:footnoteReference w:id="249"/>
      </w:r>
      <w:r>
        <w:rPr>
          <w:rFonts w:ascii="IRNazanin" w:hAnsi="IRNazanin" w:eastAsia="IRNazanin"/>
          <w:color w:val="111111"/>
          <w:sz w:val="28"/>
          <w:sz w:val="28"/>
          <w:szCs w:val="28"/>
          <w:rtl w:val="true"/>
          <w:lang w:bidi="fa-IR"/>
        </w:rPr>
        <w:t>، و أمّا فیما نحن فیه فلا یمکن، لأن کلّ واحد منها أداء، کما فی صلوات الآیات بالنسبة إلی سببیّة کلّ زلزلة، و هکذا فی کلّ مورد یکون المسبّب باقیا علی أدائیّته، و لا یکون المجموع مورد الأمر علی حدة، فإنّه خروج عن مسألة التداخل کما لا یخفی</w:t>
      </w:r>
      <w:r>
        <w:rPr>
          <w:rFonts w:eastAsia="IRNazanin" w:cs="IRNazanin"/>
          <w:color w:val="111111"/>
          <w:sz w:val="28"/>
          <w:szCs w:val="28"/>
          <w:rtl w:val="true"/>
          <w:lang w:bidi="fa-IR"/>
        </w:rPr>
        <w:t>.</w:t>
      </w:r>
    </w:p>
    <w:p>
      <w:pPr>
        <w:pStyle w:val="Heading6"/>
        <w:numPr>
          <w:ilvl w:val="5"/>
          <w:numId w:val="1"/>
        </w:numPr>
        <w:rPr/>
      </w:pPr>
      <w:bookmarkStart w:id="196" w:name="__RefHeading___Toc559462_3244359995"/>
      <w:bookmarkStart w:id="197" w:name="_Toc74"/>
      <w:bookmarkEnd w:id="196"/>
      <w:r>
        <w:rPr>
          <w:rtl w:val="true"/>
        </w:rPr>
        <w:t>المقام الثانی</w:t>
      </w:r>
      <w:r>
        <w:rPr>
          <w:rtl w:val="true"/>
        </w:rPr>
        <w:t xml:space="preserve">: </w:t>
      </w:r>
      <w:r>
        <w:rPr>
          <w:rtl w:val="true"/>
        </w:rPr>
        <w:t>فی مقتضی القواعد الأوّلیّة بعد إمکان التداخل عقلا</w:t>
      </w:r>
      <w:bookmarkEnd w:id="197"/>
    </w:p>
    <w:p>
      <w:pPr>
        <w:pStyle w:val="BookText"/>
        <w:rPr/>
      </w:pPr>
      <w:r>
        <w:rPr>
          <w:rFonts w:ascii="IRNazanin" w:hAnsi="IRNazanin" w:eastAsia="IRNazanin"/>
          <w:color w:val="111111"/>
          <w:sz w:val="28"/>
          <w:sz w:val="28"/>
          <w:szCs w:val="28"/>
          <w:rtl w:val="true"/>
          <w:lang w:bidi="fa-IR"/>
        </w:rPr>
        <w:t>لا شبهة فی عدم التداخل فی مرحلة الإثبات إذا کان تقیید الجزاء علی نعت التباین، بحیث کان الوضوء المسبّب عن البول بحسب الخصوصیّة الخارجیّة من الأجزاء أو الترتیب، غیر الوضوء المسبّب عن البول الآخر أو النوم، لامتناع کون هذا مسقطا لأمر آخر متعلّق بشی‌ء آخر و إن کان بحسب الاسم و الطبیعة واحدا عرفا، کما لا یعقل إجزاء صلاة المغرب عن العشاء، و هذا واضح</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إذا کان القید الوارد علی الجزاء قیدا ذهنیّا،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أمثالهما ممّا لا یرتبط بطبیعة الجزاء بحسب الأجزاء الخارجیّة، و کان المکلّف یرید حین الغسل القید المزبور الذهنیّ، من غیر قصد آخر، فإنّه أیضا لا معنی لصحّة الاجتزاء به عن الآخر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الإشکال فیما إذا قصد القیود الذهنیّة الواردة علی الطبیعة، کما إذا قصد حین الغسل الجمعة و الجنابة و مسّ المیت و الزیارة و هکذا، أو القیود الذهنیّة الواردة علی طبیعة الجزاء فیما یکون السبب متعدّدا بالشخص، فإنّه ربّما یمکن أن یقال بالتداخل، و ذلک لأن المکلّف یتمکّن من أن یجیب عن کلّ أمر، فإنّ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یدعو إلاّ إلی طبیعة الغسل مع قصد، و هو قد امتثله، و هکذا سائر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تعدّد السبب نوعا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تعدّد السبب شخصا فیمکن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فرد من السبب یدعو إلی فرد من طبیعة الجزاء، و هو لا یحصل إلاّ بتکرار الوضوء بحسب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دعوی جواز التداخل فی صورة تعدّد السبب نوعا، لما أنّه لا یکون الجزاء إلاّ نفس الطبیعة المتقیّدة، و قد امتثل المکلّف أمرها، و أمّا فی صورة تعدّد السبب شخصا فلا بدّ من تعدّد المسبّب شخصا، و هو لا یعقل إلاّ بتعدّد المصداق الخارجیّ، و لا یکفی المصداق الواحد، فلیتأمّل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کان تقیید الجزاء علی نعت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إذا کان علی نعت العموم من وجه و غیر التباین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 عن جواز هذا النحو من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تداخل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جوازه فالظاهر ذلک، لأنّه لا دلیل علی لزوم کون القید الوارد علی الجزاء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أفطرت 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ظاهرت 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لتباین الجزاءین، لأنّ وجه التقیید هو العقل، و هو لا یقتضی أزید من ذلک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تداخلها، فالتفصیل الّذی عرفت منّا هناک یأتی هنا، و هو ما إذا تعدّد السبب نوعا، فلا یقتضی کلّ سبب إلاّ طبیعة عتق الرقبة الهاشمیّة، و طبیعة عتق الرقبة العالمة، و فی صورة التصادق علی واحدة یلزم سقوط الأمرین، لتمامیة الجواب بالضرورة</w:t>
      </w:r>
      <w:r>
        <w:rPr>
          <w:rFonts w:eastAsia="IRNazanin" w:cs="IRNazanin"/>
          <w:color w:val="111111"/>
          <w:sz w:val="28"/>
          <w:szCs w:val="28"/>
          <w:rtl w:val="true"/>
          <w:lang w:bidi="fa-IR"/>
        </w:rPr>
        <w:t>.</w:t>
      </w:r>
      <w:bookmarkStart w:id="198" w:name="pg13167_140811"/>
    </w:p>
    <w:p>
      <w:pPr>
        <w:pStyle w:val="BookText"/>
        <w:rPr/>
      </w:pPr>
      <w:bookmarkEnd w:id="198"/>
      <w:r>
        <w:rPr>
          <w:rFonts w:ascii="IRNazanin" w:hAnsi="IRNazanin" w:eastAsia="IRNazanin"/>
          <w:color w:val="111111"/>
          <w:sz w:val="28"/>
          <w:sz w:val="28"/>
          <w:szCs w:val="28"/>
          <w:rtl w:val="true"/>
          <w:lang w:bidi="fa-IR"/>
        </w:rPr>
        <w:t>نعم، إذا کان القید موجبا لتباینهما بحسب الخارج، فیکون أحدهما أبیض، و الآخر أسود فلا یمکن،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تعدّد السبب شخصا فلا بدّ من القول بعدم التداخل، قضاء لحقّ اقتضاء کلّ مصداق من السبب مصداقا من المسبّب و الجزاء، و لو کان ذلک مصداقا عنوانیّا، فلیتأمّل جیّدا، فإنّه جدیر به</w:t>
      </w:r>
      <w:r>
        <w:rPr>
          <w:rFonts w:eastAsia="IRNazanin" w:cs="IRNazanin"/>
          <w:color w:val="111111"/>
          <w:sz w:val="28"/>
          <w:szCs w:val="28"/>
          <w:rtl w:val="true"/>
          <w:lang w:bidi="fa-IR"/>
        </w:rPr>
        <w:t>.</w:t>
      </w:r>
    </w:p>
    <w:p>
      <w:pPr>
        <w:pStyle w:val="Heading6"/>
        <w:numPr>
          <w:ilvl w:val="5"/>
          <w:numId w:val="1"/>
        </w:numPr>
        <w:rPr/>
      </w:pPr>
      <w:bookmarkStart w:id="199" w:name="__RefHeading___Toc559464_3244359995"/>
      <w:bookmarkStart w:id="200" w:name="_Toc75"/>
      <w:bookmarkEnd w:id="199"/>
      <w:r>
        <w:rPr>
          <w:rtl w:val="true"/>
        </w:rPr>
        <w:t>المقام الثالث</w:t>
      </w:r>
      <w:r>
        <w:rPr>
          <w:rtl w:val="true"/>
        </w:rPr>
        <w:t xml:space="preserve">: </w:t>
      </w:r>
      <w:r>
        <w:rPr>
          <w:rtl w:val="true"/>
        </w:rPr>
        <w:t>فی الدلیل الخارجیّ علی التداخل</w:t>
      </w:r>
      <w:bookmarkEnd w:id="200"/>
    </w:p>
    <w:p>
      <w:pPr>
        <w:pStyle w:val="BookText"/>
        <w:rPr/>
      </w:pPr>
      <w:r>
        <w:rPr>
          <w:rFonts w:ascii="IRNazanin" w:hAnsi="IRNazanin" w:eastAsia="IRNazanin"/>
          <w:color w:val="111111"/>
          <w:sz w:val="28"/>
          <w:sz w:val="28"/>
          <w:szCs w:val="28"/>
          <w:rtl w:val="true"/>
          <w:lang w:bidi="fa-IR"/>
        </w:rPr>
        <w:t>و 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إجزاء الغسل الواحد عن الأغسال المتعدّدة فیما یتعدّد السبب نوعا، یکون علی وفق القاعدة التی حرّرناها، و فیما یتعدّد السبب شخصا یحتاج التداخل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التصرّف فی مقام الامتثال إلاّ بالتصرّف فی مقام الجعل، و لا یعقل أوسعیة مقام الامتثال عن مقام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بعد کون الفعل المشتغل به متعدّدا فی الاعتبار و فی الذمّة، و یکون المفروض کون کلّ نوم سببا لوضوء مخصوص به، تداخل المسبّبات إلاّ برجوعه إلی تداخل الأسباب، و صیرورة الذمّة مشغولة بالواحد، و ذلک لأنّ اعتبار التعدّد لغو و إن کان یمکن انطباق المأمور به علی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یمکن انطباقه علیه بعد فرض أنّ معلول کلّ واحد من أشخاص النوم، فرد من الوضوء غیر الفرد الآخر فی الاعتبار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ما أفاده الشیخ قدس سرُّه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تداخل الفردین ممتنع و إن کانا فردین عنوانا، لأنّ لحاظ الفردیّة ممّا یتقوّم به تعدّد المسبّب فی الذمّة، و إذا کان الأمر</w:t>
      </w:r>
    </w:p>
    <w:p>
      <w:pPr>
        <w:pStyle w:val="BookText"/>
        <w:rPr/>
      </w:pPr>
      <w:r>
        <w:rPr>
          <w:rFonts w:ascii="IRNazanin" w:hAnsi="IRNazanin" w:eastAsia="IRNazanin"/>
          <w:color w:val="111111"/>
          <w:sz w:val="28"/>
          <w:sz w:val="28"/>
          <w:szCs w:val="28"/>
          <w:rtl w:val="true"/>
          <w:lang w:bidi="fa-IR"/>
        </w:rPr>
        <w:t>کذلک، فکیف یتمکّن المولی من الترخیص بالاکتفاء بواحد عن الأفراد إلاّ بذهوله عن لحاظ الفردیّة الراجع إلی ذهوله عن الأسباب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فالتصرّف فی مقام الامتثال فیما یقتضی القواعد جواز التداخل جائز، و لیس بلازم، و فیما تقتضی القواعد عدم التداخل غیر جائز و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فیما یتعدّد السبب نوعا یمکن التداخل، لأجل أنّ الجزاء هی الطبیعة المتقیّدة بالقیود، القابلة للجمع فی الذهن مع وحدة تلک الطبیعة، کما فی الأغسال المتنوّعة بالقیود الذهنیّة، و أمّا فیما کان الجزاء عنوان مصداق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کلّ فرد من النوم یقتضی فردا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تنطبق العناوین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الالتزام بالإجزاء هنا حسب القواعد و الشرع أیضا، لأنّ ما هو فی الجزاء مورد الأمر هو الفرد العنوانیّ و المصداق المفهومیّ، لا الخارجیّ، فإذن یجوز الاکتفاء بقصد القیود المأخوذة فی الجزاء، و الإتیان بمصداق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یتصوّر أن یتصرّف الشرع فی مقام الامتثال، إلاّ بعد التصرّف فی مقام الجعل، فلا یجوز أن یکتفی بالغسل مع نیّة الجنابة عن سائر الأغسال الاخر من دون أن ینویها، أو یجتزئ بغسل بلا نیّة خاصّة عن سائر الأغسال إلاّ بعد انصرافه عن مطلوبه، و إذا صار مطلوبه واحدا فیرجع إلی وحدة المسبّب الراجعة إلی وحدة السبب، و هذا هو ما أشرنا إلیه فی صدر المسألة، من أنّ أوسعیّة مقام الامتثال ممّا لا یعقل، و یرجع ذلک إلی التصرّف فی مقام الجعل، کما فی جمیع القواعد المضروبة فی مقام الامتثال، کقاعدة التجاوز و أمثالها، فلاحظ و اغتنم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الإقرار بتعدّد السبب و المسبّب، لا یعقل تداخل السبب تعبّدا إلاّ برجوعه إلی وحدة المسبّب الملازمة لوحدة السبب</w:t>
      </w:r>
      <w:r>
        <w:rPr>
          <w:rFonts w:eastAsia="IRNazanin" w:cs="IRNazanin"/>
          <w:color w:val="111111"/>
          <w:sz w:val="28"/>
          <w:szCs w:val="28"/>
          <w:rtl w:val="true"/>
          <w:lang w:bidi="fa-IR"/>
        </w:rPr>
        <w:t>.</w:t>
      </w:r>
      <w:bookmarkStart w:id="201" w:name="pg13167_140813"/>
    </w:p>
    <w:p>
      <w:pPr>
        <w:pStyle w:val="BookText"/>
        <w:rPr/>
      </w:pPr>
      <w:bookmarkEnd w:id="201"/>
      <w:r>
        <w:rPr>
          <w:rFonts w:ascii="IRNazanin" w:hAnsi="IRNazanin" w:eastAsia="IRNazanin"/>
          <w:color w:val="111111"/>
          <w:sz w:val="28"/>
          <w:sz w:val="28"/>
          <w:szCs w:val="28"/>
          <w:rtl w:val="true"/>
          <w:lang w:bidi="fa-IR"/>
        </w:rPr>
        <w:t>نعم، فیما یجوز التداخل عقلا یصحّ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مورد یحکم عرفا بعدم جواز التداخل، یمکن أن یحکم شرعا بالتداخل، لما لا یلزم منه المحذور کما لا یخفی</w:t>
      </w:r>
      <w:r>
        <w:rPr>
          <w:rFonts w:eastAsia="IRNazanin" w:cs="IRNazanin"/>
          <w:color w:val="111111"/>
          <w:sz w:val="28"/>
          <w:szCs w:val="28"/>
          <w:rtl w:val="true"/>
          <w:lang w:bidi="fa-IR"/>
        </w:rPr>
        <w:t>.</w:t>
      </w:r>
    </w:p>
    <w:p>
      <w:pPr>
        <w:pStyle w:val="Heading5"/>
        <w:numPr>
          <w:ilvl w:val="4"/>
          <w:numId w:val="1"/>
        </w:numPr>
        <w:rPr/>
      </w:pPr>
      <w:bookmarkStart w:id="202" w:name="__RefHeading___Toc559466_3244359995"/>
      <w:bookmarkStart w:id="203" w:name="_Toc76"/>
      <w:bookmarkEnd w:id="202"/>
      <w:r>
        <w:rPr>
          <w:rtl w:val="true"/>
        </w:rPr>
        <w:t>التنبیه السادس</w:t>
      </w:r>
      <w:r>
        <w:rPr>
          <w:rtl w:val="true"/>
        </w:rPr>
        <w:t xml:space="preserve">: </w:t>
      </w:r>
      <w:r>
        <w:rPr>
          <w:rtl w:val="true"/>
        </w:rPr>
        <w:t>فی استعراض بعض الشرطیّات و بیان أحکامها</w:t>
      </w:r>
      <w:bookmarkEnd w:id="203"/>
    </w:p>
    <w:p>
      <w:pPr>
        <w:pStyle w:val="Heading6"/>
        <w:numPr>
          <w:ilvl w:val="5"/>
          <w:numId w:val="1"/>
        </w:numPr>
        <w:rPr/>
      </w:pPr>
      <w:bookmarkStart w:id="204" w:name="__RefHeading___Toc559468_3244359995"/>
      <w:bookmarkStart w:id="205" w:name="_Toc77"/>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قد تبیّن فی أثناء البحوث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المقصود هنا هی القضیّة المستفادة من المنطوق، حسب التقاریب الماضیة</w:t>
      </w:r>
      <w:r>
        <w:rPr>
          <w:rStyle w:val="FootnoteAnchor"/>
          <w:rtl w:val="true"/>
        </w:rPr>
        <w:footnoteReference w:id="251"/>
      </w:r>
      <w:r>
        <w:rPr>
          <w:rFonts w:ascii="IRNazanin" w:hAnsi="IRNazanin" w:eastAsia="IRNazanin"/>
          <w:color w:val="111111"/>
          <w:sz w:val="28"/>
          <w:sz w:val="28"/>
          <w:szCs w:val="28"/>
          <w:rtl w:val="true"/>
          <w:lang w:bidi="fa-IR"/>
        </w:rPr>
        <w:t>، و أنّها متّحدة مع القضیة المنطوق بها فی جمیع القیود إلاّ فی ناحیة الکیف فی الجزاء، و فی انقلاب الشرط فی المقدّم، فیکون مفهوم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یوم الجمعة فأکرمه إکراما یلیق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یجئک زید یوم الجمعة فلا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إکرامه علی النحو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فالقیود المأخوذة فی ناحیة المقدّم و التالی، کلّها محفوظة فی ناحیة المفهوم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لو کان العنوان المأخوذ فی الجزاء صرف الوجود، أو الطبیعة، أو العامّ المجموعیّ، یکون الأمر کذلک فی ناحیة المفهوم، فیکون مفاد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 مجموع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لم یجئک زید فلا تکرم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الشرط المزبور علّة تامّة منحصرة فی القضیّة المذکورة لإیجاب إکرام مجموع العلماء، أو یکون قضیّة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المحرّر عندنا</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لإیجاب إکرام مجموع العلماء، و لا یکون هناک سبب آخر یستتبع ذلک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انتفی السبب ینتفی شخص الحکم بالضرورة، و سنخ الحکم حسب القول بالمفهوم، و تصیر النتیجة انتفاء إیجاب إکرام المجموع، و أنّه لا سبب لإیجاب إکرام المجموع و هو یجتمع مع وجود السبب لإیجاب إکرام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دلّ الدلیل علی</w:t>
      </w:r>
      <w:bookmarkStart w:id="206" w:name="pg13167_140814"/>
    </w:p>
    <w:p>
      <w:pPr>
        <w:pStyle w:val="BookText"/>
        <w:rPr/>
      </w:pPr>
      <w:bookmarkEnd w:id="206"/>
      <w:r>
        <w:rPr>
          <w:rFonts w:ascii="IRNazanin" w:hAnsi="IRNazanin" w:eastAsia="IRNazanin"/>
          <w:color w:val="111111"/>
          <w:sz w:val="28"/>
          <w:sz w:val="28"/>
          <w:szCs w:val="28"/>
          <w:rtl w:val="true"/>
          <w:lang w:bidi="fa-IR"/>
        </w:rPr>
        <w:t xml:space="preserve">إیجاب إکرام طائفة منهم، أو فرد منهم، فهو لیس یعارض المفهوم عندنا، و لا المنطوق عند المتأخّرین </w:t>
      </w:r>
      <w:r>
        <w:rPr>
          <w:rStyle w:val="FootnoteAnchor"/>
          <w:rtl w:val="true"/>
        </w:rPr>
        <w:footnoteReference w:id="253"/>
      </w:r>
      <w:r>
        <w:rPr>
          <w:rFonts w:ascii="IRNazanin" w:hAnsi="IRNazanin" w:eastAsia="IRNazanin"/>
          <w:color w:val="111111"/>
          <w:sz w:val="28"/>
          <w:sz w:val="28"/>
          <w:szCs w:val="28"/>
          <w:rtl w:val="true"/>
          <w:lang w:bidi="fa-IR"/>
        </w:rPr>
        <w:t>بالقطع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إلی هنا فی جهة ممّا ذکرنا، و إنّما الکلام فی بعض جهات اخر</w:t>
      </w:r>
      <w:r>
        <w:rPr>
          <w:rFonts w:eastAsia="IRNazanin" w:cs="IRNazanin"/>
          <w:color w:val="111111"/>
          <w:sz w:val="28"/>
          <w:szCs w:val="28"/>
          <w:rtl w:val="true"/>
          <w:lang w:bidi="fa-IR"/>
        </w:rPr>
        <w:t>:</w:t>
      </w:r>
    </w:p>
    <w:p>
      <w:pPr>
        <w:pStyle w:val="Heading6"/>
        <w:numPr>
          <w:ilvl w:val="5"/>
          <w:numId w:val="1"/>
        </w:numPr>
        <w:rPr/>
      </w:pPr>
      <w:bookmarkStart w:id="207" w:name="__RefHeading___Toc559470_3244359995"/>
      <w:bookmarkStart w:id="208" w:name="_Toc78"/>
      <w:bookmarkEnd w:id="207"/>
      <w:r>
        <w:rPr>
          <w:rtl w:val="true"/>
        </w:rPr>
        <w:t>الجهة الأولی</w:t>
      </w:r>
      <w:r>
        <w:rPr>
          <w:rtl w:val="true"/>
        </w:rPr>
        <w:t xml:space="preserve">: </w:t>
      </w:r>
      <w:r>
        <w:rPr>
          <w:rtl w:val="true"/>
        </w:rPr>
        <w:t>فی القضیة السالبة المشتمل جزاؤها علی ألفاظ العموم</w:t>
      </w:r>
      <w:bookmarkEnd w:id="208"/>
    </w:p>
    <w:p>
      <w:pPr>
        <w:pStyle w:val="BookText"/>
        <w:rPr/>
      </w:pPr>
      <w:r>
        <w:rPr>
          <w:rFonts w:ascii="IRNazanin" w:hAnsi="IRNazanin" w:eastAsia="IRNazanin"/>
          <w:color w:val="111111"/>
          <w:sz w:val="28"/>
          <w:sz w:val="28"/>
          <w:szCs w:val="28"/>
          <w:rtl w:val="true"/>
          <w:lang w:bidi="fa-IR"/>
        </w:rPr>
        <w:t>فی أنّ القضیّة الواردة إذا کانت سالبة، و کان الجزاء مشتملا علی ألفاظ العموم، بناء علی القول بذلک، فهل یستفاد من تلک القضیّة العامّ المجموعیّ، أو الاستغراقیّ؟</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لا تکرم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مفاده النهی عن إکرام مجموع العلماء، أم النهی عن إکرام کلّ واحد منهم؟ وجهان لا یبعد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مفهومه العامّ الاستغراقیّ، أو المجموعیّ؟ مثلا إذا فرضنا أنّ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العامّ المجموعیّ، فهل یمکن دعوی أنّ المفهوم هو العامّ الاستغراقیّ، ضرورة أنّ قوله فی المفهوم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یجئک زید فأکرم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العموم المزبور بالضرورة؟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لا یجوز ذلک، لأنّ المفهوم تابع المنطوق، و تابع الدلیل القائم علیه، و لا یجوز الأخذ بظهور القضیّة المفهومة من القضیّة الملفوظة؟ کما عرفت منّا فی المباحث السابقة عند البحث عن أنّ مفهوم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حرمة الإکرام عند المجی‌ء، أم نفی سنخ الحکم؟ و کان القول بالحرمة قویّا، لأنّ الظاهر من المفهوم هو النهی، مع أنّه ظاهر لا یجوز الأخذ به، لأنّه ظهور استکشافیّ</w:t>
      </w:r>
    </w:p>
    <w:p>
      <w:pPr>
        <w:pStyle w:val="BookText"/>
        <w:rPr/>
      </w:pPr>
      <w:r>
        <w:rPr>
          <w:rFonts w:ascii="IRNazanin" w:hAnsi="IRNazanin" w:eastAsia="IRNazanin"/>
          <w:color w:val="111111"/>
          <w:sz w:val="28"/>
          <w:sz w:val="28"/>
          <w:szCs w:val="28"/>
          <w:rtl w:val="true"/>
          <w:lang w:bidi="fa-IR"/>
        </w:rPr>
        <w:t>من العلّیة الثابتة فی المنطوق للشرط بالنسبة إلی الجزاء</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فالأمر هنا کذلک، فإنّ قضیّة مقدّمات الحکمة هو أنّ مجی‌ء زید علّة مثلا لتحریم إکرام کلّ عالم علی سبیل العامّ المجموعیّ، و المفهوم عندئذ و إن کان ظاهرا فی العامّ الاستغراقیّ و الأصولیّ، و لکنّه غیر مأخوذ به بالضرورة، فکما أنّه فی جانب الهیئة لا یکون مفادها إیجاب الإکرام، بل مفادها تابع لما ثبت فی المنطوق، کذلک مفاد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فلا تکرم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إنّه ظاهر فی العامّ المجموعیّ بحسب المنطوق، فمفهومه حسب ظاهر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فأکرم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بالضرورة فی وجوب إکرام کلّ واحد من العلماء علی سبیل العامّ الاستغراقیّ، و لکن لا سبیل إلی التمسّک بهذا الظاهر المولود من القضیّة اللفظیّة، و لا یکون مفاد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إیجابیّا، و لا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استغراقیّا، للزوم خروج المفهوم عن تبعیّة المنطوق، و یکون حینئذ جملة مستقلّة فی الإفادة و الاستفادة، و هو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المفهوم واقعا للقضیّة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فلا یحرم إکرام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مقام الظاهر فالمفهوم خلافه، لأنّه یصیر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یجئک زید فأکرم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اغتنم، و کن علی بصیرة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اشتهر فی کلماتهم صدرا و ذیلا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المفهوم و المنطوق متّفقان فی جمیع الموادّ، و مختلفان فی السلب و الإیجاب</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غیر تامّ، بل المفهوم تابع لدلیله و سببه، و لا ینظر إلی الموادّ المأخوذة فی ظاهر القضیّة، للزوم</w:t>
      </w:r>
      <w:bookmarkStart w:id="209" w:name="pg13167_140816"/>
    </w:p>
    <w:p>
      <w:pPr>
        <w:pStyle w:val="BookText"/>
        <w:rPr/>
      </w:pPr>
      <w:bookmarkEnd w:id="209"/>
      <w:r>
        <w:rPr>
          <w:rFonts w:ascii="Amiri" w:hAnsi="Amiri" w:eastAsia="Amiri" w:cs="Amiri"/>
          <w:color w:val="111111"/>
          <w:sz w:val="28"/>
          <w:sz w:val="28"/>
          <w:szCs w:val="28"/>
          <w:rtl w:val="true"/>
          <w:lang w:bidi="ar-SA"/>
        </w:rPr>
        <w:t>الإغرار و الجهالة</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559472_3244359995"/>
      <w:bookmarkStart w:id="211" w:name="_Toc79"/>
      <w:bookmarkEnd w:id="210"/>
      <w:r>
        <w:rPr>
          <w:rtl w:val="true"/>
        </w:rPr>
        <w:t>الجهة الثانیة</w:t>
      </w:r>
      <w:r>
        <w:rPr>
          <w:rtl w:val="true"/>
        </w:rPr>
        <w:t xml:space="preserve">: </w:t>
      </w:r>
      <w:r>
        <w:rPr>
          <w:rtl w:val="true"/>
        </w:rPr>
        <w:t>فی القضیّة السالبة الواقعة فی سیاقها النکرة</w:t>
      </w:r>
      <w:bookmarkEnd w:id="211"/>
    </w:p>
    <w:p>
      <w:pPr>
        <w:pStyle w:val="Heading6"/>
        <w:numPr>
          <w:ilvl w:val="5"/>
          <w:numId w:val="1"/>
        </w:numPr>
        <w:rPr/>
      </w:pPr>
      <w:bookmarkStart w:id="212" w:name="__RefHeading___Toc559474_3244359995"/>
      <w:bookmarkStart w:id="213" w:name="_Toc80"/>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 xml:space="preserve">فیما إذا کانت القضیّة الواردة سالبة، و کان فی سیاقها النکرة، و قلنا بإفادتها العموم الاستغراقیّ وضعا، أو بمقدّمات الإطلاق اللازمة، أو بمقدّمات الإطلاق المفارقة أحیانا، و تفصیله فی محلّه </w:t>
      </w:r>
      <w:r>
        <w:rPr>
          <w:rStyle w:val="FootnoteAnchor"/>
          <w:rtl w:val="true"/>
        </w:rPr>
        <w:footnoteReference w:id="256"/>
      </w:r>
      <w:r>
        <w:rPr>
          <w:rFonts w:ascii="IRNazanin" w:hAnsi="IRNazanin" w:eastAsia="IRNazanin"/>
          <w:color w:val="111111"/>
          <w:sz w:val="28"/>
          <w:sz w:val="28"/>
          <w:szCs w:val="28"/>
          <w:rtl w:val="true"/>
          <w:lang w:bidi="fa-IR"/>
        </w:rPr>
        <w:t>، فهل فی جانب المفهوم یستفاد العموم الاستغراقیّ أیضا، أم المستفاد هنا هی الموجبة الجزئیّة؟</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فلا تکرم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فأکرم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العلاّمة المحشّی التقیّ الأصفهانیّ قدس سرُّه </w:t>
      </w:r>
      <w:r>
        <w:rPr>
          <w:rStyle w:val="FootnoteAnchor"/>
          <w:rtl w:val="true"/>
        </w:rPr>
        <w:footnoteReference w:id="257"/>
      </w:r>
      <w:r>
        <w:rPr>
          <w:rFonts w:ascii="IRNazanin" w:hAnsi="IRNazanin" w:eastAsia="IRNazanin"/>
          <w:color w:val="111111"/>
          <w:sz w:val="28"/>
          <w:sz w:val="28"/>
          <w:szCs w:val="28"/>
          <w:rtl w:val="true"/>
          <w:lang w:bidi="fa-IR"/>
        </w:rPr>
        <w:t>فتکون السالبة الکلّیة تنعکس موجبة جزئیّة، أو فی حکم الجزئیّة، فتکون مهملة، کما هو مراده؟</w:t>
      </w:r>
    </w:p>
    <w:p>
      <w:pPr>
        <w:pStyle w:val="BookText"/>
        <w:rPr/>
      </w:pPr>
      <w:r>
        <w:rPr>
          <w:rFonts w:ascii="IRNazanin" w:hAnsi="IRNazanin" w:eastAsia="IRNazanin"/>
          <w:color w:val="111111"/>
          <w:sz w:val="28"/>
          <w:sz w:val="28"/>
          <w:szCs w:val="28"/>
          <w:rtl w:val="true"/>
          <w:lang w:bidi="fa-IR"/>
        </w:rPr>
        <w:t xml:space="preserve">أو یکون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فأکرم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المفهوم کلّیا علی نسق المنطوق، و هو مختار التقریرات المنسوب إلی الشیخ الأعظم قدس سرُّه </w:t>
      </w:r>
      <w:r>
        <w:rPr>
          <w:rStyle w:val="FootnoteAnchor"/>
          <w:rtl w:val="true"/>
        </w:rPr>
        <w:footnoteReference w:id="2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مفهوم القضیّة المزبورة أیضا قضیّة سالبة، لأنّ مفهوم القضیّة الموجبة سالبة، و مفهوم القضیّة السالبة لیس موجبا، بل هو أیضا سالبة، فیکون سلب السلب، و ذاک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یجئ زید فلیس لا تکرم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مختار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 تصیر النتیجة علی مسلکه جزئیّة أیضا و مهملة کما تری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نسب إلی بعض الأساطین التفصیل بین کون العامّ مستفادا من النکرة</w:t>
      </w:r>
    </w:p>
    <w:p>
      <w:pPr>
        <w:pStyle w:val="BookText"/>
        <w:rPr/>
      </w:pPr>
      <w:r>
        <w:rPr>
          <w:rFonts w:ascii="IRNazanin" w:hAnsi="IRNazanin" w:eastAsia="IRNazanin"/>
          <w:color w:val="111111"/>
          <w:sz w:val="28"/>
          <w:sz w:val="28"/>
          <w:szCs w:val="28"/>
          <w:rtl w:val="true"/>
          <w:lang w:bidi="fa-IR"/>
        </w:rPr>
        <w:t>فی سیاق النفی و أمثالها، و بین استفادة العموم من أداة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زید فلا تکرم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یمکن إثبات أنّ مفهومه العامّ الاستغراقیّ أو المجموعیّ إلاّ بالقرینة، و ذلک لأنّ المعلّق هو العموم، و هو معنی اسمیّ قابل للتعلیق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زید فلا تکرم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مفهومه السالبة الجزئیّة، و ذلک لأنّ المعلّق هو الحکم العامّ </w:t>
      </w:r>
      <w:r>
        <w:rPr>
          <w:rStyle w:val="FootnoteAnchor"/>
          <w:rtl w:val="true"/>
        </w:rPr>
        <w:footnoteReference w:id="26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کلام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القضایا مختلفة، و سیمرّ علیک تحقیق المسألة و أدلّتها، و لکن النّظر هنا إلی بیان محتملات المسألة، ففی القضایا التی مرّت لا یخلو الأمر عن إحدی 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تکون موجبة کلّیة، أو سالبة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بعض القضایا الاخر یمکن استفادة الاحتمال الثالث بخلوّ المفهوم عنها، و ذلک لأنّ من الممکن أن تکون القضیّة المذکورة مشتملة علی جهة طبعیّة و خاصّة ادعائیّة أو واقعیّة، و یکون المفهوم ناظرا إلی ذلک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مع الأمیر فلا تخف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المنطوق مشتمل علی النهی عن الخوف مع وجود الأمیر الکذائیّ، و لیس النّظر بالضرورة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فخف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النّظر إلی أنّه مع عدم الأمیر ینبغی الخوف و یصحّ، و أمّا تحقّق الخوف و لا تحقّقه فهو خارج عن مفاده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الکرّیة تلازم الاعتصام طبعا أو ادعاء، فیکون المفهوم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الماء قدر کرّ فلیس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 ینجّسه شی‌ء أم لا فهو أمر آخر، ضرورة أنّ النفی المزبور لا یثبت منجّسیة شی‌ء للماء بالفعل، بل یثبت قابلیّة الماء للتنجّس ففی</w:t>
      </w:r>
    </w:p>
    <w:p>
      <w:pPr>
        <w:pStyle w:val="BookText"/>
        <w:rPr/>
      </w:pPr>
      <w:r>
        <w:rPr>
          <w:rFonts w:ascii="IRNazanin" w:hAnsi="IRNazanin" w:eastAsia="IRNazanin"/>
          <w:color w:val="111111"/>
          <w:sz w:val="28"/>
          <w:sz w:val="28"/>
          <w:szCs w:val="28"/>
          <w:rtl w:val="true"/>
          <w:lang w:bidi="fa-IR"/>
        </w:rPr>
        <w:t>ناحیة المنطوق یثبت أنّ کلّ نجس لا ینجّس الماء الکثیر بالفعل، و أمّا فی ناحیة المفهوم فلا یثبت إلاّ نفی الفعلیّة، و أمّا إثبات الفعلیّة المضادّة للفعلیّة الثابتة فی المنطوق، فهو أمر خارج عن عهدة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هذه الاحتمالات فی هذه الجهة، فلنعد إلی ما هو التحقیق فی المسألة بحسب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مختار المحشّی الأصفهانیّ فیوجّه بأنّ القضیّة السالبة الکلّیة تنعکس جزئیّة و بالعکس، و سیظهر فساد ذلک و أنّه تمسّک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مختار الشیخ رحمه اللَّه فیوجّه فی المسألة الکلّیة بوجه سنشیر إلیه، و أمّا فی خصوص القضیّة الواردة فی الماء الکرّ فسنذکر الکلام حولها فی جهة خاصّة بها</w:t>
      </w:r>
      <w:r>
        <w:rPr>
          <w:rStyle w:val="FootnoteAnchor"/>
          <w:rtl w:val="true"/>
        </w:rPr>
        <w:footnoteReference w:id="261"/>
      </w:r>
      <w:r>
        <w:rPr>
          <w:rFonts w:ascii="IRNazanin" w:hAnsi="IRNazanin" w:eastAsia="IRNazanin"/>
          <w:color w:val="111111"/>
          <w:sz w:val="28"/>
          <w:sz w:val="28"/>
          <w:szCs w:val="28"/>
          <w:rtl w:val="true"/>
          <w:lang w:bidi="fa-IR"/>
        </w:rPr>
        <w:t>، و ذلک الوجه ما ذکرناه 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القضایا السوالب الکلّیة ربّما تنعکس کلّیة، قضاء لحقّ الدلیل القائم علیها، و أمّا انعکاسها جزئیّة فهو لأجل ضرب القانون الکلّی، و لعدم الدلیل علی صدق الزائد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عقل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فعکسه الصحیح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المجرّد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قام الدلیل فینعکس کلّیا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لیس النّظر إلی الاستظهار من القضیّة غیر المذکورة، ضرورة أنّ تلک القضیّة استنباطیّة، ربّما تختلف الأنظار و الأفهام فی فهمها، و قد تحرّر و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المفهوم تابع المنطوق، أی لا یکون المفهوم إلاّ تابعا للدلیل القائم علیه، و البرهان الّذی یستتبعه و یقتضیه، و الّذی أسّس بنیانه فی المنطوق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محور الکلام حول أنّ المفهوم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زید فلا تکرم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لا تکرم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عن</w:t>
      </w:r>
    </w:p>
    <w:p>
      <w:pPr>
        <w:pStyle w:val="BookText"/>
        <w:rPr/>
      </w:pPr>
      <w:r>
        <w:rPr>
          <w:rFonts w:ascii="IRNazanin" w:hAnsi="IRNazanin" w:eastAsia="IRNazanin"/>
          <w:color w:val="111111"/>
          <w:sz w:val="28"/>
          <w:sz w:val="28"/>
          <w:szCs w:val="28"/>
          <w:rtl w:val="true"/>
          <w:lang w:bidi="fa-IR"/>
        </w:rPr>
        <w:t>الصناعة و الأصول، بل الکلام یدور حول الحجّة العقلیّة الناهضة علی أنّ الشرط علّة تامّة منحصرة لوجوب إکرام کلّ واحد من العلماء، أو حرمة إکرام کلّ أحد، و حیث یکون العموم المزبور فی المنطوق أصولیّا استغراقیّا، و یکون الحکم کثیرا لا واحدا، فلا بدّ و أن یکون کلّ واحد من التحریمات معلول الشرط، و یکون الشرط علّة تامّة منحصرة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الشرط علّة الحکم القانونیّ الواحد المنحلّ، فهو لا یکون من قبیل العلل الواقعیّة، بل یعدّ من الحکمة و النکتة،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مقتضی الانحلال العرفیّ، کون الشرط علّة تامّة منحصرة لکلّ واحد من تلک الأحکام المفصّلة عرفا، و المنحلّة بوجه محرّر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لا یعقل بعد الإقرار فی ناحیة المنطوق بذلک، نفی مقالة الشیخ قدس سرُّه ضرورة أنّ مقتضی انتفاء هذه العلّیة الساریة الوحیدة، انتفاء کلّ واحد من الأحکام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جانب المفهوم لا یثبت ضدّ حکم المنطوق، و هو وجوب إکرام بعضهم، أو وجوب إکرام الکلّ، بل فی جانب المفهوم لا یثبت إلاّ نفی سنخ الحکم، و أنّه إذا لم یجئ زید فحرمة إکرام کلّ أحد منتفیة بالمرّة، و لا حرمة بالنسبة إلی مادّة الإکرام رأسا،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یحرم علیک إکرام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فمفهومه نفی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المنحلّة علی کثرتها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کون الشرط و هو مجی‌ء زید، علّة واحدة منحصرة لتلک الأحکام المتکثّرة</w:t>
      </w:r>
      <w:r>
        <w:rPr>
          <w:rStyle w:val="FootnoteAnchor"/>
          <w:rtl w:val="true"/>
        </w:rPr>
        <w:footnoteReference w:id="2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أنّ علّیة الشرط تسامحیّة، و إلاّ فما هو علّة الجزاء هو نفس</w:t>
      </w:r>
      <w:bookmarkStart w:id="214" w:name="pg13167_140820"/>
    </w:p>
    <w:p>
      <w:pPr>
        <w:pStyle w:val="BookText"/>
        <w:rPr/>
      </w:pPr>
      <w:bookmarkEnd w:id="214"/>
      <w:r>
        <w:rPr>
          <w:rFonts w:ascii="IRNazanin" w:hAnsi="IRNazanin" w:eastAsia="IRNazanin"/>
          <w:color w:val="111111"/>
          <w:sz w:val="28"/>
          <w:sz w:val="28"/>
          <w:szCs w:val="28"/>
          <w:rtl w:val="true"/>
          <w:lang w:bidi="fa-IR"/>
        </w:rPr>
        <w:t xml:space="preserve">المقنّن و إرادة المولی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الشرط من المبادئ لتلک الإرادة، و لا منع من أخذه علّة بهذا المعنی لکلّ واحد من تلک الأحکام المنحلّة،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من بعض المناقشات، لا یخلو من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أغرب من ذلک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بسقوط هذه الأنحاء من الاستدلال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بأصالة انعکاس السالبة الکلّیة موجبة جزئیّة، لا ینفع أیضا، و لذلک إذا کان الجزاء عموما مستفادا من أداة العموم لا ینعکس الجزاء جزئیّة، و السرّ کلّ السرّ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المناط هو دلیل الانعکاس، و حدود اقتضاء 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مرام الشیخ قدس سرُّه فی هذه المسألة بحسب النّظر، فی محلّه، و لکنّه أفاد فی وجهه ما لا ینبغی </w:t>
      </w:r>
      <w:r>
        <w:rPr>
          <w:rStyle w:val="FootnoteAnchor"/>
          <w:rtl w:val="true"/>
        </w:rPr>
        <w:footnoteReference w:id="267"/>
      </w:r>
      <w:r>
        <w:rPr>
          <w:rFonts w:ascii="IRNazanin" w:hAnsi="IRNazanin" w:eastAsia="IRNazanin"/>
          <w:color w:val="111111"/>
          <w:sz w:val="28"/>
          <w:sz w:val="28"/>
          <w:szCs w:val="28"/>
          <w:rtl w:val="true"/>
          <w:lang w:bidi="fa-IR"/>
        </w:rPr>
        <w:t>، لأنّ الکلام هنا حول مسألة أصولیّة کلّیة، لا فی خصوص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الأصحاب خاضوا فی خصوص المثال المزبور، غفلة عن حقیقة الأمر، و سلکوا فی دلیل المسألة مسلک الجزئیّ مقیاسا للکلّی</w:t>
      </w:r>
      <w:r>
        <w:rPr>
          <w:rFonts w:eastAsia="IRNazanin" w:cs="IRNazanin"/>
          <w:color w:val="111111"/>
          <w:sz w:val="28"/>
          <w:szCs w:val="28"/>
          <w:rtl w:val="true"/>
          <w:lang w:bidi="fa-IR"/>
        </w:rPr>
        <w:t>!!</w:t>
      </w:r>
    </w:p>
    <w:p>
      <w:pPr>
        <w:pStyle w:val="Heading6"/>
        <w:numPr>
          <w:ilvl w:val="5"/>
          <w:numId w:val="1"/>
        </w:numPr>
        <w:rPr/>
      </w:pPr>
      <w:bookmarkStart w:id="215" w:name="__RefHeading___Toc559476_3244359995"/>
      <w:bookmarkStart w:id="216" w:name="_Toc81"/>
      <w:bookmarkEnd w:id="215"/>
      <w:r>
        <w:rPr>
          <w:rtl w:val="true"/>
        </w:rPr>
        <w:t>تذنیب</w:t>
      </w:r>
      <w:r>
        <w:rPr>
          <w:rtl w:val="true"/>
        </w:rPr>
        <w:t xml:space="preserve">: </w:t>
      </w:r>
      <w:r>
        <w:rPr>
          <w:rtl w:val="true"/>
        </w:rPr>
        <w:t>حول انعکاس الموجبة الکلّیة إلی السالبة الکلّیة و بالعکس</w:t>
      </w:r>
      <w:bookmarkEnd w:id="21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سر انعکاس السالبة الکلّیة فی المقام موجبة کلّیة، و هکذا</w:t>
      </w:r>
      <w:bookmarkStart w:id="217" w:name="pg13167_140821"/>
    </w:p>
    <w:p>
      <w:pPr>
        <w:pStyle w:val="BookText"/>
        <w:rPr/>
      </w:pPr>
      <w:bookmarkEnd w:id="217"/>
      <w:r>
        <w:rPr>
          <w:rFonts w:ascii="IRNazanin" w:hAnsi="IRNazanin" w:eastAsia="IRNazanin"/>
          <w:color w:val="111111"/>
          <w:sz w:val="28"/>
          <w:sz w:val="28"/>
          <w:szCs w:val="28"/>
          <w:rtl w:val="true"/>
          <w:lang w:bidi="fa-IR"/>
        </w:rPr>
        <w:t xml:space="preserve">فی انعکاس الموجبة الکلّیة سالبة کلّیة، هو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فلا تکرم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إلی القضایا الخاصّة الشرطیّة الجزئیّة، فیکون هناک عدد من القضایا بعدد رءوس الآحاد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بمعزل عن التحقیق ذاتا، لعدم الانحلال المزبور قطعا، لا عقلا، و 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حاجة إلی الدعوی المزبورة، و یکفی ما هو المفروغ منه عند الکلّ، و هو انحلال الجزاء واقعا، أو حکما و عرفا، مع کون کلّ واحد من تلک الأحکام معلّلة بالشرط إذا سئل المولی عن سرّ تحریم کلّ واحد من الآحاد، فیکون علی هذا کلّ واحد منتفیا بانتفاء الشرط بالضرورة</w:t>
      </w:r>
      <w:r>
        <w:rPr>
          <w:rFonts w:eastAsia="IRNazanin" w:cs="IRNazanin"/>
          <w:color w:val="111111"/>
          <w:sz w:val="28"/>
          <w:szCs w:val="28"/>
          <w:rtl w:val="true"/>
          <w:lang w:bidi="fa-IR"/>
        </w:rPr>
        <w:t>.</w:t>
      </w:r>
    </w:p>
    <w:p>
      <w:pPr>
        <w:pStyle w:val="Heading6"/>
        <w:numPr>
          <w:ilvl w:val="5"/>
          <w:numId w:val="1"/>
        </w:numPr>
        <w:rPr/>
      </w:pPr>
      <w:bookmarkStart w:id="218" w:name="__RefHeading___Toc559478_3244359995"/>
      <w:bookmarkStart w:id="219" w:name="_Toc82"/>
      <w:bookmarkEnd w:id="218"/>
      <w:r>
        <w:rPr>
          <w:rtl w:val="true"/>
        </w:rPr>
        <w:t>الجهة الثالثة</w:t>
      </w:r>
      <w:r>
        <w:rPr>
          <w:rtl w:val="true"/>
        </w:rPr>
        <w:t xml:space="preserve">: </w:t>
      </w:r>
      <w:r>
        <w:rPr>
          <w:rtl w:val="true"/>
        </w:rPr>
        <w:t>فی قوله علیه السلام</w:t>
      </w:r>
      <w:r>
        <w:rPr>
          <w:rtl w:val="true"/>
        </w:rPr>
        <w:t>: «</w:t>
      </w:r>
      <w:r>
        <w:rPr>
          <w:rtl w:val="true"/>
        </w:rPr>
        <w:t>إذا کان الماء قدر کرّ لا ینجّسه شی‌ء</w:t>
      </w:r>
      <w:r>
        <w:rPr>
          <w:rtl w:val="true"/>
        </w:rPr>
        <w:t>»</w:t>
      </w:r>
      <w:bookmarkEnd w:id="219"/>
    </w:p>
    <w:p>
      <w:pPr>
        <w:pStyle w:val="Heading6"/>
        <w:numPr>
          <w:ilvl w:val="5"/>
          <w:numId w:val="1"/>
        </w:numPr>
        <w:rPr/>
      </w:pPr>
      <w:bookmarkStart w:id="220" w:name="__RefHeading___Toc559480_3244359995"/>
      <w:bookmarkStart w:id="221" w:name="_Toc83"/>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و هی خارجة عن المسألة الأصولیّة، إلاّ أنّ لمزید الاهتمام بها لا بأس بالإشارة إلیها، و هی أنّ فی خصوص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أو ما یشبه ذلک، یکون بعض الوجوه و التقاریب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أهمّها 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الأنصاریّ قدس سرُّه </w:t>
      </w:r>
      <w:r>
        <w:rPr>
          <w:rStyle w:val="FootnoteAnchor"/>
          <w:rtl w:val="true"/>
        </w:rPr>
        <w:footnoteReference w:id="269"/>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العلاّمة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معناه العامّ من دون جعله عبرة لعناوین اخر التی هی موضوعات فی لسان الدلیل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و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عنوانا مشیرا إلی العناوین الواقعة موضوعة للنجاسات، فعلی الأوّل یکون المفهوم إیجابا جزئیّا، و علی الثانی کلّیا کما لا یخفی </w:t>
      </w:r>
      <w:r>
        <w:rPr>
          <w:rStyle w:val="FootnoteAnchor"/>
          <w:rtl w:val="true"/>
        </w:rPr>
        <w:footnoteReference w:id="270"/>
      </w:r>
      <w:r>
        <w:rPr>
          <w:rFonts w:ascii="IRNazanin" w:hAnsi="IRNazanin" w:eastAsia="IRNazanin"/>
          <w:color w:val="111111"/>
          <w:sz w:val="28"/>
          <w:sz w:val="28"/>
          <w:szCs w:val="28"/>
          <w:rtl w:val="true"/>
          <w:lang w:bidi="fa-IR"/>
        </w:rPr>
        <w:t>، انتهی ملخّص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إلغاء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بالمرّة فی غیر محلّه بالضرورة، و المحافظة علی ذلک العنوان الواحد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مرآة و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کون الحکم فی ناحیة الجزاء عموما استغراقیّا فی المنطوق، و موجبة جزئیّة فی المفهوم، حفظا لکون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مشیرا إلی تلک الذوات و رءوس النجاسات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کذلک بحسب الصناعة المنطقیّة، و أنّ القضایا الکلّیة کلّیة منعکسة، و لا تنعکس بشخصیّة، و أمّا بحسب الفهم العرفیّ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و لیست مرآة و عبرة حتّی یقال بامتناع المرآتیة و العبریة، و إذا کانت کنایة فما هو موضوع الحکم بحسب الواقع و الإثبات أیضا هی العناوین الذاتیّة، فإذن یکون المفهوم إیجابا کلّیا، و ما فی المنطق یصحّ فی غیر الألفاظ الکنائیّة، فلا تخلط، فما جعلوه هدما لما أفاده قدس سرُّه قابل للدفع إنصافا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أفاده الوالد المحقّق وجها بدیعا لهدم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مفهوم کلّ قضیّة لیس إلاّ رفع سنخ الحکم المذکور عن الموضوع، لا إثبات حکم مقامه، فمفهوم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سور السالبة الجزئیّة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غیر تامّ، لأنّ المفهوم علی تقدیر کونه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المناقشة و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إلاّ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فیکون فی الحقیقة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لم یکن الماء قدر کرّ لیس لا ینجّسه البول و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عندئذ أیضا یکون کلّیا، لا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کون المفهوم إیجابا، فإنّه ظاهر عندئذ فی الکلّی، لظهور قوله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البول و الغائط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الاستغراقیّ، و بین کونه سلب السلب، فإنّه</w:t>
      </w:r>
      <w:bookmarkStart w:id="222" w:name="pg13167_140823"/>
    </w:p>
    <w:p>
      <w:pPr>
        <w:pStyle w:val="BookText"/>
        <w:rPr/>
      </w:pPr>
      <w:bookmarkEnd w:id="222"/>
      <w:r>
        <w:rPr>
          <w:rFonts w:ascii="IRNazanin" w:hAnsi="IRNazanin" w:eastAsia="IRNazanin"/>
          <w:color w:val="111111"/>
          <w:sz w:val="28"/>
          <w:sz w:val="28"/>
          <w:szCs w:val="28"/>
          <w:rtl w:val="true"/>
          <w:lang w:bidi="fa-IR"/>
        </w:rPr>
        <w:t>یحتمل الوجهین، لعدم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لا ینجّسه البول و الدم و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الاستغراقیّ، لاحتمال کون النّظر إلی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لیس لا ینجّسه البول، و لیس لا ینجّسه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فتکون النتیجة أیضا إیجابا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إفحام الشیخ قدس سرُّه فی مقاله بما هجموا علیه فی کتبهم المتأخّرة</w:t>
      </w:r>
      <w:r>
        <w:rPr>
          <w:rStyle w:val="FootnoteAnchor"/>
          <w:rtl w:val="true"/>
        </w:rPr>
        <w:footnoteReference w:id="273"/>
      </w:r>
      <w:r>
        <w:rPr>
          <w:rFonts w:ascii="IRNazanin" w:hAnsi="IRNazanin" w:eastAsia="IRNazanin"/>
          <w:color w:val="111111"/>
          <w:sz w:val="28"/>
          <w:sz w:val="28"/>
          <w:szCs w:val="28"/>
          <w:rtl w:val="true"/>
          <w:lang w:bidi="fa-IR"/>
        </w:rPr>
        <w:t>، و تصیر المسألة حینئذ عرفیّة، لا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یتوجّه إلیه رحمه اللَّه فی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عقلیّة، لا عرفیّة حتّی یمکن الخلاف فیها، و من توجّه إلی أطرافها لا بدّ و أن یذعن بأنّ المفهوم فی المثال المزبور إیجاب کلیّ، و فیما کان إیجابا کلیّا فهو سلب کلیّ</w:t>
      </w:r>
      <w:r>
        <w:rPr>
          <w:rFonts w:eastAsia="IRNazanin" w:cs="IRNazanin"/>
          <w:color w:val="111111"/>
          <w:sz w:val="28"/>
          <w:szCs w:val="28"/>
          <w:rtl w:val="true"/>
          <w:lang w:bidi="fa-IR"/>
        </w:rPr>
        <w:t>.</w:t>
      </w:r>
    </w:p>
    <w:p>
      <w:pPr>
        <w:pStyle w:val="Heading6"/>
        <w:numPr>
          <w:ilvl w:val="5"/>
          <w:numId w:val="1"/>
        </w:numPr>
        <w:rPr/>
      </w:pPr>
      <w:bookmarkStart w:id="223" w:name="__RefHeading___Toc559482_3244359995"/>
      <w:bookmarkStart w:id="224" w:name="_Toc84"/>
      <w:bookmarkEnd w:id="223"/>
      <w:r>
        <w:rPr>
          <w:rtl w:val="true"/>
        </w:rPr>
        <w:t>تذنیب</w:t>
      </w:r>
      <w:r>
        <w:rPr>
          <w:rtl w:val="true"/>
        </w:rPr>
        <w:t xml:space="preserve">: </w:t>
      </w:r>
      <w:r>
        <w:rPr>
          <w:rtl w:val="true"/>
        </w:rPr>
        <w:t>حول بعض مناقشات قضیّة الکرّ</w:t>
      </w:r>
      <w:bookmarkEnd w:id="224"/>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القضیّة لا مفهوم لها، لأنّ الجزاء أمر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الجزاء کما أشیر إلیه </w:t>
      </w:r>
      <w:r>
        <w:rPr>
          <w:rStyle w:val="FootnoteAnchor"/>
          <w:rtl w:val="true"/>
        </w:rPr>
        <w:footnoteReference w:id="274"/>
      </w:r>
      <w:r>
        <w:rPr>
          <w:rFonts w:ascii="IRNazanin" w:hAnsi="IRNazanin" w:eastAsia="IRNazanin"/>
          <w:color w:val="111111"/>
          <w:sz w:val="28"/>
          <w:sz w:val="28"/>
          <w:szCs w:val="28"/>
          <w:rtl w:val="true"/>
          <w:lang w:bidi="fa-IR"/>
        </w:rPr>
        <w:t>، لیس معلول الشرط، بل الجزاء معلول الإرادة، و لا منع من تعلّقها بأمر اعتباریّ و بجعل قانون یستنتج منه أنّ المیاه لا ینجّسها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یرجع فی الثبوت إلی أمر ثبوتیّ، و هو اعتصام الماء البالغ کرّا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المنطوق، لیس إلاّ أنّ آحاد الکرّ و مصادیقه لا ینجّسها مصادیق النجس، و أمّا أنّ کلّ مصداق من الکرّ لا ینجّسه جمیع مصادیق النجس، فهو أمر مسکوت عنه، فلا یضرّ و لا ینفع خلاف الشیخین فی المفهوم، لأنّ الإشکال ناشئ عن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لکنّها بعیدة عن الأذهان العرفیّة و الأفهام السوقیّة، نظیر الشبهة فی أنّ المنطوق لا یفید العموم الاستغراقیّ فی ناحیة المقدّم، لقصور مقدّمات الإطلاق عن إثبات الإطلاق السریانیّ و الشمولیّ، کما تحرّر فی محلّه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سلّمنا أنّ کلّ مصداق من الکرّ لا ینجّسه شی‌ء من النجاسات، و لکن لنا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أنواع النجاسات أو مصادیق کلّ نوع، فعلی الأوّل فهو، و أما علی الثانی فلا یتمّ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المسلکین یتمّ المقصود و هو نجاسة القلیل، فإنّ النافی ینکر تنجّسه علی الإطلاق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لا یکون منحصرا فیما أفاده العلاّمة النائینی رحمه اللَّه بل النّظر أعمّ منه و من إفادة أنّ جمیع النجاسات توجب تنجّس الماء، فإذا ثبت أنّ کلّ نجس منجّس فیدفع به قول من یدّعی عدم منجّسیّة النجاسات،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عرفت منّا المناقشة فی خصوص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الماء قدر کرّ لیس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ینجّسه شی‌ء بالفعل، أو بالقوّة و الإمکان، فی مقابل الکرّ الّذی لا ینجّسه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الثبوت احتمالات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المفهوم إیجابا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إیجابا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مفیدا لإثبات قابلیّة ماء غیر الکرّ لکون النجاسات تنجّسه، و أمّا أنّها تنجّسه أم لا، فهو أمر خارج عن مفاده، و یحتاج إلی دلیل آخر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مفهوم السالبة موجبة، یثبت المفهوم بأحد الوجهین المزبورین، و إن</w:t>
      </w:r>
      <w:bookmarkStart w:id="225" w:name="pg13167_140825"/>
    </w:p>
    <w:p>
      <w:pPr>
        <w:pStyle w:val="BookText"/>
        <w:rPr/>
      </w:pPr>
      <w:bookmarkEnd w:id="225"/>
      <w:r>
        <w:rPr>
          <w:rFonts w:ascii="IRNazanin" w:hAnsi="IRNazanin" w:eastAsia="IRNazanin"/>
          <w:color w:val="111111"/>
          <w:sz w:val="28"/>
          <w:sz w:val="28"/>
          <w:szCs w:val="28"/>
          <w:rtl w:val="true"/>
          <w:lang w:bidi="fa-IR"/>
        </w:rPr>
        <w:t>کان المفهوم سلب السلب، فلا یثبت إلاّ کون الماء القلیل قابلا لتنجیس النجاسات إیّاه، و یکون فی حدّ ذاته و طبعه غیر معتصم، و لکن ربّما لا یعتبر الشرع لجهات اخر تنجّسه بالنجاسات، تسهیلا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ما ذکرناه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مع الأمیر فلا تخف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اغتنم، و الأمر سهل</w:t>
      </w:r>
      <w:r>
        <w:rPr>
          <w:rFonts w:eastAsia="IRNazanin" w:cs="IRNazanin"/>
          <w:color w:val="111111"/>
          <w:sz w:val="28"/>
          <w:szCs w:val="28"/>
          <w:rtl w:val="true"/>
          <w:lang w:bidi="fa-IR"/>
        </w:rPr>
        <w:t>.</w:t>
      </w:r>
    </w:p>
    <w:p>
      <w:pPr>
        <w:pStyle w:val="Heading6"/>
        <w:numPr>
          <w:ilvl w:val="5"/>
          <w:numId w:val="1"/>
        </w:numPr>
        <w:rPr/>
      </w:pPr>
      <w:bookmarkStart w:id="226" w:name="__RefHeading___Toc559484_3244359995"/>
      <w:bookmarkStart w:id="227" w:name="_Toc85"/>
      <w:bookmarkEnd w:id="226"/>
      <w:r>
        <w:rPr>
          <w:rtl w:val="true"/>
        </w:rPr>
        <w:t>تنبیه</w:t>
      </w:r>
      <w:r>
        <w:rPr>
          <w:rtl w:val="true"/>
        </w:rPr>
        <w:t xml:space="preserve">: </w:t>
      </w:r>
      <w:r>
        <w:rPr>
          <w:rtl w:val="true"/>
        </w:rPr>
        <w:t xml:space="preserve">حول قضیّة </w:t>
      </w:r>
      <w:r>
        <w:rPr>
          <w:rtl w:val="true"/>
        </w:rPr>
        <w:t>«</w:t>
      </w:r>
      <w:r>
        <w:rPr>
          <w:rtl w:val="true"/>
        </w:rPr>
        <w:t>إن جاءک زید فأکرم واحدا</w:t>
      </w:r>
      <w:r>
        <w:rPr>
          <w:rtl w:val="true"/>
        </w:rPr>
        <w:t>»</w:t>
      </w:r>
      <w:bookmarkEnd w:id="227"/>
    </w:p>
    <w:p>
      <w:pPr>
        <w:pStyle w:val="BookText"/>
        <w:rPr/>
      </w:pP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فالمفهوم لیس إلاّ موجبة جزئیّة، وفاقا لما سلکناه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المناط هو التبادر، و کان ظهور المفهوم بحسب القضیّة غیر المذکورة متّبعا، کان المتعیّن السلب الکلّی و العموم الاستغراقیّ، لا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من الشواهد علی بطلان الطریقة المسلوکة فی کتب المتأخّرین </w:t>
      </w:r>
      <w:r>
        <w:rPr>
          <w:rStyle w:val="FootnoteAnchor"/>
          <w:rtl w:val="true"/>
        </w:rPr>
        <w:footnoteReference w:id="278"/>
      </w:r>
      <w:r>
        <w:rPr>
          <w:rFonts w:ascii="IRNazanin" w:hAnsi="IRNazanin" w:eastAsia="IRNazanin"/>
          <w:color w:val="111111"/>
          <w:sz w:val="28"/>
          <w:sz w:val="28"/>
          <w:szCs w:val="28"/>
          <w:rtl w:val="true"/>
          <w:lang w:bidi="fa-IR"/>
        </w:rPr>
        <w:t>، و یکون المفهوم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یجئک فلا یجب إکرام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الانتفاء عند الانتفاء، کما لا یخفی</w:t>
      </w:r>
      <w:r>
        <w:rPr>
          <w:rFonts w:eastAsia="IRNazanin" w:cs="IRNazanin"/>
          <w:color w:val="111111"/>
          <w:sz w:val="28"/>
          <w:szCs w:val="28"/>
          <w:rtl w:val="true"/>
          <w:lang w:bidi="fa-IR"/>
        </w:rPr>
        <w:t>.</w:t>
      </w:r>
    </w:p>
    <w:p>
      <w:pPr>
        <w:pStyle w:val="Heading5"/>
        <w:numPr>
          <w:ilvl w:val="4"/>
          <w:numId w:val="1"/>
        </w:numPr>
        <w:rPr/>
      </w:pPr>
      <w:bookmarkStart w:id="228" w:name="__RefHeading___Toc559486_3244359995"/>
      <w:bookmarkStart w:id="229" w:name="_Toc86"/>
      <w:bookmarkEnd w:id="228"/>
      <w:r>
        <w:rPr>
          <w:rtl w:val="true"/>
        </w:rPr>
        <w:t>التنبیه السابع</w:t>
      </w:r>
      <w:r>
        <w:rPr>
          <w:rtl w:val="true"/>
        </w:rPr>
        <w:t xml:space="preserve">: </w:t>
      </w:r>
      <w:r>
        <w:rPr>
          <w:rtl w:val="true"/>
        </w:rPr>
        <w:t>حول تعاقب الشرطیّتین فی کلام واحد مع تعرّض الثانیة لأحد مصادیق المفهوم الأوّل</w:t>
      </w:r>
      <w:bookmarkEnd w:id="229"/>
    </w:p>
    <w:p>
      <w:pPr>
        <w:pStyle w:val="Heading6"/>
        <w:numPr>
          <w:ilvl w:val="5"/>
          <w:numId w:val="1"/>
        </w:numPr>
        <w:rPr/>
      </w:pPr>
      <w:bookmarkStart w:id="230" w:name="__RefHeading___Toc559488_3244359995"/>
      <w:bookmarkStart w:id="231" w:name="_Toc87"/>
      <w:bookmarkEnd w:id="230"/>
      <w:r>
        <w:rPr>
          <w:rtl w:val="true"/>
        </w:rPr>
        <w:t>اشارة</w:t>
      </w:r>
      <w:bookmarkEnd w:id="2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وردت القضیّتان الشرطیّتان متعاقبتین فی کلام واحد، و کانت الثانیة متعرّضة لأحد مصادیق المفهوم الأوّل، کما فی معتبر حنان فی أخبار الأنوار، و روایات مسألة إسقاط شی‌ء للظروف فی البیع، فإنّه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السؤال عن</w:t>
      </w:r>
      <w:bookmarkStart w:id="232" w:name="pg13167_140826"/>
    </w:p>
    <w:p>
      <w:pPr>
        <w:pStyle w:val="BookText"/>
        <w:rPr/>
      </w:pPr>
      <w:bookmarkEnd w:id="232"/>
      <w:r>
        <w:rPr>
          <w:rFonts w:ascii="IRNazanin" w:hAnsi="IRNazanin" w:eastAsia="IRNazanin"/>
          <w:color w:val="111111"/>
          <w:sz w:val="28"/>
          <w:sz w:val="28"/>
          <w:szCs w:val="28"/>
          <w:rtl w:val="true"/>
          <w:lang w:bidi="fa-IR"/>
        </w:rPr>
        <w:t>الاشتراء، و أنّه یحسب لنا نقصان لمکان الزقاق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یزید و ینقص فلا بأس، و إن کان یزید و لا ینقص فلا تقربه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یحمل القضیّة الثانیة علی أنّها متعرّضة لحصّة من مفهوم القضیّة الأولی، کما استظهره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w:t>
      </w:r>
      <w:r>
        <w:rPr>
          <w:rStyle w:val="FootnoteAnchor"/>
          <w:rtl w:val="true"/>
        </w:rPr>
        <w:footnoteReference w:id="2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 یؤخذ بمفهوم کلّ مستقلا، و تقع المعارضة بین المفهومین، و تکون النسبة بینهما العموم من وجه؟</w:t>
      </w:r>
    </w:p>
    <w:p>
      <w:pPr>
        <w:pStyle w:val="BookText"/>
        <w:rPr/>
      </w:pPr>
      <w:r>
        <w:rPr>
          <w:rFonts w:ascii="IRNazanin" w:hAnsi="IRNazanin" w:eastAsia="IRNazanin"/>
          <w:color w:val="111111"/>
          <w:sz w:val="28"/>
          <w:sz w:val="28"/>
          <w:szCs w:val="28"/>
          <w:rtl w:val="true"/>
          <w:lang w:bidi="fa-IR"/>
        </w:rPr>
        <w:t>أم یسقط المفهومان، و تکون الثانیة شاهدة علی عدم ثبوت المفهوم للأولی أو غیر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Heading6"/>
        <w:numPr>
          <w:ilvl w:val="5"/>
          <w:numId w:val="1"/>
        </w:numPr>
        <w:rPr/>
      </w:pPr>
      <w:bookmarkStart w:id="233" w:name="__RefHeading___Toc559490_3244359995"/>
      <w:bookmarkStart w:id="234" w:name="_Toc88"/>
      <w:bookmarkEnd w:id="233"/>
      <w:r>
        <w:rPr>
          <w:rtl w:val="true"/>
        </w:rPr>
        <w:t>المسألة الأولی</w:t>
      </w:r>
      <w:r>
        <w:rPr>
          <w:rtl w:val="true"/>
        </w:rPr>
        <w:t xml:space="preserve">: </w:t>
      </w:r>
      <w:r>
        <w:rPr>
          <w:rtl w:val="true"/>
        </w:rPr>
        <w:t>فیما کانت القضیّتان مستقلّتین</w:t>
      </w:r>
      <w:bookmarkEnd w:id="234"/>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دلیل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أهانک زید لا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مفهوم الأولی عدم وجوب الإکرام مع الإهانة، فیوافق المنطوق الثانی و عدم وجوبه عند الإکرام أیضا، و مقتضی مفهوم الثانی وجوب الإکرام عند المجی‌ء، فیوافق المنطوق الأوّل و وجوب الإکرام إذا أکرمک زید، فیقع التعارض بین المفهومین فیما إذا أکرمک زید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عندئذ لا بدّ من العلاج بینهما بالالتزام بالتخییر العقلیّ أو الشرعیّ، بناء علی شمول الأدلّة العلاجیّة لمثله، و لم یکن مرجّح لواحد منهما من المرجّحات المحرّرة</w:t>
      </w:r>
    </w:p>
    <w:p>
      <w:pPr>
        <w:pStyle w:val="BookText"/>
        <w:rPr/>
      </w:pPr>
      <w:r>
        <w:rPr>
          <w:rFonts w:ascii="IRNazanin" w:hAnsi="IRNazanin" w:eastAsia="IRNazanin"/>
          <w:color w:val="111111"/>
          <w:sz w:val="28"/>
          <w:sz w:val="28"/>
          <w:szCs w:val="28"/>
          <w:rtl w:val="true"/>
          <w:lang w:bidi="fa-IR"/>
        </w:rPr>
        <w:t>فی محلّه، أو الالتزام بأنّ القضیّة الثانیة من مصادیق القضیّة الأولی، و لکنّه بلا مرجّح، لإمکان کون الأولی من مصادیق الثانیة، و لا یکفی تأخّر إحداهما عن الأخری صدورا فی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عدم الوجوب معللا بالشرط، لأنّه عدم لا یستند إلی شی‌ء، فلا مفهوم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ضرورة أنّ مفاد الجزاء مستند إلی إرادة المولی و اعتباره، و الشرط من مبادئ تلک الإرادة، و هذا حکم سار فی جمیع القضایا الشرطیّة، و علیه فلا یلزم وجه لسقوط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الثانیة لیس مفهومها إیجابا کلّیا ذا إطلاق، و لا إیجابا جزئیّا، لأنّ المفهوم نفی سنخ الحکم، لا إیجاد ضدّه، و لو کان مفاده الإیجاب الجزئیّ فلا إطلاق له، حتّی تقع النسبة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بمعزل عن التحقیق، لما عرفت منّا کیفیّة استخراج المفهوم، و أنّ المتّبع هو دلیله، لا ظهور القضیّة المستخرجة</w:t>
      </w:r>
      <w:r>
        <w:rPr>
          <w:rStyle w:val="FootnoteAnchor"/>
          <w:rtl w:val="true"/>
        </w:rPr>
        <w:footnoteReference w:id="281"/>
      </w:r>
      <w:r>
        <w:rPr>
          <w:rFonts w:ascii="IRNazanin" w:hAnsi="IRNazanin" w:eastAsia="IRNazanin"/>
          <w:color w:val="111111"/>
          <w:sz w:val="28"/>
          <w:sz w:val="28"/>
          <w:szCs w:val="28"/>
          <w:rtl w:val="true"/>
          <w:lang w:bidi="fa-IR"/>
        </w:rPr>
        <w:t>، فلو کانت الإهانة فی القضیّة الثانیة علّة تامّة منحصرة لنفی طبیعة الوجوب، و نفی جمیع حقیقته عرفا، فلا بدّ و أن یثبت الإطلاق فی ناحیة المفهوم عند انتفاء الشرط، فلا تخلط أصلا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وجه یتشبّث فیه بذیل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فی أمثال القضیّة الأولی یساعد العرف علی المفهوم، بخلاف القضیّة الثانیة، فإنّه لا یستفاد منها عرفا أنّ مقدّمات الإطلاق فی المنطوق قائمة علی المفهوم، بل المتبادر من المنطوق هو أنّ المتکلّم فی مقام نفی الوجوب عند الإهانة، و أمّا إثبات الوجوب عند غیرها فهو ممّا لا یکون مقصودا فی الکلام، و هذا فی حدّ ذاته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الجملتین لا مفهوم لهما، و ذلک لأنّ کون مجی‌ء زید علّة تامّة منحصرة لوجوب إکرامه، لا یجتمع مع کون إهانته علّة تامّة منحصرة لعدم وجوب إکرامه، ضرورة أنّ وجوب الإکرام إذا کان مستندا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بوجه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المجی‌ء فلا یعقل أنّ عدم الوجوب یستند إلی أمر وجودیّ آخر، بل انتفاء المجی‌ء تمام السبب لانتفاء الوجوب، و لا یقبل عدم الوجوب عندئذ علّة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رجعت العلّتان إلی واحد جامع بینهما، یسقط المفهومان إمّا علی الإطلاق، أو فی مورد المعارضة، و یجوز التمسّک بهما فی غیر موردها،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الذبیحة ممّا ذکر اسم اللَّه علیها فلا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الذبیحة ممّا أهلّ به لغیر اللَّه فلا تأکل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تقع المعارضة فیما إذا ذبحت بلا ذکر اللَّه، فإنّ قضیّة الأولی حرمتها، و مقتضی الثانیة حلّیتها، فإن أخذنا بالوجه العرفیّ یلزم الأخذ بالأولی، و إن أخذنا بالوجه الثانی یرجع إلی أصالة البراءة، أو الحرمة، علی الخلاف الآخر المحرّر فی الأصول </w:t>
      </w:r>
      <w:r>
        <w:rPr>
          <w:rStyle w:val="FootnoteAnchor"/>
          <w:rtl w:val="true"/>
        </w:rPr>
        <w:footnoteReference w:id="282"/>
      </w:r>
      <w:r>
        <w:rPr>
          <w:rFonts w:ascii="IRNazanin" w:hAnsi="IRNazanin" w:eastAsia="IRNazanin"/>
          <w:color w:val="111111"/>
          <w:sz w:val="28"/>
          <w:sz w:val="28"/>
          <w:szCs w:val="28"/>
          <w:rtl w:val="true"/>
          <w:lang w:bidi="fa-IR"/>
        </w:rPr>
        <w:t>، و هکذا إن قلنا بالتخییر العقلیّ أو الشرعیّ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المفهوم کان قاصرا عن إثباته إلاّ فی بعض القضایا التی مرّ تفصیلها</w:t>
      </w:r>
      <w:r>
        <w:rPr>
          <w:rStyle w:val="FootnoteAnchor"/>
          <w:rtl w:val="true"/>
        </w:rPr>
        <w:footnoteReference w:id="283"/>
      </w:r>
      <w:r>
        <w:rPr>
          <w:rFonts w:ascii="IRNazanin" w:hAnsi="IRNazanin" w:eastAsia="IRNazanin"/>
          <w:color w:val="111111"/>
          <w:sz w:val="28"/>
          <w:sz w:val="28"/>
          <w:szCs w:val="28"/>
          <w:rtl w:val="true"/>
          <w:lang w:bidi="fa-IR"/>
        </w:rPr>
        <w:t>، و عندئذ فإثباته هنا مع قطع النّظر عن المکاذبة المزبورة مشکل، فضلا عن تلک المناقشات، فلیتدبّر و اغتنم</w:t>
      </w:r>
      <w:r>
        <w:rPr>
          <w:rFonts w:eastAsia="IRNazanin" w:cs="IRNazanin"/>
          <w:color w:val="111111"/>
          <w:sz w:val="28"/>
          <w:szCs w:val="28"/>
          <w:rtl w:val="true"/>
          <w:lang w:bidi="fa-IR"/>
        </w:rPr>
        <w:t>.</w:t>
      </w:r>
      <w:bookmarkStart w:id="235" w:name="pg13167_140829"/>
    </w:p>
    <w:p>
      <w:pPr>
        <w:pStyle w:val="Heading6"/>
        <w:numPr>
          <w:ilvl w:val="5"/>
          <w:numId w:val="1"/>
        </w:numPr>
        <w:rPr/>
      </w:pPr>
      <w:bookmarkStart w:id="236" w:name="__RefHeading___Toc559492_3244359995"/>
      <w:bookmarkStart w:id="237" w:name="_Toc89"/>
      <w:bookmarkEnd w:id="235"/>
      <w:bookmarkEnd w:id="236"/>
      <w:r>
        <w:rPr>
          <w:rtl w:val="true"/>
        </w:rPr>
        <w:t>المسألة الثانیة</w:t>
      </w:r>
      <w:r>
        <w:rPr>
          <w:rtl w:val="true"/>
        </w:rPr>
        <w:t xml:space="preserve">: </w:t>
      </w:r>
      <w:r>
        <w:rPr>
          <w:rtl w:val="true"/>
        </w:rPr>
        <w:t>فی ورود القضیّتین فی کلام واحد</w:t>
      </w:r>
      <w:bookmarkEnd w:id="237"/>
    </w:p>
    <w:p>
      <w:pPr>
        <w:pStyle w:val="BookText"/>
        <w:rPr/>
      </w:pPr>
      <w:r>
        <w:rPr>
          <w:rFonts w:ascii="IRNazanin" w:hAnsi="IRNazanin" w:eastAsia="IRNazanin"/>
          <w:color w:val="111111"/>
          <w:sz w:val="28"/>
          <w:sz w:val="28"/>
          <w:szCs w:val="28"/>
          <w:rtl w:val="true"/>
          <w:lang w:bidi="fa-IR"/>
        </w:rPr>
        <w:t>بناء علی ما عرفت فی الأولی یتمّ الکلام هنا، إلاّ أنّ ورودهما فی کلام واحد ربّما یوجب ظهور کون الثانیة من مصادیق الأولی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 بالتفصیل فی القضایا، فإن کانت الأولی سالبة الحکم، و الثانیة موجبة الحکم، یعدّ الأولی من مصادیق الثانیة، فمجرّد التأخّر فی الکلام لا یعطی شیئا،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bookmarkStart w:id="238" w:name="pg13167_140831"/>
    </w:p>
    <w:p>
      <w:pPr>
        <w:pStyle w:val="Heading3"/>
        <w:numPr>
          <w:ilvl w:val="2"/>
          <w:numId w:val="1"/>
        </w:numPr>
        <w:rPr/>
      </w:pPr>
      <w:bookmarkStart w:id="239" w:name="__RefHeading___Toc559494_3244359995"/>
      <w:bookmarkStart w:id="240" w:name="_Toc90"/>
      <w:bookmarkEnd w:id="238"/>
      <w:bookmarkEnd w:id="239"/>
      <w:r>
        <w:rPr>
          <w:rtl w:val="true"/>
        </w:rPr>
        <w:t>المبحث الثانی فی مفهوم التعلیل</w:t>
      </w:r>
      <w:bookmarkEnd w:id="240"/>
    </w:p>
    <w:p>
      <w:pPr>
        <w:pStyle w:val="Heading4"/>
        <w:numPr>
          <w:ilvl w:val="3"/>
          <w:numId w:val="1"/>
        </w:numPr>
        <w:rPr/>
      </w:pPr>
      <w:bookmarkStart w:id="241" w:name="__RefHeading___Toc559496_3244359995"/>
      <w:bookmarkStart w:id="242" w:name="_Toc91"/>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لم یذکر هذا المفهوم خلال المفاهیم، مع أنّه أولی من بعض منها، فلو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الإسکار علّة بلا إشکال، و کونه واسطة فی الثبوت أیضا هو الظاهر، و إرجاع التعالیل الشرعیّة إلی قیود الموضوع و عناوین الأحکام، بلا وجه مع اختلاف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استفدنا من مقدّمات الإطلاق أنّ العلّة الوحیدة لحرمة الخمر هی الإسکار، فیلزم منه انتفاء سنخ الحکم، و یکون دلیلا علی عدم موجب لتحریمه إلاّ هذا المذکور فی القضیّة، فلو ورد فی مورد انتفاء العلّة حکم تحریمها لجهة أخری، تقع المعارضة بین الدلیلین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إذا استفدنا أنّ کلّ خمر تخصّ بحرمة، و تکون تلک الحرمة مستندة إلی الإسکار، و لا دلیل آخر علی حرمتها غیر الإسکار، یلزم التهافت بینه و بین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کثیره یسکر فقلیله حرام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فإنّ قلیله إن لم یکن مسکرا فلیس بحرام حسب المفهوم، و لا بدّ حینئذ من علاج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المفاهیم مفهوم التعلیل، و تبیّن أنّ إثبات الانحصار و العلّیة التامّة و أصل الاستناد هنا، أهون من مفهوم الشرط 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الوصف فسیأتی </w:t>
      </w:r>
      <w:r>
        <w:rPr>
          <w:rStyle w:val="FootnoteAnchor"/>
          <w:rtl w:val="true"/>
        </w:rPr>
        <w:footnoteReference w:id="285"/>
      </w:r>
      <w:r>
        <w:rPr>
          <w:rFonts w:ascii="IRNazanin" w:hAnsi="IRNazanin" w:eastAsia="IRNazanin"/>
          <w:color w:val="111111"/>
          <w:sz w:val="28"/>
          <w:sz w:val="28"/>
          <w:szCs w:val="28"/>
          <w:rtl w:val="true"/>
          <w:lang w:bidi="fa-IR"/>
        </w:rPr>
        <w:t>،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الشرط فقد عرفت المئونات الکثیرة فی إثبات أصل الاستناد و العلّیة التامّة، الّذی خالفه جماعة من المحقّقین، فضلا عن الانحصار</w:t>
      </w:r>
      <w:r>
        <w:rPr>
          <w:rStyle w:val="FootnoteAnchor"/>
          <w:rtl w:val="true"/>
        </w:rPr>
        <w:footnoteReference w:id="286"/>
      </w:r>
      <w:r>
        <w:rPr>
          <w:rFonts w:ascii="IRNazanin" w:hAnsi="IRNazanin" w:eastAsia="IRNazanin"/>
          <w:color w:val="111111"/>
          <w:sz w:val="28"/>
          <w:sz w:val="28"/>
          <w:szCs w:val="28"/>
          <w:rtl w:val="true"/>
          <w:lang w:bidi="fa-IR"/>
        </w:rPr>
        <w:t>، و أمّا فیما نحن فیه فنحتاج إلی الجزء الأخیر و هو الانحصار، و أمّا سائر المقدّمات فهی هنا واضحة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تمّت التقاریب الکثیرة فی مفهوم الشرط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إقرار الفقهاء فی کتبهم الفقهیّة به علی خلاف مذاقهم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تمامیّة المفهوم هنا أولی و أظهر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داخلا فی مفهوم الوصف غیر المعتمد الخارج عن محلّ النزاع، أو یکون مندرجا فیه، فی غیر محلّه کما أشیر إلیه فی صدر المسألة، ضرورة أنّ کون الخمر حراما، و کون کلّ مصداق منها ممنوعا، صریح الدلیل حسب الانحلال اللفظیّ فی المقام، و أمّا علّة التحریم العمومیّ فهی الإسکار، و لا یلزم منه عدم جواز التجاوز عن الخمر إلی باقی المسکرات، لأنّ سائر المسکرات أیضا حرام بعناوینها الذاتیّة لأجل الإسکار، من غیر کون المسکر بعنوانه محرّما، و لذلک نجد أنّ العرف یحکم بذلک و أنّه یؤاخذ المرتکب بشرب الخمر، لا المسکر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کون المحرّم تشریعا عنوان العلّة</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فی غیر محلّه جدّاً</w:t>
      </w:r>
      <w:r>
        <w:rPr>
          <w:rFonts w:eastAsia="Amiri" w:cs="Amiri" w:ascii="Amiri" w:hAnsi="Amiri"/>
          <w:color w:val="111111"/>
          <w:sz w:val="28"/>
          <w:szCs w:val="28"/>
          <w:rtl w:val="true"/>
          <w:lang w:bidi="ar-SA"/>
        </w:rPr>
        <w:t>.</w:t>
      </w:r>
      <w:bookmarkStart w:id="243" w:name="pg13167_140833"/>
    </w:p>
    <w:p>
      <w:pPr>
        <w:pStyle w:val="BookText"/>
        <w:rPr/>
      </w:pPr>
      <w:bookmarkEnd w:id="243"/>
      <w:r>
        <w:rPr>
          <w:rFonts w:ascii="IRNazanin" w:hAnsi="IRNazanin" w:eastAsia="IRNazanin"/>
          <w:color w:val="111111"/>
          <w:sz w:val="28"/>
          <w:sz w:val="28"/>
          <w:szCs w:val="28"/>
          <w:rtl w:val="true"/>
          <w:lang w:bidi="fa-IR"/>
        </w:rPr>
        <w:t>و لا یلزم من هذا کونها علّة مخصوصة، بل تکون مع ذلک علّة معمّمة و مخصّصة، لعدم علّیة شی‌ء آخر للتحریم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الحرمة علی الخمر حینئذ لغو، و لا مصلحة فیه، فاسد لما مرّ منّا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الحکم الموضوع علی طبیعة لا بدّ و أن یکون له منشأ و مصلحة، و أمّا لزوم کون نفس المتعلّق ذا مصلحة أو مفسدة فهو ممنوع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التعلیل من المفاهیم التی لا بدّ من البحث عنها، و إلیه یرجع مفهوم الوصف و الشرط لبّا کما لا یخفی، و إرجاع الحکم المعلّل المتعلّق بذات الخمر مثلا إلی عنوان العلّة، ثمّ إنکار مفهوم التعلیل، بلا وجه بعد ظهور الکلام فی أنّ الحرام هی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اقتضی البرهان التصرّف المذکور کان له وجه، و لکنّک عرفت عدم تمامیّته، و قد أشرنا إلی براهین فی خلال الأسطر مع دفعها، فلیتأمّل و اغتنم جدّاً</w:t>
      </w:r>
      <w:r>
        <w:rPr>
          <w:rFonts w:eastAsia="IRNazanin" w:cs="IRNazanin"/>
          <w:color w:val="111111"/>
          <w:sz w:val="28"/>
          <w:szCs w:val="28"/>
          <w:rtl w:val="true"/>
          <w:lang w:bidi="fa-IR"/>
        </w:rPr>
        <w:t>.</w:t>
      </w:r>
    </w:p>
    <w:p>
      <w:pPr>
        <w:pStyle w:val="Heading4"/>
        <w:numPr>
          <w:ilvl w:val="3"/>
          <w:numId w:val="1"/>
        </w:numPr>
        <w:rPr/>
      </w:pPr>
      <w:bookmarkStart w:id="244" w:name="__RefHeading___Toc559498_3244359995"/>
      <w:bookmarkStart w:id="245" w:name="_Toc92"/>
      <w:bookmarkEnd w:id="244"/>
      <w:r>
        <w:rPr>
          <w:rtl w:val="true"/>
        </w:rPr>
        <w:t>تذنیب</w:t>
      </w:r>
      <w:r>
        <w:rPr>
          <w:rtl w:val="true"/>
        </w:rPr>
        <w:t xml:space="preserve">: </w:t>
      </w:r>
      <w:r>
        <w:rPr>
          <w:rtl w:val="true"/>
        </w:rPr>
        <w:t>حول تعارض مفهوم التعلیل مع المنطوق</w:t>
      </w:r>
      <w:bookmarkEnd w:id="245"/>
    </w:p>
    <w:p>
      <w:pPr>
        <w:pStyle w:val="BookText"/>
        <w:rPr/>
      </w:pPr>
      <w:r>
        <w:rPr>
          <w:rFonts w:ascii="IRNazanin" w:hAnsi="IRNazanin" w:eastAsia="IRNazanin"/>
          <w:color w:val="111111"/>
          <w:sz w:val="28"/>
          <w:sz w:val="28"/>
          <w:szCs w:val="28"/>
          <w:rtl w:val="true"/>
          <w:lang w:bidi="fa-IR"/>
        </w:rPr>
        <w:t>بعد ما تبین مفهوم التعلیل و ثمرته و کیفیّة معارضته، فهل یقاوم المنطوق فیما کانت نسبة المعارضة التباین کما فی المثال المزبور، فإنّ النسبة بین التعلیل و بین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کثیره یسکر فقلیله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التباین، ضرورة أنّ مفاد المنطوق حرمة کلّ مسکر، و قضیّة مفهوم العلّة حلّیة کلّ ما لیس بمسکر، لأنّ ذلک مقتضی انحصار علّة الحرمة بالإسکار؟</w:t>
      </w:r>
    </w:p>
    <w:p>
      <w:pPr>
        <w:pStyle w:val="BookText"/>
        <w:rPr/>
      </w:pPr>
      <w:r>
        <w:rPr>
          <w:rFonts w:ascii="IRNazanin" w:hAnsi="IRNazanin" w:eastAsia="IRNazanin"/>
          <w:color w:val="111111"/>
          <w:sz w:val="28"/>
          <w:sz w:val="28"/>
          <w:szCs w:val="28"/>
          <w:rtl w:val="true"/>
          <w:lang w:bidi="fa-IR"/>
        </w:rPr>
        <w:t>أم یقدّم المنطوق علیه، أو یتعیّن هنا إنکار المفهوم؟ و ربّما یکون هو الأقرب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دعوی تقدّم المفهوم، لأنّه لو کان نفس کونه مفهوما سببا لتأخّره تلزم</w:t>
      </w:r>
    </w:p>
    <w:p>
      <w:pPr>
        <w:pStyle w:val="BookText"/>
        <w:rPr/>
      </w:pPr>
      <w:r>
        <w:rPr>
          <w:rFonts w:ascii="IRNazanin" w:hAnsi="IRNazanin" w:eastAsia="IRNazanin"/>
          <w:color w:val="111111"/>
          <w:sz w:val="28"/>
          <w:sz w:val="28"/>
          <w:szCs w:val="28"/>
          <w:rtl w:val="true"/>
          <w:lang w:bidi="fa-IR"/>
        </w:rPr>
        <w:t>اللغویّة، فلا بدّ و أن یکون المرجّح أمورا اخر حتّی یتقدّم المفهوم أحیانا و یتأخّر أخری،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مرجّح فی البین، لرجوع معارضة المفهوم مع المنطوق عند المتأخّرین إلی معارضة إطلاق المنطوق، و إطلاق المنطوق الاخر، و لا یکون معارض المنطوق نفس المفهوم بما هو هو، لأنّه تابع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لترجیح أحدهما علی الآخر، فتکون المسألة دائرة بین اندراجها فی الأخبار العلاجیّة، و بین إنکار أصل المفهوم للتعلیل، لعدم تمامیّة مقدّمات الإطلاق لإثبات انحصار العلّة مطلقا، و ذلک لما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استفادة حصر العلّة فی القضیّة الشرطیّة، کانت من طریق استفادة القضیّة الحقیقیّة</w:t>
      </w:r>
      <w:r>
        <w:rPr>
          <w:rStyle w:val="FootnoteAnchor"/>
          <w:rtl w:val="true"/>
        </w:rPr>
        <w:footnoteReference w:id="289"/>
      </w:r>
      <w:r>
        <w:rPr>
          <w:rFonts w:ascii="IRNazanin" w:hAnsi="IRNazanin" w:eastAsia="IRNazanin"/>
          <w:color w:val="111111"/>
          <w:sz w:val="28"/>
          <w:sz w:val="28"/>
          <w:szCs w:val="28"/>
          <w:rtl w:val="true"/>
          <w:lang w:bidi="fa-IR"/>
        </w:rPr>
        <w:t>، بدعوی الملازمة بین کلّ مصداق من الجزاء لمصداق من الشرط، و هذا فیما نحن فیه غیر ممکن، أی لا یمکن بالإطلاق هنا نفی علّیة الأمر الآخر لتحریم مصداق الخمر الّذی لیس بمسکر،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سلکه المتأخرون من التمسک بالإطلاق تارة، و بقاعدة عقلیّة أخری لإثبات مفهوم الشرط و الوصف، لا بدّ من الالتزام به هنا بطریق أولی، کما لا یخفی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حال المفهوم و المنطوق فیما کانت النسبة عموما من وجه، و تمام الکلام فی التعادل و الترجیح</w:t>
      </w:r>
      <w:r>
        <w:rPr>
          <w:rFonts w:eastAsia="IRNazanin" w:cs="IRNazanin"/>
          <w:color w:val="111111"/>
          <w:sz w:val="28"/>
          <w:szCs w:val="28"/>
          <w:rtl w:val="true"/>
          <w:lang w:bidi="fa-IR"/>
        </w:rPr>
        <w:t>.</w:t>
      </w:r>
      <w:bookmarkStart w:id="246" w:name="pg13167_140835"/>
    </w:p>
    <w:p>
      <w:pPr>
        <w:pStyle w:val="Heading3"/>
        <w:numPr>
          <w:ilvl w:val="2"/>
          <w:numId w:val="1"/>
        </w:numPr>
        <w:rPr/>
      </w:pPr>
      <w:bookmarkStart w:id="247" w:name="__RefHeading___Toc559500_3244359995"/>
      <w:bookmarkStart w:id="248" w:name="_Toc93"/>
      <w:bookmarkEnd w:id="246"/>
      <w:bookmarkEnd w:id="247"/>
      <w:r>
        <w:rPr>
          <w:rtl w:val="true"/>
        </w:rPr>
        <w:t>المبحث الثالث فی مفهوم الوصف</w:t>
      </w:r>
      <w:bookmarkEnd w:id="248"/>
    </w:p>
    <w:p>
      <w:pPr>
        <w:pStyle w:val="BookText"/>
        <w:rPr/>
      </w:pPr>
      <w:r>
        <w:rPr>
          <w:rFonts w:ascii="IRNazanin" w:hAnsi="IRNazanin" w:eastAsia="IRNazanin"/>
          <w:color w:val="111111"/>
          <w:sz w:val="28"/>
          <w:sz w:val="28"/>
          <w:szCs w:val="28"/>
          <w:rtl w:val="true"/>
          <w:lang w:bidi="fa-IR"/>
        </w:rPr>
        <w:t>قد تبیّن فیما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المفهوم المقصود فی المقام، منوطة باستفادة العلّیة المنحصرة للوصف و القید، و بعد ما تبیّن فی مفهوم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الحصر من العلّة المذکورة غیر ممکنة، فهل یبقی وجه لتخیّل المفهوم للوصف و لو کان القید احترازیّا، و کان الوصف معتمدا، و کان مع ظهوره فی الاحترازیّة علّة، فإنّه مع ذلک کلّه لا یزداد علی العلّة المصرّح بها فی الکلام غیر الممکن إثبات حصرها؟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فی إثبات المفهوم کما تحرّر مرارا، إلی نفی سنخ الحکم عند وجود سائر الأوصاف الاخر</w:t>
      </w:r>
      <w:r>
        <w:rPr>
          <w:rStyle w:val="FootnoteAnchor"/>
          <w:rtl w:val="true"/>
        </w:rPr>
        <w:footnoteReference w:id="290"/>
      </w:r>
      <w:r>
        <w:rPr>
          <w:rFonts w:ascii="IRNazanin" w:hAnsi="IRNazanin" w:eastAsia="IRNazanin"/>
          <w:color w:val="111111"/>
          <w:sz w:val="28"/>
          <w:sz w:val="28"/>
          <w:szCs w:val="28"/>
          <w:rtl w:val="true"/>
          <w:lang w:bidi="fa-IR"/>
        </w:rPr>
        <w:t>، مثلا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 القید احترازیّ، و الموضوع مضیّق، و أنّه لا یجب الإکرام إذا کان زید جاهلا، و أمّا إذا سئل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إکرام زید الجاهل المصلّی،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تقع المکاذبة بالضرورة بین الدلیلین، لعدم ارتباط بین کون زید العالم واجب الإکرام، و زید المصلّی أیضا واجبا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التشبّثات الکثیرة التی ذکروها فی القضیّة الشرطیّة</w:t>
      </w:r>
      <w:r>
        <w:rPr>
          <w:rStyle w:val="FootnoteAnchor"/>
          <w:rtl w:val="true"/>
        </w:rPr>
        <w:footnoteReference w:id="291"/>
      </w:r>
      <w:r>
        <w:rPr>
          <w:rFonts w:ascii="IRNazanin" w:hAnsi="IRNazanin" w:eastAsia="IRNazanin"/>
          <w:color w:val="111111"/>
          <w:sz w:val="28"/>
          <w:sz w:val="28"/>
          <w:szCs w:val="28"/>
          <w:rtl w:val="true"/>
          <w:lang w:bidi="fa-IR"/>
        </w:rPr>
        <w:t>، کلّها تأتی هنا و تجری، و لکنّها لا تنفع و لا تفید، و التنبیهات التی أفادوها فی ذیل تلک القضیّة تأتی هنا أیضا، کما أشرنا إلیه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فترتیب المقدّمات الکثیرة أوّلا، و إقامة الأدلّة المفصّلة ثانیا، و ذکر تنبیهات علی حدة ثالثا، کلّه من التورّم فی الأصول، غافلین عن أنّ التورّم غیر السمن، و اللَّه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رجوع الوصف و القید إلی الشرط، و تکون القضیّة شرطیّة، عکس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رجوع الشرط إلی القید و الوصف</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فإذا کان للشرط مفهوم فهو ثابت للوصف أیضا و ذلک لأنّ حقیقة الوصف و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 احترازیّا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دخیل فی صیرورة الموصوف بذاته قابلا لتعلّق الحکم به، فیکون القید واسطة فی ثبوت الحکم لذات الموصوف، کما فی الشرطیّة، و ما هو الموجب للقول بالمفهوم فی الشرط هو الموجب هنا، و منها أنّ الظاهر دخل القید و الوصف بعنوانه الخاصّ، إذ مع تعدّد العلّة، یکون الجامع علّة، و هو خلاف الظاهر، فلا محالة ینتفی سنخ الحکم بانتفاء قید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لکنّک عرفت فساده بما لا مزید علیه فی تقاریب الشرط، فراجع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القضیّة الشرطیّة، یکون السبب و العلّة مجی‌ء زید، لا المجی‌ء المطلق، و فی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استفادة العلّیة من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سببیّة القید و علّیة الوصف و العلم من غیر دخالة الذات، کما فی مفهوم التعلیل، فإرجاع القضیّة الوصفیّة إلی الشرطیّة یضرّ من جهة، و إن کان أقرب إلی فهم العرف،</w:t>
      </w:r>
    </w:p>
    <w:p>
      <w:pPr>
        <w:pStyle w:val="BookText"/>
        <w:rPr/>
      </w:pPr>
      <w:r>
        <w:rPr>
          <w:rFonts w:ascii="IRNazanin" w:hAnsi="IRNazanin" w:eastAsia="IRNazanin"/>
          <w:color w:val="111111"/>
          <w:sz w:val="28"/>
          <w:sz w:val="28"/>
          <w:szCs w:val="28"/>
          <w:rtl w:val="true"/>
          <w:lang w:bidi="fa-IR"/>
        </w:rPr>
        <w:t>لأنّ کون الوصف و القید علّة خلاف ظهور القضیّة فی دخالة الموصوف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إرجاع الوصف إلی الشرط خلاف ظهورها فی أنّهما عرضیّان فی الموضوعیّة للحکم، و لذلک لا یثبت المفهوم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القول بالزکاة فی الإبل المعلوفة لأجل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فتأمّل و اغتنم</w:t>
      </w:r>
      <w:r>
        <w:rPr>
          <w:rFonts w:eastAsia="IRNazanin" w:cs="IRNazanin"/>
          <w:color w:val="111111"/>
          <w:sz w:val="28"/>
          <w:szCs w:val="28"/>
          <w:rtl w:val="true"/>
          <w:lang w:bidi="fa-IR"/>
        </w:rPr>
        <w:t>.</w:t>
      </w:r>
      <w:bookmarkStart w:id="249" w:name="pg13167_140839"/>
    </w:p>
    <w:p>
      <w:pPr>
        <w:pStyle w:val="Heading3"/>
        <w:numPr>
          <w:ilvl w:val="2"/>
          <w:numId w:val="1"/>
        </w:numPr>
        <w:rPr/>
      </w:pPr>
      <w:bookmarkStart w:id="250" w:name="__RefHeading___Toc559502_3244359995"/>
      <w:bookmarkStart w:id="251" w:name="_Toc94"/>
      <w:bookmarkEnd w:id="249"/>
      <w:bookmarkEnd w:id="250"/>
      <w:r>
        <w:rPr>
          <w:rtl w:val="true"/>
        </w:rPr>
        <w:t>المبحث الرابع فی مفهوم الغایة</w:t>
      </w:r>
      <w:bookmarkEnd w:id="251"/>
    </w:p>
    <w:p>
      <w:pPr>
        <w:pStyle w:val="Heading4"/>
        <w:numPr>
          <w:ilvl w:val="3"/>
          <w:numId w:val="1"/>
        </w:numPr>
        <w:rPr/>
      </w:pPr>
      <w:bookmarkStart w:id="252" w:name="__RefHeading___Toc559504_3244359995"/>
      <w:bookmarkStart w:id="253" w:name="_Toc95"/>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 xml:space="preserve">لو کان القانون مشتملا علی أداة الغایة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یستفاد منه أنّ الحکم المزبور فی المنطوق، منتف بالنسبة إلی ما بعد الغایة بسنخه، بعد وضوح انتفائه بشخصه، أم لا؟</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کون الغایة راجعة إلی حدّ الموضوع فلا تدلّ، و کونها راجعة إلی حدّ الحکم فتدلّ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المشهور ذهبوا إلی الأوّل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 </w:t>
      </w:r>
      <w:r>
        <w:rPr>
          <w:rStyle w:val="FootnoteAnchor"/>
          <w:rtl w:val="true"/>
        </w:rPr>
        <w:footnoteReference w:id="296"/>
      </w:r>
      <w:r>
        <w:rPr>
          <w:rFonts w:ascii="IRNazanin" w:hAnsi="IRNazanin" w:eastAsia="IRNazanin"/>
          <w:color w:val="111111"/>
          <w:sz w:val="28"/>
          <w:sz w:val="28"/>
          <w:szCs w:val="28"/>
          <w:rtl w:val="true"/>
          <w:lang w:bidi="fa-IR"/>
        </w:rPr>
        <w:t xml:space="preserve">إلی العلمین السیّد و الشیخ قدس سرُّهما الثانی </w:t>
      </w:r>
      <w:r>
        <w:rPr>
          <w:rStyle w:val="FootnoteAnchor"/>
          <w:rtl w:val="true"/>
        </w:rPr>
        <w:footnoteReference w:id="297"/>
      </w:r>
      <w:r>
        <w:rPr>
          <w:rFonts w:ascii="IRNazanin" w:hAnsi="IRNazanin" w:eastAsia="IRNazanin"/>
          <w:color w:val="111111"/>
          <w:sz w:val="28"/>
          <w:sz w:val="28"/>
          <w:szCs w:val="28"/>
          <w:rtl w:val="true"/>
          <w:lang w:bidi="fa-IR"/>
        </w:rPr>
        <w:t>، و هو مختار جمع من</w:t>
      </w:r>
    </w:p>
    <w:p>
      <w:pPr>
        <w:pStyle w:val="BookText"/>
        <w:rPr/>
      </w:pPr>
      <w:r>
        <w:rPr>
          <w:rFonts w:ascii="Amiri" w:hAnsi="Amiri" w:eastAsia="Amiri" w:cs="Amiri"/>
          <w:color w:val="111111"/>
          <w:sz w:val="28"/>
          <w:sz w:val="28"/>
          <w:szCs w:val="28"/>
          <w:rtl w:val="true"/>
          <w:lang w:bidi="ar-SA"/>
        </w:rPr>
        <w:t xml:space="preserve">المتأخّرین </w:t>
      </w:r>
      <w:r>
        <w:rPr>
          <w:rStyle w:val="FootnoteAnchor"/>
          <w:rtl w:val="true"/>
        </w:rPr>
        <w:footnoteReference w:id="298"/>
      </w:r>
      <w:r>
        <w:rPr>
          <w:rFonts w:ascii="IRNazanin" w:hAnsi="IRNazanin" w:eastAsia="IRNazanin"/>
          <w:color w:val="111111"/>
          <w:sz w:val="28"/>
          <w:sz w:val="28"/>
          <w:szCs w:val="28"/>
          <w:rtl w:val="true"/>
          <w:lang w:bidi="fa-IR"/>
        </w:rPr>
        <w:t xml:space="preserve">، و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فی أخریات عمره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کون الحکم المغیّا منشأ بالآلات الأدویة و الحروف الإیجادیّة، و بین کونه منشأ بالأسماء الکلّیة، و مثلها الحروف، بناء علی کون الموضوع له فیها الکلیّ و المعنی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بین ما بعد الغایة، و نفس الغایة، و أن القضیّة المغیّاة تدلّ علی ارتفاع سنخ الحکم بالنسبة إلی ما بعدها دونها، لأنّها داخلة فی المغیّا، فهو راجع إلی مسألة أخری تأتی إن شاء اللَّه تعالی فی ذیل هذه المسألة</w:t>
      </w:r>
      <w:r>
        <w:rPr>
          <w:rStyle w:val="FootnoteAnchor"/>
          <w:rtl w:val="true"/>
        </w:rPr>
        <w:footnoteReference w:id="300"/>
      </w:r>
      <w:r>
        <w:rPr>
          <w:rFonts w:ascii="IRNazanin" w:hAnsi="IRNazanin" w:eastAsia="IRNazanin"/>
          <w:color w:val="111111"/>
          <w:sz w:val="28"/>
          <w:sz w:val="28"/>
          <w:szCs w:val="28"/>
          <w:rtl w:val="true"/>
          <w:lang w:bidi="fa-IR"/>
        </w:rPr>
        <w:t>، لأنّه بحث خارج عن مقصد المفاهیم، و لا یکون من مباحثه، و إن کان من یعتقد بدخول الغایة فی المغیّا لا یقول بارتفاع سنخ الحکم عنها، لأنّها محکومة بشخص الحکم حسب المنطوق،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 جمعا من الأعلام رحمهم اللَّه توهّموا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تحریر النزاع فی مفهوم الغایة، منوط بتحریر هذه المسألة</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مع أنّها أجنبیّة عن بحث المفاهیم رأسا، لأنّ النّظر هنا إلی مسألة کلّیة، من غیر ارتباطها بدخول الغایة فی المغیّا و عدمه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مقصور بصورة إمکان اتصاف ما بعد الغایة بحکم المغیّا، و أمّا إذا امتنع ذلک فلا وجه للنزاع، ضرورة أنّ مقتضی الامتناع انتفاء الحکم بسنخه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الحرام</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قذر</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لا یمکن النزاع، لامتناع اتصاف ما بعد الغایة بحکم المغیّا و هی الحلیّة و الطهارة، فعلیه تکون الحلیّة و الطهارة منتفیتین بسنخهما بعد معروفیّة الحرمة و النجاسة، و لا یعقل جعل الحلّیة و الطهارة لما بعد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تری فی کلماتهم قدس سرُّهم من البحث حول هذه الغایة، و أنّها غایة الحکم مثلا</w:t>
      </w:r>
      <w:r>
        <w:rPr>
          <w:rStyle w:val="FootnoteAnchor"/>
          <w:rtl w:val="true"/>
        </w:rPr>
        <w:footnoteReference w:id="304"/>
      </w:r>
      <w:r>
        <w:rPr>
          <w:rFonts w:ascii="IRNazanin" w:hAnsi="IRNazanin" w:eastAsia="IRNazanin"/>
          <w:color w:val="111111"/>
          <w:sz w:val="28"/>
          <w:sz w:val="28"/>
          <w:szCs w:val="28"/>
          <w:rtl w:val="true"/>
          <w:lang w:bidi="fa-IR"/>
        </w:rPr>
        <w:t xml:space="preserve">، فهو خارج عن الجهة المبحوث عنها فی المقام، فالبحث مقصور بأمثال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القضایا الإخباریّة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یمکن أن یتکفّل دلیل آخر لإثبات الحکم المماثل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سنخ الحکم فی تلک القضایا واضح بالضرورة، و لا حاجة إلی الاستدلال، فما هو مورد النزاع هو ما یکون محتاجا إلی الاستدلال مقابل من یقول بالإهمال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هذه المقدّمة الوجیزة، فالذی هو الأقرب إلی النّظر مقالة العلمین قدس سرُّهما و سیظهر فی طول البحث تمامیّة هذه المقالة، لما سیتبیّن وجه الأقوال و ما فیها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یوجّه به هذه المقالة، و هو أنّ القضایا الإنشائیّة و الإخباریّة فی هذه</w:t>
      </w:r>
    </w:p>
    <w:p>
      <w:pPr>
        <w:pStyle w:val="BookText"/>
        <w:rPr/>
      </w:pPr>
      <w:r>
        <w:rPr>
          <w:rFonts w:ascii="IRNazanin" w:hAnsi="IRNazanin" w:eastAsia="IRNazanin"/>
          <w:color w:val="111111"/>
          <w:sz w:val="28"/>
          <w:sz w:val="28"/>
          <w:szCs w:val="28"/>
          <w:rtl w:val="true"/>
          <w:lang w:bidi="fa-IR"/>
        </w:rPr>
        <w:t>المرحلة واحدة، و إذا راجعنا إلی الإخباریّة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نجد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الإخبار بالسیر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 آخر عن عدم السیر ما بعد الکوفة، و لا یجوز إسناد ذلک إلی المتکلّم المخبر بأنّه أخبر 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سیره من البصرة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عدم سیره من الکوفة إلی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التحدید فربّما یکون لجهات اخر کثیرة، فربّما کان سیره إلی ما بعدها، و لکن لا یهتمّ بنقله و إخباره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غیر فرق بین اختلاف تعابیره،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سیری بین البصرة 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البصرة و الکوفة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البصرة سرت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فإنّ الکلّ مشترک فی ذلک، و لا یمکن فی المحاکم العرفیّة و عند القاضی دعوی إقراره بعدم السیر بعد الغایة، حتّی یناقض إقراره بالسیر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الأدوات لیست موضوعة للدلالة المزبورة، و لا هیئة الجملة المذکورة دالّة علیها، و لا منصرفة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القضایا الشرعیّة الإنشائیّة، لیس للغایة دلالة وضعیّة، و لا للهیئة دلالة خاصّة أو تخصّصیة، بل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الذقن إلی قصاص الشعر 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وجهک من القصاص إلی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غسل الوجه من القصاص إلی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فی سائر الأمثلة، فإنّ الکلّ لا یفید إلاّ حدود المطلوب عرفا، و أنّ ما وراء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القضیّة بالنسبة إلیهما مهملة، و لا تدلّ علی شی‌ء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من الصبح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الصبح إلی الزوال</w:t>
      </w:r>
    </w:p>
    <w:p>
      <w:pPr>
        <w:pStyle w:val="BookText"/>
        <w:rPr/>
      </w:pP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یجد العرف مناقضة بینه و بین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أقم الصلاة من الزوال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الزوال إلی الغروب 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ذلک بحسب المتفاهم العرفیّ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کلّ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الدلالة الوضعیّة عن ذلک، و أنّ کثیرا ما یقع الخلط بین انتفاء الحکم الشخصیّ و السنخیّ، فإنّ ما هو مرتکز العقلاء أنّ جعل الوجوب إلی المرافق، لا بدّ و أن یکون لوجه، و إذا کان الأمر دائرا مداره فیعلم عدم وجه للإیجاب لما بعد الغایة، و أمّا إذا اقتضت جهة أخری إیجابه لما بعدها، فلا یکون هو خلاف الارتکاز بالضرورة،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و غیره </w:t>
      </w:r>
      <w:r>
        <w:rPr>
          <w:rStyle w:val="FootnoteAnchor"/>
          <w:rtl w:val="true"/>
        </w:rPr>
        <w:footnoteReference w:id="306"/>
      </w:r>
      <w:r>
        <w:rPr>
          <w:rFonts w:ascii="IRNazanin" w:hAnsi="IRNazanin" w:eastAsia="IRNazanin"/>
          <w:color w:val="111111"/>
          <w:sz w:val="28"/>
          <w:sz w:val="28"/>
          <w:szCs w:val="28"/>
          <w:rtl w:val="true"/>
          <w:lang w:bidi="fa-IR"/>
        </w:rPr>
        <w:t>من المناقشة فی الأمثلة و کیفیّة أداء المقصود، غیر راجع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دلالة الغایة علی انتفاء سنخ الحکم عمّا بعدها، لا بدّ و أن یسند إلی الشرع أنّه أوجب الغسل إلی المرافق، أو السیر إلی البصرة، و یسند إلی الشرع أیضا أنّه اعتبر عدم وجوبه بعدها، و یکفی الإخبار بنحو السالبة المحصّلة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أوجب الشرع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یکفی بنحو الموجبة المعدولة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الشرع اعتبر عدم الوجوب لما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للمتدبّر جدّاً، و تأمّل جیّدا، کما أنّ التزامه بذلک بعید قطعا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کان الأمر کما زعم القائل بالمفهوم، لما کان وجه بین ما بعد الغایة و ما قبل الابتداء، لاشتراک الصدر مع الذیل فی ذلک،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من الزوال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 الدلالة علی عدم الوجوب بعد الغایة، ففیه الدلالة أیضا بالنسبة إلی ما قبل الزوال، و لا أظنّ التزامهم به</w:t>
      </w:r>
      <w:r>
        <w:rPr>
          <w:rFonts w:eastAsia="IRNazanin" w:cs="IRNazanin"/>
          <w:color w:val="111111"/>
          <w:sz w:val="28"/>
          <w:szCs w:val="28"/>
          <w:rtl w:val="true"/>
          <w:lang w:bidi="fa-IR"/>
        </w:rPr>
        <w:t>.</w:t>
      </w:r>
      <w:bookmarkStart w:id="254" w:name="pg13167_140844"/>
    </w:p>
    <w:p>
      <w:pPr>
        <w:pStyle w:val="Heading4"/>
        <w:numPr>
          <w:ilvl w:val="3"/>
          <w:numId w:val="1"/>
        </w:numPr>
        <w:rPr/>
      </w:pPr>
      <w:bookmarkStart w:id="255" w:name="__RefHeading___Toc559506_3244359995"/>
      <w:bookmarkStart w:id="256" w:name="_Toc96"/>
      <w:bookmarkEnd w:id="254"/>
      <w:bookmarkEnd w:id="255"/>
      <w:r>
        <w:rPr>
          <w:rtl w:val="true"/>
        </w:rPr>
        <w:t>وهم و دفع</w:t>
      </w:r>
      <w:r>
        <w:rPr>
          <w:rtl w:val="true"/>
        </w:rPr>
        <w:t xml:space="preserve">: </w:t>
      </w:r>
      <w:r>
        <w:rPr>
          <w:rtl w:val="true"/>
        </w:rPr>
        <w:t>حول ما إذا کانت الغایة من حدود الحکم و الطلب</w:t>
      </w:r>
      <w:bookmarkEnd w:id="256"/>
    </w:p>
    <w:p>
      <w:pPr>
        <w:pStyle w:val="BookText"/>
        <w:rPr/>
      </w:pPr>
      <w:r>
        <w:rPr>
          <w:rFonts w:ascii="IRNazanin" w:hAnsi="IRNazanin" w:eastAsia="IRNazanin"/>
          <w:color w:val="111111"/>
          <w:sz w:val="28"/>
          <w:sz w:val="28"/>
          <w:szCs w:val="28"/>
          <w:rtl w:val="true"/>
          <w:lang w:bidi="fa-IR"/>
        </w:rPr>
        <w:t>ربّما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الغایة إذا کانت من حدود الموضوع، فلا تدلّ علی شی‌ء، لأنّها لا تزید علی الوصف و القید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 و قد مرّ قصور دلالتهما علی المفهوم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کانت من حدود الحکم و الطلب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مفاد الهیئة إنشاء حقیقة الطلب، لا الطلب الجزئیّ الخارجیّ، فتکون الغایة فی القضیّة غایة لحقیقة الطلب المتعلّق بالجلوس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من الصبح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ارتفاع حقیقة الطلب عن الجلوس عند وجودها</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من حقیقة الطلب ما کان مقابل المجاز، فهو لا یرجع إلی محصّل، و إن أرید منها ماهیّة الطلب و کلیّه، و یکون الطلب المغیّا معنی کلّیا اسمیّا، فالغایة غایة لهذا الطلب، و حیث تکون الغایة حلا له فیوجب انقطاع ذلک الطلب، و هذا لا یورث ارتفاع مصداق الطلب الآخر بالنسبة إلی ما بعد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ورود الحدّ علیه یلزم کون الطلب المغیّا مصداقا للطلب، لا تمام الطلب، فلیتدبّر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أو غیره عدل عمّا فی المتن إلی القول بعدم المفهوم رأسا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أن نقول فی تقریب المفهوم بوجه أحسن منه، و هو أنّ مفاد الجمل المغیّاة بحسب التصوّر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فی مقام إفادة أنّ السیر من البصرة إلی الکوفة مطلوبی، أو أنّ المطلوب هو السیر من البصرة إلیها، و غیر ذلک ممّا یشابه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مقام إفادة أنّ مطلوبی المتلوّن بالسیر، و أنّ مطلوبی السیریّ و مقصودی الکذائیّ من البصرة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قبیل الأوّل فلا یکون له المفهوم، و یعدّ من قیود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الثانی فیستلزم انتفاء الطلب بالنسبة إلی ما بعد الغایة، و لو کان السیر المتلوّن بلون ما بعد الکوفة مطلوبه، لما کان للتقیید المزبور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المفهوم هنا منوطا بإثبات العلّیة المنحصرة، فلا یمکن ذلک، لأنّ غایة ما یثبت هنا انحصار المطلوب السیریّ بما بین الکوفة و البصرة، و هذا لا یتقوّم استفادته بالعلیّة المنحصرة، بل هو هنا یستفاد من التقیید الوارد علی الحکم، و أنّ مجرّد ذلک کاف فی حصول المفهوم و الانتفاء عند الانتفاء، فإذا فرضنا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 السیریّ محدود بین الکوفة و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انتفاء الطلب بسنخه مضافا إلی شخصه، قضاء للقید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یرید فی هذه الصورة إفادة أنّ مطلوبی الموصوف بالسیر، محصور بما بین البصرة و الکوفة، فیستفاد هنا حصر الطلب السیریّ بما بینهما، و قضیّته انتفاء سنخه عمّا بعد الغایة، من غیر توقّف علی کون الغایة حدّا للحکم، کما یظهر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إنّه لا یمکن المزید علیه فی تقریب مقالة الخصم، و لکنّه مع ذلک لا یفید و لا ینفع</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مقتضی هذا التقریب إثبات المفهوم بالنسبة إلی ما قبل الابتداء و ما بعد الغایة، و هم إمّا غیر ملتزمین به، أو یلتزمون، لما لا مفرّ عن ذلک بالضرورة، و لا یعدّ تالیا فاسدا له</w:t>
      </w:r>
      <w:r>
        <w:rPr>
          <w:rFonts w:eastAsia="IRNazanin" w:cs="IRNazanin"/>
          <w:color w:val="111111"/>
          <w:sz w:val="28"/>
          <w:szCs w:val="28"/>
          <w:rtl w:val="true"/>
          <w:lang w:bidi="fa-IR"/>
        </w:rPr>
        <w:t>.</w:t>
      </w:r>
      <w:bookmarkStart w:id="257" w:name="pg13167_140846"/>
    </w:p>
    <w:p>
      <w:pPr>
        <w:pStyle w:val="BookText"/>
        <w:rPr/>
      </w:pPr>
      <w:bookmarkEnd w:id="257"/>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الهیئات لیس إلاّ البعث فی الاعتبار الخارجیّ نحو المادّة، و لا تدلّ علی معنی کلّی أوّلا، ثم یقیّد ذلک المعنی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بمفاد المادّة و المتعلّق، بل هو إغراء و تحریک إلی جانبها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أنّا نستفید من الهیئة أو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محدود، فلا یزید أیضا علی القیود فی الموضوع، لأنّ القیود فی الموضوع أیضا دخیلة فی تضییق الطلب لبّا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استفدنا منه أنّ المطلوب السیریّ محصور بما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الأخیر فی تقریبنا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لأنّ مع ذلک إذا طلب منه السیر بین الکوفة و المدینة، فهو مناقض لقوله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فی استفادة ذلک من هذه العبارات، فإنّه فی التقدیم و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الجملة الفعلیّة أو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إلاّ حدّ الحکم، و هذا لا یورث انسلاب الحکم و انتفاء سنخه عمّا بعد الغایة، لأنّ ما هی الجهة الموجبة للإیجاب إلی الکوفة أو إلی المرافق، غیر الجهة الموجبة للإیجاب ما بعد الکوفة، و عندئذ لا یلزم من الإیجاب الأوّل نفی مصادیق الوجوب عمّا بعد الغایة بالضرورة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سواء کان حدّا للموضوع أو الحکم، لا یوجب 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الغایة و الابتداء ظرف حصر الطلب السیریّ بما بینهما، یثبت المطلوب، و هو انتفاء سنخ الحکم، إلاّ أنّه ممنوع بحسب الإثبات، فتدبّر</w:t>
      </w:r>
      <w:r>
        <w:rPr>
          <w:rFonts w:eastAsia="IRNazanin" w:cs="IRNazanin"/>
          <w:color w:val="111111"/>
          <w:sz w:val="28"/>
          <w:szCs w:val="28"/>
          <w:rtl w:val="true"/>
          <w:lang w:bidi="fa-IR"/>
        </w:rPr>
        <w:t>.</w:t>
      </w:r>
    </w:p>
    <w:p>
      <w:pPr>
        <w:pStyle w:val="Heading4"/>
        <w:numPr>
          <w:ilvl w:val="3"/>
          <w:numId w:val="1"/>
        </w:numPr>
        <w:rPr/>
      </w:pPr>
      <w:bookmarkStart w:id="258" w:name="__RefHeading___Toc559508_3244359995"/>
      <w:bookmarkStart w:id="259" w:name="_Toc97"/>
      <w:bookmarkEnd w:id="258"/>
      <w:r>
        <w:rPr>
          <w:rtl w:val="true"/>
        </w:rPr>
        <w:t>تذنیب</w:t>
      </w:r>
      <w:r>
        <w:rPr>
          <w:rtl w:val="true"/>
        </w:rPr>
        <w:t xml:space="preserve">: </w:t>
      </w:r>
      <w:r>
        <w:rPr>
          <w:rtl w:val="true"/>
        </w:rPr>
        <w:t>حول وجه التفصیل بین کون المنشأ جزئیّا أو کلّیا</w:t>
      </w:r>
      <w:bookmarkEnd w:id="25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التفصیل بین کون المنشأ جزئیّا و کلّیا</w:t>
      </w:r>
      <w:r>
        <w:rPr>
          <w:rStyle w:val="FootnoteAnchor"/>
          <w:rtl w:val="true"/>
        </w:rPr>
        <w:footnoteReference w:id="311"/>
      </w:r>
      <w:r>
        <w:rPr>
          <w:rFonts w:ascii="Amiri" w:hAnsi="Amiri" w:eastAsia="Amiri" w:cs="Amiri"/>
          <w:color w:val="111111"/>
          <w:sz w:val="28"/>
          <w:sz w:val="28"/>
          <w:szCs w:val="28"/>
          <w:rtl w:val="true"/>
          <w:lang w:bidi="ar-SA"/>
        </w:rPr>
        <w:t>ما مرّ فی القضایا الشرطیّة، فإنّ</w:t>
      </w:r>
      <w:bookmarkStart w:id="260" w:name="pg13167_140847"/>
    </w:p>
    <w:p>
      <w:pPr>
        <w:pStyle w:val="BookText"/>
        <w:rPr/>
      </w:pPr>
      <w:bookmarkEnd w:id="260"/>
      <w:r>
        <w:rPr>
          <w:rFonts w:ascii="IRNazanin" w:hAnsi="IRNazanin" w:eastAsia="IRNazanin"/>
          <w:color w:val="111111"/>
          <w:sz w:val="28"/>
          <w:sz w:val="28"/>
          <w:szCs w:val="28"/>
          <w:rtl w:val="true"/>
          <w:lang w:bidi="fa-IR"/>
        </w:rPr>
        <w:t xml:space="preserve">الطلب الجزئیّ و مصداق البعث الاعتباریّ الخارجیّ و إن کان مقیّدا بالغایة، و لکن لا یدلّ علی انتفاء مصادیق اخر، بخلاف ما إذا کان المنشأ کلّیا، فإنّه إذا قیّد بذلک فمقتضی التقیید ثبوت مصداق من الطلب بما قبل الغایة، و انتفاء سائر مصادیقه عمّا بعدها، قضاء لحقّ التحدید الوارد علی الحکم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من أنّه علی الکلّی أیضا لا یتمّ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الجزئیّ أیضا یمکن دعوی دلالتها علیه، کما عرفت فی القضایا الشرطیّة، و ذلک إمّا لأجل التشبّث بذیل فهم العرف، أو لأجل استفادة أنّ المبدأ أو المنتهی ظرف الطلب و حاصره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اختلاف الأدوات فی إنشاء الحکم یوجب شیئا فی المقام </w:t>
      </w:r>
      <w:r>
        <w:rPr>
          <w:rStyle w:val="FootnoteAnchor"/>
          <w:rtl w:val="true"/>
        </w:rPr>
        <w:footnoteReference w:id="315"/>
      </w:r>
      <w:r>
        <w:rPr>
          <w:rFonts w:ascii="IRNazanin" w:hAnsi="IRNazanin" w:eastAsia="IRNazanin"/>
          <w:color w:val="111111"/>
          <w:sz w:val="28"/>
          <w:sz w:val="28"/>
          <w:szCs w:val="28"/>
          <w:rtl w:val="true"/>
          <w:lang w:bidi="fa-IR"/>
        </w:rPr>
        <w:t>، خال من التحصیل</w:t>
      </w:r>
      <w:r>
        <w:rPr>
          <w:rFonts w:eastAsia="IRNazanin" w:cs="IRNazanin"/>
          <w:color w:val="111111"/>
          <w:sz w:val="28"/>
          <w:szCs w:val="28"/>
          <w:rtl w:val="true"/>
          <w:lang w:bidi="fa-IR"/>
        </w:rPr>
        <w:t>.</w:t>
      </w:r>
    </w:p>
    <w:p>
      <w:pPr>
        <w:pStyle w:val="Heading4"/>
        <w:numPr>
          <w:ilvl w:val="3"/>
          <w:numId w:val="1"/>
        </w:numPr>
        <w:rPr/>
      </w:pPr>
      <w:bookmarkStart w:id="261" w:name="__RefHeading___Toc559510_3244359995"/>
      <w:bookmarkStart w:id="262" w:name="_Toc98"/>
      <w:bookmarkEnd w:id="261"/>
      <w:r>
        <w:rPr>
          <w:rtl w:val="true"/>
        </w:rPr>
        <w:t>إعادة و إفادة</w:t>
      </w:r>
      <w:bookmarkEnd w:id="262"/>
    </w:p>
    <w:p>
      <w:pPr>
        <w:pStyle w:val="BookText"/>
        <w:rPr/>
      </w:pPr>
      <w:r>
        <w:rPr>
          <w:rFonts w:ascii="IRNazanin" w:hAnsi="IRNazanin" w:eastAsia="IRNazanin"/>
          <w:color w:val="111111"/>
          <w:sz w:val="28"/>
          <w:sz w:val="28"/>
          <w:szCs w:val="28"/>
          <w:rtl w:val="true"/>
          <w:lang w:bidi="fa-IR"/>
        </w:rPr>
        <w:t>قد مضی فی طیّ 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استخراج المفهوم منوط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مطلوب المولی من السیر، یکون بین البلدین إمّا حقیقة أو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السیریّ محصور بین حاصرین، فإنّه عندئذ یثبت المفهوم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الشأن فی کیفیّة استخراج ذلک من الجملة المزبورة تصدیقا و إثباتا،</w:t>
      </w:r>
    </w:p>
    <w:p>
      <w:pPr>
        <w:pStyle w:val="BookText"/>
        <w:rPr/>
      </w:pPr>
      <w:r>
        <w:rPr>
          <w:rFonts w:ascii="IRNazanin" w:hAnsi="IRNazanin" w:eastAsia="IRNazanin"/>
          <w:color w:val="111111"/>
          <w:sz w:val="28"/>
          <w:sz w:val="28"/>
          <w:szCs w:val="28"/>
          <w:rtl w:val="true"/>
          <w:lang w:bidi="fa-IR"/>
        </w:rPr>
        <w:t>و دون إثباته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أنّ کون الغایة حدّ الموضوع، إذ الحکم لا یفید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الآن فنرید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التفصیل بین رجوع الغایة إلی الحکم و الموضوع، ممّا لا یرجع إلی محصّل، ضرورة أنّ الغایة إذا کانت حدّ الموضوع تکون قید المتعلّق، و یصیر الوجوب متعلّقا بالسیر المحدّد بین البصرة و الکوفة، فهنا حکم و متعلّق مقیّد یجب الإتیان به، و یکون الحکم واحدا، و الموضوع المتعلّق له أمرا وحدانیّا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الغایة حدّ الحکم و غایة الحکم، فإن أرید أنّه فی حال کونه غایة الحکم یکون غایة الموضوع و المتعلّق، فهو صحیح، إلاّ أنّه یرجع إلی أنّ کلّ ما هو قید للموضوع، هو حدّ للحکم و موجب لتضییقه بالضرورة، لامتناع إطلاق الحکم مع تحدّد الموضوع، فعلی هذا یکون المراد من إرجاع الغایة إلی الحکم، هو أنها غایة الحکم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حکم لا بدّ له من متعلّق، فهذا الحکم الّذی یکون ذا الغایة متعلّقه هو السیر من البصرة، من غیر دخول الغایة فی متعلّقه حتّی تکون من قیوده، و عند ذلک یلزم امتثال الحکم بمجرّد السیر من البصرة، لأنّ الحکم متعلّقه السیر من البصرة، و قد امتثله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أرید بقاء الحکم فلا یعقل إلاّ بتکثیر موضوعه، و أنّ کلّ جزء من المسافة متعلّق حکم مخصوص به إلی الکوفة، فإنّه بالوصول إلی الکوفة لا یکون هناک حکم، و لکن لیست الغایة حینئذ غایة الحکم، بل الحکم متعدّد و ینحلّ إلی الأحکام الکثیرة بنحو العموم الاستغراقیّ، و یتمّ الانحلال بالوصول إلی الکوفة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الغایة غایة الحکم فقط، ممّا لا یتعقّل فیما هو المفروض هنا، و هو وحدة الحکم کما لا یخفی، فیسقط بنیان التفصیل المرضیّ عند</w:t>
      </w:r>
      <w:bookmarkStart w:id="263" w:name="pg13167_140849"/>
    </w:p>
    <w:p>
      <w:pPr>
        <w:pStyle w:val="BookText"/>
        <w:rPr/>
      </w:pPr>
      <w:bookmarkEnd w:id="263"/>
      <w:r>
        <w:rPr>
          <w:rFonts w:ascii="Amiri" w:hAnsi="Amiri" w:eastAsia="Amiri" w:cs="Amiri"/>
          <w:color w:val="111111"/>
          <w:sz w:val="28"/>
          <w:sz w:val="28"/>
          <w:szCs w:val="28"/>
          <w:rtl w:val="true"/>
          <w:lang w:bidi="ar-SA"/>
        </w:rPr>
        <w:t xml:space="preserve">المتأخّرین </w:t>
      </w:r>
      <w:r>
        <w:rPr>
          <w:rStyle w:val="FootnoteAnchor"/>
          <w:rtl w:val="true"/>
        </w:rPr>
        <w:footnoteReference w:id="316"/>
      </w:r>
      <w:r>
        <w:rPr>
          <w:rFonts w:ascii="IRNazanin" w:hAnsi="IRNazanin" w:eastAsia="IRNazanin"/>
          <w:color w:val="111111"/>
          <w:sz w:val="28"/>
          <w:sz w:val="28"/>
          <w:szCs w:val="28"/>
          <w:rtl w:val="true"/>
          <w:lang w:bidi="fa-IR"/>
        </w:rPr>
        <w:t xml:space="preserve">، و لأجل مثل ذلک ربّما لم یقل به القدماء، و قالوا بالمفهوم و عدمه علی الخلاف فیه </w:t>
      </w:r>
      <w:r>
        <w:rPr>
          <w:rStyle w:val="FootnoteAnchor"/>
          <w:rtl w:val="true"/>
        </w:rPr>
        <w:footnoteReference w:id="317"/>
      </w:r>
      <w:r>
        <w:rPr>
          <w:rFonts w:ascii="IRNazanin" w:hAnsi="IRNazanin" w:eastAsia="IRNazanin"/>
          <w:color w:val="111111"/>
          <w:sz w:val="28"/>
          <w:sz w:val="28"/>
          <w:szCs w:val="28"/>
          <w:rtl w:val="true"/>
          <w:lang w:bidi="fa-IR"/>
        </w:rPr>
        <w:t>،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 التفصیل الاختلاف الاعتباریّ بین الفرضین، بأن یکون شی‌ء غایة الحکم أوّلا و بالذات، أو غایة للموضوع بالاستقلال و فی اللحاظ الابتدائیّ، و إن کان کلّ واحد یرجع إلی الآخر لبّا و ثبوتا، فهو شی‌ء حسن، و لکنّه لا یفید، بل یوجب المفهوم مطلقا، أو لا یوجب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یجری فی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زیدا حتّی یسلم فإنّه أیضا لا یکون غایة الحکم إلاّ برجوعه إلی المتعلّق، أو یکون الحکم متعدّدا و منحلا، فیخرج عن کونه غایة،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الحکم، فله مجال آخر محرّر تفصیله فی الاستصحاب </w:t>
      </w:r>
      <w:r>
        <w:rPr>
          <w:rStyle w:val="FootnoteAnchor"/>
          <w:rtl w:val="true"/>
        </w:rPr>
        <w:footnoteReference w:id="318"/>
      </w:r>
      <w:r>
        <w:rPr>
          <w:rFonts w:ascii="IRNazanin" w:hAnsi="IRNazanin" w:eastAsia="IRNazanin"/>
          <w:color w:val="111111"/>
          <w:sz w:val="28"/>
          <w:sz w:val="28"/>
          <w:szCs w:val="28"/>
          <w:rtl w:val="true"/>
          <w:lang w:bidi="fa-IR"/>
        </w:rPr>
        <w:t xml:space="preserve">، و لکنّ الشأن هنا ما عرفت من خروج أمثاله عن حریم النزاع فی المقام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559512_3244359995"/>
      <w:bookmarkStart w:id="265" w:name="_Toc99"/>
      <w:bookmarkEnd w:id="264"/>
      <w:r>
        <w:rPr>
          <w:rtl w:val="true"/>
        </w:rPr>
        <w:t>تذنیب</w:t>
      </w:r>
      <w:r>
        <w:rPr>
          <w:rtl w:val="true"/>
        </w:rPr>
        <w:t xml:space="preserve">: </w:t>
      </w:r>
      <w:r>
        <w:rPr>
          <w:rtl w:val="true"/>
        </w:rPr>
        <w:t>حول دخول الغایة فی المغیا</w:t>
      </w:r>
      <w:bookmarkEnd w:id="26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الغایة داخلة فی المغیّا</w:t>
      </w:r>
      <w:r>
        <w:rPr>
          <w:rStyle w:val="FootnoteAnchor"/>
          <w:rtl w:val="true"/>
        </w:rPr>
        <w:footnoteReference w:id="320"/>
      </w:r>
      <w:r>
        <w:rPr>
          <w:rFonts w:ascii="IRNazanin" w:hAnsi="IRNazanin" w:eastAsia="IRNazanin"/>
          <w:color w:val="111111"/>
          <w:sz w:val="28"/>
          <w:sz w:val="28"/>
          <w:szCs w:val="28"/>
          <w:rtl w:val="true"/>
          <w:lang w:bidi="fa-IR"/>
        </w:rPr>
        <w:t>، أم لا</w:t>
      </w:r>
      <w:r>
        <w:rPr>
          <w:rStyle w:val="FootnoteAnchor"/>
          <w:rtl w:val="true"/>
        </w:rPr>
        <w:footnoteReference w:id="321"/>
      </w:r>
      <w:r>
        <w:rPr>
          <w:rFonts w:ascii="IRNazanin" w:hAnsi="IRNazanin" w:eastAsia="IRNazanin"/>
          <w:color w:val="111111"/>
          <w:sz w:val="28"/>
          <w:sz w:val="28"/>
          <w:szCs w:val="28"/>
          <w:rtl w:val="true"/>
          <w:lang w:bidi="fa-IR"/>
        </w:rPr>
        <w:t xml:space="preserve">، أو یفصّل بین ما کان غایة الفعل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و ما هو غایة الحکم، و هو مختار جدّ</w:t>
      </w:r>
    </w:p>
    <w:p>
      <w:pPr>
        <w:pStyle w:val="BookText"/>
        <w:rPr/>
      </w:pPr>
      <w:r>
        <w:rPr>
          <w:rFonts w:ascii="IRNazanin" w:hAnsi="IRNazanin" w:eastAsia="IRNazanin"/>
          <w:color w:val="111111"/>
          <w:sz w:val="28"/>
          <w:sz w:val="28"/>
          <w:szCs w:val="28"/>
          <w:rtl w:val="true"/>
          <w:lang w:bidi="fa-IR"/>
        </w:rPr>
        <w:t xml:space="preserve">أولادی و شیخ مشایخی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3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العلاّمة الأراکیّ التفصیل بین الأدوات،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بالتفصیل بین الغایة التی تکون من جنس المغیّا فنعم، و إلاّ فلا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التفصیل بین الغایة البسیطة فنعم، و المرکبة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حقیقة الأمر فی ضمن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لا یخصّ بالغایة، و یشترک فیه الابتداء، و أنّه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الکوفة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دخول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المغیّا بحسب الحکم، أم لا، فلو صحّ دعوی دخول الغایة فی الحکم أو بقاء الحکم إلی ما بعد الغایة، صحّ ذلک بالنسبة إلی مدخول حرف الابتداء و إلاّ فلا، لاشتراکهما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أداة الغایة حدّا للحکم فأداة الابتداء حدّا له أیضا، فکما أنّ فی الثانیة لا معنی لسریان الحکم إلی مدخول الثانیة کذلک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التفصیل المزبور إمّا غیر راجع إلی محصّل، أو لا یقتضی التفصیل فی المسألة، لاتفاق الأداة فی الاستعمالین بحسب الوضع و الدلالة،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غیر موجّه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امتناع شمول العنوان للغایة الراجعة إلی الحکم </w:t>
      </w:r>
      <w:r>
        <w:rPr>
          <w:rStyle w:val="FootnoteAnchor"/>
          <w:rtl w:val="true"/>
        </w:rPr>
        <w:footnoteReference w:id="326"/>
      </w:r>
      <w:r>
        <w:rPr>
          <w:rFonts w:ascii="IRNazanin" w:hAnsi="IRNazanin" w:eastAsia="IRNazanin"/>
          <w:color w:val="111111"/>
          <w:sz w:val="28"/>
          <w:sz w:val="28"/>
          <w:szCs w:val="28"/>
          <w:rtl w:val="true"/>
          <w:lang w:bidi="fa-IR"/>
        </w:rPr>
        <w:t>، فی محلّه، لما لا معنی لکونها غایة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صحّته یتصرّف فی العنوان، و یکون الجامع المبحوث عنه هو أنّ أداة الغایة، هل تدل علی انتهاء الحکم فی مدخولها، أم لا؟ فإنّه حینئذ یمکن جعل التفصیل المزبور قولا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خافضة، و تختلف معها فی أمور مذکورة فی الکتب الأدبیّة</w:t>
      </w:r>
      <w:r>
        <w:rPr>
          <w:rStyle w:val="FootnoteAnchor"/>
          <w:rtl w:val="true"/>
        </w:rPr>
        <w:footnoteReference w:id="327"/>
      </w:r>
      <w:r>
        <w:rPr>
          <w:rFonts w:ascii="IRNazanin" w:hAnsi="IRNazanin" w:eastAsia="IRNazanin"/>
          <w:color w:val="111111"/>
          <w:sz w:val="28"/>
          <w:sz w:val="28"/>
          <w:szCs w:val="28"/>
          <w:rtl w:val="true"/>
          <w:lang w:bidi="fa-IR"/>
        </w:rPr>
        <w:t xml:space="preserve">، و تأتی عاطفة عند غیر الکوفیّین </w:t>
      </w:r>
      <w:r>
        <w:rPr>
          <w:rStyle w:val="FootnoteAnchor"/>
          <w:rtl w:val="true"/>
        </w:rPr>
        <w:footnoteReference w:id="328"/>
      </w:r>
      <w:r>
        <w:rPr>
          <w:rFonts w:ascii="IRNazanin" w:hAnsi="IRNazanin" w:eastAsia="IRNazanin"/>
          <w:color w:val="111111"/>
          <w:sz w:val="28"/>
          <w:sz w:val="28"/>
          <w:szCs w:val="28"/>
          <w:rtl w:val="true"/>
          <w:lang w:bidi="fa-IR"/>
        </w:rPr>
        <w:t>، و إذا کانت عاطفة أو قصد بها العطف، فهو خارج عن محلّ الکلام، لأنّ مقتضی العطف دخول المعطوف فی 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خافضة، فهی مورد الخلاف حتّی فی المثل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الجرّ، لا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فعندئذ یسقط تفصیل العلاّمة الأراکیّ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الأدوات </w:t>
      </w:r>
      <w:r>
        <w:rPr>
          <w:rStyle w:val="FootnoteAnchor"/>
          <w:rtl w:val="true"/>
        </w:rPr>
        <w:footnoteReference w:id="329"/>
      </w:r>
      <w:r>
        <w:rPr>
          <w:rFonts w:ascii="Amiri" w:hAnsi="Amiri" w:eastAsia="Amiri" w:cs="Amiri"/>
          <w:color w:val="111111"/>
          <w:sz w:val="28"/>
          <w:sz w:val="28"/>
          <w:szCs w:val="28"/>
          <w:rtl w:val="true"/>
          <w:lang w:bidi="ar-SA"/>
        </w:rPr>
        <w:t>، کما أفاده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 لو کان ما أفاده من التفصیل صحیحا یلزم دخول الغایة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331"/>
      </w:r>
      <w:r>
        <w:rPr>
          <w:rFonts w:ascii="Amiri" w:hAnsi="Amiri" w:eastAsia="Amiri" w:cs="Amiri"/>
          <w:color w:val="111111"/>
          <w:sz w:val="28"/>
          <w:sz w:val="28"/>
          <w:szCs w:val="28"/>
          <w:rtl w:val="true"/>
          <w:lang w:bidi="ar-SA"/>
        </w:rPr>
        <w:t>فی المغیّا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أنّه لو کان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فیه یلزم 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إِلی مَیْسَرَةٍ</w:t>
      </w:r>
      <w:r>
        <w:rPr>
          <w:rStyle w:val="FootnoteAnchor"/>
          <w:rtl w:val="true"/>
        </w:rPr>
        <w:footnoteReference w:id="332"/>
      </w:r>
      <w:r>
        <w:rPr>
          <w:rFonts w:ascii="Amiri" w:hAnsi="Amiri" w:eastAsia="Amiri" w:cs="Amiri"/>
          <w:color w:val="111111"/>
          <w:sz w:val="28"/>
          <w:sz w:val="28"/>
          <w:szCs w:val="28"/>
          <w:rtl w:val="true"/>
          <w:lang w:bidi="ar-SA"/>
        </w:rPr>
        <w:t xml:space="preserve">و أَتِمُّوا الصِّیامَ إِلَی اللَّیْلِ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قلیلة، حتّی لا یوجد منها شی‌ء فی الکتاب</w:t>
      </w:r>
    </w:p>
    <w:p>
      <w:pPr>
        <w:pStyle w:val="BookText"/>
        <w:rPr/>
      </w:pPr>
      <w:r>
        <w:rPr>
          <w:rFonts w:ascii="IRNazanin" w:hAnsi="IRNazanin" w:eastAsia="IRNazanin"/>
          <w:color w:val="111111"/>
          <w:sz w:val="28"/>
          <w:sz w:val="28"/>
          <w:szCs w:val="28"/>
          <w:rtl w:val="true"/>
          <w:lang w:bidi="fa-IR"/>
        </w:rPr>
        <w:t xml:space="preserve">الإلهیّ، و اللَّه العالم،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فی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القرآن إلی سورة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المکاسب إلی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فلا یفهم منه قراءة کتاب البیع و سورة الشوری، مع أنّهما من جنس المغیّا، فالتفصیل المزبور بارد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البسیطة و المرکّبة إمّا یراد منهما ما کان لهما من المعانی العرفیّة، أی البسیط العرفیّ، و المرکّب العرفیّ، فلا یمکن المساعدة علی التفصیل، لخروج الکلّ عن حکم المغیّا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قراءة سورة الأحزاب إلی الآیة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ینسبق إلی الذهن غیر وجوب 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أرید من البسیط الجزء الأخیر من الشی‌ء الداخل فی ماهیّته أو وجوده،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الصلاة من التکبیرة إلی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 داخل، لا لأجل اقتضاء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تبعات تلک الحقیقة و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و لو کانت بسیطة، إذا کانت غیر داخلة فی ماهیّة المغیّا فهی خارجة، و إذا کانت داخلة فیها فهی محکومة بحکم المغیّا و لو کانت مرکّبة، و فیما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اذرع هذا الشی‌ء إلی الخطّ 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طرف السطح، فهو داخل فی المغیّا، لأنّه من ماهیّة الجسم التعلیمیّ عند الانحلال الوهمیّ و الحرکة الوهمیّة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هذه الأمور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تدلاّن علی الدخول، و لا الخروج، و هما من هذه الجهة مهملتان، و غایة دلالتهما انتهاء الحکم الإخباریّ أو الإنشائیّ بحصول حدّ الغایة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الجمل الإخباریّة، فإنّ من سار من جدار البصرة إلی جدار</w:t>
      </w:r>
      <w:bookmarkStart w:id="266" w:name="pg13167_140853"/>
    </w:p>
    <w:p>
      <w:pPr>
        <w:pStyle w:val="BookText"/>
        <w:rPr/>
      </w:pPr>
      <w:bookmarkEnd w:id="266"/>
      <w:r>
        <w:rPr>
          <w:rFonts w:ascii="IRNazanin" w:hAnsi="IRNazanin" w:eastAsia="IRNazanin"/>
          <w:color w:val="111111"/>
          <w:sz w:val="28"/>
          <w:sz w:val="28"/>
          <w:szCs w:val="28"/>
          <w:rtl w:val="true"/>
          <w:lang w:bidi="fa-IR"/>
        </w:rPr>
        <w:t>الکوفة، یصحّ أن یخبر عن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 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من البصرة إلی ثمانیة فراسخ یوجب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بینهما الثمانیة یکفی بالضرورة، مع أنّه بعد ما سافر الرّجل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کذا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یشهد علی خروج الغایة من المغیّا، کما یکون المبتدأ خارجا منه</w:t>
      </w:r>
      <w:r>
        <w:rPr>
          <w:rFonts w:eastAsia="IRNazanin" w:cs="IRNazanin"/>
          <w:color w:val="111111"/>
          <w:sz w:val="28"/>
          <w:szCs w:val="28"/>
          <w:rtl w:val="true"/>
          <w:lang w:bidi="fa-IR"/>
        </w:rPr>
        <w:t>.</w:t>
      </w:r>
    </w:p>
    <w:p>
      <w:pPr>
        <w:pStyle w:val="Heading4"/>
        <w:numPr>
          <w:ilvl w:val="3"/>
          <w:numId w:val="1"/>
        </w:numPr>
        <w:rPr/>
      </w:pPr>
      <w:bookmarkStart w:id="267" w:name="__RefHeading___Toc559514_3244359995"/>
      <w:bookmarkStart w:id="268" w:name="_Toc100"/>
      <w:bookmarkEnd w:id="267"/>
      <w:r>
        <w:rPr>
          <w:rtl w:val="true"/>
        </w:rPr>
        <w:t>ذنابة</w:t>
      </w:r>
      <w:r>
        <w:rPr>
          <w:rtl w:val="true"/>
        </w:rPr>
        <w:t xml:space="preserve">: </w:t>
      </w:r>
      <w:r>
        <w:rPr>
          <w:rtl w:val="true"/>
        </w:rPr>
        <w:t>حول التهافت بین انتفاء سنخ الحکم فی الغایة و بین القول بوجوب المقدّمة</w:t>
      </w:r>
      <w:bookmarkEnd w:id="268"/>
    </w:p>
    <w:p>
      <w:pPr>
        <w:pStyle w:val="BookText"/>
        <w:rPr/>
      </w:pPr>
      <w:r>
        <w:rPr>
          <w:rFonts w:ascii="IRNazanin" w:hAnsi="IRNazanin" w:eastAsia="IRNazanin"/>
          <w:color w:val="111111"/>
          <w:sz w:val="28"/>
          <w:sz w:val="28"/>
          <w:szCs w:val="28"/>
          <w:rtl w:val="true"/>
          <w:lang w:bidi="fa-IR"/>
        </w:rPr>
        <w:t>بناء علی انتفاء سنخ الحکم فی الغایة، فهل یلزم التهافت بین ذلک، و بین القول بوجوب المقدّمة العلمیّة أو الوجودیّة، فیما لا یمکن امتثال الأمر فی المغیّا إلاّ بامتثال جزء من الغایة،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توهّم التهافت مبنیّ علی بیان فاسد فی باب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فی باب مقدّمة الواجب أنّ الجزء الخارجیّ یکون معروف الوجوب، فلا منع من الالتزام بتقیید المفهوم، بناء علی إمکان تقییده کما هو الواضح</w:t>
      </w:r>
      <w:r>
        <w:rPr>
          <w:rFonts w:eastAsia="IRNazanin" w:cs="IRNazanin"/>
          <w:color w:val="111111"/>
          <w:sz w:val="28"/>
          <w:szCs w:val="28"/>
          <w:rtl w:val="true"/>
          <w:lang w:bidi="fa-IR"/>
        </w:rPr>
        <w:t>.</w:t>
      </w:r>
    </w:p>
    <w:p>
      <w:pPr>
        <w:pStyle w:val="Heading4"/>
        <w:numPr>
          <w:ilvl w:val="3"/>
          <w:numId w:val="1"/>
        </w:numPr>
        <w:rPr/>
      </w:pPr>
      <w:bookmarkStart w:id="269" w:name="__RefHeading___Toc559516_3244359995"/>
      <w:bookmarkStart w:id="270" w:name="_Toc101"/>
      <w:bookmarkEnd w:id="269"/>
      <w:r>
        <w:rPr>
          <w:rtl w:val="true"/>
        </w:rPr>
        <w:t>تنبیه</w:t>
      </w:r>
      <w:bookmarkEnd w:id="270"/>
    </w:p>
    <w:p>
      <w:pPr>
        <w:pStyle w:val="BookText"/>
        <w:rPr/>
      </w:pPr>
      <w:r>
        <w:rPr>
          <w:rFonts w:ascii="IRNazanin" w:hAnsi="IRNazanin" w:eastAsia="IRNazanin"/>
          <w:color w:val="111111"/>
          <w:sz w:val="28"/>
          <w:sz w:val="28"/>
          <w:szCs w:val="28"/>
          <w:rtl w:val="true"/>
          <w:lang w:bidi="fa-IR"/>
        </w:rPr>
        <w:t>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دخول الغایة فی المغیّا، لیس من مقامات هذه المسألة، فضلا عن کون مسألة المفهوم منوطة به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دخول الغایة فی المغیّا، یکون مقتضی المفهوم انتفاء سنخ الحکم عمّا بعد الغایة، و هذا أجنبیّ عن البحث الکلّی فی المفاهیم، و أنّه هل للغایة مفهوم، أم لا؟ فما صنعه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شذّ</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و الأمر کلّه سهل</w:t>
      </w:r>
      <w:r>
        <w:rPr>
          <w:rFonts w:eastAsia="IRNazanin" w:cs="IRNazanin"/>
          <w:color w:val="111111"/>
          <w:sz w:val="28"/>
          <w:szCs w:val="28"/>
          <w:rtl w:val="true"/>
          <w:lang w:bidi="fa-IR"/>
        </w:rPr>
        <w:t>.</w:t>
      </w:r>
      <w:bookmarkStart w:id="271" w:name="pg13167_140855"/>
    </w:p>
    <w:p>
      <w:pPr>
        <w:pStyle w:val="Heading3"/>
        <w:numPr>
          <w:ilvl w:val="2"/>
          <w:numId w:val="1"/>
        </w:numPr>
        <w:rPr/>
      </w:pPr>
      <w:bookmarkStart w:id="272" w:name="__RefHeading___Toc559518_3244359995"/>
      <w:bookmarkStart w:id="273" w:name="_Toc102"/>
      <w:bookmarkEnd w:id="271"/>
      <w:bookmarkEnd w:id="272"/>
      <w:r>
        <w:rPr>
          <w:rtl w:val="true"/>
        </w:rPr>
        <w:t>المبحث الخامس فی مفهوم الحصر</w:t>
      </w:r>
      <w:bookmarkEnd w:id="273"/>
    </w:p>
    <w:p>
      <w:pPr>
        <w:pStyle w:val="Heading4"/>
        <w:numPr>
          <w:ilvl w:val="3"/>
          <w:numId w:val="1"/>
        </w:numPr>
        <w:rPr/>
      </w:pPr>
      <w:bookmarkStart w:id="274" w:name="__RefHeading___Toc559520_3244359995"/>
      <w:bookmarkStart w:id="275" w:name="_Toc103"/>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و الکلام هنا حول الجمل التی یمکن دلالتها علی الحصر، و البحث فیها یقع فی مراحل</w:t>
      </w:r>
      <w:r>
        <w:rPr>
          <w:rFonts w:eastAsia="IRNazanin" w:cs="IRNazanin"/>
          <w:color w:val="111111"/>
          <w:sz w:val="28"/>
          <w:szCs w:val="28"/>
          <w:rtl w:val="true"/>
          <w:lang w:bidi="fa-IR"/>
        </w:rPr>
        <w:t>:</w:t>
      </w:r>
    </w:p>
    <w:p>
      <w:pPr>
        <w:pStyle w:val="Heading4"/>
        <w:numPr>
          <w:ilvl w:val="3"/>
          <w:numId w:val="1"/>
        </w:numPr>
        <w:rPr/>
      </w:pPr>
      <w:bookmarkStart w:id="276" w:name="__RefHeading___Toc559522_3244359995"/>
      <w:bookmarkStart w:id="277" w:name="_Toc104"/>
      <w:bookmarkEnd w:id="276"/>
      <w:r>
        <w:rPr>
          <w:rtl w:val="true"/>
        </w:rPr>
        <w:t>المرحلة الأولی</w:t>
      </w:r>
      <w:r>
        <w:rPr>
          <w:rtl w:val="true"/>
        </w:rPr>
        <w:t xml:space="preserve">: </w:t>
      </w:r>
      <w:r>
        <w:rPr>
          <w:rtl w:val="true"/>
        </w:rPr>
        <w:t>فی مقام الثبوت</w:t>
      </w:r>
      <w:bookmarkEnd w:id="277"/>
    </w:p>
    <w:p>
      <w:pPr>
        <w:pStyle w:val="BookText"/>
        <w:rPr/>
      </w:pPr>
      <w:r>
        <w:rPr>
          <w:rFonts w:ascii="IRNazanin" w:hAnsi="IRNazanin" w:eastAsia="IRNazanin"/>
          <w:color w:val="111111"/>
          <w:sz w:val="28"/>
          <w:sz w:val="28"/>
          <w:szCs w:val="28"/>
          <w:rtl w:val="true"/>
          <w:lang w:bidi="fa-IR"/>
        </w:rPr>
        <w:t>و هو أنّ المستفاد من الجملة إن کان حصر الحکم بموضوع، و اختصاص وجوب الإکرام به، فلازمه ارتفاع الحکم و انتفاؤه عن غیر الموضوع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کان المستفاد من الکلام أنّ الموضوع المزبور فیه مخصوص بذلک الحکم، فإنّ لازمه نفی الحکم عن غیره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إذا کان المستفاد منه أنّ الموضوع المزبور لا حکم له إلاّ ما ذکر فیه، مثلا إذا استفید أنّ الخمر لا تکون محکومة إلاّ بحرمة الشرب، فلازمه نفی حرمة بیعها و اقتنائها و غیر 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فحصر کلّ من المسند فی المسند إلیه و بالعکس، یورث نوع مفهوم، و یوجب انتفاء سنخ الحکم</w:t>
      </w:r>
      <w:r>
        <w:rPr>
          <w:rFonts w:eastAsia="IRNazanin" w:cs="IRNazanin"/>
          <w:color w:val="111111"/>
          <w:sz w:val="28"/>
          <w:szCs w:val="28"/>
          <w:rtl w:val="true"/>
          <w:lang w:bidi="fa-IR"/>
        </w:rPr>
        <w:t>.</w:t>
      </w:r>
      <w:bookmarkStart w:id="278" w:name="pg13167_140856"/>
    </w:p>
    <w:p>
      <w:pPr>
        <w:pStyle w:val="Heading4"/>
        <w:numPr>
          <w:ilvl w:val="3"/>
          <w:numId w:val="1"/>
        </w:numPr>
        <w:rPr/>
      </w:pPr>
      <w:bookmarkStart w:id="279" w:name="__RefHeading___Toc559524_3244359995"/>
      <w:bookmarkStart w:id="280" w:name="_Toc105"/>
      <w:bookmarkEnd w:id="278"/>
      <w:bookmarkEnd w:id="279"/>
      <w:r>
        <w:rPr>
          <w:rtl w:val="true"/>
        </w:rPr>
        <w:t>المرحلة الثانیة</w:t>
      </w:r>
      <w:r>
        <w:rPr>
          <w:rtl w:val="true"/>
        </w:rPr>
        <w:t xml:space="preserve">: </w:t>
      </w:r>
      <w:r>
        <w:rPr>
          <w:rtl w:val="true"/>
        </w:rPr>
        <w:t>فی مقام الإثبات</w:t>
      </w:r>
      <w:bookmarkEnd w:id="280"/>
    </w:p>
    <w:p>
      <w:pPr>
        <w:pStyle w:val="Heading5"/>
        <w:numPr>
          <w:ilvl w:val="4"/>
          <w:numId w:val="1"/>
        </w:numPr>
        <w:rPr/>
      </w:pPr>
      <w:bookmarkStart w:id="281" w:name="__RefHeading___Toc559526_3244359995"/>
      <w:bookmarkStart w:id="282" w:name="_Toc106"/>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و أنّ أیّة جملة یمکن أن یستخرج منها ذلک؟ و هی کثیرة نذکر بعضا منها</w:t>
      </w:r>
      <w:r>
        <w:rPr>
          <w:rFonts w:eastAsia="IRNazanin" w:cs="IRNazanin"/>
          <w:color w:val="111111"/>
          <w:sz w:val="28"/>
          <w:szCs w:val="28"/>
          <w:rtl w:val="true"/>
          <w:lang w:bidi="fa-IR"/>
        </w:rPr>
        <w:t>:</w:t>
      </w:r>
    </w:p>
    <w:p>
      <w:pPr>
        <w:pStyle w:val="Heading5"/>
        <w:numPr>
          <w:ilvl w:val="4"/>
          <w:numId w:val="1"/>
        </w:numPr>
        <w:rPr/>
      </w:pPr>
      <w:bookmarkStart w:id="283" w:name="__RefHeading___Toc559528_3244359995"/>
      <w:bookmarkStart w:id="284" w:name="_Toc107"/>
      <w:bookmarkEnd w:id="283"/>
      <w:r>
        <w:rPr>
          <w:rtl w:val="true"/>
        </w:rPr>
        <w:t>أولاها</w:t>
      </w:r>
      <w:r>
        <w:rPr>
          <w:rtl w:val="true"/>
        </w:rPr>
        <w:t xml:space="preserve">: </w:t>
      </w:r>
      <w:r>
        <w:rPr>
          <w:rtl w:val="true"/>
        </w:rPr>
        <w:t>الجملة الاستثنائیّة</w:t>
      </w:r>
      <w:bookmarkEnd w:id="284"/>
    </w:p>
    <w:p>
      <w:pPr>
        <w:pStyle w:val="Heading6"/>
        <w:numPr>
          <w:ilvl w:val="5"/>
          <w:numId w:val="1"/>
        </w:numPr>
        <w:rPr/>
      </w:pPr>
      <w:bookmarkStart w:id="285" w:name="__RefHeading___Toc559530_3244359995"/>
      <w:bookmarkStart w:id="286" w:name="_Toc108"/>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و هی أهمّها، و تتصوّر علی کیفیّات، فإنّ من الممکن أن یقع حرف الاستثناء عقیب الجملة المستثنی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یقع مقدّما علیها،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إلاّ الفسّاق منهم یجب إکرامهم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متوسّطا بینهما،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أکرمهم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کتب النحو، یقدّم علی المستثنی منه،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إلاّ زیدا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الجملة إیجابیّة،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یستثنی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سائر الحروف، کما ربّما یستثنی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 إن دلّت علی اتحاد الحکم بین المستثنی و المستثنی منه، إلاّ أنّ المقصود من الاستثناء هو الأعمّ،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علی أربعة أوجه، حسبما تخیّلوه فی النحو</w:t>
      </w:r>
      <w:r>
        <w:rPr>
          <w:rStyle w:val="FootnoteAnchor"/>
          <w:rtl w:val="true"/>
        </w:rPr>
        <w:footnoteReference w:id="336"/>
      </w:r>
      <w:r>
        <w:rPr>
          <w:rFonts w:ascii="Amiri" w:hAnsi="Amiri" w:eastAsia="Amiri" w:cs="Amiri"/>
          <w:color w:val="111111"/>
          <w:sz w:val="28"/>
          <w:sz w:val="28"/>
          <w:szCs w:val="28"/>
          <w:rtl w:val="true"/>
          <w:lang w:bidi="ar-SA"/>
        </w:rPr>
        <w:t>و اللغة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الاستثناء، و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وصفا، و تأتی عاطفة، و زائدة</w:t>
      </w:r>
      <w:r>
        <w:rPr>
          <w:rFonts w:eastAsia="IRNazanin" w:cs="IRNazanin"/>
          <w:color w:val="111111"/>
          <w:sz w:val="28"/>
          <w:szCs w:val="28"/>
          <w:rtl w:val="true"/>
          <w:lang w:bidi="fa-IR"/>
        </w:rPr>
        <w:t>.</w:t>
      </w:r>
      <w:bookmarkStart w:id="287" w:name="pg13167_140857"/>
    </w:p>
    <w:p>
      <w:pPr>
        <w:pStyle w:val="BookText"/>
        <w:rPr/>
      </w:pPr>
      <w:bookmarkEnd w:id="287"/>
      <w:r>
        <w:rPr>
          <w:rFonts w:ascii="IRNazanin" w:hAnsi="IRNazanin" w:eastAsia="IRNazanin"/>
          <w:color w:val="111111"/>
          <w:sz w:val="28"/>
          <w:sz w:val="28"/>
          <w:szCs w:val="28"/>
          <w:rtl w:val="true"/>
          <w:lang w:bidi="fa-IR"/>
        </w:rPr>
        <w:t xml:space="preserve">و ما هو مورد البحث هو القسم الأوّل، و هی التی للاستثناء، و تکون ممحّضة فیه، و أمّا سائر معانیها أو ما یکون مورد الشبهة منها، فهو خارج عن محور الکلام فی المقام، ضرورة أنّ محطّ البحث ما یکون للاستثناء عن الحکم، فلو رجع إلی قید الموضوع فیکون من مفهوم الوصف، و قد مضی تفصیله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8" w:name="__RefHeading___Toc559532_3244359995"/>
      <w:bookmarkStart w:id="289" w:name="_Toc109"/>
      <w:bookmarkEnd w:id="288"/>
      <w:r>
        <w:rPr>
          <w:rtl w:val="true"/>
        </w:rPr>
        <w:t>وهم و دفع</w:t>
      </w:r>
      <w:r>
        <w:rPr>
          <w:rtl w:val="true"/>
        </w:rPr>
        <w:t xml:space="preserve">: </w:t>
      </w:r>
      <w:r>
        <w:rPr>
          <w:rtl w:val="true"/>
        </w:rPr>
        <w:t>حول سقوط البحث هنا بناء علی إشکال الرضیّ علی الاستثناء</w:t>
      </w:r>
      <w:bookmarkEnd w:id="289"/>
    </w:p>
    <w:p>
      <w:pPr>
        <w:pStyle w:val="BookText"/>
        <w:rPr/>
      </w:pPr>
      <w:r>
        <w:rPr>
          <w:rFonts w:ascii="IRNazanin" w:hAnsi="IRNazanin" w:eastAsia="IRNazanin"/>
          <w:color w:val="111111"/>
          <w:sz w:val="28"/>
          <w:sz w:val="28"/>
          <w:szCs w:val="28"/>
          <w:rtl w:val="true"/>
          <w:lang w:bidi="fa-IR"/>
        </w:rPr>
        <w:t xml:space="preserve">حکی </w:t>
      </w:r>
      <w:r>
        <w:rPr>
          <w:rStyle w:val="FootnoteAnchor"/>
          <w:rtl w:val="true"/>
        </w:rPr>
        <w:footnoteReference w:id="339"/>
      </w:r>
      <w:r>
        <w:rPr>
          <w:rFonts w:ascii="Amiri" w:hAnsi="Amiri" w:eastAsia="Amiri" w:cs="Amiri"/>
          <w:color w:val="111111"/>
          <w:sz w:val="28"/>
          <w:sz w:val="28"/>
          <w:szCs w:val="28"/>
          <w:rtl w:val="true"/>
          <w:lang w:bidi="ar-SA"/>
        </w:rPr>
        <w:t xml:space="preserve">عن نجم الأئمّة رحمه اللَّه </w:t>
      </w:r>
      <w:r>
        <w:rPr>
          <w:rStyle w:val="FootnoteAnchor"/>
          <w:rtl w:val="true"/>
        </w:rPr>
        <w:footnoteReference w:id="340"/>
      </w:r>
      <w:r>
        <w:rPr>
          <w:rFonts w:ascii="IRNazanin" w:hAnsi="IRNazanin" w:eastAsia="IRNazanin"/>
          <w:color w:val="111111"/>
          <w:sz w:val="28"/>
          <w:sz w:val="28"/>
          <w:szCs w:val="28"/>
          <w:rtl w:val="true"/>
          <w:lang w:bidi="fa-IR"/>
        </w:rPr>
        <w:t xml:space="preserve">أنّه استشکل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للاستثناء من الحکم السابق إخباریّا کان أو إنشائیّا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ذلک نوع مناقضة فی الکلام، فإنّه کیف یعقل إثبات الحکم ثمّ رفعه، أو رفع الحکم ثمّ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یستثنی من الحکم شی‌ء، بل هو من قیود الموضوع، فکما إذا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إلاّ الفسّاق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استثناء من الحکم، بل هو قید الموضوع، کذلک فیما إذا تأخّر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یسقط البحث هنا، لأنّ استفادة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منوطة بکون الجملة الاستثنائیّة مشتملة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للاستثناء من الحکم الثابت للمستثنی منه، و إذا صحّ ذلک فلا یبقی محلّ للبحث المزبور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 بین الأحکام الإنشائیة و الإرادات الاستعمالیّة، و بین الأحکام الجدّیة و الإرادات الواقعیّة، أوجب الوهم المزبور، ضرورة أنّ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القوم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 حقیقیّا و استعمالیّا، و ما هو یشمل المستثنی هو الثانی دون الأوّل</w:t>
      </w:r>
      <w:r>
        <w:rPr>
          <w:rFonts w:eastAsia="IRNazanin" w:cs="IRNazanin"/>
          <w:color w:val="111111"/>
          <w:sz w:val="28"/>
          <w:szCs w:val="28"/>
          <w:rtl w:val="true"/>
          <w:lang w:bidi="fa-IR"/>
        </w:rPr>
        <w:t>.</w:t>
      </w:r>
      <w:bookmarkStart w:id="290" w:name="pg13167_140858"/>
    </w:p>
    <w:p>
      <w:pPr>
        <w:pStyle w:val="BookText"/>
        <w:rPr/>
      </w:pPr>
      <w:bookmarkEnd w:id="290"/>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الاستثناء المطلق، و ذلک لأنّ الحکم الإنشائیّ و الإرادة الاستعمالیّة باقیة علی حالها بعد الاستثناء، و أمّا الحکم الواقعیّ و الإرادة الجدّیة فهی غیر شاملة من الأوّل، فلا یتعقّل حقیقة الاستثناء لأجل ذلک، لا لأجل ما یستظهر من ظاهر عبارة نجم الأئمّة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السنخ من الشبهة و الإشکال، متوجّه إلی حدیث الرفع </w:t>
      </w:r>
      <w:r>
        <w:rPr>
          <w:rStyle w:val="FootnoteAnchor"/>
          <w:rtl w:val="true"/>
        </w:rPr>
        <w:footnoteReference w:id="341"/>
      </w:r>
      <w:r>
        <w:rPr>
          <w:rFonts w:ascii="IRNazanin" w:hAnsi="IRNazanin" w:eastAsia="IRNazanin"/>
          <w:color w:val="111111"/>
          <w:sz w:val="28"/>
          <w:sz w:val="28"/>
          <w:szCs w:val="28"/>
          <w:rtl w:val="true"/>
          <w:lang w:bidi="fa-IR"/>
        </w:rPr>
        <w:t>و الاستثناء بالمنفصل، و الجواب الجواب، فإنّ المقصود منه واضح، و هو أنّه لو لا کلمة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متصلة کانت، أو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مقتضی أصالة الجدّ و التطابق وجوب إکرام الکلّ، فالاستثناء فی الحقیقة معناه أنّه لولاه لکان المستثنی منه یشمل مورد الاستثناء، و أمّا الاستثناء الحقیقیّ فهو من النسخ، بل هو غیر معلول، و لعلّ إلیه یرجع نظره قدس سرُّه فافهم و اغتنم</w:t>
      </w:r>
      <w:r>
        <w:rPr>
          <w:rFonts w:eastAsia="IRNazanin" w:cs="IRNazanin"/>
          <w:color w:val="111111"/>
          <w:sz w:val="28"/>
          <w:szCs w:val="28"/>
          <w:rtl w:val="true"/>
          <w:lang w:bidi="fa-IR"/>
        </w:rPr>
        <w:t>.</w:t>
      </w:r>
    </w:p>
    <w:p>
      <w:pPr>
        <w:pStyle w:val="Heading6"/>
        <w:numPr>
          <w:ilvl w:val="5"/>
          <w:numId w:val="1"/>
        </w:numPr>
        <w:rPr/>
      </w:pPr>
      <w:bookmarkStart w:id="291" w:name="__RefHeading___Toc559534_3244359995"/>
      <w:bookmarkStart w:id="292" w:name="_Toc110"/>
      <w:bookmarkEnd w:id="291"/>
      <w:r>
        <w:rPr>
          <w:rtl w:val="true"/>
        </w:rPr>
        <w:t>التحقیق فی ثبوت مفهوم الاستثناء</w:t>
      </w:r>
      <w:bookmarkEnd w:id="292"/>
    </w:p>
    <w:p>
      <w:pPr>
        <w:pStyle w:val="BookText"/>
        <w:rPr/>
      </w:pPr>
      <w:r>
        <w:rPr>
          <w:rFonts w:ascii="IRNazanin" w:hAnsi="IRNazanin" w:eastAsia="IRNazanin"/>
          <w:color w:val="111111"/>
          <w:sz w:val="28"/>
          <w:sz w:val="28"/>
          <w:szCs w:val="28"/>
          <w:rtl w:val="true"/>
          <w:lang w:bidi="fa-IR"/>
        </w:rPr>
        <w:t>إذا عرفت ذلک، و تبیّن حدود النزاع، و ما یناط به البحث، فهل للجملة التی تشتمل علی أداة الاستثناء من الحکم الثابت للمستثنی منه مفهوم، أم لا؟</w:t>
      </w:r>
    </w:p>
    <w:p>
      <w:pPr>
        <w:pStyle w:val="BookText"/>
        <w:rPr/>
      </w:pPr>
      <w:r>
        <w:rPr>
          <w:rFonts w:ascii="IRNazanin" w:hAnsi="IRNazanin" w:eastAsia="IRNazanin"/>
          <w:color w:val="111111"/>
          <w:sz w:val="28"/>
          <w:sz w:val="28"/>
          <w:szCs w:val="28"/>
          <w:rtl w:val="true"/>
          <w:lang w:bidi="fa-IR"/>
        </w:rPr>
        <w:t>و ما هو القدر المتیقّن من هذه الجمل،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الإنشائیّة،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 إلاّ العدول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تعاد الصلاة إلاّ من خمس </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 غیر ذلک من أقسام الاستثنائیّات؟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راجعنا الجمل الإخباریّة نجد صحّة نسبة الخبرین إلی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w:t>
      </w:r>
    </w:p>
    <w:p>
      <w:pPr>
        <w:pStyle w:val="BookText"/>
        <w:rPr/>
      </w:pPr>
      <w:r>
        <w:rPr>
          <w:rFonts w:ascii="IRNazanin" w:hAnsi="IRNazanin" w:eastAsia="IRNazanin"/>
          <w:color w:val="111111"/>
          <w:sz w:val="28"/>
          <w:sz w:val="28"/>
          <w:szCs w:val="28"/>
          <w:rtl w:val="true"/>
          <w:lang w:bidi="fa-IR"/>
        </w:rPr>
        <w:t>أحدا إلاّ زیدا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أخبر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الشواهد القطعیّة علی صحّة النسبة فیما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الشرع أوجب إکرام العلماء العدول، و ما أوجب إکرام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یرجع ما اشتهر فی کتب النحاة</w:t>
      </w:r>
      <w:r>
        <w:rPr>
          <w:rStyle w:val="FootnoteAnchor"/>
          <w:rtl w:val="true"/>
        </w:rPr>
        <w:footnoteReference w:id="343"/>
      </w:r>
      <w:r>
        <w:rPr>
          <w:rFonts w:ascii="IRNazanin" w:hAnsi="IRNazanin" w:eastAsia="IRNazanin"/>
          <w:color w:val="111111"/>
          <w:sz w:val="28"/>
          <w:sz w:val="28"/>
          <w:szCs w:val="28"/>
          <w:rtl w:val="true"/>
          <w:lang w:bidi="fa-IR"/>
        </w:rPr>
        <w:t>و غیرها</w:t>
      </w:r>
      <w:r>
        <w:rPr>
          <w:rStyle w:val="FootnoteAnchor"/>
          <w:rtl w:val="true"/>
        </w:rPr>
        <w:footnoteReference w:id="3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الاستثناء من النفی إیجاب، و من الإیجاب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المقصود من الاستثناء أمرا آخر فهو محمول علی الندرة، کما إذا أرید فی الاستثناء إفادة مثله فی مجی‌ء زید، و أنّه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القوم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مجی‌ء القوم قطعیّ دون زید، فهو خارج عن ظهور الکلام و وضعه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فیستفاد منها الحصر، و أنّ موضوع الوجوب هم العدول منهم، و الفسّاق لیسوا موضوعا، فینفی الحکم، أو أنّ الحکم مخصوص بالطائفة الأولی، فلا حکم بالنسبة إلی غیرهم، و هذا هو المفهوم المقصود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ذلک حکم العقلاء بالإقرار علی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لزید علیّ دراهم إلاّ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یأخذون منه ذلک الدرهم، مستندین إلی اعترافه به، و لا تسمع دعواه الإهمال، کما هو الظاهر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إشکال لا بدّ من دفعه،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نَذِیرٌ مُبِینٌ </w:t>
      </w:r>
      <w:r>
        <w:rPr>
          <w:rStyle w:val="FootnoteAnchor"/>
          <w:rtl w:val="true"/>
        </w:rPr>
        <w:footnoteReference w:id="345"/>
      </w:r>
      <w:r>
        <w:rPr>
          <w:rFonts w:ascii="Amiri" w:hAnsi="Amiri" w:eastAsia="Amiri" w:cs="Amiri"/>
          <w:color w:val="111111"/>
          <w:sz w:val="28"/>
          <w:sz w:val="28"/>
          <w:szCs w:val="28"/>
          <w:rtl w:val="true"/>
          <w:lang w:bidi="ar-SA"/>
        </w:rPr>
        <w:t>فإنّه یخالف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إِلَّا نَذِیرٌ وَ بَشِیرٌ</w:t>
      </w:r>
      <w:r>
        <w:rPr>
          <w:rStyle w:val="FootnoteAnchor"/>
          <w:rtl w:val="true"/>
        </w:rPr>
        <w:footnoteReference w:id="346"/>
      </w:r>
      <w:r>
        <w:rPr>
          <w:rFonts w:ascii="IRNazanin" w:hAnsi="IRNazanin" w:eastAsia="IRNazanin"/>
          <w:color w:val="111111"/>
          <w:sz w:val="28"/>
          <w:sz w:val="28"/>
          <w:szCs w:val="28"/>
          <w:rtl w:val="true"/>
          <w:lang w:bidi="fa-IR"/>
        </w:rPr>
        <w:t>فی تلک السورة بعد آیات، فلیتدبّر</w:t>
      </w:r>
      <w:r>
        <w:rPr>
          <w:rFonts w:eastAsia="IRNazanin" w:cs="IRNazanin"/>
          <w:color w:val="111111"/>
          <w:sz w:val="28"/>
          <w:szCs w:val="28"/>
          <w:rtl w:val="true"/>
          <w:lang w:bidi="fa-IR"/>
        </w:rPr>
        <w:t>.</w:t>
      </w:r>
      <w:bookmarkStart w:id="293" w:name="pg13167_140860"/>
    </w:p>
    <w:p>
      <w:pPr>
        <w:pStyle w:val="Heading6"/>
        <w:numPr>
          <w:ilvl w:val="5"/>
          <w:numId w:val="1"/>
        </w:numPr>
        <w:rPr/>
      </w:pPr>
      <w:bookmarkStart w:id="294" w:name="__RefHeading___Toc559536_3244359995"/>
      <w:bookmarkStart w:id="295" w:name="_Toc111"/>
      <w:bookmarkEnd w:id="293"/>
      <w:bookmarkEnd w:id="294"/>
      <w:r>
        <w:rPr>
          <w:rtl w:val="true"/>
        </w:rPr>
        <w:t>بحث و تحصیل</w:t>
      </w:r>
      <w:r>
        <w:rPr>
          <w:rtl w:val="true"/>
        </w:rPr>
        <w:t xml:space="preserve">: </w:t>
      </w:r>
      <w:r>
        <w:rPr>
          <w:rtl w:val="true"/>
        </w:rPr>
        <w:t>فی بیان منشأ دلالة الاستثناء علی المفهوم</w:t>
      </w:r>
      <w:bookmarkEnd w:id="295"/>
    </w:p>
    <w:p>
      <w:pPr>
        <w:pStyle w:val="BookText"/>
        <w:rPr/>
      </w:pPr>
      <w:r>
        <w:rPr>
          <w:rFonts w:ascii="IRNazanin" w:hAnsi="IRNazanin" w:eastAsia="IRNazanin"/>
          <w:color w:val="111111"/>
          <w:sz w:val="28"/>
          <w:sz w:val="28"/>
          <w:szCs w:val="28"/>
          <w:rtl w:val="true"/>
          <w:lang w:bidi="fa-IR"/>
        </w:rPr>
        <w:t xml:space="preserve">هل استفادة المفهوم مستندة إلی الوضع أو غیره، و علی الأوّل فهل یستند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أم یستند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مستند إلی الوضع، بمعنی أنّ أداة الاستثناء و إن لم تکن موضوعة إلاّ لإخراج المستثنی من المستثنی منه حکما فی الاستثناء المتّصل، إلاّ أنّ لازمه البیّن سلب الحکم المزبور عن المستثنی، و هذا و أمثاله یعدّ من الدلالات الالتزامیّة الوضعیّة، و إن کان بحسب التحقیق هو من تبعات المعنی، فیکون جزء الموضوع له علی وجه خارج، کما تحرّر فی محلّه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الانسباق الذهنیّ من الجملة مجموعا و الانصراف </w:t>
      </w:r>
      <w:r>
        <w:rPr>
          <w:rStyle w:val="FootnoteAnchor"/>
          <w:rtl w:val="true"/>
        </w:rPr>
        <w:footnoteReference w:id="348"/>
      </w:r>
      <w:r>
        <w:rPr>
          <w:rFonts w:ascii="IRNazanin" w:hAnsi="IRNazanin" w:eastAsia="IRNazanin"/>
          <w:color w:val="111111"/>
          <w:sz w:val="28"/>
          <w:sz w:val="28"/>
          <w:szCs w:val="28"/>
          <w:rtl w:val="true"/>
          <w:lang w:bidi="fa-IR"/>
        </w:rPr>
        <w:t xml:space="preserve">، غیر تامّة، لأنّ ذلک خلاف تمسّکهم بالتبادر و بتصریح أهل الفن </w:t>
      </w:r>
      <w:r>
        <w:rPr>
          <w:rStyle w:val="FootnoteAnchor"/>
          <w:rtl w:val="true"/>
        </w:rPr>
        <w:footnoteReference w:id="349"/>
      </w:r>
      <w:r>
        <w:rPr>
          <w:rFonts w:ascii="IRNazanin" w:hAnsi="IRNazanin" w:eastAsia="IRNazanin"/>
          <w:color w:val="111111"/>
          <w:sz w:val="28"/>
          <w:sz w:val="28"/>
          <w:szCs w:val="28"/>
          <w:rtl w:val="true"/>
          <w:lang w:bidi="fa-IR"/>
        </w:rPr>
        <w:t xml:space="preserve">، فالأظهر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دخالة کلمة أخری فی ذلک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الإخراج و انتفاء الحکم الثابت فی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الجملة المستثنی منها سلبیّة فهی أیضا لا تدلّ إلاّ علی إخراج المستثنی من المستثنی منه حکما، و لازم ذلک أیضا إثبات الحکم لما بعدها، و تصیر النتیجة بعد ذلک ثبوت الحکم المضادّ للأوّل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منشأ الفهم المزبور احتمالات و وجوها، من کونه الوضع، أو مقدّمات الإطلاق، بمعنی أنّ للمتکلّم أن یکون فی مقام الإخراج فقط،</w:t>
      </w:r>
    </w:p>
    <w:p>
      <w:pPr>
        <w:pStyle w:val="BookText"/>
        <w:rPr/>
      </w:pPr>
      <w:r>
        <w:rPr>
          <w:rFonts w:ascii="IRNazanin" w:hAnsi="IRNazanin" w:eastAsia="IRNazanin"/>
          <w:color w:val="111111"/>
          <w:sz w:val="28"/>
          <w:sz w:val="28"/>
          <w:szCs w:val="28"/>
          <w:rtl w:val="true"/>
          <w:lang w:bidi="fa-IR"/>
        </w:rPr>
        <w:t>و یکون بالنسبة إلی المستثنی مهملا، فیکون الحکم من هذه الناحیة علی وجه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کان الأمر کذلک، لکان تسمع دعواه فی المحاکم العرفیّة، فیما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لزید علیّ دراهم إلاّ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أنّ الأمر لا یستند إلی مقدّمات الإطلاق أیضا، فیکون المستند هو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الإخراج من المستثنی منه حکما، و هذا هو تمام المعنی الموضوع له، و أمّا إثبات الحکم المخالف لمدخولها، فهو لازم کون الحکم محصورا بالموضوع، و مخصوصا بالمستثنی منه بعد الاستثناء، و لأجله ینتفی الحکم عمّا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المستثنی مستندا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لکان ذلک من المنطوق، لا المفهوم، و هو خلاف ما علیه الأصولیّون </w:t>
      </w:r>
      <w:r>
        <w:rPr>
          <w:rStyle w:val="FootnoteAnchor"/>
          <w:rtl w:val="true"/>
        </w:rPr>
        <w:footnoteReference w:id="350"/>
      </w:r>
      <w:r>
        <w:rPr>
          <w:rFonts w:ascii="IRNazanin" w:hAnsi="IRNazanin" w:eastAsia="IRNazanin"/>
          <w:color w:val="111111"/>
          <w:sz w:val="28"/>
          <w:sz w:val="28"/>
          <w:szCs w:val="28"/>
          <w:rtl w:val="true"/>
          <w:lang w:bidi="fa-IR"/>
        </w:rPr>
        <w:t>، و علیه فیکون الحکم الثانی مستندا إلی استفادة حصر الحکم الأوّل بالمستثنی منه بعد الاستثناء، و عندئذ یثبت المفهوم، و لا یستند إلی الوضع أیضا، فلیتدبّر جیّدا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ما اشتهر فی کلمات النحاة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الاستثناء من الإیجاب نفی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لعدم ظهور ذلک فی دلالة أداة الاستثناء وضعا علیه، و لنعم 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نصب المستثنی لیس بفعل مقدّر یدلّ علیه الفعل السابق</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خلافا لبعض النحاة</w:t>
      </w:r>
      <w:r>
        <w:rPr>
          <w:rStyle w:val="FootnoteAnchor"/>
          <w:rtl w:val="true"/>
        </w:rPr>
        <w:footnoteReference w:id="352"/>
      </w:r>
      <w:r>
        <w:rPr>
          <w:rFonts w:ascii="IRNazanin" w:hAnsi="IRNazanin" w:eastAsia="IRNazanin"/>
          <w:color w:val="111111"/>
          <w:sz w:val="28"/>
          <w:sz w:val="28"/>
          <w:szCs w:val="28"/>
          <w:rtl w:val="true"/>
          <w:lang w:bidi="fa-IR"/>
        </w:rPr>
        <w:t xml:space="preserve">، و هذا شاهد علی أنّ الجمهور منهم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الاستثناء من الإیجاب نفی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مستخرجة من المنطوق و المفهوم معا، لا المنطوق</w:t>
      </w:r>
      <w:bookmarkStart w:id="296" w:name="pg13167_140862"/>
    </w:p>
    <w:p>
      <w:pPr>
        <w:pStyle w:val="BookText"/>
        <w:rPr/>
      </w:pPr>
      <w:bookmarkEnd w:id="296"/>
      <w:r>
        <w:rPr>
          <w:rFonts w:ascii="IRNazanin" w:hAnsi="IRNazanin" w:eastAsia="IRNazanin"/>
          <w:color w:val="111111"/>
          <w:sz w:val="28"/>
          <w:sz w:val="28"/>
          <w:szCs w:val="28"/>
          <w:rtl w:val="true"/>
          <w:lang w:bidi="fa-IR"/>
        </w:rPr>
        <w:t>المحض، فلیتدبّر و اغتنم</w:t>
      </w:r>
      <w:r>
        <w:rPr>
          <w:rFonts w:eastAsia="IRNazanin" w:cs="IRNazanin"/>
          <w:color w:val="111111"/>
          <w:sz w:val="28"/>
          <w:szCs w:val="28"/>
          <w:rtl w:val="true"/>
          <w:lang w:bidi="fa-IR"/>
        </w:rPr>
        <w:t>.</w:t>
      </w:r>
    </w:p>
    <w:p>
      <w:pPr>
        <w:pStyle w:val="Heading6"/>
        <w:numPr>
          <w:ilvl w:val="5"/>
          <w:numId w:val="1"/>
        </w:numPr>
        <w:rPr/>
      </w:pPr>
      <w:bookmarkStart w:id="297" w:name="__RefHeading___Toc559538_3244359995"/>
      <w:bookmarkStart w:id="298" w:name="_Toc112"/>
      <w:bookmarkEnd w:id="297"/>
      <w:r>
        <w:rPr>
          <w:rtl w:val="true"/>
        </w:rPr>
        <w:t>کشف غباوة</w:t>
      </w:r>
      <w:r>
        <w:rPr>
          <w:rtl w:val="true"/>
        </w:rPr>
        <w:t xml:space="preserve">: </w:t>
      </w:r>
      <w:r>
        <w:rPr>
          <w:rtl w:val="true"/>
        </w:rPr>
        <w:t>لأبی حنیفة فی إنکاره اختلاف المستثنی و المستثنی منه فی الحکم</w:t>
      </w:r>
      <w:bookmarkEnd w:id="298"/>
    </w:p>
    <w:p>
      <w:pPr>
        <w:pStyle w:val="BookText"/>
        <w:rPr/>
      </w:pPr>
      <w:r>
        <w:rPr>
          <w:rFonts w:ascii="IRNazanin" w:hAnsi="IRNazanin" w:eastAsia="IRNazanin"/>
          <w:color w:val="111111"/>
          <w:sz w:val="28"/>
          <w:sz w:val="28"/>
          <w:szCs w:val="28"/>
          <w:rtl w:val="true"/>
          <w:lang w:bidi="fa-IR"/>
        </w:rPr>
        <w:t>حکی عن أبی حنیفة</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دلالة الجملة الاستثنائیة علی اختلاف المستثنی و المستثنی منه فی الحکم، مستدلا بما روی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فإنّ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رجولیّة إلاّ ببطولة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معناه نفی الرجولیّة بالسخاوة و العلم و غیر ذلک من سائر الصفات، و إثبات أنّ تمام الرجولیّة بالبطولة، و هکذا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 علی القول المشهور، هو أنّه لا تکون الصلاة بالنسبة إلی سائر الشرائط متقیّدة و مشروطة، بل هی من هذه الجهة مطلقة، بخلاف شرط الطهور، و هذا ممّا لا یرتضیه أحد فی الفقه، و لا یفهمه أحد من العبارة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یتمّ ما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الاستثناء من النفی إثبات و بالعکس</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یتوجّه إلیه أوّلا، أنّ مفاد هذه العبارة و أمثالها الواردة فی فاتحة الکتاب </w:t>
      </w:r>
      <w:r>
        <w:rPr>
          <w:rStyle w:val="FootnoteAnchor"/>
          <w:rtl w:val="true"/>
        </w:rPr>
        <w:footnoteReference w:id="355"/>
      </w:r>
      <w:r>
        <w:rPr>
          <w:rFonts w:ascii="IRNazanin" w:hAnsi="IRNazanin" w:eastAsia="IRNazanin"/>
          <w:color w:val="111111"/>
          <w:sz w:val="28"/>
          <w:sz w:val="28"/>
          <w:szCs w:val="28"/>
          <w:rtl w:val="true"/>
          <w:lang w:bidi="fa-IR"/>
        </w:rPr>
        <w:t>و غیرها</w:t>
      </w:r>
      <w:r>
        <w:rPr>
          <w:rStyle w:val="FootnoteAnchor"/>
          <w:rtl w:val="true"/>
        </w:rPr>
        <w:footnoteReference w:id="356"/>
      </w:r>
      <w:r>
        <w:rPr>
          <w:rFonts w:ascii="IRNazanin" w:hAnsi="IRNazanin" w:eastAsia="IRNazanin"/>
          <w:color w:val="111111"/>
          <w:sz w:val="28"/>
          <w:sz w:val="28"/>
          <w:szCs w:val="28"/>
          <w:rtl w:val="true"/>
          <w:lang w:bidi="fa-IR"/>
        </w:rPr>
        <w:t>، لیس منحصرا بما تخیّله، بل هنا مشکلة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w:t>
      </w:r>
    </w:p>
    <w:p>
      <w:pPr>
        <w:pStyle w:val="BookText"/>
        <w:rPr/>
      </w:pPr>
      <w:r>
        <w:rPr>
          <w:rFonts w:ascii="IRNazanin" w:hAnsi="IRNazanin" w:eastAsia="IRNazanin"/>
          <w:color w:val="111111"/>
          <w:sz w:val="28"/>
          <w:sz w:val="28"/>
          <w:szCs w:val="28"/>
          <w:rtl w:val="true"/>
          <w:lang w:bidi="fa-IR"/>
        </w:rPr>
        <w:t>مقتضی کون الاستثناء من النفی إثباتا، هو أنّ تمام الصلاة و تمام المأمور به هو الطهور، أو هو فاتحة الکتاب، و أنّ الصلاة هی الطهور، أو هی فاتحة الکتاب، فیلزم الإعضال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فی ناحیة المستثنی فی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الطهور من الشرائط، 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بانحفاظه فی سائر الهیئات و التراکیب، فیکون حینئذ قابلا للتقیید، ضرورة أنّه إذا رجع ذلک إلی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أنّ الصلاة بالطهور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إثباتا بعد النفی، و یقیّد بالأدلّة المنفصلة، لأنّ مقتضی إطلاق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الصلاة بالطهور فقط، أو بالفاتحة فقط، ثمّ بعد ورود الأدلّة یکشف أنّ الانحصار إضافیّ،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المستثنی منه یکون النّظر إلی نفی الاسم و الحقیقة، و علی هذا لا منع من الالتزام بأنّ الطهور و الفاتحة من المقوّمات للاسم و الطبیعة، بخلاف غیرهما، فیکون الکلام فی مقام إفادة اختصاص الطهور و الفاتحة بشی‌ء، فیکون نفیا موجبا للإثبات، و یلتزم بذلک فی الفقه، بمعنی أنّ الصلاة لیست متقوّمة بالستر و أمثاله و بسائر الأجزاء إلاّ إذا دلّ دلیل علی خلافه، فلا نظر فی هذه العبارات إلی الأمر و المأمور به، بل النّظر مقصور علی تقسیم نسبة الصلاة إلی الأجزاء، و أنّ منها ما تعدّ مقوّمة، و منها ما لا مقوّمیة لها بالنسبة إلیها و إن کانت شرطا و قیدا فی المأمور به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من هذه التراکیب نفی الحقیقة، أو نفی الاشتراط، أو نفی الإمکان، أو نفی الصحّة، و لکن الظاهر أنّها فی موقف الادعاء، و یکون النّظر إلی إفادة الاشتراط علی وجه التقویم ادعاء و أنّ الطبیعة متقوّمة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الاستثناء، و تفید أنّ حقیقة الصلاة متقوّمة بالطهور، لا أنّ الصلاة لیست إلاّ الطهور، فإنّه لو کان المراد ذلک لکان ینبغی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الفاتحة أو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فإتیان المستثنی مجرورا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ملحوظا فی المستثنی أیضا، فیکون من قبیل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قول إلاّ بعمل</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فیستفاد منها حینئذ انحصار ما لا مقوّمیة له بالنسبة إلی الصلاة بغیر الطهور و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جمع من الأصحاب رحمهم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المراد من هذه التراکیب مجرّد إثبات شرطیّة المستثنی فی المأمور به</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خال من التحصیل، لأنّ هذه الکلمة مشتملة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الاستثنائیّة بالضرورة، فلا بدّ من المستثنی منه، و تکون النتیجة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فی مقام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تنحلّ به المعضلة، للزوم مراعاة أصول العربیّة فیها بنحو أعلی و أحسن، و قد عرفت أنّ الإعضال لیس فی أنّها لا تفید الإثبات بعد النفی، بل المشکلة أعمّ من ذلک، و قد انحلّت بحمد اللَّه من غیر لزوم منقصة فی هذه العبارات الصادرة بعضها من الأفصح الأبلغ صلی اللَّه علیه و آله و سلم مع استفادة بعض الجهات الاخر، کحکومة هذه العبارات علی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تعاد الصلاة </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فلیتأمّل جیّدا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التراکیب أیضا تفید الحصر، و تصیر النتیجة هی الإثبات فی الکلام المنفیّ، إلاّ أنّ الجواب الثالث أمتن من الثانی، فإنّ نفی اشتراط</w:t>
      </w:r>
      <w:bookmarkStart w:id="299" w:name="pg13167_140865"/>
    </w:p>
    <w:p>
      <w:pPr>
        <w:pStyle w:val="BookText"/>
        <w:rPr/>
      </w:pPr>
      <w:bookmarkEnd w:id="299"/>
      <w:r>
        <w:rPr>
          <w:rFonts w:ascii="IRNazanin" w:hAnsi="IRNazanin" w:eastAsia="IRNazanin"/>
          <w:color w:val="111111"/>
          <w:sz w:val="28"/>
          <w:sz w:val="28"/>
          <w:szCs w:val="28"/>
          <w:rtl w:val="true"/>
          <w:lang w:bidi="fa-IR"/>
        </w:rPr>
        <w:t xml:space="preserve">الصلاة بشی‌ء إلاّ کذا و کذا، خلاف الأسلوب المزبور، بخلاف نفی الحقیقة و الاسم، لما فیه الدواعی الکثیرة، فما عن العلاّمة الخراسانیّ قدس سره من اعتبار نفی الإمکان </w:t>
      </w:r>
      <w:r>
        <w:rPr>
          <w:rStyle w:val="FootnoteAnchor"/>
          <w:rtl w:val="true"/>
        </w:rPr>
        <w:footnoteReference w:id="360"/>
      </w:r>
      <w:r>
        <w:rPr>
          <w:rFonts w:ascii="IRNazanin" w:hAnsi="IRNazanin" w:eastAsia="IRNazanin"/>
          <w:color w:val="111111"/>
          <w:sz w:val="28"/>
          <w:sz w:val="28"/>
          <w:szCs w:val="28"/>
          <w:rtl w:val="true"/>
          <w:lang w:bidi="fa-IR"/>
        </w:rPr>
        <w:t>، غیر وجیه کما هو الظاهر، و إن کان فیه نوع دقّة کما لا یخفی، فتأمّل</w:t>
      </w:r>
      <w:r>
        <w:rPr>
          <w:rFonts w:eastAsia="IRNazanin" w:cs="IRNazanin"/>
          <w:color w:val="111111"/>
          <w:sz w:val="28"/>
          <w:szCs w:val="28"/>
          <w:rtl w:val="true"/>
          <w:lang w:bidi="fa-IR"/>
        </w:rPr>
        <w:t>.</w:t>
      </w:r>
    </w:p>
    <w:p>
      <w:pPr>
        <w:pStyle w:val="Heading6"/>
        <w:numPr>
          <w:ilvl w:val="5"/>
          <w:numId w:val="1"/>
        </w:numPr>
        <w:rPr/>
      </w:pPr>
      <w:bookmarkStart w:id="300" w:name="__RefHeading___Toc559540_3244359995"/>
      <w:bookmarkStart w:id="301" w:name="_Toc113"/>
      <w:bookmarkEnd w:id="300"/>
      <w:r>
        <w:rPr>
          <w:rtl w:val="true"/>
        </w:rPr>
        <w:t>بقی شی‌ء</w:t>
      </w:r>
      <w:r>
        <w:rPr>
          <w:rtl w:val="true"/>
        </w:rPr>
        <w:t xml:space="preserve">: </w:t>
      </w:r>
      <w:r>
        <w:rPr>
          <w:rtl w:val="true"/>
        </w:rPr>
        <w:t xml:space="preserve">حول دلالة </w:t>
      </w:r>
      <w:r>
        <w:rPr>
          <w:rtl w:val="true"/>
        </w:rPr>
        <w:t>«</w:t>
      </w:r>
      <w:r>
        <w:rPr>
          <w:rtl w:val="true"/>
        </w:rPr>
        <w:t>لا صلاة إلاّ بطهور</w:t>
      </w:r>
      <w:r>
        <w:rPr>
          <w:rtl w:val="true"/>
        </w:rPr>
        <w:t xml:space="preserve">» </w:t>
      </w:r>
      <w:r>
        <w:rPr>
          <w:rtl w:val="true"/>
        </w:rPr>
        <w:t>علی الحصر الإضافی</w:t>
      </w:r>
      <w:bookmarkEnd w:id="301"/>
    </w:p>
    <w:p>
      <w:pPr>
        <w:pStyle w:val="BookText"/>
        <w:rPr/>
      </w:pPr>
      <w:r>
        <w:rPr>
          <w:rFonts w:ascii="IRNazanin" w:hAnsi="IRNazanin" w:eastAsia="IRNazanin"/>
          <w:color w:val="111111"/>
          <w:sz w:val="28"/>
          <w:sz w:val="28"/>
          <w:szCs w:val="28"/>
          <w:rtl w:val="true"/>
          <w:lang w:bidi="fa-IR"/>
        </w:rPr>
        <w:t>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العبارات تفید الحصر الإضافیّ و الحیثیّ من أوّل الأمر، و لا تکون فی مقام بیان إفادة الحصر الحقیقیّ، فیکون المقصود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لیست صحیحة إلاّ بالطهور، و أمّا أنّها تصیر صحیحة بالفعل بالطهور المحض، فهی ساکتة عنه، و غیر ناظرة إلیه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استفادة الحصر مستند إلی إخراج المستثنی من المستثنی منه حکما، و هذا یرجع إلی الوضع من غیر حاجة إلی مقدّمات الإطلاق، و لا یسمع فی المحاکم الدعوی المنتهیة إلی أنّه کان یرید فی کلامه الإهمال، و لیس هذا إلاّ لأجل اللغة و الوضع و اقتضاء الأصول الأوّلیة الأدبیّة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صرف النّظر عن اللغة و اتفاق أهل الأدب و الوجدان و التبادر بالروایة، بل لو فرضنا دلالة الروایة علی خلاف ما ذکر فتحمل أو تطرح، لما یستکشف حینئذ قصور فی السند، و تعدّ من الإسرائیلیّات التی أرید فیها تضییع حقوقهم علیهم السلام فما صنعه الرّجل بعید عن الواقع بمراحل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التمسّک بکلمة الإخلاص </w:t>
      </w:r>
      <w:r>
        <w:rPr>
          <w:rStyle w:val="FootnoteAnchor"/>
          <w:rtl w:val="true"/>
        </w:rPr>
        <w:footnoteReference w:id="363"/>
      </w:r>
      <w:r>
        <w:rPr>
          <w:rFonts w:ascii="IRNazanin" w:hAnsi="IRNazanin" w:eastAsia="IRNazanin"/>
          <w:color w:val="111111"/>
          <w:sz w:val="28"/>
          <w:sz w:val="28"/>
          <w:szCs w:val="28"/>
          <w:rtl w:val="true"/>
          <w:lang w:bidi="fa-IR"/>
        </w:rPr>
        <w:t>إن کان استدلالا، ففی غیر</w:t>
      </w:r>
      <w:bookmarkStart w:id="302" w:name="pg13167_140866"/>
    </w:p>
    <w:p>
      <w:pPr>
        <w:pStyle w:val="BookText"/>
        <w:rPr/>
      </w:pPr>
      <w:bookmarkEnd w:id="302"/>
      <w:r>
        <w:rPr>
          <w:rFonts w:ascii="IRNazanin" w:hAnsi="IRNazanin" w:eastAsia="IRNazanin"/>
          <w:color w:val="111111"/>
          <w:sz w:val="28"/>
          <w:sz w:val="28"/>
          <w:szCs w:val="28"/>
          <w:rtl w:val="true"/>
          <w:lang w:bidi="fa-IR"/>
        </w:rPr>
        <w:t>محلّه، نعم لا بأس بالتأیید، فلو فرضنا قصور الأدلّة عن إثبات الحصر فلا یکشف بها ذلک فی محلّ النزاع، ضرورة أنّ ظهور الکلمة الشریفة فی الإقرار بالتوحید، ربّما یکون مستندا إلی الجهات الخارجیّة، 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النّظر فی الکلمة الشریفة إلی نفی استحقاق غیره تعالی للعبودیّة فقط، من دون الإقرار فی جانب المستثنی</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فغیر معلوم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التهافت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أنّ الإقرار بهذه الکلمة إقرار بالتوحید إجمالا، و لیس ذلک إلاّ لأجل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الحصر علی الوجه المحرّر</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الاستدلال فی غیر محلّه، ضرورة أنّ خصوصیّات اللغات و المسائل العرفیّة، لا تتّخذ من الشرائع الإلهیّة إلاّ برجوعها إلی التعبّد و التدیّن</w:t>
      </w:r>
      <w:r>
        <w:rPr>
          <w:rFonts w:eastAsia="IRNazanin" w:cs="IRNazanin"/>
          <w:color w:val="111111"/>
          <w:sz w:val="28"/>
          <w:szCs w:val="28"/>
          <w:rtl w:val="true"/>
          <w:lang w:bidi="fa-IR"/>
        </w:rPr>
        <w:t>.</w:t>
      </w:r>
    </w:p>
    <w:p>
      <w:pPr>
        <w:pStyle w:val="Heading6"/>
        <w:numPr>
          <w:ilvl w:val="5"/>
          <w:numId w:val="1"/>
        </w:numPr>
        <w:rPr/>
      </w:pPr>
      <w:bookmarkStart w:id="303" w:name="__RefHeading___Toc559542_3244359995"/>
      <w:bookmarkStart w:id="304" w:name="_Toc114"/>
      <w:bookmarkEnd w:id="303"/>
      <w:r>
        <w:rPr>
          <w:rtl w:val="true"/>
        </w:rPr>
        <w:t>بقی بحث</w:t>
      </w:r>
      <w:r>
        <w:rPr>
          <w:rtl w:val="true"/>
        </w:rPr>
        <w:t xml:space="preserve">: </w:t>
      </w:r>
      <w:r>
        <w:rPr>
          <w:rtl w:val="true"/>
        </w:rPr>
        <w:t>حول کلمة الإخلاص</w:t>
      </w:r>
      <w:bookmarkEnd w:id="304"/>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قالوه هو أنّ فی کون الکلمة الشریفة إقرارا بالتوحید إشکالا و إعضالا، و هو 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المحذوف إمّا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الأوّل فلا یدلّ إلاّ علی أنّه تعالی ممکن، و هذا أعمّ من وجوده، و إن کان الثانی فلا یلزم منه الاعتراف بنفی إمکان غیره تعالی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واجب الوجود، فیکون المراد من المحذوف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لا الخاصّ، ضرورة امتناع اجتماع</w:t>
      </w:r>
    </w:p>
    <w:p>
      <w:pPr>
        <w:pStyle w:val="BookText"/>
        <w:rPr/>
      </w:pPr>
      <w:r>
        <w:rPr>
          <w:rFonts w:ascii="IRNazanin" w:hAnsi="IRNazanin" w:eastAsia="IRNazanin"/>
          <w:color w:val="111111"/>
          <w:sz w:val="28"/>
          <w:sz w:val="28"/>
          <w:szCs w:val="28"/>
          <w:rtl w:val="true"/>
          <w:lang w:bidi="fa-IR"/>
        </w:rPr>
        <w:t>الإمکان الخاصّ و الوجوب فی المستثنی، فیکون هذا قرینة علی أنّ المراد هو الإمکان العامّ المجتمع مع الوجوب،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واجب الوجود ممکنا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منه کون اللَّه تعالی واجب الوجود فقط، و ذلک لأنّ مقتضی الاعتراف بعدم الإمکان العامّ لمصداق واجب الوجود المفهومیّ، امتناع وجود جمیع أفراده، و قضیّة الاعتراف بالإمکان العامّ لأحد مصادیقه هو الإقرار بوجوب وجوده، فیتمّ المطلوب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موضوعة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فی بعض الأخبار</w:t>
      </w:r>
      <w:r>
        <w:rPr>
          <w:rStyle w:val="FootnoteAnchor"/>
          <w:rtl w:val="true"/>
        </w:rPr>
        <w:footnoteReference w:id="368"/>
      </w:r>
      <w:r>
        <w:rPr>
          <w:rFonts w:ascii="Amiri" w:hAnsi="Amiri" w:eastAsia="Amiri" w:cs="Amiri"/>
          <w:color w:val="111111"/>
          <w:sz w:val="28"/>
          <w:sz w:val="28"/>
          <w:szCs w:val="28"/>
          <w:rtl w:val="true"/>
          <w:lang w:bidi="ar-SA"/>
        </w:rPr>
        <w:t>، و مجموع ما یحصّله المتتبع فی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الخالق، أو المعبود، بمعنی 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منها الخالق،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لَذَهَبَ کُلُّ إِلهٍ بِما خَلَقَ </w:t>
      </w:r>
      <w:r>
        <w:rPr>
          <w:rStyle w:val="FootnoteAnchor"/>
          <w:rtl w:val="true"/>
        </w:rPr>
        <w:footnoteReference w:id="369"/>
      </w:r>
      <w:r>
        <w:rPr>
          <w:rFonts w:ascii="IRNazanin" w:hAnsi="IRNazanin" w:eastAsia="IRNazanin"/>
          <w:color w:val="111111"/>
          <w:sz w:val="28"/>
          <w:sz w:val="28"/>
          <w:szCs w:val="28"/>
          <w:rtl w:val="true"/>
          <w:lang w:bidi="fa-IR"/>
        </w:rPr>
        <w:t>و غیر ذلک ممّا کثر إطلاقه لا بجهة العبودیّة فراجع،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منها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أنّ هذه الطریقة خارجة عن الأفهام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عدم الحاجة فی قبول الإسلام إلی التوجّه إلی عدم إمکان غیر اللَّه تعالی، بل یکفی الاعتقاد به تعالی غافلا عن سائر الجهات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هذه الکلمة کانت تقبل فی مقام نفی الشریک فی العبودیّة فی صدر الإسلام، فإنّ المشرکین من العرب کانوا یعبدون الأوثان و الأصنام لِیُقَرِّبُونا إِلَی اللَّهِ زُلْفی </w:t>
      </w:r>
      <w:r>
        <w:rPr>
          <w:rStyle w:val="FootnoteAnchor"/>
          <w:rtl w:val="true"/>
        </w:rPr>
        <w:footnoteReference w:id="370"/>
      </w:r>
      <w:r>
        <w:rPr>
          <w:rFonts w:ascii="IRNazanin" w:hAnsi="IRNazanin" w:eastAsia="IRNazanin"/>
          <w:color w:val="111111"/>
          <w:sz w:val="28"/>
          <w:sz w:val="28"/>
          <w:szCs w:val="28"/>
          <w:rtl w:val="true"/>
          <w:lang w:bidi="fa-IR"/>
        </w:rPr>
        <w:t>و عند ما طلع الإسلام قبل الرسول صلی اللَّه علیه و آله و سلم شهادتهم المزبورة فی موقف الإقرار بحصر المعبود فیه تعالی بعد إذعانهم بوجود اللَّه تعالی خالق السماوات</w:t>
      </w:r>
    </w:p>
    <w:p>
      <w:pPr>
        <w:pStyle w:val="BookText"/>
        <w:rPr/>
      </w:pPr>
      <w:r>
        <w:rPr>
          <w:rFonts w:ascii="IRNazanin" w:hAnsi="IRNazanin" w:eastAsia="IRNazanin"/>
          <w:color w:val="111111"/>
          <w:sz w:val="28"/>
          <w:sz w:val="28"/>
          <w:szCs w:val="28"/>
          <w:rtl w:val="true"/>
          <w:lang w:bidi="fa-IR"/>
        </w:rPr>
        <w:t xml:space="preserve">و الأرض،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و غیره </w:t>
      </w:r>
      <w:r>
        <w:rPr>
          <w:rStyle w:val="FootnoteAnchor"/>
          <w:rtl w:val="true"/>
        </w:rPr>
        <w:footnoteReference w:id="372"/>
      </w:r>
      <w:r>
        <w:rPr>
          <w:rFonts w:ascii="IRNazanin" w:hAnsi="IRNazanin" w:eastAsia="IRNazanin"/>
          <w:color w:val="111111"/>
          <w:sz w:val="28"/>
          <w:sz w:val="28"/>
          <w:szCs w:val="28"/>
          <w:rtl w:val="true"/>
          <w:lang w:bidi="fa-IR"/>
        </w:rPr>
        <w:t>من الاقتناع بذلک، لا یخلو من 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المحذوف لا هذا و لا ذاک، بل المحذوف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لما أشیر إلیه أخیرا، و هو أنّهم کانوا مشرکین فی العبادة، دون الذات و الصفات، فتقبل شهادتهم المذکورة، لاعترافهم باللَّه الواحد تعالی، فلا حاجة إلی الأجوبة الفلسفیّة الخارجة عن أفق الناس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ضرورة أنّ هذه الکلمة تقبل شهادة من الکافر الجاحد المنکر الدهریّ، و تکفی لترتّب أحکام الإسلام علیها إذا اقترنت بالشهادة الثانیة، فلا تخصّ بتلک الطائفة بالقطع و النصّ، فما ارتضاه الأعلام، السیّدان البروجردیّ و الوالد، و العلاّمة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لا یخلو من غرابة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ما فی الجواب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أنّ المحذوف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 إن لم یذکره الأصحاب قدس سرُّهم إلاّ أنّه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المشرکین فی العبادة کانوا یریدون بها الشهادة علی التوحید العبادیّ،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الخبر المحذوف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بالإمکان العامّ، لسلامته من بعض الإشکالات الأربعة المشار إلیها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کون المحذوف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المعبود أحدا إلاّ اللَّه، أولی من کونه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نفی الاستحقاق، لا ینافی عبادة الأصنام</w:t>
      </w:r>
    </w:p>
    <w:p>
      <w:pPr>
        <w:pStyle w:val="BookText"/>
        <w:rPr/>
      </w:pPr>
      <w:r>
        <w:rPr>
          <w:rFonts w:ascii="IRNazanin" w:hAnsi="IRNazanin" w:eastAsia="IRNazanin"/>
          <w:color w:val="111111"/>
          <w:sz w:val="28"/>
          <w:sz w:val="28"/>
          <w:szCs w:val="28"/>
          <w:rtl w:val="true"/>
          <w:lang w:bidi="fa-IR"/>
        </w:rPr>
        <w:t>و الأوثان لأجل أن یقرّبوهم إلی اللَّه زلفی، فلا یکون مشرکو العرب عابدین للأصنام لأجل الاستحقاق، بل کانوا یعبدونهم لأجل المطلوب الآخر، فلا تخلط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تحصّلت هذه الأجوبة القاصرة کلّها عن حلّ المشکلة، فإلیک الأجوبة الأخری الکافیة، علی إشکال فی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المحذوف یختلف باختلاف المواقف، و لا برهان علی تعیّنه فی کلّ المراحل، ففی مورد یراد الإقرار بالتوحید الذاتیّ یکون المحذوف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یراد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الخالق، أو المعبود، و فی مورد یراد الإقرار بالتوحید العبادیّ یکون المحذوف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یحذو حذوه، و حذف المتعلّق و الخبر ربّما کان لأجل الإیماء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المحذوف مجموع العناوین فی جمیع المواقف و المراحل، و لا دلیل علی لزوم 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خبر واحد، و قد قال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أخبروا باثنین أو بأکثراعن واحد کهم سراة شعرا</w:t>
      </w:r>
    </w:p>
    <w:p>
      <w:pPr>
        <w:pStyle w:val="BookText"/>
        <w:rPr/>
      </w:pPr>
      <w:r>
        <w:rPr>
          <w:rStyle w:val="FootnoteAnchor"/>
          <w:rtl w:val="true"/>
        </w:rPr>
        <w:footnoteReference w:id="375"/>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الرجوع إلی ترجمة هذه الکلمة فی بعض الألسنة الأخری، تعطی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و تامّة، و تکون إخبارا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المحض و العدم الصرف، و یکون نفی الموضوع، دون الهویّة و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هو الخبر، و لا یأتی هذا الاحتمال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حرف الجارّ الوارد علی المستثنی، کما لا یخفی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غیر جائز،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حملها علی الإله حتّی یتخلّل بینهما حرف السلب، فتکون هی للاستثناء أیضا، إلاّ أنّ المستثنی</w:t>
      </w:r>
      <w:bookmarkStart w:id="305" w:name="pg13167_140870"/>
    </w:p>
    <w:p>
      <w:pPr>
        <w:pStyle w:val="BookText"/>
        <w:rPr/>
      </w:pPr>
      <w:bookmarkEnd w:id="305"/>
      <w:r>
        <w:rPr>
          <w:rFonts w:ascii="IRNazanin" w:hAnsi="IRNazanin" w:eastAsia="IRNazanin"/>
          <w:color w:val="111111"/>
          <w:sz w:val="28"/>
          <w:sz w:val="28"/>
          <w:szCs w:val="28"/>
          <w:rtl w:val="true"/>
          <w:lang w:bidi="fa-IR"/>
        </w:rPr>
        <w:t xml:space="preserve">منه لا یلزم أن یکون هو الخبر، بل هو نفس الموضوع الکلّی المسلوب بالسلب التامّ، و قد حکی </w:t>
      </w:r>
      <w:r>
        <w:rPr>
          <w:rStyle w:val="FootnoteAnchor"/>
          <w:rtl w:val="true"/>
        </w:rPr>
        <w:footnoteReference w:id="376"/>
      </w:r>
      <w:r>
        <w:rPr>
          <w:rFonts w:ascii="IRNazanin" w:hAnsi="IRNazanin" w:eastAsia="IRNazanin"/>
          <w:color w:val="111111"/>
          <w:sz w:val="28"/>
          <w:sz w:val="28"/>
          <w:szCs w:val="28"/>
          <w:rtl w:val="true"/>
          <w:lang w:bidi="fa-IR"/>
        </w:rPr>
        <w:t>عن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العمومات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محتاجة إلی الخبر أحیانا، و تکون تامّة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التقادیر لا یستفاد من الحصر بالاستثناء إلاّ حصر الحکم فی المستثنی منه بموضوعه، و تکون النتیجة ثبوت الحکم المقابل للمستثنی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انحصر الحکم فی المستثنی منه بموضوعه فلازمه حصر المستثنی أیضا بموضوعه، فیکون الإقرار بالإخلاص موجبا للإقرار بحصر الحکم فی المستثنی بموضوعه،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الخبر لا یضرّ و لا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الواجب فهو یفید فی مورد الإقرار بالتوحید الذاتیّ، و إذا أرید منه الخالق فلازمه ذلک، و إذا أرید منه المعبود فیفید فی مورد الاعتراف بالتوحید العبادیّ، فلیتأمّل جیّدا</w:t>
      </w:r>
      <w:r>
        <w:rPr>
          <w:rFonts w:eastAsia="IRNazanin" w:cs="IRNazanin"/>
          <w:color w:val="111111"/>
          <w:sz w:val="28"/>
          <w:szCs w:val="28"/>
          <w:rtl w:val="true"/>
          <w:lang w:bidi="fa-IR"/>
        </w:rPr>
        <w:t>.</w:t>
      </w:r>
    </w:p>
    <w:p>
      <w:pPr>
        <w:pStyle w:val="Heading6"/>
        <w:numPr>
          <w:ilvl w:val="5"/>
          <w:numId w:val="1"/>
        </w:numPr>
        <w:rPr/>
      </w:pPr>
      <w:bookmarkStart w:id="306" w:name="__RefHeading___Toc559544_3244359995"/>
      <w:bookmarkStart w:id="307" w:name="_Toc115"/>
      <w:bookmarkEnd w:id="306"/>
      <w:r>
        <w:rPr>
          <w:rtl w:val="true"/>
        </w:rPr>
        <w:t>تنبیهات</w:t>
      </w:r>
      <w:bookmarkEnd w:id="307"/>
    </w:p>
    <w:p>
      <w:pPr>
        <w:pStyle w:val="Heading6"/>
        <w:numPr>
          <w:ilvl w:val="5"/>
          <w:numId w:val="1"/>
        </w:numPr>
        <w:rPr/>
      </w:pPr>
      <w:bookmarkStart w:id="308" w:name="__RefHeading___Toc559546_3244359995"/>
      <w:bookmarkStart w:id="309" w:name="_Toc116"/>
      <w:bookmarkEnd w:id="308"/>
      <w:r>
        <w:rPr>
          <w:rtl w:val="true"/>
        </w:rPr>
        <w:t>أحدها</w:t>
      </w:r>
      <w:r>
        <w:rPr>
          <w:rtl w:val="true"/>
        </w:rPr>
        <w:t xml:space="preserve">: </w:t>
      </w:r>
      <w:r>
        <w:rPr>
          <w:rtl w:val="true"/>
        </w:rPr>
        <w:t>حول جریان التفصیل بین الحکم و الموضوع فی مفهوم الحصر</w:t>
      </w:r>
      <w:bookmarkEnd w:id="309"/>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التفصیل المذکور فی الغایة بین الحکم و الموضوع، یأتی هنا، فیکون الاستثناء من الموضوع بلا مفهوم، دون الحکم </w:t>
      </w:r>
      <w:r>
        <w:rPr>
          <w:rStyle w:val="FootnoteAnchor"/>
          <w:rtl w:val="true"/>
        </w:rPr>
        <w:footnoteReference w:id="378"/>
      </w:r>
      <w:r>
        <w:rPr>
          <w:rFonts w:ascii="Amiri" w:hAnsi="Amiri" w:eastAsia="Amiri" w:cs="Amiri"/>
          <w:color w:val="111111"/>
          <w:sz w:val="28"/>
          <w:sz w:val="28"/>
          <w:szCs w:val="28"/>
          <w:rtl w:val="true"/>
          <w:lang w:bidi="ar-SA"/>
        </w:rPr>
        <w:t>، مع أنّه لم یفصّله أحد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منّا سقوط هذا التفصیل تصوّرا فی محلّه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w:t>
      </w:r>
      <w:bookmarkStart w:id="310" w:name="pg13167_140871"/>
    </w:p>
    <w:p>
      <w:pPr>
        <w:pStyle w:val="BookText"/>
        <w:rPr/>
      </w:pPr>
      <w:bookmarkEnd w:id="310"/>
      <w:r>
        <w:rPr>
          <w:rFonts w:ascii="IRNazanin" w:hAnsi="IRNazanin" w:eastAsia="IRNazanin"/>
          <w:color w:val="111111"/>
          <w:sz w:val="28"/>
          <w:sz w:val="28"/>
          <w:szCs w:val="28"/>
          <w:rtl w:val="true"/>
          <w:lang w:bidi="fa-IR"/>
        </w:rPr>
        <w:t>الاستثناء من الموضوع غیر معقول إلاّ برجوعه إلی الاستثناء من الموضوعیّة للحکم، و هذا هو الاستثناء من الموضوع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مورد النزاع هی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الاستثنائیّة من الحکم، و إلاّ فهو من قید الموضوع، و یکون مندرجا تحت مفهوم القید و الوصف </w:t>
      </w:r>
      <w:r>
        <w:rPr>
          <w:rStyle w:val="FootnoteAnchor"/>
          <w:rtl w:val="true"/>
        </w:rPr>
        <w:footnoteReference w:id="380"/>
      </w:r>
      <w:r>
        <w:rPr>
          <w:rFonts w:ascii="IRNazanin" w:hAnsi="IRNazanin" w:eastAsia="IRNazanin"/>
          <w:color w:val="111111"/>
          <w:sz w:val="28"/>
          <w:sz w:val="28"/>
          <w:szCs w:val="28"/>
          <w:rtl w:val="true"/>
          <w:lang w:bidi="fa-IR"/>
        </w:rPr>
        <w:t>، کما هو الواضح</w:t>
      </w:r>
      <w:r>
        <w:rPr>
          <w:rFonts w:eastAsia="IRNazanin" w:cs="IRNazanin"/>
          <w:color w:val="111111"/>
          <w:sz w:val="28"/>
          <w:szCs w:val="28"/>
          <w:rtl w:val="true"/>
          <w:lang w:bidi="fa-IR"/>
        </w:rPr>
        <w:t>.</w:t>
      </w:r>
    </w:p>
    <w:p>
      <w:pPr>
        <w:pStyle w:val="Heading6"/>
        <w:numPr>
          <w:ilvl w:val="5"/>
          <w:numId w:val="1"/>
        </w:numPr>
        <w:rPr/>
      </w:pPr>
      <w:bookmarkStart w:id="311" w:name="__RefHeading___Toc559548_3244359995"/>
      <w:bookmarkStart w:id="312" w:name="_Toc117"/>
      <w:bookmarkEnd w:id="311"/>
      <w:r>
        <w:rPr>
          <w:rtl w:val="true"/>
        </w:rPr>
        <w:t>ثانیها</w:t>
      </w:r>
      <w:r>
        <w:rPr>
          <w:rtl w:val="true"/>
        </w:rPr>
        <w:t xml:space="preserve">: </w:t>
      </w:r>
      <w:r>
        <w:rPr>
          <w:rtl w:val="true"/>
        </w:rPr>
        <w:t>حول التفصیل بین الحکم المنشأ بالمعانی الحرفیّة و الاسمیّة</w:t>
      </w:r>
      <w:bookmarkEnd w:id="312"/>
    </w:p>
    <w:p>
      <w:pPr>
        <w:pStyle w:val="BookText"/>
        <w:rPr/>
      </w:pPr>
      <w:r>
        <w:rPr>
          <w:rFonts w:ascii="IRNazanin" w:hAnsi="IRNazanin" w:eastAsia="IRNazanin"/>
          <w:color w:val="111111"/>
          <w:sz w:val="28"/>
          <w:sz w:val="28"/>
          <w:szCs w:val="28"/>
          <w:rtl w:val="true"/>
          <w:lang w:bidi="fa-IR"/>
        </w:rPr>
        <w:t>قد مضی فی تنبیهات مفهوم الشرط، تفصیل بین الحکم المنشأ بالحروف و الأدوات الجزئیّة، و الحکم المنشأ بالمعانی الکلّیة الاسمیّة</w:t>
      </w:r>
      <w:r>
        <w:rPr>
          <w:rStyle w:val="FootnoteAnchor"/>
          <w:rtl w:val="true"/>
        </w:rPr>
        <w:footnoteReference w:id="381"/>
      </w:r>
      <w:r>
        <w:rPr>
          <w:rFonts w:ascii="IRNazanin" w:hAnsi="IRNazanin" w:eastAsia="IRNazanin"/>
          <w:color w:val="111111"/>
          <w:sz w:val="28"/>
          <w:sz w:val="28"/>
          <w:szCs w:val="28"/>
          <w:rtl w:val="true"/>
          <w:lang w:bidi="fa-IR"/>
        </w:rPr>
        <w:t>، و قد ذکرنا ذلک أیضا فی مفهوم الغایة</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الأصحاب رحمهم اللَّه فلم یشیروا إلیه هنا، و لعلّ ذلک لأجل عدم تمامیّة التفصیل فی محلّه، فضلا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أنّ الاستثناء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مفهوم، بخلاف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المنشأ فی الأوّل جزئیّ شخصیّ لا معنی لانتفاء سنخه،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من حکم العقلاء و بالمفهوم من غیر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انتفاء سنخ الحکم لا یتقوّم بکون المنشأ کلّیا، بل للجزئیّ أیضا 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له الفرد المتعدّد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تعبیرهم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المفهوم انتفاء سنخ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إشعارا بسقوط</w:t>
      </w:r>
      <w:bookmarkStart w:id="313" w:name="pg13167_140872"/>
    </w:p>
    <w:p>
      <w:pPr>
        <w:pStyle w:val="BookText"/>
        <w:rPr/>
      </w:pPr>
      <w:bookmarkEnd w:id="313"/>
      <w:r>
        <w:rPr>
          <w:rFonts w:ascii="IRNazanin" w:hAnsi="IRNazanin" w:eastAsia="IRNazanin"/>
          <w:color w:val="111111"/>
          <w:sz w:val="28"/>
          <w:sz w:val="28"/>
          <w:szCs w:val="28"/>
          <w:rtl w:val="true"/>
          <w:lang w:bidi="fa-IR"/>
        </w:rPr>
        <w:t xml:space="preserve">هذا التفصیل </w:t>
      </w:r>
      <w:r>
        <w:rPr>
          <w:rStyle w:val="FootnoteAnchor"/>
          <w:rtl w:val="true"/>
        </w:rPr>
        <w:footnoteReference w:id="383"/>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p>
    <w:p>
      <w:pPr>
        <w:pStyle w:val="Heading6"/>
        <w:numPr>
          <w:ilvl w:val="5"/>
          <w:numId w:val="1"/>
        </w:numPr>
        <w:rPr/>
      </w:pPr>
      <w:bookmarkStart w:id="314" w:name="__RefHeading___Toc559550_3244359995"/>
      <w:bookmarkStart w:id="315" w:name="_Toc118"/>
      <w:bookmarkEnd w:id="314"/>
      <w:r>
        <w:rPr>
          <w:rtl w:val="true"/>
        </w:rPr>
        <w:t>ثالثها</w:t>
      </w:r>
      <w:r>
        <w:rPr>
          <w:rtl w:val="true"/>
        </w:rPr>
        <w:t xml:space="preserve">: </w:t>
      </w:r>
      <w:r>
        <w:rPr>
          <w:rtl w:val="true"/>
        </w:rPr>
        <w:t>حول مجازیّة تقیید مفهوم الحصر و عدمها</w:t>
      </w:r>
      <w:bookmarkEnd w:id="315"/>
    </w:p>
    <w:p>
      <w:pPr>
        <w:pStyle w:val="BookText"/>
        <w:rPr/>
      </w:pPr>
      <w:r>
        <w:rPr>
          <w:rFonts w:ascii="IRNazanin" w:hAnsi="IRNazanin" w:eastAsia="IRNazanin"/>
          <w:color w:val="111111"/>
          <w:sz w:val="28"/>
          <w:sz w:val="28"/>
          <w:szCs w:val="28"/>
          <w:rtl w:val="true"/>
          <w:lang w:bidi="fa-IR"/>
        </w:rPr>
        <w:t>قد عرفت فی مطاوی بحوثنا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انحصار الحکم فی جانب المستثنی منه بالموضوع المذکور فیه، انتفاء الحکم فی ناحیة المستثنی، و مقتضی ذلک أیضا انحصار الحکم فی ناحیة المستثنی بالموضوع المذکور فیه أیضا، فیکون مثلا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أنّ موضوع عدم الإعادة جمیع أجزاء الصلاة و شرائطها إلاّ الخمسة، و أمّا الخمسة فهی موضوعة الإعادة، و لیس للإعادة 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مقتضی الانحصار المذکور فی جانب المستثنی منه بعد تقابل الحکمین فی المستثنی و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فهل فی صورة ورود المقیّد و المخصّص تلزم المجازیّة و الادعاء، أو تقع المعارضة و یلزم الرجوع إلی الأخبار العلاجیّة، أم یجمع بینهما، لإمکانه عرفا؟</w:t>
      </w:r>
    </w:p>
    <w:p>
      <w:pPr>
        <w:pStyle w:val="BookText"/>
        <w:rPr/>
      </w:pPr>
      <w:r>
        <w:rPr>
          <w:rFonts w:ascii="IRNazanin" w:hAnsi="IRNazanin" w:eastAsia="IRNazanin"/>
          <w:color w:val="111111"/>
          <w:sz w:val="28"/>
          <w:sz w:val="28"/>
          <w:szCs w:val="28"/>
          <w:rtl w:val="true"/>
          <w:lang w:bidi="fa-IR"/>
        </w:rPr>
        <w:t>وجوه یتعیّن الأخیر منها، و ذلک لأنّ کلمة الاستثناء لیست لإفادة الحصر الحقیقیّ، بل هی تفید ذلک عند عدم القرینة، فلو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القوم و الشعراء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یفید الحصر بالنسبة إلی الطائفة الثالثة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لإفادة الحصر الحقیقیّ، و یکون فی المثال ما هو الموضوع عنوانا واحدا یجمع الطائفتین، فی غیر محلّه إنصافا، بل فی المثال یکون الموضوع متعدّدا، فلا تفید أداة الاستثناء إلاّ الحصر الإضافیّ من غیر لزوم المجازیّة، فبذلک</w:t>
      </w:r>
      <w:bookmarkStart w:id="316" w:name="pg13167_140873"/>
    </w:p>
    <w:p>
      <w:pPr>
        <w:pStyle w:val="BookText"/>
        <w:rPr/>
      </w:pPr>
      <w:bookmarkEnd w:id="316"/>
      <w:r>
        <w:rPr>
          <w:rFonts w:ascii="IRNazanin" w:hAnsi="IRNazanin" w:eastAsia="IRNazanin"/>
          <w:color w:val="111111"/>
          <w:sz w:val="28"/>
          <w:sz w:val="28"/>
          <w:szCs w:val="28"/>
          <w:rtl w:val="true"/>
          <w:lang w:bidi="fa-IR"/>
        </w:rPr>
        <w:t xml:space="preserve">تنحلّ مشکلة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حرّرناها فی بحوثها</w:t>
      </w:r>
      <w:r>
        <w:rPr>
          <w:rStyle w:val="FootnoteAnchor"/>
          <w:rtl w:val="true"/>
        </w:rPr>
        <w:footnoteReference w:id="385"/>
      </w:r>
      <w:r>
        <w:rPr>
          <w:rFonts w:ascii="IRNazanin" w:hAnsi="IRNazanin" w:eastAsia="IRNazanin"/>
          <w:color w:val="111111"/>
          <w:sz w:val="28"/>
          <w:sz w:val="28"/>
          <w:szCs w:val="28"/>
          <w:rtl w:val="true"/>
          <w:lang w:bidi="fa-IR"/>
        </w:rPr>
        <w:t>، و هکذا التعارض المتوهّم بین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مبنیّ علی الادعاء</w:t>
      </w:r>
      <w:r>
        <w:rPr>
          <w:rStyle w:val="FootnoteAnchor"/>
          <w:rtl w:val="true"/>
        </w:rPr>
        <w:footnoteReference w:id="388"/>
      </w:r>
      <w:r>
        <w:rPr>
          <w:rFonts w:ascii="IRNazanin" w:hAnsi="IRNazanin" w:eastAsia="IRNazanin"/>
          <w:color w:val="111111"/>
          <w:sz w:val="28"/>
          <w:sz w:val="28"/>
          <w:szCs w:val="28"/>
          <w:rtl w:val="true"/>
          <w:lang w:bidi="fa-IR"/>
        </w:rPr>
        <w:t>، و عندئذ لا مانع من تعدّد المقوّم الادعائیّ، فتکون الصلاة بعد ذلک مقوَّمة بالطهور، و بالفاتحة، و بالقیام، و بتکبیرة الافتتاح</w:t>
      </w:r>
      <w:r>
        <w:rPr>
          <w:rFonts w:eastAsia="IRNazanin" w:cs="IRNazanin"/>
          <w:color w:val="111111"/>
          <w:sz w:val="28"/>
          <w:szCs w:val="28"/>
          <w:rtl w:val="true"/>
          <w:lang w:bidi="fa-IR"/>
        </w:rPr>
        <w:t>.</w:t>
      </w:r>
    </w:p>
    <w:p>
      <w:pPr>
        <w:pStyle w:val="Heading6"/>
        <w:numPr>
          <w:ilvl w:val="5"/>
          <w:numId w:val="1"/>
        </w:numPr>
        <w:rPr/>
      </w:pPr>
      <w:bookmarkStart w:id="317" w:name="__RefHeading___Toc559552_3244359995"/>
      <w:bookmarkStart w:id="318" w:name="_Toc119"/>
      <w:bookmarkEnd w:id="317"/>
      <w:r>
        <w:rPr>
          <w:rtl w:val="true"/>
        </w:rPr>
        <w:t>رابعها</w:t>
      </w:r>
      <w:r>
        <w:rPr>
          <w:rtl w:val="true"/>
        </w:rPr>
        <w:t xml:space="preserve">: </w:t>
      </w:r>
      <w:r>
        <w:rPr>
          <w:rtl w:val="true"/>
        </w:rPr>
        <w:t>فی مفهوم الاستثناء المنقطع</w:t>
      </w:r>
      <w:bookmarkEnd w:id="318"/>
    </w:p>
    <w:p>
      <w:pPr>
        <w:pStyle w:val="BookText"/>
        <w:rPr/>
      </w:pPr>
      <w:r>
        <w:rPr>
          <w:rFonts w:ascii="Amiri" w:hAnsi="Amiri" w:eastAsia="Amiri" w:cs="Amiri"/>
          <w:color w:val="111111"/>
          <w:sz w:val="28"/>
          <w:sz w:val="28"/>
          <w:szCs w:val="28"/>
          <w:rtl w:val="true"/>
          <w:lang w:bidi="ar-SA"/>
        </w:rPr>
        <w:t xml:space="preserve">فإنّه إن رجع إلی المتّصل کما هو مختار السیّد جدّ أولادی الحجّة الکوه‌کمری قدس سرُّه </w:t>
      </w:r>
      <w:r>
        <w:rPr>
          <w:rStyle w:val="FootnoteAnchor"/>
          <w:rtl w:val="true"/>
        </w:rPr>
        <w:footnoteReference w:id="389"/>
      </w:r>
      <w:r>
        <w:rPr>
          <w:rFonts w:ascii="IRNazanin" w:hAnsi="IRNazanin" w:eastAsia="IRNazanin"/>
          <w:color w:val="111111"/>
          <w:sz w:val="28"/>
          <w:sz w:val="28"/>
          <w:szCs w:val="28"/>
          <w:rtl w:val="true"/>
          <w:lang w:bidi="fa-IR"/>
        </w:rPr>
        <w:t>فهو، و إلاّ ففی استفادة المفهوم منه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احتمال کونه مسوقا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احتمال کونه مسوقا لتحکیم الحکم فی المستثنی منه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الصرفیّون إلاّ النحویّون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کونه موجبا لإثبات مجیئهم، و کونه مفیدا لتأکید عدم مجی‌ء الصرفیّین، بدعوی أنّه لو کان یمکن الاستثناء لاستثنیت من الصرفیّین، 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الصرفیّین ما جاء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یورث امتناع عدم المستثنی منه عن التخصیص، و یصیر من العمومات الآبیة عنه، و ستأتی زیادة توضیح حوله فی بحوث العمومات و الألفاظ الدالّة علی</w:t>
      </w:r>
      <w:bookmarkStart w:id="319" w:name="pg13167_140874"/>
    </w:p>
    <w:p>
      <w:pPr>
        <w:pStyle w:val="BookText"/>
        <w:rPr/>
      </w:pPr>
      <w:bookmarkEnd w:id="319"/>
      <w:r>
        <w:rPr>
          <w:rFonts w:ascii="IRNazanin" w:hAnsi="IRNazanin" w:eastAsia="IRNazanin"/>
          <w:color w:val="111111"/>
          <w:sz w:val="28"/>
          <w:sz w:val="28"/>
          <w:szCs w:val="28"/>
          <w:rtl w:val="true"/>
          <w:lang w:bidi="fa-IR"/>
        </w:rPr>
        <w:t>العموم،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احتمال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المواقف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لرجوعه إلی قید الموضوع و وصفه،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وجه استفادة المفهوم من الاستثناء المتّصل، هو أنّه کان بحیث إذا لم یذکر یکون المستثنی مندرجا فی المستثنی منه حکما</w:t>
      </w:r>
      <w:r>
        <w:rPr>
          <w:rStyle w:val="FootnoteAnchor"/>
          <w:rtl w:val="true"/>
        </w:rPr>
        <w:footnoteReference w:id="390"/>
      </w:r>
      <w:r>
        <w:rPr>
          <w:rFonts w:ascii="Amiri" w:hAnsi="Amiri" w:eastAsia="Amiri" w:cs="Amiri"/>
          <w:color w:val="111111"/>
          <w:sz w:val="28"/>
          <w:sz w:val="28"/>
          <w:szCs w:val="28"/>
          <w:rtl w:val="true"/>
          <w:lang w:bidi="ar-SA"/>
        </w:rPr>
        <w:t>، و هذا لیس یأتی فی المنقطع بالضرورة، فإفادة الحکم المخالف محتاج إلی القرینة الأخری غیر نفس الاستثناء،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مِنْکُمْ </w:t>
      </w:r>
      <w:r>
        <w:rPr>
          <w:rStyle w:val="FootnoteAnchor"/>
          <w:rtl w:val="true"/>
        </w:rPr>
        <w:footnoteReference w:id="391"/>
      </w:r>
      <w:r>
        <w:rPr>
          <w:rFonts w:ascii="IRNazanin" w:hAnsi="IRNazanin" w:eastAsia="IRNazanin"/>
          <w:color w:val="111111"/>
          <w:sz w:val="28"/>
          <w:sz w:val="28"/>
          <w:szCs w:val="28"/>
          <w:rtl w:val="true"/>
          <w:lang w:bidi="fa-IR"/>
        </w:rPr>
        <w:t>فإنّه ربّما یستفاد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تحکیم امتناع المستثنی منه عن قبول الاستثناء و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الأکل ثابت للمستثنی أیضا بالضرورة، و لکنّه لیس مستندا إلی کلمة الاستثناء بناء علی الانقطاع، فلیتدبّر جیّدا</w:t>
      </w:r>
      <w:r>
        <w:rPr>
          <w:rFonts w:eastAsia="IRNazanin" w:cs="IRNazanin"/>
          <w:color w:val="111111"/>
          <w:sz w:val="28"/>
          <w:szCs w:val="28"/>
          <w:rtl w:val="true"/>
          <w:lang w:bidi="fa-IR"/>
        </w:rPr>
        <w:t>.</w:t>
      </w:r>
    </w:p>
    <w:p>
      <w:pPr>
        <w:pStyle w:val="Heading5"/>
        <w:numPr>
          <w:ilvl w:val="4"/>
          <w:numId w:val="1"/>
        </w:numPr>
        <w:rPr/>
      </w:pPr>
      <w:bookmarkStart w:id="320" w:name="__RefHeading___Toc559554_3244359995"/>
      <w:bookmarkStart w:id="321" w:name="_Toc120"/>
      <w:bookmarkEnd w:id="320"/>
      <w:r>
        <w:rPr>
          <w:rtl w:val="true"/>
        </w:rPr>
        <w:t>ثانیتها</w:t>
      </w:r>
      <w:r>
        <w:rPr>
          <w:rtl w:val="true"/>
        </w:rPr>
        <w:t xml:space="preserve">: </w:t>
      </w:r>
      <w:r>
        <w:rPr>
          <w:rtl w:val="true"/>
        </w:rPr>
        <w:t xml:space="preserve">الجملة المشتملة علی کلمة </w:t>
      </w:r>
      <w:r>
        <w:rPr>
          <w:rtl w:val="true"/>
        </w:rPr>
        <w:t>«</w:t>
      </w:r>
      <w:r>
        <w:rPr>
          <w:rtl w:val="true"/>
        </w:rPr>
        <w:t>إنّما</w:t>
      </w:r>
      <w:r>
        <w:rPr>
          <w:rtl w:val="true"/>
        </w:rPr>
        <w:t>»</w:t>
      </w:r>
      <w:bookmarkEnd w:id="321"/>
    </w:p>
    <w:p>
      <w:pPr>
        <w:pStyle w:val="Heading6"/>
        <w:numPr>
          <w:ilvl w:val="5"/>
          <w:numId w:val="1"/>
        </w:numPr>
        <w:rPr/>
      </w:pPr>
      <w:bookmarkStart w:id="322" w:name="__RefHeading___Toc559556_3244359995"/>
      <w:bookmarkStart w:id="323" w:name="_Toc121"/>
      <w:bookmarkEnd w:id="322"/>
      <w:r>
        <w:rPr>
          <w:rtl w:val="true"/>
        </w:rPr>
        <w:t>اشارة</w:t>
      </w:r>
      <w:bookmarkEnd w:id="32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فالمشهور بین اللغویّین و النحاة إلی العصر الأخیر، أنّها لا تفید الحصر</w:t>
      </w:r>
      <w:r>
        <w:rPr>
          <w:rStyle w:val="FootnoteAnchor"/>
          <w:rtl w:val="true"/>
        </w:rPr>
        <w:footnoteReference w:id="392"/>
      </w:r>
      <w:r>
        <w:rPr>
          <w:rFonts w:ascii="IRNazanin" w:hAnsi="IRNazanin" w:eastAsia="IRNazanin"/>
          <w:color w:val="111111"/>
          <w:sz w:val="28"/>
          <w:sz w:val="28"/>
          <w:szCs w:val="28"/>
          <w:rtl w:val="true"/>
          <w:lang w:bidi="fa-IR"/>
        </w:rPr>
        <w:t xml:space="preserve">، و نسب </w:t>
      </w:r>
      <w:r>
        <w:rPr>
          <w:rStyle w:val="FootnoteAnchor"/>
          <w:rtl w:val="true"/>
        </w:rPr>
        <w:footnoteReference w:id="393"/>
      </w:r>
      <w:r>
        <w:rPr>
          <w:rFonts w:ascii="IRNazanin" w:hAnsi="IRNazanin" w:eastAsia="IRNazanin"/>
          <w:color w:val="111111"/>
          <w:sz w:val="28"/>
          <w:sz w:val="28"/>
          <w:szCs w:val="28"/>
          <w:rtl w:val="true"/>
          <w:lang w:bidi="fa-IR"/>
        </w:rPr>
        <w:t xml:space="preserve">إلی بعض المتأخّرین من النحویّین </w:t>
      </w:r>
      <w:r>
        <w:rPr>
          <w:rStyle w:val="FootnoteAnchor"/>
          <w:rtl w:val="true"/>
        </w:rPr>
        <w:footnoteReference w:id="394"/>
      </w:r>
      <w:r>
        <w:rPr>
          <w:rFonts w:ascii="IRNazanin" w:hAnsi="IRNazanin" w:eastAsia="IRNazanin"/>
          <w:color w:val="111111"/>
          <w:sz w:val="28"/>
          <w:sz w:val="28"/>
          <w:szCs w:val="28"/>
          <w:rtl w:val="true"/>
          <w:lang w:bidi="fa-IR"/>
        </w:rPr>
        <w:t xml:space="preserve">و جماعة من الأصولیّین </w:t>
      </w:r>
      <w:r>
        <w:rPr>
          <w:rStyle w:val="FootnoteAnchor"/>
          <w:rtl w:val="true"/>
        </w:rPr>
        <w:footnoteReference w:id="395"/>
      </w:r>
      <w:r>
        <w:rPr>
          <w:rFonts w:ascii="IRNazanin" w:hAnsi="IRNazanin" w:eastAsia="IRNazanin"/>
          <w:color w:val="111111"/>
          <w:sz w:val="28"/>
          <w:sz w:val="28"/>
          <w:szCs w:val="28"/>
          <w:rtl w:val="true"/>
          <w:lang w:bidi="fa-IR"/>
        </w:rPr>
        <w:t>أنّها للحصر، و اختلفوا فیها فی جهتین</w:t>
      </w:r>
      <w:r>
        <w:rPr>
          <w:rFonts w:eastAsia="IRNazanin" w:cs="IRNazanin"/>
          <w:color w:val="111111"/>
          <w:sz w:val="28"/>
          <w:szCs w:val="28"/>
          <w:rtl w:val="true"/>
          <w:lang w:bidi="fa-IR"/>
        </w:rPr>
        <w:t>:</w:t>
      </w:r>
      <w:bookmarkStart w:id="324" w:name="pg13167_140875"/>
    </w:p>
    <w:p>
      <w:pPr>
        <w:pStyle w:val="Heading6"/>
        <w:numPr>
          <w:ilvl w:val="5"/>
          <w:numId w:val="1"/>
        </w:numPr>
        <w:rPr/>
      </w:pPr>
      <w:bookmarkStart w:id="325" w:name="__RefHeading___Toc559558_3244359995"/>
      <w:bookmarkStart w:id="326" w:name="_Toc122"/>
      <w:bookmarkEnd w:id="324"/>
      <w:bookmarkEnd w:id="325"/>
      <w:r>
        <w:rPr>
          <w:rtl w:val="true"/>
        </w:rPr>
        <w:t>الجهة الأولی</w:t>
      </w:r>
      <w:r>
        <w:rPr>
          <w:rtl w:val="true"/>
        </w:rPr>
        <w:t xml:space="preserve">: </w:t>
      </w:r>
      <w:r>
        <w:rPr>
          <w:rtl w:val="true"/>
        </w:rPr>
        <w:t>فی أنّها بسیطة أم مرکّبة</w:t>
      </w:r>
      <w:bookmarkEnd w:id="326"/>
    </w:p>
    <w:p>
      <w:pPr>
        <w:pStyle w:val="BookText"/>
        <w:rPr/>
      </w:pPr>
      <w:r>
        <w:rPr>
          <w:rFonts w:ascii="IRNazanin" w:hAnsi="IRNazanin" w:eastAsia="IRNazanin"/>
          <w:color w:val="111111"/>
          <w:sz w:val="28"/>
          <w:sz w:val="28"/>
          <w:szCs w:val="28"/>
          <w:rtl w:val="true"/>
          <w:lang w:bidi="fa-IR"/>
        </w:rPr>
        <w:t>فالذی هو المفروغ عنه بین النحاة</w:t>
      </w:r>
      <w:r>
        <w:rPr>
          <w:rStyle w:val="FootnoteAnchor"/>
          <w:rtl w:val="true"/>
        </w:rPr>
        <w:footnoteReference w:id="396"/>
      </w:r>
      <w:r>
        <w:rPr>
          <w:rFonts w:ascii="Amiri" w:hAnsi="Amiri" w:eastAsia="Amiri" w:cs="Amiri"/>
          <w:color w:val="111111"/>
          <w:sz w:val="28"/>
          <w:sz w:val="28"/>
          <w:szCs w:val="28"/>
          <w:rtl w:val="true"/>
          <w:lang w:bidi="ar-SA"/>
        </w:rPr>
        <w:t xml:space="preserve">و اللغویّین </w:t>
      </w:r>
      <w:r>
        <w:rPr>
          <w:rStyle w:val="FootnoteAnchor"/>
          <w:rtl w:val="true"/>
        </w:rPr>
        <w:footnoteReference w:id="397"/>
      </w:r>
      <w:r>
        <w:rPr>
          <w:rFonts w:ascii="IRNazanin" w:hAnsi="IRNazanin" w:eastAsia="IRNazanin"/>
          <w:color w:val="111111"/>
          <w:sz w:val="28"/>
          <w:sz w:val="28"/>
          <w:szCs w:val="28"/>
          <w:rtl w:val="true"/>
          <w:lang w:bidi="fa-IR"/>
        </w:rPr>
        <w:t xml:space="preserve">هو الترکّب، و لأجل ذلک لم یذکروها فی اللغة إلاّ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لکفّها عن العمل، و تکون 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إفادتها الحصر، و لا تفید إلاّ 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ألفاظ المتأخّرین من النحویّین و بعض أهل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للحصر، و کونها مرکّبة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دخل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للإثبات فأفادت الحصر، قول رکیک فاسد صادر عن غیر عارف بالنحو</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بسیطة بحسب الوضع، و إرجاع الکلمات البسیطة إلی المرکّبات أمر ذوقیّ لیس من الواقعیّات، فیکون وضعها شخصیّا لا نوعیّا، و تخصّ بالوضع الخاصّ، بخلاف سائر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فما اشتهر بینهم من الترکیب بمعنی عدم اختصاص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أمثالهما بالوضع، فی غیر محلّه، و المسألة من هذه الجهة واضحة عند أهلها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تعرّض اللغویّین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یشهد علی عدم إفادتها الحصر أحیانا، و لکنّه لا یشهد علی بساطتها بحسب أصل اللغة، فافهم و 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یسقط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و غیره </w:t>
      </w:r>
      <w:r>
        <w:rPr>
          <w:rStyle w:val="FootnoteAnchor"/>
          <w:rtl w:val="true"/>
        </w:rPr>
        <w:footnoteReference w:id="400"/>
      </w:r>
      <w:r>
        <w:rPr>
          <w:rFonts w:ascii="IRNazanin" w:hAnsi="IRNazanin" w:eastAsia="IRNazanin"/>
          <w:color w:val="111111"/>
          <w:sz w:val="28"/>
          <w:sz w:val="28"/>
          <w:szCs w:val="28"/>
          <w:rtl w:val="true"/>
          <w:lang w:bidi="fa-IR"/>
        </w:rPr>
        <w:t>من التمسّک بتصریح أهل اللغة بذلک کما لا یخفی</w:t>
      </w:r>
      <w:r>
        <w:rPr>
          <w:rFonts w:eastAsia="IRNazanin" w:cs="IRNazanin"/>
          <w:color w:val="111111"/>
          <w:sz w:val="28"/>
          <w:szCs w:val="28"/>
          <w:rtl w:val="true"/>
          <w:lang w:bidi="fa-IR"/>
        </w:rPr>
        <w:t>.</w:t>
      </w:r>
      <w:bookmarkStart w:id="327" w:name="pg13167_140876"/>
    </w:p>
    <w:p>
      <w:pPr>
        <w:pStyle w:val="Heading6"/>
        <w:numPr>
          <w:ilvl w:val="5"/>
          <w:numId w:val="1"/>
        </w:numPr>
        <w:rPr/>
      </w:pPr>
      <w:bookmarkStart w:id="328" w:name="__RefHeading___Toc559560_3244359995"/>
      <w:bookmarkStart w:id="329" w:name="_Toc123"/>
      <w:bookmarkEnd w:id="327"/>
      <w:bookmarkEnd w:id="328"/>
      <w:r>
        <w:rPr>
          <w:rtl w:val="true"/>
        </w:rPr>
        <w:t>الجهة الثانیة</w:t>
      </w:r>
      <w:r>
        <w:rPr>
          <w:rtl w:val="true"/>
        </w:rPr>
        <w:t xml:space="preserve">: </w:t>
      </w:r>
      <w:r>
        <w:rPr>
          <w:rtl w:val="true"/>
        </w:rPr>
        <w:t>فی أنّها هل تفید الحصر، أم لا؟</w:t>
      </w:r>
      <w:bookmarkEnd w:id="329"/>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أنّها هل تفید الحصر</w:t>
      </w:r>
      <w:r>
        <w:rPr>
          <w:rStyle w:val="FootnoteAnchor"/>
          <w:rtl w:val="true"/>
        </w:rPr>
        <w:footnoteReference w:id="401"/>
      </w:r>
      <w:r>
        <w:rPr>
          <w:rFonts w:ascii="IRNazanin" w:hAnsi="IRNazanin" w:eastAsia="IRNazanin"/>
          <w:color w:val="111111"/>
          <w:sz w:val="28"/>
          <w:sz w:val="28"/>
          <w:szCs w:val="28"/>
          <w:rtl w:val="true"/>
          <w:lang w:bidi="fa-IR"/>
        </w:rPr>
        <w:t>، أم لا</w:t>
      </w:r>
      <w:r>
        <w:rPr>
          <w:rStyle w:val="FootnoteAnchor"/>
          <w:rtl w:val="true"/>
        </w:rPr>
        <w:footnoteReference w:id="4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یفصّل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Style w:val="FootnoteAnchor"/>
          <w:rtl w:val="true"/>
        </w:rPr>
        <w:footnoteReference w:id="403"/>
      </w:r>
      <w:r>
        <w:rPr>
          <w:rFonts w:ascii="IRNazanin" w:hAnsi="IRNazanin" w:eastAsia="IRNazanin"/>
          <w:color w:val="111111"/>
          <w:sz w:val="28"/>
          <w:sz w:val="28"/>
          <w:szCs w:val="28"/>
          <w:rtl w:val="true"/>
          <w:lang w:bidi="fa-IR"/>
        </w:rPr>
        <w:t xml:space="preserve">، أنّ یفصّل بین حصر المسند إلیه و بالعکس </w:t>
      </w:r>
      <w:r>
        <w:rPr>
          <w:rStyle w:val="FootnoteAnchor"/>
          <w:rtl w:val="true"/>
        </w:rPr>
        <w:footnoteReference w:id="404"/>
      </w:r>
      <w:r>
        <w:rPr>
          <w:rFonts w:ascii="IRNazanin" w:hAnsi="IRNazanin" w:eastAsia="IRNazanin"/>
          <w:color w:val="111111"/>
          <w:sz w:val="28"/>
          <w:sz w:val="28"/>
          <w:szCs w:val="28"/>
          <w:rtl w:val="true"/>
          <w:lang w:bidi="fa-IR"/>
        </w:rPr>
        <w:t>، فیفید الأوّل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یکتب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الأقوی الأظهر هو الوجه الثانی، و 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معهودیّتها للحصر فی کلمات السلف و الخلف إلاّ من شذّ من المتأخّرین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بالمقایسة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یظهر اشتراکهما فی المعنی، و عدم إفادتها الحصر أیضا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کثیرا ما استعملت فیما لا حصر هناک،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مَنْ یَخْشاها</w:t>
      </w:r>
      <w:r>
        <w:rPr>
          <w:rStyle w:val="FootnoteAnchor"/>
          <w:rtl w:val="true"/>
        </w:rPr>
        <w:footnoteReference w:id="40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Style w:val="FootnoteAnchor"/>
          <w:rtl w:val="true"/>
        </w:rPr>
        <w:footnoteReference w:id="40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bookmarkStart w:id="330" w:name="pg13167_140877"/>
    </w:p>
    <w:p>
      <w:pPr>
        <w:pStyle w:val="BookText"/>
        <w:rPr/>
      </w:pPr>
      <w:bookmarkEnd w:id="330"/>
      <w:r>
        <w:rPr>
          <w:rFonts w:ascii="Amiri" w:hAnsi="Amiri" w:eastAsia="Amiri" w:cs="Amiri"/>
          <w:color w:val="111111"/>
          <w:sz w:val="28"/>
          <w:sz w:val="28"/>
          <w:szCs w:val="28"/>
          <w:rtl w:val="true"/>
          <w:lang w:bidi="ar-SA"/>
        </w:rPr>
        <w:t xml:space="preserve">الْخَمْرُ وَ الْمَیْسِرُ وَ الْأَنْصابُ وَ الْأَزْلامُ رِجْسٌ مِنْ عَمَلِ الشَّیْطانِ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إمکان کون بعض منها من حصر المسند إلیه فی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کالأولی و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 فإنّ الرجوع إلی موارد استعمالها یعطی عدم دلالتها إلاّ علی أنّ الحکم مبنیّ علی التأکید، و قد ورد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القمار</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مع أنّ إفادة الحصر تضرّ باستدلال القوم بها، و لا یمکن الالتزام بالتخصیص، کما لا یخفی</w:t>
      </w:r>
      <w:r>
        <w:rPr>
          <w:rFonts w:eastAsia="IRNazanin" w:cs="IRNazanin"/>
          <w:color w:val="111111"/>
          <w:sz w:val="28"/>
          <w:szCs w:val="28"/>
          <w:rtl w:val="true"/>
          <w:lang w:bidi="fa-IR"/>
        </w:rPr>
        <w:t>.</w:t>
      </w:r>
    </w:p>
    <w:p>
      <w:pPr>
        <w:pStyle w:val="Heading6"/>
        <w:numPr>
          <w:ilvl w:val="5"/>
          <w:numId w:val="1"/>
        </w:numPr>
        <w:rPr/>
      </w:pPr>
      <w:bookmarkStart w:id="331" w:name="__RefHeading___Toc559562_3244359995"/>
      <w:bookmarkStart w:id="332" w:name="_Toc124"/>
      <w:bookmarkEnd w:id="331"/>
      <w:r>
        <w:rPr>
          <w:rtl w:val="true"/>
        </w:rPr>
        <w:t>تنبیه</w:t>
      </w:r>
      <w:bookmarkEnd w:id="332"/>
    </w:p>
    <w:p>
      <w:pPr>
        <w:pStyle w:val="BookText"/>
        <w:rPr/>
      </w:pPr>
      <w:r>
        <w:rPr>
          <w:rFonts w:ascii="IRNazanin" w:hAnsi="IRNazanin" w:eastAsia="IRNazanin"/>
          <w:color w:val="111111"/>
          <w:sz w:val="28"/>
          <w:sz w:val="28"/>
          <w:szCs w:val="28"/>
          <w:rtl w:val="true"/>
          <w:lang w:bidi="fa-IR"/>
        </w:rPr>
        <w:t xml:space="preserve">ربّما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العلاّمة قدس سرُّه عدم إمکان السبیل إلی معرفة إفادتها الحصر، لعدم المرادف لها فیما عندنا من اللغة، و علیه فلا بدّ من التشبّث بالنقل القطعیّ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الإشکال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قضیّة ذلک هو الدور، لأنّ الاطلاع علی المرادف موقوف أیضا علیه </w:t>
      </w:r>
      <w:r>
        <w:rPr>
          <w:rStyle w:val="FootnoteAnchor"/>
          <w:rtl w:val="true"/>
        </w:rPr>
        <w:footnoteReference w:id="414"/>
      </w:r>
      <w:r>
        <w:rPr>
          <w:rFonts w:ascii="IRNazanin" w:hAnsi="IRNazanin" w:eastAsia="IRNazanin"/>
          <w:color w:val="111111"/>
          <w:sz w:val="28"/>
          <w:sz w:val="28"/>
          <w:szCs w:val="28"/>
          <w:rtl w:val="true"/>
          <w:lang w:bidi="fa-IR"/>
        </w:rPr>
        <w:t xml:space="preserve">، مندفع بما تحرّر فی محلّه </w:t>
      </w:r>
      <w:r>
        <w:rPr>
          <w:rStyle w:val="FootnoteAnchor"/>
          <w:rtl w:val="true"/>
        </w:rPr>
        <w:footnoteReference w:id="415"/>
      </w:r>
      <w:r>
        <w:rPr>
          <w:rFonts w:ascii="IRNazanin" w:hAnsi="IRNazanin" w:eastAsia="IRNazanin"/>
          <w:color w:val="111111"/>
          <w:sz w:val="28"/>
          <w:sz w:val="28"/>
          <w:szCs w:val="28"/>
          <w:rtl w:val="true"/>
          <w:lang w:bidi="fa-IR"/>
        </w:rPr>
        <w:t>، فإنّ الاستعمالات المختلفة هنا تضرّ باستکشاف المقصود و المعنی، کما لا یخفی، فتأمّل جیّدا</w:t>
      </w:r>
      <w:r>
        <w:rPr>
          <w:rFonts w:eastAsia="IRNazanin" w:cs="IRNazanin"/>
          <w:color w:val="111111"/>
          <w:sz w:val="28"/>
          <w:szCs w:val="28"/>
          <w:rtl w:val="true"/>
          <w:lang w:bidi="fa-IR"/>
        </w:rPr>
        <w:t>.</w:t>
      </w:r>
    </w:p>
    <w:p>
      <w:pPr>
        <w:pStyle w:val="Heading6"/>
        <w:numPr>
          <w:ilvl w:val="5"/>
          <w:numId w:val="1"/>
        </w:numPr>
        <w:rPr/>
      </w:pPr>
      <w:bookmarkStart w:id="333" w:name="__RefHeading___Toc559564_3244359995"/>
      <w:bookmarkStart w:id="334" w:name="_Toc125"/>
      <w:bookmarkEnd w:id="333"/>
      <w:r>
        <w:rPr>
          <w:rtl w:val="true"/>
        </w:rPr>
        <w:t>تذنیب</w:t>
      </w:r>
      <w:r>
        <w:rPr>
          <w:rtl w:val="true"/>
        </w:rPr>
        <w:t xml:space="preserve">: </w:t>
      </w:r>
      <w:r>
        <w:rPr>
          <w:rtl w:val="true"/>
        </w:rPr>
        <w:t xml:space="preserve">حول منشأ دلالة کلمة </w:t>
      </w:r>
      <w:r>
        <w:rPr>
          <w:rtl w:val="true"/>
        </w:rPr>
        <w:t>«</w:t>
      </w:r>
      <w:r>
        <w:rPr>
          <w:rtl w:val="true"/>
        </w:rPr>
        <w:t>إنّما</w:t>
      </w:r>
      <w:r>
        <w:rPr>
          <w:rtl w:val="true"/>
        </w:rPr>
        <w:t xml:space="preserve">» </w:t>
      </w:r>
      <w:r>
        <w:rPr>
          <w:rtl w:val="true"/>
        </w:rPr>
        <w:t>علی المفهوم</w:t>
      </w:r>
      <w:bookmarkEnd w:id="33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إفادتها الحصر فهل هی کالاستثناء فی أنّ دلالته علی المفهوم لیس</w:t>
      </w:r>
    </w:p>
    <w:p>
      <w:pPr>
        <w:pStyle w:val="BookText"/>
        <w:rPr/>
      </w:pPr>
      <w:r>
        <w:rPr>
          <w:rFonts w:ascii="IRNazanin" w:hAnsi="IRNazanin" w:eastAsia="IRNazanin"/>
          <w:color w:val="111111"/>
          <w:sz w:val="28"/>
          <w:sz w:val="28"/>
          <w:szCs w:val="28"/>
          <w:rtl w:val="true"/>
          <w:lang w:bidi="fa-IR"/>
        </w:rPr>
        <w:t xml:space="preserve">من المنطوق </w:t>
      </w:r>
      <w:r>
        <w:rPr>
          <w:rStyle w:val="FootnoteAnchor"/>
          <w:rtl w:val="true"/>
        </w:rPr>
        <w:footnoteReference w:id="416"/>
      </w:r>
      <w:r>
        <w:rPr>
          <w:rFonts w:ascii="IRNazanin" w:hAnsi="IRNazanin" w:eastAsia="IRNazanin"/>
          <w:color w:val="111111"/>
          <w:sz w:val="28"/>
          <w:sz w:val="28"/>
          <w:szCs w:val="28"/>
          <w:rtl w:val="true"/>
          <w:lang w:bidi="fa-IR"/>
        </w:rPr>
        <w:t xml:space="preserve">، أم إذا دلّت علی الحصر فدلالتها علی المفهوم بالوضع </w:t>
      </w:r>
      <w:r>
        <w:rPr>
          <w:rStyle w:val="FootnoteAnchor"/>
          <w:rtl w:val="true"/>
        </w:rPr>
        <w:footnoteReference w:id="417"/>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المهمّ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المفهوم لا یقبل التقیید و التخصیص، و ذلک للزوم المجازیّة بعد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مفیدة بالوضع للحصر، لأنّ التصرّف فی المفهوم یوجب التصرّف فی المنطوق، و تصیر النتیجة عدم کونها للحصر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الحمل علی الحصر الإضافیّ إنکار لدلالتها علی الحصر، فهذا أیضا شاهد علی أنّ مفاد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یضرّ الصائم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معناه اللغویّ حصر المضرّة فی الأربعة، فالتخصیص یوجب کون المضرّ خمسة، و هو خلاف ما دلّ 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استناد الحصر إلی مقدّمات الإطلاق </w:t>
      </w:r>
      <w:r>
        <w:rPr>
          <w:rStyle w:val="FootnoteAnchor"/>
          <w:rtl w:val="true"/>
        </w:rPr>
        <w:footnoteReference w:id="418"/>
      </w: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مفهوم الحصر أقوی المفاهیم</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فی غیر محلّه، بل مفهوم الحصر إن کان مستندا إلی الوضع فهو یخرج عن المفهومیّة، و یکون أقوی من المنطوق، لأنّ من المنطوق ما یقبل التخصیص کالعمومات، بخلافه، لدلالة أداته علی حصر الحکم بالمذکور فی القضیّة، و التقیید خروج عمّا وضعت له، و إن کان مستندا إلی مقدّمات الإطلاق فهو و غیره سیّان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ذکرناه فی مفهوم الاستثناء بتوهّم حلّ هذه المشکلة هناک </w:t>
      </w:r>
      <w:r>
        <w:rPr>
          <w:rStyle w:val="FootnoteAnchor"/>
          <w:rtl w:val="true"/>
        </w:rPr>
        <w:footnoteReference w:id="420"/>
      </w:r>
      <w:r>
        <w:rPr>
          <w:rFonts w:ascii="IRNazanin" w:hAnsi="IRNazanin" w:eastAsia="IRNazanin"/>
          <w:color w:val="111111"/>
          <w:sz w:val="28"/>
          <w:sz w:val="28"/>
          <w:szCs w:val="28"/>
          <w:rtl w:val="true"/>
          <w:lang w:bidi="fa-IR"/>
        </w:rPr>
        <w:t>، غیر مرضی عندی بعد، و المسألة تحتاج إلی مزید تأمّل و تدبّر</w:t>
      </w:r>
      <w:r>
        <w:rPr>
          <w:rFonts w:eastAsia="IRNazanin" w:cs="IRNazanin"/>
          <w:color w:val="111111"/>
          <w:sz w:val="28"/>
          <w:szCs w:val="28"/>
          <w:rtl w:val="true"/>
          <w:lang w:bidi="fa-IR"/>
        </w:rPr>
        <w:t>.</w:t>
      </w:r>
      <w:bookmarkStart w:id="335" w:name="pg13167_140879"/>
    </w:p>
    <w:p>
      <w:pPr>
        <w:pStyle w:val="Heading6"/>
        <w:numPr>
          <w:ilvl w:val="5"/>
          <w:numId w:val="1"/>
        </w:numPr>
        <w:rPr/>
      </w:pPr>
      <w:bookmarkStart w:id="336" w:name="__RefHeading___Toc559566_3244359995"/>
      <w:bookmarkStart w:id="337" w:name="_Toc126"/>
      <w:bookmarkEnd w:id="335"/>
      <w:bookmarkEnd w:id="336"/>
      <w:r>
        <w:rPr>
          <w:rtl w:val="true"/>
        </w:rPr>
        <w:t>إیقاظ</w:t>
      </w:r>
      <w:r>
        <w:rPr>
          <w:rtl w:val="true"/>
        </w:rPr>
        <w:t xml:space="preserve">: </w:t>
      </w:r>
      <w:r>
        <w:rPr>
          <w:rtl w:val="true"/>
        </w:rPr>
        <w:t xml:space="preserve">فی عدم دلالة </w:t>
      </w:r>
      <w:r>
        <w:rPr>
          <w:rtl w:val="true"/>
        </w:rPr>
        <w:t>«</w:t>
      </w:r>
      <w:r>
        <w:rPr>
          <w:rtl w:val="true"/>
        </w:rPr>
        <w:t>إنّما</w:t>
      </w:r>
      <w:r>
        <w:rPr>
          <w:rtl w:val="true"/>
        </w:rPr>
        <w:t xml:space="preserve">» </w:t>
      </w:r>
      <w:r>
        <w:rPr>
          <w:rtl w:val="true"/>
        </w:rPr>
        <w:t>علی الحصر عند دخولها علی الفعلین</w:t>
      </w:r>
      <w:bookmarkEnd w:id="337"/>
    </w:p>
    <w:p>
      <w:pPr>
        <w:pStyle w:val="BookText"/>
        <w:rPr/>
      </w:pPr>
      <w:r>
        <w:rPr>
          <w:rFonts w:ascii="Amiri" w:hAnsi="Amiri" w:eastAsia="Amiri" w:cs="Amiri"/>
          <w:color w:val="111111"/>
          <w:sz w:val="28"/>
          <w:sz w:val="28"/>
          <w:szCs w:val="28"/>
          <w:rtl w:val="true"/>
          <w:lang w:bidi="ar-SA"/>
        </w:rPr>
        <w:t xml:space="preserve">ربّما تدخل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الفعلین،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لِیُعَذِّبَهُمْ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یُرِیدُ اللَّهُ أَنْ یُعَذِّبَهُمْ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معنی لإفادتها الحصر فی هذه المواقف کما تری، فالإنصاف أنّ ما علیه الأصولیّون المتأخّرون </w:t>
      </w:r>
      <w:r>
        <w:rPr>
          <w:rStyle w:val="FootnoteAnchor"/>
          <w:rtl w:val="true"/>
        </w:rPr>
        <w:footnoteReference w:id="424"/>
      </w:r>
      <w:r>
        <w:rPr>
          <w:rFonts w:ascii="Amiri" w:hAnsi="Amiri" w:eastAsia="Amiri" w:cs="Amiri"/>
          <w:color w:val="111111"/>
          <w:sz w:val="28"/>
          <w:sz w:val="28"/>
          <w:szCs w:val="28"/>
          <w:rtl w:val="true"/>
          <w:lang w:bidi="ar-SA"/>
        </w:rPr>
        <w:t>، فی غایة السقوط جدّاً</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559568_3244359995"/>
      <w:bookmarkStart w:id="339" w:name="_Toc127"/>
      <w:bookmarkEnd w:id="338"/>
      <w:r>
        <w:rPr>
          <w:rtl w:val="true"/>
        </w:rPr>
        <w:t>إفادة</w:t>
      </w:r>
      <w:bookmarkEnd w:id="339"/>
    </w:p>
    <w:p>
      <w:pPr>
        <w:pStyle w:val="BookText"/>
        <w:rPr/>
      </w:pPr>
      <w:r>
        <w:rPr>
          <w:rFonts w:ascii="IRNazanin" w:hAnsi="IRNazanin" w:eastAsia="IRNazanin"/>
          <w:color w:val="111111"/>
          <w:sz w:val="28"/>
          <w:sz w:val="28"/>
          <w:szCs w:val="28"/>
          <w:rtl w:val="true"/>
          <w:lang w:bidi="fa-IR"/>
        </w:rPr>
        <w:t xml:space="preserve">بناء علی إفادتها حصر المسند فی المسند إلیه، فلازمه انتفاء سنخ الحکم عن سائر المسانید إلیها، و إذا أفادت حصر المسند إلیه فی المسند فهو و إن یفید المفهوم أیضا، إلاّ أنّه لیس من المفهوم الاصطلاحیّ کما عرفت فیما سبق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یحرم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أفید انحصار الشرب المحرّم بالخمر، فیلزم انتفاء الحرمة عن سائر الموضوعات، و إن أفید أنّ الخمر لا شأن لها إلاّ الشرب، فلازمه عدم حرمة بیعها، و الصلح علیها، و اقتنائها، و غیر ذلک</w:t>
      </w:r>
      <w:r>
        <w:rPr>
          <w:rFonts w:eastAsia="IRNazanin" w:cs="IRNazanin"/>
          <w:color w:val="111111"/>
          <w:sz w:val="28"/>
          <w:szCs w:val="28"/>
          <w:rtl w:val="true"/>
          <w:lang w:bidi="fa-IR"/>
        </w:rPr>
        <w:t>.</w:t>
      </w:r>
      <w:bookmarkStart w:id="340" w:name="pg13167_140880"/>
    </w:p>
    <w:p>
      <w:pPr>
        <w:pStyle w:val="BookText"/>
        <w:rPr/>
      </w:pPr>
      <w:bookmarkEnd w:id="340"/>
      <w:r>
        <w:rPr>
          <w:rFonts w:ascii="Amiri" w:hAnsi="Amiri" w:eastAsia="Amiri" w:cs="Amiri"/>
          <w:color w:val="111111"/>
          <w:sz w:val="28"/>
          <w:sz w:val="28"/>
          <w:szCs w:val="28"/>
          <w:rtl w:val="true"/>
          <w:lang w:bidi="ar-SA"/>
        </w:rPr>
        <w:t xml:space="preserve">و ما تعرّض له الأصحاب رحمهم اللَّه </w:t>
      </w:r>
      <w:r>
        <w:rPr>
          <w:rStyle w:val="FootnoteAnchor"/>
          <w:rtl w:val="true"/>
        </w:rPr>
        <w:footnoteReference w:id="426"/>
      </w:r>
      <w:r>
        <w:rPr>
          <w:rFonts w:ascii="Amiri" w:hAnsi="Amiri" w:eastAsia="Amiri" w:cs="Amiri"/>
          <w:color w:val="111111"/>
          <w:sz w:val="28"/>
          <w:sz w:val="28"/>
          <w:szCs w:val="28"/>
          <w:rtl w:val="true"/>
          <w:lang w:bidi="ar-SA"/>
        </w:rPr>
        <w:t xml:space="preserve">هو الأوّل، مع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للحصر فهی أعمّ من ذلک، کما تحرّر فی محلّه، فتدبّر جیّدا</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559570_3244359995"/>
      <w:bookmarkStart w:id="342" w:name="_Toc128"/>
      <w:bookmarkEnd w:id="341"/>
      <w:r>
        <w:rPr>
          <w:rtl w:val="true"/>
        </w:rPr>
        <w:t>و ثالثتها</w:t>
      </w:r>
      <w:r>
        <w:rPr>
          <w:rtl w:val="true"/>
        </w:rPr>
        <w:t xml:space="preserve">: </w:t>
      </w:r>
      <w:r>
        <w:rPr>
          <w:rtl w:val="true"/>
        </w:rPr>
        <w:t xml:space="preserve">الجملات المشتملة علی </w:t>
      </w:r>
      <w:r>
        <w:rPr>
          <w:rtl w:val="true"/>
        </w:rPr>
        <w:t>«</w:t>
      </w:r>
      <w:r>
        <w:rPr>
          <w:rtl w:val="true"/>
        </w:rPr>
        <w:t>بل</w:t>
      </w:r>
      <w:r>
        <w:rPr>
          <w:rtl w:val="true"/>
        </w:rPr>
        <w:t xml:space="preserve">» </w:t>
      </w:r>
      <w:r>
        <w:rPr>
          <w:rtl w:val="true"/>
        </w:rPr>
        <w:t xml:space="preserve">الإضرابیّة، و </w:t>
      </w:r>
      <w:r>
        <w:rPr>
          <w:rtl w:val="true"/>
        </w:rPr>
        <w:t>«</w:t>
      </w:r>
      <w:r>
        <w:rPr>
          <w:rtl w:val="true"/>
        </w:rPr>
        <w:t>لکن</w:t>
      </w:r>
      <w:r>
        <w:rPr>
          <w:rtl w:val="true"/>
        </w:rPr>
        <w:t xml:space="preserve">» </w:t>
      </w:r>
      <w:r>
        <w:rPr>
          <w:rtl w:val="true"/>
        </w:rPr>
        <w:t>الاستدراکیّة، و تعریف المسند، و تقدیم ما حقّه التأخیر</w:t>
      </w:r>
      <w:bookmarkEnd w:id="342"/>
    </w:p>
    <w:p>
      <w:pPr>
        <w:pStyle w:val="BookText"/>
        <w:rPr/>
      </w:pPr>
      <w:r>
        <w:rPr>
          <w:rFonts w:ascii="IRNazanin" w:hAnsi="IRNazanin" w:eastAsia="IRNazanin"/>
          <w:color w:val="111111"/>
          <w:sz w:val="28"/>
          <w:sz w:val="28"/>
          <w:szCs w:val="28"/>
          <w:rtl w:val="true"/>
          <w:lang w:bidi="fa-IR"/>
        </w:rPr>
        <w:t>فإنّها کلّها قاصرة عن إفادة الحصر، دون التأکید، و أمّا المفهوم فهو ثابت أحیانا بالضرورة، و لکنّه لیس مستندا إلی الأوضاع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أمثالها ممّا یؤکّد، تفید الحصر، لما لا معنی للتأکید إلاّ ذلک </w:t>
      </w:r>
      <w:r>
        <w:rPr>
          <w:rStyle w:val="FootnoteAnchor"/>
          <w:rtl w:val="true"/>
        </w:rPr>
        <w:footnoteReference w:id="427"/>
      </w:r>
      <w:r>
        <w:rPr>
          <w:rFonts w:ascii="IRNazanin" w:hAnsi="IRNazanin" w:eastAsia="IRNazanin"/>
          <w:color w:val="111111"/>
          <w:sz w:val="28"/>
          <w:sz w:val="28"/>
          <w:szCs w:val="28"/>
          <w:rtl w:val="true"/>
          <w:lang w:bidi="fa-IR"/>
        </w:rPr>
        <w:t>، فهو فی غیر محلّه، ضرورة أنّ التأکید لیس لإفادة المعنی الزائد، بل هو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لدفع التوهّم و الاحتمال،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لتعظیم الحکم و تعزیره، و ثالثة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لغیر ذلک ممّا یقتضیه المقام، و إنّی بعد ما تأمّلت فی موارد استعمال تلک الحروف المشار إلیها، لم یظهر لی وجه الحصر و لو کان غیر وجیه</w:t>
      </w:r>
      <w:r>
        <w:rPr>
          <w:rFonts w:eastAsia="IRNazanin" w:cs="IRNazanin"/>
          <w:color w:val="111111"/>
          <w:sz w:val="28"/>
          <w:szCs w:val="28"/>
          <w:rtl w:val="true"/>
          <w:lang w:bidi="fa-IR"/>
        </w:rPr>
        <w:t>.</w:t>
      </w:r>
      <w:bookmarkStart w:id="343" w:name="pg13167_140881"/>
    </w:p>
    <w:p>
      <w:pPr>
        <w:pStyle w:val="Heading3"/>
        <w:numPr>
          <w:ilvl w:val="2"/>
          <w:numId w:val="1"/>
        </w:numPr>
        <w:rPr/>
      </w:pPr>
      <w:bookmarkStart w:id="344" w:name="__RefHeading___Toc559572_3244359995"/>
      <w:bookmarkStart w:id="345" w:name="_Toc129"/>
      <w:bookmarkEnd w:id="343"/>
      <w:bookmarkEnd w:id="344"/>
      <w:r>
        <w:rPr>
          <w:rtl w:val="true"/>
        </w:rPr>
        <w:t>المبحث السادس مفهوم اللقب و العدد</w:t>
      </w:r>
      <w:bookmarkEnd w:id="345"/>
    </w:p>
    <w:p>
      <w:pPr>
        <w:pStyle w:val="BookText"/>
        <w:rPr/>
      </w:pPr>
      <w:r>
        <w:rPr>
          <w:rFonts w:ascii="IRNazanin" w:hAnsi="IRNazanin" w:eastAsia="IRNazanin"/>
          <w:color w:val="111111"/>
          <w:sz w:val="28"/>
          <w:sz w:val="28"/>
          <w:szCs w:val="28"/>
          <w:rtl w:val="true"/>
          <w:lang w:bidi="fa-IR"/>
        </w:rPr>
        <w:t>لا إشکال فی أنّهما بلا مفهوم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و إلاّ یلزم أن یکون لکلّ شی‌ء مفهوم، و ما کان یحتاج الأمر إلی تکثیر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ربّما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التمسّک الّذی تحرّر فیما سبق فی مفهوم الشرط بمقدّمات الإطلاق </w:t>
      </w:r>
      <w:r>
        <w:rPr>
          <w:rStyle w:val="FootnoteAnchor"/>
          <w:rtl w:val="true"/>
        </w:rPr>
        <w:footnoteReference w:id="429"/>
      </w:r>
      <w:r>
        <w:rPr>
          <w:rFonts w:ascii="IRNazanin" w:hAnsi="IRNazanin" w:eastAsia="IRNazanin"/>
          <w:color w:val="111111"/>
          <w:sz w:val="28"/>
          <w:sz w:val="28"/>
          <w:szCs w:val="28"/>
          <w:rtl w:val="true"/>
          <w:lang w:bidi="fa-IR"/>
        </w:rPr>
        <w:t>، یقتضی المفهوم هنا، ضرورة أنّ فی صورة کون اللقب موضوع الحکم أو العدد، یشکّ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تمام الموضوع، أو جزؤه، فالإطلاق ینفی الثانی، و یثبت به أنّه تمام الموضوع</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موضوعیّة شی‌ء آخر لذلک الحکم و عدمه، و قضیّة الإطلاق هنا أیضا نفی الموضوعیّة عن ذلک الشی‌ء، فتکون النتیجة نفی سنخ الحکم عن سائر الموضوعات، و ما نعنی بالمفهوم إلاّ ذلک، کما أشیر إلیه فیما سبق أیضا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هنا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المفهوم إذا کان دائرا مدار کون المنشأ شخص الحکم و سنخه، و أنّه إذا کان سنخه یثبت المفهوم، فاللقب و العدد أیضا ذوا مفهوم إمکانا کما لا یخفی،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تقریبا آخر فی خصوص مفهوم العدد، و ذلک لاحتیاج العدد إلی التمییز، مذکورا کان، أو محذوفا، فإن کان مذکورا فهو من قبیل الوصف المعتمد، و إن کان محذوفا فیلحق بالوصف غیر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بعشرة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قوّة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برجال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فیه المفهوم علی القول به فی الوصف، و إلاّ فلا، فلیتأمّل جیّدا، و الأمر سهل، فإنّی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شحذا للأذهان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أذکر وجها حتّی یستنتج منه طریق سقوط الوجوه المتمسّک بها فی محلّها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هنا وجه یختصّ به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الظاهر کون ذلک العدد تمام الموضوع، و مأخوذا بشرط لا، فتکون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علی 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مضرّة بالواجب، و ربّما تعدّ محرّمة فینتفی سنخ الحکم، و یثبت ضدّه، فافهم و اغتنم</w:t>
      </w:r>
      <w:r>
        <w:rPr>
          <w:rFonts w:eastAsia="IRNazanin" w:cs="IRNazanin"/>
          <w:color w:val="111111"/>
          <w:sz w:val="28"/>
          <w:szCs w:val="28"/>
          <w:rtl w:val="true"/>
          <w:lang w:bidi="fa-IR"/>
        </w:rPr>
        <w:t>.</w:t>
      </w:r>
      <w:bookmarkStart w:id="346" w:name="pg13167_140883"/>
    </w:p>
    <w:p>
      <w:pPr>
        <w:pStyle w:val="Heading3"/>
        <w:numPr>
          <w:ilvl w:val="2"/>
          <w:numId w:val="1"/>
        </w:numPr>
        <w:rPr/>
      </w:pPr>
      <w:bookmarkStart w:id="347" w:name="__RefHeading___Toc559574_3244359995"/>
      <w:bookmarkStart w:id="348" w:name="_Toc130"/>
      <w:bookmarkEnd w:id="346"/>
      <w:bookmarkEnd w:id="347"/>
      <w:r>
        <w:rPr>
          <w:rtl w:val="true"/>
        </w:rPr>
        <w:t>المبحث السابع فی مفهوم الموافقة</w:t>
      </w:r>
      <w:bookmarkEnd w:id="348"/>
    </w:p>
    <w:p>
      <w:pPr>
        <w:pStyle w:val="BookText"/>
        <w:rPr/>
      </w:pPr>
      <w:r>
        <w:rPr>
          <w:rFonts w:ascii="IRNazanin" w:hAnsi="IRNazanin" w:eastAsia="IRNazanin"/>
          <w:color w:val="111111"/>
          <w:sz w:val="28"/>
          <w:sz w:val="28"/>
          <w:szCs w:val="28"/>
          <w:rtl w:val="true"/>
          <w:lang w:bidi="fa-IR"/>
        </w:rPr>
        <w:t>لا إشکال عندنا فی بطلان القیاس و الاستحسان نصّا و فتوی، و أمّا مفهوم الموافقة فإن کان المستفاد من المنطوق، أنّ الکلام سیق لإفادة ذلک المفهوم، فلا شبهة فی حجّیته،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w:t>
      </w:r>
      <w:r>
        <w:rPr>
          <w:rStyle w:val="FootnoteAnchor"/>
          <w:rtl w:val="true"/>
        </w:rPr>
        <w:footnoteReference w:id="432"/>
      </w:r>
      <w:r>
        <w:rPr>
          <w:rFonts w:ascii="IRNazanin" w:hAnsi="IRNazanin" w:eastAsia="IRNazanin"/>
          <w:color w:val="111111"/>
          <w:sz w:val="28"/>
          <w:sz w:val="28"/>
          <w:szCs w:val="28"/>
          <w:rtl w:val="true"/>
          <w:lang w:bidi="fa-IR"/>
        </w:rPr>
        <w:t>فإنّ المدلول المطابقی ربّما لا یکون مقصودا بالأصالة، و إذا کان المدلول المطابقی مقصودا، و کان العرف یفهم من الدلیل ذلک، و یشعر به و ینسبه إلیه، فهو أیضا حجّة، کما فی الآیة المزبورة أیضا علی وجه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اشتهر من إلغاء الخصوصیّة</w:t>
      </w:r>
      <w:r>
        <w:rPr>
          <w:rStyle w:val="FootnoteAnchor"/>
          <w:rtl w:val="true"/>
        </w:rPr>
        <w:footnoteReference w:id="433"/>
      </w:r>
      <w:r>
        <w:rPr>
          <w:rFonts w:ascii="IRNazanin" w:hAnsi="IRNazanin" w:eastAsia="IRNazanin"/>
          <w:color w:val="111111"/>
          <w:sz w:val="28"/>
          <w:sz w:val="28"/>
          <w:szCs w:val="28"/>
          <w:rtl w:val="true"/>
          <w:lang w:bidi="fa-IR"/>
        </w:rPr>
        <w:t xml:space="preserve">، فإن کان العرف یجد أنّ الموضوع المذکور مثال فی القضیّة، کما فی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یشهد أن لا إله إلاّ اللَّه</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 فی کثیر من الموضوعات المزبورة فی الأخبار فهو، و إلاّ فربّما یقع الخلط بین إلغاء</w:t>
      </w:r>
    </w:p>
    <w:p>
      <w:pPr>
        <w:pStyle w:val="BookText"/>
        <w:rPr/>
      </w:pPr>
      <w:r>
        <w:rPr>
          <w:rFonts w:ascii="IRNazanin" w:hAnsi="IRNazanin" w:eastAsia="IRNazanin"/>
          <w:color w:val="111111"/>
          <w:sz w:val="28"/>
          <w:sz w:val="28"/>
          <w:szCs w:val="28"/>
          <w:rtl w:val="true"/>
          <w:lang w:bidi="fa-IR"/>
        </w:rPr>
        <w:t>الخصوصیّة المتعارف بین أصحابنا، و القیاس المشهور عند المخالفین، و یکون ذلک من القیاس بعد تغییر العنوان و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 آله و سلم عن بیع الغرر</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فربّما یلغون الخصوصیّة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المنهیّ هی المعاملة الغرریّة، سواء کانت بیعا، أم غیر بیع، و ربّما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الغرر منهیّ حقیقة، و لا خصوصیّة للبیع و غیره، و لکنّه بمعزل عن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کونه إلی المثال أقرب، من غیر حاجة إلی الإجماع القائم علی اشتراک المرأة معه فی الحکم، حتّی یقتصر علی القدر المتیقّن منه، أو یعلّل أصل اعتباره،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الأولویّة القطعیّة، فهی إن حصلت لأحد فهو، و إن أمکن المناقشة فی حجّیة ذلک القطع کما تحرّر منّا فی محلّه </w:t>
      </w:r>
      <w:r>
        <w:rPr>
          <w:rStyle w:val="FootnoteAnchor"/>
          <w:rtl w:val="true"/>
        </w:rPr>
        <w:footnoteReference w:id="436"/>
      </w:r>
      <w:r>
        <w:rPr>
          <w:rFonts w:ascii="IRNazanin" w:hAnsi="IRNazanin" w:eastAsia="IRNazanin"/>
          <w:color w:val="111111"/>
          <w:sz w:val="28"/>
          <w:sz w:val="28"/>
          <w:szCs w:val="28"/>
          <w:rtl w:val="true"/>
          <w:lang w:bidi="fa-IR"/>
        </w:rPr>
        <w:t>، و أنکرنا حجّیته الذاتیّة، و بیّنا علی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الإمضاء و إن لم تحصل کما هو کذلک بعد مراعاة أطراف القضیّة، و بعد التوجّه و الالتفات إلی إمکان اختفاء بعض الجهات علیه ممّا لا سبیل له إلیه، فلا یکفی غیر القطعیّة منه، لأنّه من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العلل المستنبطة، و إرجاع الکثرات و العناوین الکثیرة إلی الواحد بعد اختلاف الحکم، إلاّ مع قیام القرائن الخاصّة، مثلا لو تمّت الأولویّة القطعیّة فی مسألة حجّیة الظنّ فی الأفعال، فلنا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الشرع لمراعاة إصابة الظنّ فی الرکعات اعتبره، دون الظنّ فی الأفعال و الأذکار، و هذا و منشأه ربّما یختفی علینا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لو تمّ الاستنباط فی مسألة کثیر السفر، بأنّ موضوعه هو الکثیر الّذی</w:t>
      </w:r>
    </w:p>
    <w:p>
      <w:pPr>
        <w:pStyle w:val="BookText"/>
        <w:rPr/>
      </w:pPr>
      <w:r>
        <w:rPr>
          <w:rFonts w:ascii="IRNazanin" w:hAnsi="IRNazanin" w:eastAsia="IRNazanin"/>
          <w:color w:val="111111"/>
          <w:sz w:val="28"/>
          <w:sz w:val="28"/>
          <w:szCs w:val="28"/>
          <w:rtl w:val="true"/>
          <w:lang w:bidi="fa-IR"/>
        </w:rPr>
        <w:t>یکون حضره فی جنب سفره فانیا و معدوما، و لکنّه غیر جائز، لعدم الشاهد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مساعدة الذوق و الاستحسان، لا یکفی لإرجاع تلک العناوین الکثیرة المستثناة فی محلّها</w:t>
      </w:r>
      <w:r>
        <w:rPr>
          <w:rStyle w:val="FootnoteAnchor"/>
          <w:rtl w:val="true"/>
        </w:rPr>
        <w:footnoteReference w:id="437"/>
      </w:r>
      <w:r>
        <w:rPr>
          <w:rFonts w:ascii="IRNazanin" w:hAnsi="IRNazanin" w:eastAsia="IRNazanin"/>
          <w:color w:val="111111"/>
          <w:sz w:val="28"/>
          <w:sz w:val="28"/>
          <w:szCs w:val="28"/>
          <w:rtl w:val="true"/>
          <w:lang w:bidi="fa-IR"/>
        </w:rPr>
        <w:t>إلی عنوان واحد و إن صنعه المشهور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التشبّث بذیل إلغاء الخصوصیّة تارة، و بفهم العرف أخری، و بالأولویّة القطعیّة ثالثة، کلّه قریب من القیاس المحرّم المنهیّ بأصل الشرع، و اللَّه یعصمنا من النار، و هو الهادی إلی سواء الصراط و السبیل السویّ و المهتدی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فرغ العبد الکاتب راقم هذه الأساطیر من تسوید هذه الصحائف المبیضّة فی یوم الثلاثاء، الثالث من شهر جمادی الأولی، عام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علی مشرِّفه آلاف السلام و التحیّة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w:t>
      </w:r>
      <w:bookmarkStart w:id="349" w:name="pg13167_140887"/>
    </w:p>
    <w:p>
      <w:pPr>
        <w:pStyle w:val="Heading2"/>
        <w:numPr>
          <w:ilvl w:val="1"/>
          <w:numId w:val="1"/>
        </w:numPr>
        <w:rPr/>
      </w:pPr>
      <w:bookmarkStart w:id="350" w:name="__RefHeading___Toc559576_3244359995"/>
      <w:bookmarkStart w:id="351" w:name="_Toc131"/>
      <w:bookmarkEnd w:id="349"/>
      <w:bookmarkEnd w:id="350"/>
      <w:r>
        <w:rPr>
          <w:rtl w:val="true"/>
        </w:rPr>
        <w:t>المقصد الخامس فی العامّ و الخاصّ</w:t>
      </w:r>
      <w:bookmarkEnd w:id="35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559578_3244359995"/>
      <w:bookmarkStart w:id="353" w:name="_Toc132"/>
      <w:bookmarkEnd w:id="352"/>
      <w:r>
        <w:rPr>
          <w:rtl w:val="true"/>
        </w:rPr>
        <w:t>اشارة</w:t>
      </w:r>
      <w:bookmarkStart w:id="354" w:name="pg13167_140889"/>
      <w:bookmarkEnd w:id="353"/>
    </w:p>
    <w:p>
      <w:pPr>
        <w:pStyle w:val="Heading3"/>
        <w:numPr>
          <w:ilvl w:val="2"/>
          <w:numId w:val="1"/>
        </w:numPr>
        <w:rPr/>
      </w:pPr>
      <w:bookmarkStart w:id="355" w:name="__RefHeading___Toc559580_3244359995"/>
      <w:bookmarkStart w:id="356" w:name="_Toc133"/>
      <w:bookmarkEnd w:id="354"/>
      <w:bookmarkEnd w:id="355"/>
      <w:r>
        <w:rPr>
          <w:rtl w:val="true"/>
        </w:rPr>
        <w:t>مقدّمة</w:t>
      </w:r>
      <w:bookmarkEnd w:id="356"/>
    </w:p>
    <w:p>
      <w:pPr>
        <w:pStyle w:val="Heading4"/>
        <w:numPr>
          <w:ilvl w:val="3"/>
          <w:numId w:val="1"/>
        </w:numPr>
        <w:rPr/>
      </w:pPr>
      <w:bookmarkStart w:id="357" w:name="__RefHeading___Toc559582_3244359995"/>
      <w:bookmarkStart w:id="358" w:name="_Toc134"/>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قبل الخوض فی بحوث العامّ و الخاصّ لا بدّ من التنبیه إلی بعض جهات</w:t>
      </w:r>
      <w:r>
        <w:rPr>
          <w:rFonts w:eastAsia="IRNazanin" w:cs="IRNazanin"/>
          <w:color w:val="111111"/>
          <w:sz w:val="28"/>
          <w:szCs w:val="28"/>
          <w:rtl w:val="true"/>
          <w:lang w:bidi="fa-IR"/>
        </w:rPr>
        <w:t>:</w:t>
      </w:r>
    </w:p>
    <w:p>
      <w:pPr>
        <w:pStyle w:val="Heading4"/>
        <w:numPr>
          <w:ilvl w:val="3"/>
          <w:numId w:val="1"/>
        </w:numPr>
        <w:rPr/>
      </w:pPr>
      <w:bookmarkStart w:id="359" w:name="__RefHeading___Toc559584_3244359995"/>
      <w:bookmarkStart w:id="360" w:name="_Toc135"/>
      <w:bookmarkEnd w:id="359"/>
      <w:r>
        <w:rPr>
          <w:rtl w:val="true"/>
        </w:rPr>
        <w:t>الجهة الأولی</w:t>
      </w:r>
      <w:r>
        <w:rPr>
          <w:rtl w:val="true"/>
        </w:rPr>
        <w:t xml:space="preserve">: </w:t>
      </w:r>
      <w:r>
        <w:rPr>
          <w:rtl w:val="true"/>
        </w:rPr>
        <w:t>فی الفرق بین العامّ و الخاصّ و المطلق و المقیّد</w:t>
      </w:r>
      <w:bookmarkEnd w:id="360"/>
    </w:p>
    <w:p>
      <w:pPr>
        <w:pStyle w:val="Heading5"/>
        <w:numPr>
          <w:ilvl w:val="4"/>
          <w:numId w:val="1"/>
        </w:numPr>
        <w:rPr/>
      </w:pPr>
      <w:bookmarkStart w:id="361" w:name="__RefHeading___Toc559586_3244359995"/>
      <w:bookmarkStart w:id="362" w:name="_Toc136"/>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کان إلی زماننا البحث عن العامّ و الخاصّ من المقاصد الأصولیّة، و البحث عن الإطلاق و التقیید مقصدا آخر، و استشکل فی العصور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من واد واحد، و هما مقامان من مقصد واحد</w:t>
      </w:r>
      <w:r>
        <w:rPr>
          <w:rStyle w:val="FootnoteAnchor"/>
          <w:rtl w:val="true"/>
        </w:rPr>
        <w:footnoteReference w:id="439"/>
      </w:r>
      <w:r>
        <w:rPr>
          <w:rFonts w:ascii="IRNazanin" w:hAnsi="IRNazanin" w:eastAsia="IRNazanin"/>
          <w:color w:val="111111"/>
          <w:sz w:val="28"/>
          <w:sz w:val="28"/>
          <w:szCs w:val="28"/>
          <w:rtl w:val="true"/>
          <w:lang w:bidi="fa-IR"/>
        </w:rPr>
        <w:t>، و ذلک 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أحلّ کلّ 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یزید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تمامیّة مقدّمات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440"/>
      </w:r>
      <w:r>
        <w:rPr>
          <w:rFonts w:ascii="IRNazanin" w:hAnsi="IRNazanin" w:eastAsia="IRNazanin"/>
          <w:color w:val="111111"/>
          <w:sz w:val="28"/>
          <w:sz w:val="28"/>
          <w:szCs w:val="28"/>
          <w:rtl w:val="true"/>
          <w:lang w:bidi="fa-IR"/>
        </w:rPr>
        <w:t>بشی‌ء، فتکون مقدّمات الحکمة قائمة مقام أداة العموم فی الاستغراقیّة و البدلیّة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مقدّمات الإطلاق مورد الاحتیاج فی العمومات أیضا، و إنکار ذلک عند بعض </w:t>
      </w:r>
      <w:r>
        <w:rPr>
          <w:rStyle w:val="FootnoteAnchor"/>
          <w:rtl w:val="true"/>
        </w:rPr>
        <w:footnoteReference w:id="441"/>
      </w:r>
      <w:r>
        <w:rPr>
          <w:rFonts w:ascii="IRNazanin" w:hAnsi="IRNazanin" w:eastAsia="IRNazanin"/>
          <w:color w:val="111111"/>
          <w:sz w:val="28"/>
          <w:sz w:val="28"/>
          <w:szCs w:val="28"/>
          <w:rtl w:val="true"/>
          <w:lang w:bidi="fa-IR"/>
        </w:rPr>
        <w:t>لا یضرّ، لإمکان انعکاسه، فیکون الإطلاق غنیّا عنها، دون العموم، کما</w:t>
      </w:r>
    </w:p>
    <w:p>
      <w:pPr>
        <w:pStyle w:val="BookText"/>
        <w:rPr/>
      </w:pPr>
      <w:r>
        <w:rPr>
          <w:rFonts w:ascii="IRNazanin" w:hAnsi="IRNazanin" w:eastAsia="IRNazanin"/>
          <w:color w:val="111111"/>
          <w:sz w:val="28"/>
          <w:sz w:val="28"/>
          <w:szCs w:val="28"/>
          <w:rtl w:val="true"/>
          <w:lang w:bidi="fa-IR"/>
        </w:rPr>
        <w:t xml:space="preserve">سیظهر وجهه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راجعنا البحوث الموجودة فی هذا المقام، نجد أنّها تکفی عن المباحث فی المطلق و المقیّد، و هذا یشهد علی وحدة العامّ و المطلق بحسب الآثار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هذه المقالة، أنّ تعریف العامّ ممّا لا یترتّب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العام فی مقام المعارضة یقدّم علی المطلق، خال من الحقیقة، کما أقرّ بذلک غیرنا</w:t>
      </w:r>
      <w:r>
        <w:rPr>
          <w:rStyle w:val="FootnoteAnchor"/>
          <w:rtl w:val="true"/>
        </w:rPr>
        <w:footnoteReference w:id="443"/>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یترتّب علیه سقوط البحث عن أدوات العموم،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سلکه القوم </w:t>
      </w:r>
      <w:r>
        <w:rPr>
          <w:rStyle w:val="FootnoteAnchor"/>
          <w:rtl w:val="true"/>
        </w:rPr>
        <w:footnoteReference w:id="444"/>
      </w:r>
      <w:r>
        <w:rPr>
          <w:rFonts w:ascii="IRNazanin" w:hAnsi="IRNazanin" w:eastAsia="IRNazanin"/>
          <w:color w:val="111111"/>
          <w:sz w:val="28"/>
          <w:sz w:val="28"/>
          <w:szCs w:val="28"/>
          <w:rtl w:val="true"/>
          <w:lang w:bidi="fa-IR"/>
        </w:rPr>
        <w:t>و أطالوا الکلام حوله، ممّا لا یرجع إلی محصّل أبدا، هذا و لا سیّما البحث عن تعریفه، و الغور فی حدوده طردا و عکسا، مع احتیاجه إلی مقدّمات الحکمة فی کونه حجّة فی جمیع مصادیقه، و أمّا نفس شموله لجمیع مصادیقه وضعا فهو مثل المطلق، فإنّ نفس الطبیعة أیضا تصدق علی جمیع مصادیقها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النّظر فی تعریفه إلی إفادة الخصوصیّة الثابتة له وضعا، فهو و المطلق مشترکان فیها، و إذا أرید من التعریف بیان صحّة الاحتجاج به بالنسبة إلی جمیع الأفراد، فالأمر أیضا کذلک، لأنّهما محتاجان فی ذلک إلی المقدّمات، فلا تخلط</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النقطة الرئیسیّة فی تکثیر مقاصد الکتاب و تفکیک المسألتین، هی أنّه فی باب العمومات تکون الدلالة علی العموم وضعیّة لفظیّة، و أمّا</w:t>
      </w:r>
      <w:bookmarkStart w:id="363" w:name="pg13167_140891"/>
    </w:p>
    <w:p>
      <w:pPr>
        <w:pStyle w:val="BookText"/>
        <w:rPr/>
      </w:pPr>
      <w:bookmarkEnd w:id="363"/>
      <w:r>
        <w:rPr>
          <w:rFonts w:ascii="IRNazanin" w:hAnsi="IRNazanin" w:eastAsia="IRNazanin"/>
          <w:color w:val="111111"/>
          <w:sz w:val="28"/>
          <w:sz w:val="28"/>
          <w:szCs w:val="28"/>
          <w:rtl w:val="true"/>
          <w:lang w:bidi="fa-IR"/>
        </w:rPr>
        <w:t>فی باب المطلق تکون الدلالة عقلیّة فعلیّة، فیحتاج هناک إلی تلک المقدّمات، من غیر الحاجة هنا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تقدیر یکون الحکم فی العامّ علی الأفراد، و فی المطلق علی الطبیعة، فیحصل الفراق بینهما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هذه تفرقة جوهریّة، ضرورة أنّ التفریق الصحیح الأساس هو کون العامّ حجّة وضعیة علی عموم الحکم بالنسبة إلی جمیع الأفراد، و أمّا کونها حجّة إجمالا فهو مشترک معه المطلق أیضا قبل تمامیّة المقدّمات</w:t>
      </w:r>
      <w:r>
        <w:rPr>
          <w:rFonts w:eastAsia="IRNazanin" w:cs="IRNazanin"/>
          <w:color w:val="111111"/>
          <w:sz w:val="28"/>
          <w:szCs w:val="28"/>
          <w:rtl w:val="true"/>
          <w:lang w:bidi="fa-IR"/>
        </w:rPr>
        <w:t>.</w:t>
      </w:r>
    </w:p>
    <w:p>
      <w:pPr>
        <w:pStyle w:val="Heading5"/>
        <w:numPr>
          <w:ilvl w:val="4"/>
          <w:numId w:val="1"/>
        </w:numPr>
        <w:rPr/>
      </w:pPr>
      <w:bookmarkStart w:id="364" w:name="__RefHeading___Toc559588_3244359995"/>
      <w:bookmarkStart w:id="365" w:name="_Toc137"/>
      <w:bookmarkEnd w:id="364"/>
      <w:r>
        <w:rPr>
          <w:rtl w:val="true"/>
        </w:rPr>
        <w:t>وهم و دفع</w:t>
      </w:r>
      <w:bookmarkEnd w:id="365"/>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أداة العموم إمّا تدخل علی الطبیعة المطلقة، أو المهملة، فإن دخلت علی المطلقة فتفید العموم و الاستیعاب، إلاّ أنّه مرهون بالإطلاق، و إن دخلت علی المهملة فلا تفید إلاّ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أداة العموم لیست مورد الإخبار، و لیس المضاف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کالمضاف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هو المخبر عنه فی الأوّل هو الغلام المضاف، و فی الثانی لا یخبر عن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بل المخبر عنه هی الأفراد، فإن ثبتت مقدّمات الحکمة یسری الحکم إلی جمیع الأفراد، و إلاّ فلا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باختیار الشقّ الثانی،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للاستیعاب، و الطبیعة المهملة القابلة للصدق علی کلّ فرد تکون مورد الحکم فی کلّ فرد منها، لأجل مفاد أداة العموم، فتوهّم أنّ هذه الشبهة تورث تداخل المقصدین، فی غیر محلّه</w:t>
      </w:r>
      <w:r>
        <w:rPr>
          <w:rFonts w:eastAsia="IRNazanin" w:cs="IRNazanin"/>
          <w:color w:val="111111"/>
          <w:sz w:val="28"/>
          <w:szCs w:val="28"/>
          <w:rtl w:val="true"/>
          <w:lang w:bidi="fa-IR"/>
        </w:rPr>
        <w:t>.</w:t>
      </w:r>
      <w:bookmarkStart w:id="366" w:name="pg13167_140892"/>
    </w:p>
    <w:p>
      <w:pPr>
        <w:pStyle w:val="Heading5"/>
        <w:numPr>
          <w:ilvl w:val="4"/>
          <w:numId w:val="1"/>
        </w:numPr>
        <w:rPr/>
      </w:pPr>
      <w:bookmarkStart w:id="367" w:name="__RefHeading___Toc559590_3244359995"/>
      <w:bookmarkStart w:id="368" w:name="_Toc138"/>
      <w:bookmarkEnd w:id="366"/>
      <w:bookmarkEnd w:id="367"/>
      <w:r>
        <w:rPr>
          <w:rtl w:val="true"/>
        </w:rPr>
        <w:t>عقدة و حلّ</w:t>
      </w:r>
      <w:bookmarkEnd w:id="368"/>
    </w:p>
    <w:p>
      <w:p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مقدّمات الحکمة فی العامّ غیر ممکن، و ذلک لأنّ الحکم فی العامّ علی الأفراد فرضا و إجراء المقدّمات، یفید أنّ الطبیعة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العامّ استوعب الأفراد، فیکون الإجراء لغوا و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لأنّ الاستیعاب من خواصّ الأدوات، و الحکم متأخّر عنه، و إجراء المقدّمات متأخّر عن الحکم، فیلزم کون الإجراء متأخّرا عن الاستیعاب برتبتین، فکیف یکون متوقّفا علیه </w:t>
      </w:r>
      <w:r>
        <w:rPr>
          <w:rStyle w:val="FootnoteAnchor"/>
          <w:rtl w:val="true"/>
        </w:rPr>
        <w:footnoteReference w:id="4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یستکشف من مقدّمات الحکمة أنّ الطبیعة تمام الموضوع أحیانا، کذلک یستکشف منها أنّ زیدا بشخصه تمام الموضوع، فلا معنی للتوهّم المزبور، ضرورة أنّ نتیجة مقدّمات الحکمة فیما نحن فیه سریان الحکم فی العامّ إلی جمیع الأفراد، فلا یلزم ما ربّما یتوهّم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کلّه دعوی، ضرورة أنّ من یقول باحتیاج العمومات إلی المقدّمات، ینکر دلالة أدواته علی الاستیعاب </w:t>
      </w:r>
      <w:r>
        <w:rPr>
          <w:rStyle w:val="FootnoteAnchor"/>
          <w:rtl w:val="true"/>
        </w:rPr>
        <w:footnoteReference w:id="449"/>
      </w:r>
      <w:r>
        <w:rPr>
          <w:rFonts w:ascii="IRNazanin" w:hAnsi="IRNazanin" w:eastAsia="IRNazanin"/>
          <w:color w:val="111111"/>
          <w:sz w:val="28"/>
          <w:sz w:val="28"/>
          <w:szCs w:val="28"/>
          <w:rtl w:val="true"/>
          <w:lang w:bidi="fa-IR"/>
        </w:rPr>
        <w:t>، و إلاّ فیلزم المناقضة فی دعواه، کما لا یخفی</w:t>
      </w:r>
      <w:r>
        <w:rPr>
          <w:rFonts w:eastAsia="IRNazanin" w:cs="IRNazanin"/>
          <w:color w:val="111111"/>
          <w:sz w:val="28"/>
          <w:szCs w:val="28"/>
          <w:rtl w:val="true"/>
          <w:lang w:bidi="fa-IR"/>
        </w:rPr>
        <w:t>.</w:t>
      </w:r>
    </w:p>
    <w:p>
      <w:pPr>
        <w:pStyle w:val="Heading5"/>
        <w:numPr>
          <w:ilvl w:val="4"/>
          <w:numId w:val="1"/>
        </w:numPr>
        <w:rPr/>
      </w:pPr>
      <w:bookmarkStart w:id="369" w:name="__RefHeading___Toc559592_3244359995"/>
      <w:bookmarkStart w:id="370" w:name="_Toc139"/>
      <w:bookmarkEnd w:id="369"/>
      <w:r>
        <w:rPr>
          <w:rtl w:val="true"/>
        </w:rPr>
        <w:t>إعضال و انحلال</w:t>
      </w:r>
      <w:bookmarkEnd w:id="37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یستظهر من بعض الأعلام فی المقام، أنّ العمومات لو کانت تدلّ علی</w:t>
      </w:r>
      <w:bookmarkStart w:id="371" w:name="pg13167_140893"/>
    </w:p>
    <w:p>
      <w:pPr>
        <w:pStyle w:val="BookText"/>
        <w:rPr/>
      </w:pPr>
      <w:bookmarkEnd w:id="371"/>
      <w:r>
        <w:rPr>
          <w:rFonts w:ascii="IRNazanin" w:hAnsi="IRNazanin" w:eastAsia="IRNazanin"/>
          <w:color w:val="111111"/>
          <w:sz w:val="28"/>
          <w:sz w:val="28"/>
          <w:szCs w:val="28"/>
          <w:rtl w:val="true"/>
          <w:lang w:bidi="fa-IR"/>
        </w:rPr>
        <w:t>الاستیعاب وضعا، یلزم المجازیّة عند التخصیص،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الکثرة الإجمالیّة، بحیث إذا خصّص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استعمال الأداة فی غیر ما وضعت له، و هو استیعاب المدخول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ینحلّ بما سیجی‌ء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التخصیص لا یستلزم المجازیّة مطلقا</w:t>
      </w:r>
      <w:r>
        <w:rPr>
          <w:rStyle w:val="FootnoteAnchor"/>
          <w:rtl w:val="true"/>
        </w:rPr>
        <w:footnoteReference w:id="451"/>
      </w:r>
      <w:r>
        <w:rPr>
          <w:rFonts w:ascii="IRNazanin" w:hAnsi="IRNazanin" w:eastAsia="IRNazanin"/>
          <w:color w:val="111111"/>
          <w:sz w:val="28"/>
          <w:sz w:val="28"/>
          <w:szCs w:val="28"/>
          <w:rtl w:val="true"/>
          <w:lang w:bidi="fa-IR"/>
        </w:rPr>
        <w:t>، و ذلک لأنّه بحسب الإرادة الاستعمالیّة یکون مستعملا فیما وضع له، و إنّما قامت القرینة علی تخلّف الجدّ عن الاستعمال، کما تحرّر مرارا</w:t>
      </w:r>
      <w:r>
        <w:rPr>
          <w:rFonts w:eastAsia="IRNazanin" w:cs="IRNazanin"/>
          <w:color w:val="111111"/>
          <w:sz w:val="28"/>
          <w:szCs w:val="28"/>
          <w:rtl w:val="true"/>
          <w:lang w:bidi="fa-IR"/>
        </w:rPr>
        <w:t>.</w:t>
      </w:r>
    </w:p>
    <w:p>
      <w:pPr>
        <w:pStyle w:val="Heading5"/>
        <w:numPr>
          <w:ilvl w:val="4"/>
          <w:numId w:val="1"/>
        </w:numPr>
        <w:rPr/>
      </w:pPr>
      <w:bookmarkStart w:id="372" w:name="__RefHeading___Toc559594_3244359995"/>
      <w:bookmarkStart w:id="373" w:name="_Toc140"/>
      <w:bookmarkEnd w:id="372"/>
      <w:r>
        <w:rPr>
          <w:rtl w:val="true"/>
        </w:rPr>
        <w:t>بحث و تحصیل</w:t>
      </w:r>
      <w:r>
        <w:rPr>
          <w:rtl w:val="true"/>
        </w:rPr>
        <w:t xml:space="preserve">: </w:t>
      </w:r>
      <w:r>
        <w:rPr>
          <w:rtl w:val="true"/>
        </w:rPr>
        <w:t>حول استغناء العامّ عن مقدّمات الحکمة</w:t>
      </w:r>
      <w:bookmarkEnd w:id="373"/>
    </w:p>
    <w:p>
      <w:pPr>
        <w:pStyle w:val="BookText"/>
        <w:rPr/>
      </w:pPr>
      <w:r>
        <w:rPr>
          <w:rFonts w:ascii="IRNazanin" w:hAnsi="IRNazanin" w:eastAsia="IRNazanin"/>
          <w:color w:val="111111"/>
          <w:sz w:val="28"/>
          <w:sz w:val="28"/>
          <w:szCs w:val="28"/>
          <w:rtl w:val="true"/>
          <w:lang w:bidi="fa-IR"/>
        </w:rPr>
        <w:t xml:space="preserve">اختار السیّد الوالد المحقّق تبعا لجماعة من الأعلام رحمهم اللَّه </w:t>
      </w:r>
      <w:r>
        <w:rPr>
          <w:rStyle w:val="FootnoteAnchor"/>
          <w:rtl w:val="true"/>
        </w:rPr>
        <w:footnoteReference w:id="452"/>
      </w:r>
      <w:r>
        <w:rPr>
          <w:rFonts w:ascii="Amiri" w:hAnsi="Amiri" w:eastAsia="Amiri" w:cs="Amiri"/>
          <w:color w:val="111111"/>
          <w:sz w:val="28"/>
          <w:sz w:val="28"/>
          <w:szCs w:val="28"/>
          <w:rtl w:val="true"/>
          <w:lang w:bidi="ar-SA"/>
        </w:rPr>
        <w:t>أنّ العامّ غنیّ عن مقدّمات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غایة ما أفاده، هو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الأدوات تفید الکثرة، و الإضافة إلی الطبیعة تفید الکثرة من تلک الطبیعة، و الطبیعة تفید نفسها، لا الأمر الخارج عن حدود الموضوع له، فإذا کان الأمر کذلک فلا یستفاد الاستیعاب إلاّ من الوضع و مقتضی الدلالة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علی الحکم بالاستیعاب و الاحتجاج بالعمومات من غیر توقّف علی المقدّمات، بخلاف ما إذا کان الحکم علی الطبیعة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بالنسبة إلی حالات الأفراد و أوقاتها نحتاج إلیها، و لکنّه خارج عن دلالة العامّ علی الأفراد، ففی دلالتها علی الأفراد لا معنی لتلک المقدّمات، لأنّ الکلّ</w:t>
      </w:r>
    </w:p>
    <w:p>
      <w:pPr>
        <w:pStyle w:val="BookText"/>
        <w:rPr/>
      </w:pPr>
      <w:r>
        <w:rPr>
          <w:rFonts w:ascii="IRNazanin" w:hAnsi="IRNazanin" w:eastAsia="IRNazanin"/>
          <w:color w:val="111111"/>
          <w:sz w:val="28"/>
          <w:sz w:val="28"/>
          <w:szCs w:val="28"/>
          <w:rtl w:val="true"/>
          <w:lang w:bidi="fa-IR"/>
        </w:rPr>
        <w:t xml:space="preserve">استوعب ذلک قبله </w:t>
      </w:r>
      <w:r>
        <w:rPr>
          <w:rStyle w:val="FootnoteAnchor"/>
          <w:rtl w:val="true"/>
        </w:rPr>
        <w:footnoteReference w:id="453"/>
      </w:r>
      <w:r>
        <w:rPr>
          <w:rFonts w:ascii="IRNazanin" w:hAnsi="IRNazanin" w:eastAsia="IRNazanin"/>
          <w:color w:val="111111"/>
          <w:sz w:val="28"/>
          <w:sz w:val="28"/>
          <w:szCs w:val="28"/>
          <w:rtl w:val="true"/>
          <w:lang w:bidi="fa-IR"/>
        </w:rPr>
        <w:t>، انتهی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التقریب المزبور یحتاج إلی التکمیل، و ذلک لعدم اقتضاء إضافة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الطبیعة فردها و مصداقها، لأنّ المضاف إلیه هی الطبیعة المجرّدة من أیّة دلالة علی الفرد فرضا،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إلی هذه الطبیعة لا یفید إلاّ کثرتها، و یلزم عندئذ کون الکلام غلطا، لما لا کثرة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فتفسیر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مصداق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بما هو الخارج عن حدود الدلالة الوضعیّة، فیلزم إمّا للغویّة أو للفرار منها، أن یکون المراد هی الکثرة الخارجیّة، فلا 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التنوین الوارد علی الطبیعة، یدلّ علی الوحدة الإجمالیّة الإبهامیّة، و بتوسیط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مصداق من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بیع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أداة العموم علی الاستیعاب غیر واضحة، فإنّها ربّما تکون دالّة علی الکثرة، و أمّا استیعاب جمیع أفراد المدخول فهو أمر آخر محتاج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إذا راجعنا المحاورات العرفیّة و العقلائیّة، نجد أنّه کثیرا ما تستعمل أداة العموم، و لیس المتکلّم فی مقام إفادة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دین مشتمل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 أرباب الدکاکین یقولون بأداة العموم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دکّتهم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یفید العموم و الاستیعاب بالضرورة، و لیس ذلک إلاّ لأجل أنّ المتکلّم لیس فی مقام الاستیعاب، بل هو فی مقام أضیق منه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لأجل القرینة، یؤیّد أنّ طبع العامّ لیس إفادة الاستیعاب، بل هو فی إفادة الاستیعاب و عدمها تابع القرائن، کما فی باب المطلقات، فمجرّد صدور</w:t>
      </w:r>
      <w:bookmarkStart w:id="374" w:name="pg13167_140895"/>
    </w:p>
    <w:p>
      <w:pPr>
        <w:pStyle w:val="BookText"/>
        <w:rPr/>
      </w:pPr>
      <w:bookmarkEnd w:id="374"/>
      <w:r>
        <w:rPr>
          <w:rFonts w:ascii="IRNazanin" w:hAnsi="IRNazanin" w:eastAsia="IRNazanin"/>
          <w:color w:val="111111"/>
          <w:sz w:val="28"/>
          <w:sz w:val="28"/>
          <w:szCs w:val="28"/>
          <w:rtl w:val="true"/>
          <w:lang w:bidi="fa-IR"/>
        </w:rPr>
        <w:t>أداة العموم فی الکلام لا یکفی للاحتجاج به، و لو کان ذلک لاستیعاب المدخول وضعا لکانت الحجّة مع العبد، دون المولی فی هذه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المطلقات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ثبوت الإطلاق للکلام إلاّ إذا قامت القرینة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المقام، فإنّ الکلام یحمل علی العموم الاستیعابیّ و الأصولیّ عند عدم القرینة، و أمّا مع القرینة فلا، و هکذا مع وجود ما یصلح للقرینیّة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ذلک لصحّة استعمال أداة العموم فی محیط خاصّ، و بالنسبة إلی المنطقة المعیّنة، کما فی قوله تعالی فی قصّة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الْعالَمِینَ </w:t>
      </w:r>
      <w:r>
        <w:rPr>
          <w:rStyle w:val="FootnoteAnchor"/>
          <w:rtl w:val="true"/>
        </w:rPr>
        <w:footnoteReference w:id="454"/>
      </w:r>
      <w:r>
        <w:rPr>
          <w:rFonts w:ascii="IRNazanin" w:hAnsi="IRNazanin" w:eastAsia="IRNazanin"/>
          <w:color w:val="111111"/>
          <w:sz w:val="28"/>
          <w:sz w:val="28"/>
          <w:szCs w:val="28"/>
          <w:rtl w:val="true"/>
          <w:lang w:bidi="fa-IR"/>
        </w:rPr>
        <w:t>و ورود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عالمها</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 هذا التفسیر غریب إلاّ علی القول بعدم الدلالة الوضعیّة لتلک الصیغ المتخیّلة لإفادة الاستیعاب،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المراجعة إلی موارد استعمال هذه الأداة، نجد صحّة ذلک باعتبار المحیط الخاصّ، من غیر کون ذلک دلیلا علی تقیید المدخول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التهافت بین الدلالة علی الاستیعاب، و کون المدخول مقیّدا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559596_3244359995"/>
      <w:bookmarkStart w:id="376" w:name="_Toc141"/>
      <w:bookmarkEnd w:id="375"/>
      <w:r>
        <w:rPr>
          <w:rtl w:val="true"/>
        </w:rPr>
        <w:t>فذلکة البحث</w:t>
      </w:r>
      <w:bookmarkEnd w:id="37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تعرّض الأصحاب لتعریف العامّ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الاستیعاب</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ثمّ البحث عن أنّ فی العمومات هل نحتاج إلی المقدّمات و عدمه </w:t>
      </w:r>
      <w:r>
        <w:rPr>
          <w:rStyle w:val="FootnoteAnchor"/>
          <w:rtl w:val="true"/>
        </w:rPr>
        <w:footnoteReference w:id="458"/>
      </w:r>
      <w:r>
        <w:rPr>
          <w:rFonts w:ascii="IRNazanin" w:hAnsi="IRNazanin" w:eastAsia="IRNazanin"/>
          <w:color w:val="111111"/>
          <w:sz w:val="28"/>
          <w:sz w:val="28"/>
          <w:szCs w:val="28"/>
          <w:rtl w:val="true"/>
          <w:lang w:bidi="fa-IR"/>
        </w:rPr>
        <w:t>؟ غیر صحیح، لأنّ مع</w:t>
      </w:r>
    </w:p>
    <w:p>
      <w:pPr>
        <w:pStyle w:val="BookText"/>
        <w:rPr/>
      </w:pPr>
      <w:r>
        <w:rPr>
          <w:rFonts w:ascii="IRNazanin" w:hAnsi="IRNazanin" w:eastAsia="IRNazanin"/>
          <w:color w:val="111111"/>
          <w:sz w:val="28"/>
          <w:sz w:val="28"/>
          <w:szCs w:val="28"/>
          <w:rtl w:val="true"/>
          <w:lang w:bidi="fa-IR"/>
        </w:rPr>
        <w:t>الحاجة إلیها لا معنی أوّلا للتعریف المزبور، و یلزم تداخل مقصد العامّ و الخاصّ و مقصد المطلق و المقیّد، و یلزم سقوط البحث عن أداة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أوّلا من الفحص عن المسألة المزبورة، فإنّ ثبتت الحاجة إلیها فهو، و إلاّ فلا منع من تعریفه أوّلا بما فی المفصّلات، و من جعل المقصدین مستقلّین، و هکذا من البحث عن أداة العموم، و حیث قد عرفت منّا المناقشة فی تلک المسألة</w:t>
      </w:r>
      <w:r>
        <w:rPr>
          <w:rStyle w:val="FootnoteAnchor"/>
          <w:rtl w:val="true"/>
        </w:rPr>
        <w:footnoteReference w:id="459"/>
      </w:r>
      <w:r>
        <w:rPr>
          <w:rFonts w:ascii="IRNazanin" w:hAnsi="IRNazanin" w:eastAsia="IRNazanin"/>
          <w:color w:val="111111"/>
          <w:sz w:val="28"/>
          <w:sz w:val="28"/>
          <w:szCs w:val="28"/>
          <w:rtl w:val="true"/>
          <w:lang w:bidi="fa-IR"/>
        </w:rPr>
        <w:t>یلزم جمیع ما أشیر إلیه، و تسقط البحوث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یلزم تداخل المقصدین علی القول باحتیاج العمومات إلی مقدّمات الحکمة، کذلک یلزم ذلک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مقدّمات الحکمة فی باب المطلق و المقیّد، تنوب مناب الأداة الدالّة علی العموم، کما أشیر إلیه فی الوجه الأوّل فی أوّل البحث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کلام خال من التحصیل، لما سیأتی فی باب المطلق و المقیّد</w:t>
      </w:r>
      <w:r>
        <w:rPr>
          <w:rStyle w:val="FootnoteAnchor"/>
          <w:rtl w:val="true"/>
        </w:rPr>
        <w:footnoteReference w:id="461"/>
      </w:r>
      <w:r>
        <w:rPr>
          <w:rFonts w:ascii="IRNazanin" w:hAnsi="IRNazanin" w:eastAsia="IRNazanin"/>
          <w:color w:val="111111"/>
          <w:sz w:val="28"/>
          <w:sz w:val="28"/>
          <w:szCs w:val="28"/>
          <w:rtl w:val="true"/>
          <w:lang w:bidi="fa-IR"/>
        </w:rPr>
        <w:t>من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عدم الاحتیاج هناک إلی المقدّمات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لا تکون هی نائبة مناب الأداة، و ذلک لامتناع إفادتها تحلیل الحکم و انحلاله حسب الأفراد و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یظهر من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الحائریّ </w:t>
      </w:r>
      <w:r>
        <w:rPr>
          <w:rStyle w:val="FootnoteAnchor"/>
          <w:rtl w:val="true"/>
        </w:rPr>
        <w:footnoteReference w:id="462"/>
      </w:r>
      <w:r>
        <w:rPr>
          <w:rFonts w:ascii="Amiri" w:hAnsi="Amiri" w:eastAsia="Amiri" w:cs="Amiri"/>
          <w:color w:val="111111"/>
          <w:sz w:val="28"/>
          <w:sz w:val="28"/>
          <w:szCs w:val="28"/>
          <w:rtl w:val="true"/>
          <w:lang w:bidi="ar-SA"/>
        </w:rPr>
        <w:t xml:space="preserve">و النائینیّ رحمهما اللَّه </w:t>
      </w:r>
      <w:r>
        <w:rPr>
          <w:rStyle w:val="FootnoteAnchor"/>
          <w:rtl w:val="true"/>
        </w:rPr>
        <w:footnoteReference w:id="463"/>
      </w:r>
      <w:r>
        <w:rPr>
          <w:rFonts w:ascii="IRNazanin" w:hAnsi="IRNazanin" w:eastAsia="IRNazanin"/>
          <w:color w:val="111111"/>
          <w:sz w:val="28"/>
          <w:sz w:val="28"/>
          <w:szCs w:val="28"/>
          <w:rtl w:val="true"/>
          <w:lang w:bidi="fa-IR"/>
        </w:rPr>
        <w:t>أخذا عن السیّد الأستاذ الفشارکیّ حسب الظاهر، غیر راجع إلی تحقیق، فانتظره</w:t>
      </w:r>
      <w:r>
        <w:rPr>
          <w:rFonts w:eastAsia="IRNazanin" w:cs="IRNazanin"/>
          <w:color w:val="111111"/>
          <w:sz w:val="28"/>
          <w:szCs w:val="28"/>
          <w:rtl w:val="true"/>
          <w:lang w:bidi="fa-IR"/>
        </w:rPr>
        <w:t>.</w:t>
      </w:r>
      <w:bookmarkStart w:id="377" w:name="pg13167_140897"/>
    </w:p>
    <w:p>
      <w:pPr>
        <w:pStyle w:val="Heading5"/>
        <w:numPr>
          <w:ilvl w:val="4"/>
          <w:numId w:val="1"/>
        </w:numPr>
        <w:rPr/>
      </w:pPr>
      <w:bookmarkStart w:id="378" w:name="__RefHeading___Toc559598_3244359995"/>
      <w:bookmarkStart w:id="379" w:name="_Toc142"/>
      <w:bookmarkEnd w:id="377"/>
      <w:bookmarkEnd w:id="378"/>
      <w:r>
        <w:rPr>
          <w:rtl w:val="true"/>
        </w:rPr>
        <w:t>تنبیه</w:t>
      </w:r>
      <w:r>
        <w:rPr>
          <w:rtl w:val="true"/>
        </w:rPr>
        <w:t xml:space="preserve">: </w:t>
      </w:r>
      <w:r>
        <w:rPr>
          <w:rtl w:val="true"/>
        </w:rPr>
        <w:t>حول تقسیم العامّ</w:t>
      </w:r>
      <w:bookmarkEnd w:id="379"/>
    </w:p>
    <w:p>
      <w:pPr>
        <w:pStyle w:val="BookText"/>
        <w:rPr/>
      </w:pPr>
      <w:r>
        <w:rPr>
          <w:rFonts w:ascii="IRNazanin" w:hAnsi="IRNazanin" w:eastAsia="IRNazanin"/>
          <w:color w:val="111111"/>
          <w:sz w:val="28"/>
          <w:sz w:val="28"/>
          <w:szCs w:val="28"/>
          <w:rtl w:val="true"/>
          <w:lang w:bidi="fa-IR"/>
        </w:rPr>
        <w:t>کما لا معنی لتعریف العامّ إلاّ بعد تحقیق المسألة المزبورة، و یسقط الاحتیاج إلیه بعد القول المذکور، کذلک لا معنی له إلاّ بعد معلومیّة صحّة تقسیمه إلی الاستغراقیّ، و البدلیّ، و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یظهر منهم من التعاریف </w:t>
      </w:r>
      <w:r>
        <w:rPr>
          <w:rStyle w:val="FootnoteAnchor"/>
          <w:rtl w:val="true"/>
        </w:rPr>
        <w:footnoteReference w:id="464"/>
      </w:r>
      <w:r>
        <w:rPr>
          <w:rFonts w:ascii="IRNazanin" w:hAnsi="IRNazanin" w:eastAsia="IRNazanin"/>
          <w:color w:val="111111"/>
          <w:sz w:val="28"/>
          <w:sz w:val="28"/>
          <w:szCs w:val="28"/>
          <w:rtl w:val="true"/>
          <w:lang w:bidi="fa-IR"/>
        </w:rPr>
        <w:t>کلّها ینطبق علی الاستغراقیّ، و مع ذلک التزموا بصحّة التقسیم المزبور</w:t>
      </w:r>
      <w:r>
        <w:rPr>
          <w:rStyle w:val="FootnoteAnchor"/>
          <w:rtl w:val="true"/>
        </w:rPr>
        <w:footnoteReference w:id="465"/>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العامّ إلی الأقسام الثلاثة غیر صحیح، و أبعد من الصحّة ما یظهر من العلاّمة الخراسانیّ من کون التقسیم بلحاظ الحکم، مع أنّه متأخّر عن الموضوع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یحمل کلامه علی أنّه بلحاظ الحکم التصوّری و بلحاظ الأثر و القصد، یعتبر العموم تارة کذا، و أخری کذا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لنا من النّظر إلی أصل التقسیم، و ذلک لأنّ فی العامّ المجموعیّ لیس الأفراد إلاّ فی حکم الأجزاء، و لا یکون الموضوع فیه إلاّ عنوانا معتبرا عن لحاظ المجموع،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لیس فی الثانی معنی للعموم و السریان و الشمول، کذلک فی الأوّل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المجموعات للطوائف المختلفة من العلماء مثلا، فهو من العامّ</w:t>
      </w:r>
    </w:p>
    <w:p>
      <w:pPr>
        <w:pStyle w:val="BookText"/>
        <w:rPr/>
      </w:pPr>
      <w:r>
        <w:rPr>
          <w:rFonts w:ascii="IRNazanin" w:hAnsi="IRNazanin" w:eastAsia="IRNazanin"/>
          <w:color w:val="111111"/>
          <w:sz w:val="28"/>
          <w:sz w:val="28"/>
          <w:szCs w:val="28"/>
          <w:rtl w:val="true"/>
          <w:lang w:bidi="fa-IR"/>
        </w:rPr>
        <w:t xml:space="preserve">الاستغراقیّ، 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العامّ الاستغراقیّ، و لا معنی للعامّ المجموعیّ إلاّ مجرّد إفادة أنّ الموضوع مشتمل علی اعتبار الوحدة الملازم لوحدة الحکم قهرا و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العامّ البدلیّ و هو ما یدلّ علی الواحد علی البدل، و علی العموم طولا، لا عرضا و معا، فإن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القضیّة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کلّ فرد فیه مشمول الحکم علی حدة، و مورد النفی أو الإثبات مستقلا، فالبدلیّ لیس بعامّ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ما یکون فیه الحکم عمومیّا، و العمومیّة البدلیّة بدل العامّ، و لیست 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رجع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فهو، و لکنّه اعتبر صحّة التقسیم المزبور و اعتبره بلحاظ الحکم، و 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حتّی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التقسیم غیر واقع فی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ینقسم العامّ إلی الأنواعیّ، و الأفرادیّ، مثلا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468"/>
      </w:r>
      <w:r>
        <w:rPr>
          <w:rFonts w:ascii="IRNazanin" w:hAnsi="IRNazanin" w:eastAsia="IRNazanin"/>
          <w:color w:val="111111"/>
          <w:sz w:val="28"/>
          <w:sz w:val="28"/>
          <w:szCs w:val="28"/>
          <w:rtl w:val="true"/>
          <w:lang w:bidi="fa-IR"/>
        </w:rPr>
        <w:t>مورد الخلاف فی أنّه عامّ أنواعیّ، أو أفرادیّ، و هذا تقسیم صحیح، و بناء علی هذا لا بدّ فی تعریف العامّ من ملاحظة ما ینطبق علی العامّ بقسمیه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الأفرادیّ، و الأنواعیّ، من غیر لحاظ شموله للعامّ البدلیّ و المجموعیّ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العجیب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البدلیّ عامّ مجازا، دون المجموعیّ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المجموعیّ لیس بعامّ قطعا، بخلاف البدلیّ کما أشیر إلیه</w:t>
      </w:r>
      <w:r>
        <w:rPr>
          <w:rFonts w:eastAsia="IRNazanin" w:cs="IRNazanin"/>
          <w:color w:val="111111"/>
          <w:sz w:val="28"/>
          <w:szCs w:val="28"/>
          <w:rtl w:val="true"/>
          <w:lang w:bidi="fa-IR"/>
        </w:rPr>
        <w:t>.</w:t>
      </w:r>
      <w:bookmarkStart w:id="380" w:name="pg13167_140899"/>
    </w:p>
    <w:p>
      <w:pPr>
        <w:pStyle w:val="Heading4"/>
        <w:numPr>
          <w:ilvl w:val="3"/>
          <w:numId w:val="1"/>
        </w:numPr>
        <w:rPr/>
      </w:pPr>
      <w:bookmarkStart w:id="381" w:name="__RefHeading___Toc559600_3244359995"/>
      <w:bookmarkStart w:id="382" w:name="_Toc143"/>
      <w:bookmarkEnd w:id="380"/>
      <w:bookmarkEnd w:id="381"/>
      <w:r>
        <w:rPr>
          <w:rtl w:val="true"/>
        </w:rPr>
        <w:t>الجهة الثانیة</w:t>
      </w:r>
      <w:r>
        <w:rPr>
          <w:rtl w:val="true"/>
        </w:rPr>
        <w:t xml:space="preserve">: </w:t>
      </w:r>
      <w:r>
        <w:rPr>
          <w:rtl w:val="true"/>
        </w:rPr>
        <w:t>فی تعریف العامّ، بناء علی الإغماض عمّا أسلفناه</w:t>
      </w:r>
      <w:bookmarkEnd w:id="382"/>
    </w:p>
    <w:p>
      <w:pPr>
        <w:pStyle w:val="BookText"/>
        <w:rPr/>
      </w:pPr>
      <w:r>
        <w:rPr>
          <w:rFonts w:ascii="IRNazanin" w:hAnsi="IRNazanin" w:eastAsia="IRNazanin"/>
          <w:color w:val="111111"/>
          <w:sz w:val="28"/>
          <w:sz w:val="28"/>
          <w:szCs w:val="28"/>
          <w:rtl w:val="true"/>
          <w:lang w:bidi="fa-IR"/>
        </w:rPr>
        <w:t>قد عرّف بتعاریف لا تخلو من المسامحات، و الأظهر أنّه ما یدلّ بالوضع علی أنّ الحکم یشمل جمیع مصادیق مدخول أداته، فإن کان عامّا أنواعیّا یکون المصداق نوعا، و لو کان أفرادیّا یکون المصداق شخصا، و إن کان الشمول طولیّا فهو بدلیّ، و إن کان عرضیّا فهو 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ثمرة فی تعریفه </w:t>
      </w:r>
      <w:r>
        <w:rPr>
          <w:rStyle w:val="FootnoteAnchor"/>
          <w:rtl w:val="true"/>
        </w:rPr>
        <w:footnoteReference w:id="470"/>
      </w:r>
      <w:r>
        <w:rPr>
          <w:rFonts w:ascii="IRNazanin" w:hAnsi="IRNazanin" w:eastAsia="IRNazanin"/>
          <w:color w:val="111111"/>
          <w:sz w:val="28"/>
          <w:sz w:val="28"/>
          <w:szCs w:val="28"/>
          <w:rtl w:val="true"/>
          <w:lang w:bidi="fa-IR"/>
        </w:rPr>
        <w:t>، غیر صحیح، لأنّ العامّ مخصوص بالأحکام الأصولیّة، و منها تقدّمه علی المطلق فی مرحلة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ثمرات ذلک الأحکام الکثیرة الثابتة له فی بحوث العامّ و الخاصّ، کما عن بعض الأفاضل </w:t>
      </w:r>
      <w:r>
        <w:rPr>
          <w:rStyle w:val="FootnoteAnchor"/>
          <w:rtl w:val="true"/>
        </w:rPr>
        <w:footnoteReference w:id="471"/>
      </w:r>
      <w:r>
        <w:rPr>
          <w:rFonts w:ascii="IRNazanin" w:hAnsi="IRNazanin" w:eastAsia="IRNazanin"/>
          <w:color w:val="111111"/>
          <w:sz w:val="28"/>
          <w:sz w:val="28"/>
          <w:szCs w:val="28"/>
          <w:rtl w:val="true"/>
          <w:lang w:bidi="fa-IR"/>
        </w:rPr>
        <w:t>، فغیر مسموعة، لاشتراک المطلق معه فی مسألة جواز التمسّک به بعد التخصیص، و فی مسألة عدم جواز التمسّک به فی الشبهة المصداقیّة، و غیر ذلک، فافهم و اغتنم</w:t>
      </w:r>
      <w:r>
        <w:rPr>
          <w:rFonts w:eastAsia="IRNazanin" w:cs="IRNazanin"/>
          <w:color w:val="111111"/>
          <w:sz w:val="28"/>
          <w:szCs w:val="28"/>
          <w:rtl w:val="true"/>
          <w:lang w:bidi="fa-IR"/>
        </w:rPr>
        <w:t>.</w:t>
      </w:r>
    </w:p>
    <w:p>
      <w:pPr>
        <w:pStyle w:val="Heading4"/>
        <w:numPr>
          <w:ilvl w:val="3"/>
          <w:numId w:val="1"/>
        </w:numPr>
        <w:rPr/>
      </w:pPr>
      <w:bookmarkStart w:id="383" w:name="__RefHeading___Toc559602_3244359995"/>
      <w:bookmarkStart w:id="384" w:name="_Toc144"/>
      <w:bookmarkEnd w:id="383"/>
      <w:r>
        <w:rPr>
          <w:rtl w:val="true"/>
        </w:rPr>
        <w:t>الجهة الثالثة</w:t>
      </w:r>
      <w:r>
        <w:rPr>
          <w:rtl w:val="true"/>
        </w:rPr>
        <w:t xml:space="preserve">: </w:t>
      </w:r>
      <w:r>
        <w:rPr>
          <w:rtl w:val="true"/>
        </w:rPr>
        <w:t>فی أدوات العموم</w:t>
      </w:r>
      <w:bookmarkEnd w:id="384"/>
    </w:p>
    <w:p>
      <w:pPr>
        <w:pStyle w:val="Heading5"/>
        <w:numPr>
          <w:ilvl w:val="4"/>
          <w:numId w:val="1"/>
        </w:numPr>
        <w:rPr/>
      </w:pPr>
      <w:bookmarkStart w:id="385" w:name="__RefHeading___Toc559604_3244359995"/>
      <w:bookmarkStart w:id="386" w:name="_Toc145"/>
      <w:bookmarkEnd w:id="385"/>
      <w:r>
        <w:rPr>
          <w:rtl w:val="true"/>
        </w:rPr>
        <w:t>اشارة</w:t>
      </w:r>
      <w:bookmarkEnd w:id="38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بین ما تکون أداة العموم الاستغراقیّ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ممّا فی سائر الألسنة، و بین ما هی من أداة العموم البدلیّ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کلام بین القائلین بالدلالة الوضعیّة لبعض الأدوات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و الخلاف فی بعض الأمور الاخر کما سیظهر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ظهور لغة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الاستغراقیّ، لأنّه کثیرا ما یستعمل فی العامّ المجموعیّ،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السمکة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من المجاز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الاستغراقیّة و المجموعیّة تستفادان من القرائن الواردة، و لا شبهة فی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الاستغراقیّة و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المفاهیم الاسمیّة، فیکون هو مورد الأخبار و الأمر و النهی، و یلزم بناء علیه 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الحکم، و نتیجة ذلک ظهور الکلام فی العامّ المجموعیّ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منّا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 إلی 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إذا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لا یبعد دعوی ظهوره البدویّ فی المجموعیّ، و إن لم یخل من إشکال،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الطَّعامِ کانَ حِلًّا لِبَنِی إِسْرائِیلَ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النکرة، و هی لمکان اشتمالها علی التنوین تدلّ علی الوحدة، و عندئذ یصیر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عندئذ یکون ظاهرا طبعا فی الاستغراق، و ینسلخ المضاف عن کونه المخبر عنه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النحاة علی أن یجعلوا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رمّان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 لا یعقل ذلک إلاّ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مفاده العامّ المجموعیّ، و لو کان عامّا استغراقیّا کان المبتدأ أفراد الرّمان</w:t>
      </w:r>
      <w:r>
        <w:rPr>
          <w:rFonts w:eastAsia="IRNazanin" w:cs="IRNazanin"/>
          <w:color w:val="111111"/>
          <w:sz w:val="28"/>
          <w:szCs w:val="28"/>
          <w:rtl w:val="true"/>
          <w:lang w:bidi="fa-IR"/>
        </w:rPr>
        <w:t>.</w:t>
      </w:r>
      <w:bookmarkStart w:id="387" w:name="pg13167_140901"/>
    </w:p>
    <w:p>
      <w:pPr>
        <w:pStyle w:val="BookText"/>
        <w:rPr/>
      </w:pPr>
      <w:bookmarkEnd w:id="387"/>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الأمر کذلک فی مرحلة التعلیم، و لکن بحسب الواقع ما هو المبتدأ هو الأفراد علی نعت الإجمال الملحوظ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یؤیّد ذلک، أنّ النحاة و أصول العربیّة علی ملاحظة المضاف إلیه فی التذکیر و التأنیث، فلا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هند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هند 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و کما فی زیارة الجامعة فقال فیها بالنسبة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طابت و طهرت بعضها من بعض</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لیس المقام مقام اکتساب التأنیث أو التذکیر، فافهم و اغتنم</w:t>
      </w:r>
      <w:r>
        <w:rPr>
          <w:rFonts w:eastAsia="IRNazanin" w:cs="IRNazanin"/>
          <w:color w:val="111111"/>
          <w:sz w:val="28"/>
          <w:szCs w:val="28"/>
          <w:rtl w:val="true"/>
          <w:lang w:bidi="fa-IR"/>
        </w:rPr>
        <w:t>.</w:t>
      </w:r>
    </w:p>
    <w:p>
      <w:pPr>
        <w:pStyle w:val="Heading5"/>
        <w:numPr>
          <w:ilvl w:val="4"/>
          <w:numId w:val="1"/>
        </w:numPr>
        <w:rPr/>
      </w:pPr>
      <w:bookmarkStart w:id="388" w:name="__RefHeading___Toc559606_3244359995"/>
      <w:bookmarkStart w:id="389" w:name="_Toc146"/>
      <w:bookmarkEnd w:id="388"/>
      <w:r>
        <w:rPr>
          <w:rtl w:val="true"/>
        </w:rPr>
        <w:t xml:space="preserve">بقی شی‌ء حول کلمة </w:t>
      </w:r>
      <w:r>
        <w:rPr>
          <w:rtl w:val="true"/>
        </w:rPr>
        <w:t>«</w:t>
      </w:r>
      <w:r>
        <w:rPr>
          <w:rtl w:val="true"/>
        </w:rPr>
        <w:t>أیّ</w:t>
      </w:r>
      <w:r>
        <w:rPr>
          <w:rtl w:val="true"/>
        </w:rPr>
        <w:t>»</w:t>
      </w:r>
      <w:bookmarkEnd w:id="389"/>
    </w:p>
    <w:p>
      <w:pPr>
        <w:pStyle w:val="BookText"/>
        <w:rPr/>
      </w:pPr>
      <w:r>
        <w:rPr>
          <w:rFonts w:ascii="IRNazanin" w:hAnsi="IRNazanin" w:eastAsia="IRNazanin"/>
          <w:color w:val="111111"/>
          <w:sz w:val="28"/>
          <w:sz w:val="28"/>
          <w:szCs w:val="28"/>
          <w:rtl w:val="true"/>
          <w:lang w:bidi="fa-IR"/>
        </w:rPr>
        <w:t>یظهر من بعض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شابهها تفید العموم الاستغراقیّ </w:t>
      </w:r>
      <w:r>
        <w:rPr>
          <w:rStyle w:val="FootnoteAnchor"/>
          <w:rtl w:val="true"/>
        </w:rPr>
        <w:footnoteReference w:id="478"/>
      </w:r>
      <w:r>
        <w:rPr>
          <w:rFonts w:ascii="IRNazanin" w:hAnsi="IRNazanin" w:eastAsia="IRNazanin"/>
          <w:color w:val="111111"/>
          <w:sz w:val="28"/>
          <w:sz w:val="28"/>
          <w:szCs w:val="28"/>
          <w:rtl w:val="true"/>
          <w:lang w:bidi="fa-IR"/>
        </w:rPr>
        <w:t>، و قد نصّ علی خلافه الآخر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کلّ مع النکرة، و بمثابة بعض مع المعرفة</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أنهیت أقسامها إلی الخمسة، و قد تحرّر منّا أنّ کثیرا منها ترجع إلی واحد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المتفاهم منها فی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أکرم أیّ رجل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أیّة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إلاّ البدلیّة، ضرورة أنّه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الإکرامات حسب الأفراد، 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إلاّ وجوبا واحدا، و لذلک یستحسن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bookmarkStart w:id="390" w:name="pg13167_140902"/>
    </w:p>
    <w:p>
      <w:pPr>
        <w:pStyle w:val="BookText"/>
        <w:rPr/>
      </w:pPr>
      <w:bookmarkEnd w:id="390"/>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وقع الخلاف فی بعض الأمور لا بأس بالإشارة إلیها</w:t>
      </w:r>
      <w:r>
        <w:rPr>
          <w:rFonts w:eastAsia="IRNazanin" w:cs="IRNazanin"/>
          <w:color w:val="111111"/>
          <w:sz w:val="28"/>
          <w:szCs w:val="28"/>
          <w:rtl w:val="true"/>
          <w:lang w:bidi="fa-IR"/>
        </w:rPr>
        <w:t>:</w:t>
      </w:r>
    </w:p>
    <w:p>
      <w:pPr>
        <w:pStyle w:val="Heading5"/>
        <w:numPr>
          <w:ilvl w:val="4"/>
          <w:numId w:val="1"/>
        </w:numPr>
        <w:rPr/>
      </w:pPr>
      <w:bookmarkStart w:id="391" w:name="__RefHeading___Toc559608_3244359995"/>
      <w:bookmarkStart w:id="392" w:name="_Toc147"/>
      <w:bookmarkEnd w:id="391"/>
      <w:r>
        <w:rPr>
          <w:rtl w:val="true"/>
        </w:rPr>
        <w:t>فمنها</w:t>
      </w:r>
      <w:r>
        <w:rPr>
          <w:rtl w:val="true"/>
        </w:rPr>
        <w:t xml:space="preserve">: </w:t>
      </w:r>
      <w:r>
        <w:rPr>
          <w:rtl w:val="true"/>
        </w:rPr>
        <w:t xml:space="preserve">الجمع المحلّی ب </w:t>
      </w:r>
      <w:r>
        <w:rPr>
          <w:rtl w:val="true"/>
        </w:rPr>
        <w:t>«</w:t>
      </w:r>
      <w:r>
        <w:rPr>
          <w:rtl w:val="true"/>
        </w:rPr>
        <w:t>الألف و اللاّم</w:t>
      </w:r>
      <w:r>
        <w:rPr>
          <w:rtl w:val="true"/>
        </w:rPr>
        <w:t>»</w:t>
      </w:r>
      <w:bookmarkEnd w:id="392"/>
    </w:p>
    <w:p>
      <w:pPr>
        <w:pStyle w:val="BookText"/>
        <w:rPr/>
      </w:pPr>
      <w:r>
        <w:rPr>
          <w:rFonts w:ascii="IRNazanin" w:hAnsi="IRNazanin" w:eastAsia="IRNazanin"/>
          <w:color w:val="111111"/>
          <w:sz w:val="28"/>
          <w:sz w:val="28"/>
          <w:szCs w:val="28"/>
          <w:rtl w:val="true"/>
          <w:lang w:bidi="fa-IR"/>
        </w:rPr>
        <w:t>و أنّه هل یفید العموم، أم لا، و علی الأوّل هل یفید العموم الاستغراقیّ، أو المجموعیّ؟</w:t>
      </w:r>
    </w:p>
    <w:p>
      <w:pPr>
        <w:pStyle w:val="BookText"/>
        <w:rPr/>
      </w:pPr>
      <w:r>
        <w:rPr>
          <w:rFonts w:ascii="IRNazanin" w:hAnsi="IRNazanin" w:eastAsia="IRNazanin"/>
          <w:color w:val="111111"/>
          <w:sz w:val="28"/>
          <w:sz w:val="28"/>
          <w:szCs w:val="28"/>
          <w:rtl w:val="true"/>
          <w:lang w:bidi="fa-IR"/>
        </w:rPr>
        <w:t xml:space="preserve">و المعروف بینهم إفادة العموم الاستغراقیّ </w:t>
      </w:r>
      <w:r>
        <w:rPr>
          <w:rStyle w:val="FootnoteAnchor"/>
          <w:rtl w:val="true"/>
        </w:rPr>
        <w:footnoteReference w:id="481"/>
      </w:r>
      <w:r>
        <w:rPr>
          <w:rFonts w:ascii="IRNazanin" w:hAnsi="IRNazanin" w:eastAsia="IRNazanin"/>
          <w:color w:val="111111"/>
          <w:sz w:val="28"/>
          <w:sz w:val="28"/>
          <w:szCs w:val="28"/>
          <w:rtl w:val="true"/>
          <w:lang w:bidi="fa-IR"/>
        </w:rPr>
        <w:t xml:space="preserve">، و ربّما یستشکل من أجل أنّ هیئة الجمع تدلّ علی المجموعیّ، و لا تزید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التعریف، و قضیّة کون العامّ المجموعیّ معرّفا هو استیلاؤه علی جمیع الأفراد علی نعت الوحدة، کما فی العامّ المجموعیّ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ذلک یصحّ فیما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ورود هیئة الجمع، و أمّا إذا کانا واردین معا علی کلام واحد فیدلّ علی استغراق المدخول</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الجمع بما لها من الوضع الخاصّ، إمّا تدلّ علی العموم المجموعیّ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تقتضی إلاّ معرّفیة المدخول، أو تدلّ علی الجمع لا بنحو العامّ المجموعیّ، أی یکون الحکم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هیئة الجمع نکرة فحینئذ تدلّ علی العامّ الاستغراقیّ، فلا بدّ من النّظر إلی هیئة الجمع</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نهایة النّظر فی المقام عند الأعلام، هو أنّ هیئة الجمع و إن لم</w:t>
      </w:r>
    </w:p>
    <w:p>
      <w:pPr>
        <w:pStyle w:val="BookText"/>
        <w:rPr/>
      </w:pPr>
      <w:r>
        <w:rPr>
          <w:rFonts w:ascii="IRNazanin" w:hAnsi="IRNazanin" w:eastAsia="IRNazanin"/>
          <w:color w:val="111111"/>
          <w:sz w:val="28"/>
          <w:sz w:val="28"/>
          <w:szCs w:val="28"/>
          <w:rtl w:val="true"/>
          <w:lang w:bidi="fa-IR"/>
        </w:rPr>
        <w:t xml:space="preserve">تصدق علی واحد واحد، و لکن یکون الحکم کثیرا، بخلاف الحکم فی العامّ المجموعیّ </w:t>
      </w:r>
      <w:r>
        <w:rPr>
          <w:rStyle w:val="FootnoteAnchor"/>
          <w:rtl w:val="true"/>
        </w:rPr>
        <w:footnoteReference w:id="484"/>
      </w:r>
      <w:r>
        <w:rPr>
          <w:rFonts w:ascii="IRNazanin" w:hAnsi="IRNazanin" w:eastAsia="IRNazanin"/>
          <w:color w:val="111111"/>
          <w:sz w:val="28"/>
          <w:sz w:val="28"/>
          <w:szCs w:val="28"/>
          <w:rtl w:val="true"/>
          <w:lang w:bidi="fa-IR"/>
        </w:rPr>
        <w:t xml:space="preserve">، فإذا جعلت الکثرة الإجمالیّة بتوسیط الهیئة تصیر تلک الکثرة مستوعبة، لأنّ مقتضی کون المدخول معرّفا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المدخول لکلّ واحد، و إلاّ یلزم کونه نکرة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أنکرنا کون 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للمعرفة،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تکون للعهد الذهنیّ، أو الخارجیّ، و أمّا إذا دخلت علی الطبیعة فلا تدلّ علی شی‌ء، و هکذا إذا دخلت علی المجموع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اللغویّة، و الجزافیّة، و هو خلاف الأصل فی اللغات، اسما کان، أو حرفا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یعتبر أن یکون لأداة التعریف هنا معنی یخصّ بها، بل العرب بین من یتکلّم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486"/>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 یتکلّم بدون ذلک، فیدخل التنوین علیه، فإذا دخل التنوین علیه فهو یفید الوحدة، و تخرج الطبیعة عن المعنی الجنسیّ، و یلحقه الزائد علیها و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عندئذ ربّما یتوجّه النّظر إلی نفس الطبیعة، أو مفاد الجمع من غیر إفادة التنکیر، فیدخل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لما لا یجمع بین التنوین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نظر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النّظر إلی ترک التنوین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فما اشتهر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الألف و اللام للجنس</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من الأباطیل،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الجنس من غیر لزوم کونها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تفید وضعا</w:t>
      </w:r>
      <w:bookmarkStart w:id="393" w:name="pg13167_140904"/>
    </w:p>
    <w:p>
      <w:pPr>
        <w:pStyle w:val="BookText"/>
        <w:rPr/>
      </w:pPr>
      <w:bookmarkEnd w:id="393"/>
      <w:r>
        <w:rPr>
          <w:rFonts w:ascii="IRNazanin" w:hAnsi="IRNazanin" w:eastAsia="IRNazanin"/>
          <w:color w:val="111111"/>
          <w:sz w:val="28"/>
          <w:sz w:val="28"/>
          <w:szCs w:val="28"/>
          <w:rtl w:val="true"/>
          <w:lang w:bidi="fa-IR"/>
        </w:rPr>
        <w:t>شیئا، بمعنی أنّه لا دلیل علیه، و لأجل ذلک نحتاج فی استفادة الاستغراق إلی مقدّمات الحکمة أیضا، فلاحظ و اغتنم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التنوین یدلّ فی الجمع علی التنکیر، و تصیر النتیجة إبهاما، و یدلّ علی الاستیعاب، بمعنی أنّ المتکلّم فی مقام إفادته لا بالوضع، فیعلم العموم الاستغراقیّ من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الجموع التی لا یدخلها التنوین لکونها ممنوعة من الصرف، ربّما یشکل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علامة الإعراب فیها تقوم مقامه فی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بإفادة الجموع المحلاّة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الأفراد فی الحکم و انحلاله حسبها، غیر موافق للتحقیق</w:t>
      </w:r>
      <w:r>
        <w:rPr>
          <w:rFonts w:eastAsia="IRNazanin" w:cs="IRNazanin"/>
          <w:color w:val="111111"/>
          <w:sz w:val="28"/>
          <w:szCs w:val="28"/>
          <w:rtl w:val="true"/>
          <w:lang w:bidi="fa-IR"/>
        </w:rPr>
        <w:t>.</w:t>
      </w:r>
    </w:p>
    <w:p>
      <w:pPr>
        <w:pStyle w:val="Heading5"/>
        <w:numPr>
          <w:ilvl w:val="4"/>
          <w:numId w:val="1"/>
        </w:numPr>
        <w:rPr/>
      </w:pPr>
      <w:bookmarkStart w:id="394" w:name="__RefHeading___Toc559610_3244359995"/>
      <w:bookmarkStart w:id="395" w:name="_Toc148"/>
      <w:bookmarkEnd w:id="394"/>
      <w:r>
        <w:rPr>
          <w:rtl w:val="true"/>
        </w:rPr>
        <w:t>و منها</w:t>
      </w:r>
      <w:r>
        <w:rPr>
          <w:rtl w:val="true"/>
        </w:rPr>
        <w:t xml:space="preserve">: </w:t>
      </w:r>
      <w:r>
        <w:rPr>
          <w:rtl w:val="true"/>
        </w:rPr>
        <w:t xml:space="preserve">المفرد المعرّف ب </w:t>
      </w:r>
      <w:r>
        <w:rPr>
          <w:rtl w:val="true"/>
        </w:rPr>
        <w:t>«</w:t>
      </w:r>
      <w:r>
        <w:rPr>
          <w:rtl w:val="true"/>
        </w:rPr>
        <w:t>اللام</w:t>
      </w:r>
      <w:r>
        <w:rPr>
          <w:rtl w:val="true"/>
        </w:rPr>
        <w:t xml:space="preserve">» </w:t>
      </w:r>
      <w:r>
        <w:rPr>
          <w:rtl w:val="true"/>
        </w:rPr>
        <w:t>و النکرة الواقعة فی سیاق النفی أو النهی</w:t>
      </w:r>
      <w:bookmarkEnd w:id="395"/>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توهّم إفادتها العموم الأفرادیّ کما توهّم فی مقدّمات الحکمة</w:t>
      </w:r>
      <w:r>
        <w:rPr>
          <w:rStyle w:val="FootnoteAnchor"/>
          <w:rtl w:val="true"/>
        </w:rPr>
        <w:footnoteReference w:id="488"/>
      </w:r>
      <w:r>
        <w:rPr>
          <w:rFonts w:ascii="IRNazanin" w:hAnsi="IRNazanin" w:eastAsia="IRNazanin"/>
          <w:color w:val="111111"/>
          <w:sz w:val="28"/>
          <w:sz w:val="28"/>
          <w:szCs w:val="28"/>
          <w:rtl w:val="true"/>
          <w:lang w:bidi="fa-IR"/>
        </w:rPr>
        <w:t>، لم یصل إلی مغزی العموم، و قد خلط بین أحکام القضیّة الطبیعیّة و القضیّة المسوّرة، فإنّ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الحمل الأوّلی، و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الحمل الشائع، فلیتدبّر حتّی یعرف</w:t>
      </w:r>
      <w:r>
        <w:rPr>
          <w:rFonts w:eastAsia="IRNazanin" w:cs="IRNazanin"/>
          <w:color w:val="111111"/>
          <w:sz w:val="28"/>
          <w:szCs w:val="28"/>
          <w:rtl w:val="true"/>
          <w:lang w:bidi="fa-IR"/>
        </w:rPr>
        <w:t>.</w:t>
      </w:r>
    </w:p>
    <w:p>
      <w:pPr>
        <w:pStyle w:val="Heading5"/>
        <w:numPr>
          <w:ilvl w:val="4"/>
          <w:numId w:val="1"/>
        </w:numPr>
        <w:rPr/>
      </w:pPr>
      <w:bookmarkStart w:id="396" w:name="__RefHeading___Toc559612_3244359995"/>
      <w:bookmarkStart w:id="397" w:name="_Toc149"/>
      <w:bookmarkEnd w:id="396"/>
      <w:r>
        <w:rPr>
          <w:rtl w:val="true"/>
        </w:rPr>
        <w:t>و منها</w:t>
      </w:r>
      <w:r>
        <w:rPr>
          <w:rtl w:val="true"/>
        </w:rPr>
        <w:t xml:space="preserve">: </w:t>
      </w:r>
      <w:r>
        <w:rPr>
          <w:rtl w:val="true"/>
        </w:rPr>
        <w:t>التنوین</w:t>
      </w:r>
      <w:bookmarkEnd w:id="39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یدلّ عندنا علی العموم البدلیّ، إلاّ أنّه إذا اجتمع 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یستند العموم إلی المعنی الاسمیّ دون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للقول بأنّ الأصل فی التنوین ذلک إلاّ إذا خرج للقرینة عنه، وجه، کما أنّ المتعارف و الغلبة فی العمومات هی</w:t>
      </w:r>
      <w:bookmarkStart w:id="398" w:name="pg13167_140905"/>
    </w:p>
    <w:p>
      <w:pPr>
        <w:pStyle w:val="BookText"/>
        <w:rPr/>
      </w:pPr>
      <w:bookmarkEnd w:id="398"/>
      <w:r>
        <w:rPr>
          <w:rFonts w:ascii="IRNazanin" w:hAnsi="IRNazanin" w:eastAsia="IRNazanin"/>
          <w:color w:val="111111"/>
          <w:sz w:val="28"/>
          <w:sz w:val="28"/>
          <w:szCs w:val="28"/>
          <w:rtl w:val="true"/>
          <w:lang w:bidi="fa-IR"/>
        </w:rPr>
        <w:t>الاستغراقیّة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مقام الثبوت، لا یبعد دعوی کون المتعارف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حمله علی الاستغراقیّ، لأجل احتیاج المجموعیّ و البدلیّ إلی اللحاظ الزائد، کما فی کلام سیّدنا الأستاذ البروجردیّ رحمه اللَّه </w:t>
      </w:r>
      <w:r>
        <w:rPr>
          <w:rStyle w:val="FootnoteAnchor"/>
          <w:rtl w:val="true"/>
        </w:rPr>
        <w:footnoteReference w:id="489"/>
      </w:r>
      <w:r>
        <w:rPr>
          <w:rFonts w:ascii="IRNazanin" w:hAnsi="IRNazanin" w:eastAsia="IRNazanin"/>
          <w:color w:val="111111"/>
          <w:sz w:val="28"/>
          <w:sz w:val="28"/>
          <w:szCs w:val="28"/>
          <w:rtl w:val="true"/>
          <w:lang w:bidi="fa-IR"/>
        </w:rPr>
        <w:t xml:space="preserve">و غیره </w:t>
      </w:r>
      <w:r>
        <w:rPr>
          <w:rStyle w:val="FootnoteAnchor"/>
          <w:rtl w:val="true"/>
        </w:rPr>
        <w:footnoteReference w:id="490"/>
      </w:r>
      <w:r>
        <w:rPr>
          <w:rFonts w:ascii="IRNazanin" w:hAnsi="IRNazanin" w:eastAsia="IRNazanin"/>
          <w:color w:val="111111"/>
          <w:sz w:val="28"/>
          <w:sz w:val="28"/>
          <w:szCs w:val="28"/>
          <w:rtl w:val="true"/>
          <w:lang w:bidi="fa-IR"/>
        </w:rPr>
        <w:t>، فلا یرجع إلی أمر صحیح کما هو واضح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بناء علی ما عرفت منّا من اختصاص کلّ واحد من العمومات بالألفاظ الخاصّة</w:t>
      </w:r>
      <w:r>
        <w:rPr>
          <w:rStyle w:val="FootnoteAnchor"/>
          <w:rtl w:val="true"/>
        </w:rPr>
        <w:footnoteReference w:id="491"/>
      </w:r>
      <w:r>
        <w:rPr>
          <w:rFonts w:ascii="IRNazanin" w:hAnsi="IRNazanin" w:eastAsia="IRNazanin"/>
          <w:color w:val="111111"/>
          <w:sz w:val="28"/>
          <w:sz w:val="28"/>
          <w:szCs w:val="28"/>
          <w:rtl w:val="true"/>
          <w:lang w:bidi="fa-IR"/>
        </w:rPr>
        <w:t>، و یکون العموم المجموعیّ مستفادا من کلمة المجموع مثلا، لا تبقی الشبهة فی مقام الإثبات، و لو اشتبه أحیانا یلزم الإجمال، لعدم حجّیة أمثال هذه الغلبات و الأصول</w:t>
      </w:r>
      <w:r>
        <w:rPr>
          <w:rFonts w:eastAsia="IRNazanin" w:cs="IRNazanin"/>
          <w:color w:val="111111"/>
          <w:sz w:val="28"/>
          <w:szCs w:val="28"/>
          <w:rtl w:val="true"/>
          <w:lang w:bidi="fa-IR"/>
        </w:rPr>
        <w:t>.</w:t>
      </w:r>
    </w:p>
    <w:p>
      <w:pPr>
        <w:pStyle w:val="Heading5"/>
        <w:numPr>
          <w:ilvl w:val="4"/>
          <w:numId w:val="1"/>
        </w:numPr>
        <w:rPr/>
      </w:pPr>
      <w:bookmarkStart w:id="399" w:name="__RefHeading___Toc559614_3244359995"/>
      <w:bookmarkStart w:id="400" w:name="_Toc150"/>
      <w:bookmarkEnd w:id="399"/>
      <w:r>
        <w:rPr>
          <w:rtl w:val="true"/>
        </w:rPr>
        <w:t>تتمّة</w:t>
      </w:r>
      <w:r>
        <w:rPr>
          <w:rtl w:val="true"/>
        </w:rPr>
        <w:t xml:space="preserve">: </w:t>
      </w:r>
      <w:r>
        <w:rPr>
          <w:rtl w:val="true"/>
        </w:rPr>
        <w:t>فی أنّ العموم و الخصوص من أوصاف اللفظ و أنّ خروج الخاصّ دائمی و غیره</w:t>
      </w:r>
      <w:bookmarkEnd w:id="400"/>
    </w:p>
    <w:p>
      <w:pPr>
        <w:pStyle w:val="BookText"/>
        <w:rPr/>
      </w:pPr>
      <w:r>
        <w:rPr>
          <w:rFonts w:ascii="IRNazanin" w:hAnsi="IRNazanin" w:eastAsia="IRNazanin"/>
          <w:color w:val="111111"/>
          <w:sz w:val="28"/>
          <w:sz w:val="28"/>
          <w:szCs w:val="28"/>
          <w:rtl w:val="true"/>
          <w:lang w:bidi="fa-IR"/>
        </w:rPr>
        <w:t xml:space="preserve">العموم و الخصوص من أوصاف اللفظ، بخلاف المفهوم و المنطوق،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بالنسبة إلی العامّ مشتملا علی الأخصیّة و لو کان بینهما بحسب النسبة عموم من وجه، فإنّ من الخاصّ بالنسبة إلی العامّ ما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ممّا کان مشتملا علی أداة العموم، کما إذا ورد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فاسق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مطلقا فورد بعده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الفاسق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خاصّ و لو کان بصورة المطلق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الخاصّ ما هو الخاصّ الواقعیّ، و یکون الخارج بسببه أفراد العامّ</w:t>
      </w:r>
      <w:bookmarkStart w:id="401" w:name="pg13167_140906"/>
    </w:p>
    <w:p>
      <w:pPr>
        <w:pStyle w:val="BookText"/>
        <w:rPr/>
      </w:pPr>
      <w:bookmarkEnd w:id="401"/>
      <w:r>
        <w:rPr>
          <w:rFonts w:ascii="IRNazanin" w:hAnsi="IRNazanin" w:eastAsia="IRNazanin"/>
          <w:color w:val="111111"/>
          <w:sz w:val="28"/>
          <w:sz w:val="28"/>
          <w:szCs w:val="28"/>
          <w:rtl w:val="true"/>
          <w:lang w:bidi="fa-IR"/>
        </w:rPr>
        <w:t>واقعا و دائما، کما فی خروج النبیّ صلی اللَّه علیه و آله و سلم من بعض العمومات و المطلقات، و من هذا القبیل خروج مثل عقد الهبة و أمثاله من أَوْفُوا بِالْعُقُودِ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الخاصّ ما یکون خروجه غیر دائمیّ حسب الأفراد الشخصیّة، و ذلک مثل خروج الفسّاق من العلماء، فإنّه ربّما یکون زید فاسقا فیکون خارجا، و إذا صار عادلا فیندرج فی العموم، و فی هذه العمومات و إن کان العناوین المأخوذة من حالات الأفراد، إلاّ أنّ مناط التخصیص الأفرادیّ لیس إلاّ کون دلیل الخاصّ ناظرا إلی سلب الحکم عن الفرد، أو إثباته له، فلو کان ثمرة علمیة مترتّبة علی التخصیص الفردیّ، فلا بأس بترتّبها علی المنهج الأخیر من أنواع التخصیص أیضا، فافهم و اغتنم</w:t>
      </w:r>
      <w:r>
        <w:rPr>
          <w:rFonts w:eastAsia="IRNazanin" w:cs="IRNazanin"/>
          <w:color w:val="111111"/>
          <w:sz w:val="28"/>
          <w:szCs w:val="28"/>
          <w:rtl w:val="true"/>
          <w:lang w:bidi="fa-IR"/>
        </w:rPr>
        <w:t>.</w:t>
      </w:r>
    </w:p>
    <w:p>
      <w:pPr>
        <w:pStyle w:val="Heading5"/>
        <w:numPr>
          <w:ilvl w:val="4"/>
          <w:numId w:val="1"/>
        </w:numPr>
        <w:rPr/>
      </w:pPr>
      <w:bookmarkStart w:id="402" w:name="__RefHeading___Toc559616_3244359995"/>
      <w:bookmarkStart w:id="403" w:name="_Toc151"/>
      <w:bookmarkEnd w:id="402"/>
      <w:r>
        <w:rPr>
          <w:rtl w:val="true"/>
        </w:rPr>
        <w:t xml:space="preserve">ختام الکلام فی </w:t>
      </w:r>
      <w:r>
        <w:rPr>
          <w:rtl w:val="true"/>
        </w:rPr>
        <w:t>«</w:t>
      </w:r>
      <w:r>
        <w:rPr>
          <w:rtl w:val="true"/>
        </w:rPr>
        <w:t>من</w:t>
      </w:r>
      <w:r>
        <w:rPr>
          <w:rtl w:val="true"/>
        </w:rPr>
        <w:t xml:space="preserve">» </w:t>
      </w:r>
      <w:r>
        <w:rPr>
          <w:rtl w:val="true"/>
        </w:rPr>
        <w:t>الموصولة</w:t>
      </w:r>
      <w:bookmarkEnd w:id="40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لا تدلّ علی العموم الاستغراقیّ، و لیست 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رجوع ضمیر الجمع فی الکتاب الإلهیّ إلیها أحیانا</w:t>
      </w:r>
      <w:r>
        <w:rPr>
          <w:rStyle w:val="FootnoteAnchor"/>
          <w:rtl w:val="true"/>
        </w:rPr>
        <w:footnoteReference w:id="493"/>
      </w:r>
      <w:r>
        <w:rPr>
          <w:rFonts w:ascii="IRNazanin" w:hAnsi="IRNazanin" w:eastAsia="IRNazanin"/>
          <w:color w:val="111111"/>
          <w:sz w:val="28"/>
          <w:sz w:val="28"/>
          <w:szCs w:val="28"/>
          <w:rtl w:val="true"/>
          <w:lang w:bidi="fa-IR"/>
        </w:rPr>
        <w:t xml:space="preserve">، فیؤوّل علی وجه أبدعناه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التفاسیر</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و إجماله أنّ ذلک راجع إلی لحاظ الأفراد بعد التطبیق التصوّری، فافهم و تأمّل</w:t>
      </w:r>
      <w:r>
        <w:rPr>
          <w:rFonts w:eastAsia="IRNazanin" w:cs="IRNazanin"/>
          <w:color w:val="111111"/>
          <w:sz w:val="28"/>
          <w:szCs w:val="28"/>
          <w:rtl w:val="true"/>
          <w:lang w:bidi="fa-IR"/>
        </w:rPr>
        <w:t>.</w:t>
      </w:r>
      <w:bookmarkStart w:id="404" w:name="pg13167_140907"/>
    </w:p>
    <w:p>
      <w:pPr>
        <w:pStyle w:val="Heading3"/>
        <w:numPr>
          <w:ilvl w:val="2"/>
          <w:numId w:val="1"/>
        </w:numPr>
        <w:rPr/>
      </w:pPr>
      <w:bookmarkStart w:id="405" w:name="__RefHeading___Toc559618_3244359995"/>
      <w:bookmarkStart w:id="406" w:name="_Toc152"/>
      <w:bookmarkEnd w:id="404"/>
      <w:bookmarkEnd w:id="405"/>
      <w:r>
        <w:rPr>
          <w:rtl w:val="true"/>
        </w:rPr>
        <w:t>المبحث الأوّل حول مجازیّة العامّ المخصّص و عدمها</w:t>
      </w:r>
      <w:bookmarkEnd w:id="406"/>
    </w:p>
    <w:p>
      <w:pPr>
        <w:pStyle w:val="Heading4"/>
        <w:numPr>
          <w:ilvl w:val="3"/>
          <w:numId w:val="1"/>
        </w:numPr>
        <w:rPr/>
      </w:pPr>
      <w:bookmarkStart w:id="407" w:name="__RefHeading___Toc559620_3244359995"/>
      <w:bookmarkStart w:id="408" w:name="_Toc153"/>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 xml:space="preserve">و قد نسب ذلک </w:t>
      </w:r>
      <w:r>
        <w:rPr>
          <w:rStyle w:val="FootnoteAnchor"/>
          <w:rtl w:val="true"/>
        </w:rPr>
        <w:footnoteReference w:id="495"/>
      </w:r>
      <w:r>
        <w:rPr>
          <w:rFonts w:ascii="IRNazanin" w:hAnsi="IRNazanin" w:eastAsia="IRNazanin"/>
          <w:color w:val="111111"/>
          <w:sz w:val="28"/>
          <w:sz w:val="28"/>
          <w:szCs w:val="28"/>
          <w:rtl w:val="true"/>
          <w:lang w:bidi="fa-IR"/>
        </w:rPr>
        <w:t>إلی المشهور إلی عصر سلطان العلماء</w:t>
      </w:r>
      <w:r>
        <w:rPr>
          <w:rStyle w:val="FootnoteAnchor"/>
          <w:rtl w:val="true"/>
        </w:rPr>
        <w:footnoteReference w:id="496"/>
      </w:r>
      <w:r>
        <w:rPr>
          <w:rFonts w:ascii="IRNazanin" w:hAnsi="IRNazanin" w:eastAsia="IRNazanin"/>
          <w:color w:val="111111"/>
          <w:sz w:val="28"/>
          <w:sz w:val="28"/>
          <w:szCs w:val="28"/>
          <w:rtl w:val="true"/>
          <w:lang w:bidi="fa-IR"/>
        </w:rPr>
        <w:t>، و الکلام فی هذه المسألة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یتکفّل مسألة المجازیّة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یتکفّل الحجّیة و عدمها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یستفاد من کلماتهم، من أنّ الحجّیة دائرة مدار الحقیقة و المجازیّة، فإن کان العامّ بعد التخصیص مجازا فی الباقی، تسقط حجّیته بالنسبة إلی مورد الشکّ، و لو کان حقیقة یبقی علی حجّیته </w:t>
      </w:r>
      <w:r>
        <w:rPr>
          <w:rStyle w:val="FootnoteAnchor"/>
          <w:rtl w:val="true"/>
        </w:rPr>
        <w:footnoteReference w:id="497"/>
      </w:r>
      <w:r>
        <w:rPr>
          <w:rFonts w:ascii="IRNazanin" w:hAnsi="IRNazanin" w:eastAsia="IRNazanin"/>
          <w:color w:val="111111"/>
          <w:sz w:val="28"/>
          <w:sz w:val="28"/>
          <w:szCs w:val="28"/>
          <w:rtl w:val="true"/>
          <w:lang w:bidi="fa-IR"/>
        </w:rPr>
        <w:t>، غیر واقع فی محلّه، لإمکان اختیار الحجّیة مع المجازیّة، و عدمها مع الحقیقة، و لا ینبغی الخلط بین المسائل الأدبیّة و الذوقیّة، و المسائل العقلائیّة و العرفیّة، فی محیط المحاورات فی القوانین</w:t>
      </w:r>
      <w:bookmarkStart w:id="409" w:name="pg13167_140908"/>
    </w:p>
    <w:p>
      <w:pPr>
        <w:pStyle w:val="BookText"/>
        <w:rPr/>
      </w:pPr>
      <w:bookmarkEnd w:id="409"/>
      <w:r>
        <w:rPr>
          <w:rFonts w:ascii="Amiri" w:hAnsi="Amiri" w:eastAsia="Amiri" w:cs="Amiri"/>
          <w:color w:val="111111"/>
          <w:sz w:val="28"/>
          <w:sz w:val="28"/>
          <w:szCs w:val="28"/>
          <w:rtl w:val="true"/>
          <w:lang w:bidi="ar-SA"/>
        </w:rPr>
        <w:t>الشرعیّة و غیر الشرعیّة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هنا هو ما إذا ورد المخصّص أو المقیّد، ثمّ شکّ فی أنّ الطائفة الخاصّة الکذائیّة أیضا مشمولة العامّ، أم لا، لاحتمال عدم إرادتها فی العامّ من الأوّل، أو لاحتمال ورود المخصّص الآخر، سواء کان التخصیص نوعیّا، أو فردیّا، فافهم و اغتنم</w:t>
      </w:r>
      <w:r>
        <w:rPr>
          <w:rFonts w:eastAsia="IRNazanin" w:cs="IRNazanin"/>
          <w:color w:val="111111"/>
          <w:sz w:val="28"/>
          <w:szCs w:val="28"/>
          <w:rtl w:val="true"/>
          <w:lang w:bidi="fa-IR"/>
        </w:rPr>
        <w:t>.</w:t>
      </w:r>
    </w:p>
    <w:p>
      <w:pPr>
        <w:pStyle w:val="Heading4"/>
        <w:numPr>
          <w:ilvl w:val="3"/>
          <w:numId w:val="1"/>
        </w:numPr>
        <w:rPr/>
      </w:pPr>
      <w:bookmarkStart w:id="410" w:name="__RefHeading___Toc559622_3244359995"/>
      <w:bookmarkStart w:id="411" w:name="_Toc154"/>
      <w:bookmarkEnd w:id="410"/>
      <w:r>
        <w:rPr>
          <w:rtl w:val="true"/>
        </w:rPr>
        <w:t>المقام الأوّل</w:t>
      </w:r>
      <w:r>
        <w:rPr>
          <w:rtl w:val="true"/>
        </w:rPr>
        <w:t xml:space="preserve">: </w:t>
      </w:r>
      <w:r>
        <w:rPr>
          <w:rtl w:val="true"/>
        </w:rPr>
        <w:t>فی مجازیّة العامّ المخصّص و عدمها</w:t>
      </w:r>
      <w:bookmarkEnd w:id="411"/>
    </w:p>
    <w:p>
      <w:pPr>
        <w:pStyle w:val="Heading5"/>
        <w:numPr>
          <w:ilvl w:val="4"/>
          <w:numId w:val="1"/>
        </w:numPr>
        <w:rPr/>
      </w:pPr>
      <w:bookmarkStart w:id="412" w:name="__RefHeading___Toc559624_3244359995"/>
      <w:bookmarkStart w:id="413" w:name="_Toc155"/>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إذا تبیّن حدّ البحث و حدود المسألة المتخالف فیها، فنقول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الأقوال فیه کثیرة، و الاحتمالات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المجازیّة مطلقا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المجازیّة مطلقا، و هو منسوب </w:t>
      </w:r>
      <w:r>
        <w:rPr>
          <w:rStyle w:val="FootnoteAnchor"/>
          <w:rtl w:val="true"/>
        </w:rPr>
        <w:footnoteReference w:id="499"/>
      </w:r>
      <w:r>
        <w:rPr>
          <w:rFonts w:ascii="IRNazanin" w:hAnsi="IRNazanin" w:eastAsia="IRNazanin"/>
          <w:color w:val="111111"/>
          <w:sz w:val="28"/>
          <w:sz w:val="28"/>
          <w:szCs w:val="28"/>
          <w:rtl w:val="true"/>
          <w:lang w:bidi="fa-IR"/>
        </w:rPr>
        <w:t xml:space="preserve">إلی الشهرة بین المتأخّرین </w:t>
      </w:r>
      <w:r>
        <w:rPr>
          <w:rStyle w:val="FootnoteAnchor"/>
          <w:rtl w:val="true"/>
        </w:rPr>
        <w:footnoteReference w:id="500"/>
      </w:r>
      <w:r>
        <w:rPr>
          <w:rFonts w:ascii="Amiri" w:hAnsi="Amiri" w:eastAsia="Amiri" w:cs="Amiri"/>
          <w:color w:val="111111"/>
          <w:sz w:val="28"/>
          <w:sz w:val="28"/>
          <w:szCs w:val="28"/>
          <w:rtl w:val="true"/>
          <w:lang w:bidi="ar-SA"/>
        </w:rPr>
        <w:t>من بعد السیّد المزبور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المخصّص المتّصل و المنفصل، فیکون مجازا فی الثانی، دون الأوّل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المجازیّة فیهما، و أمّا إذا کان التخصیص بالاستثناء بشکل التقیید،</w:t>
      </w:r>
    </w:p>
    <w:p>
      <w:pPr>
        <w:pStyle w:val="BookText"/>
        <w:rPr/>
      </w:pP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مجازیّة</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ذلک ممّا هو خارج عن محطّ نزاعهم أیضا، فما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تضییق دائرة المدخول و توسعته لا یضرّ بالحقیقة فی المتّصل قطعا</w:t>
      </w:r>
      <w:r>
        <w:rPr>
          <w:rStyle w:val="FootnoteAnchor"/>
          <w:rtl w:val="true"/>
        </w:rPr>
        <w:footnoteReference w:id="503"/>
      </w:r>
      <w:r>
        <w:rPr>
          <w:rFonts w:ascii="IRNazanin" w:hAnsi="IRNazanin" w:eastAsia="IRNazanin"/>
          <w:color w:val="111111"/>
          <w:sz w:val="28"/>
          <w:sz w:val="28"/>
          <w:szCs w:val="28"/>
          <w:rtl w:val="true"/>
          <w:lang w:bidi="fa-IR"/>
        </w:rPr>
        <w:t xml:space="preserve">، فی غیر محلّه،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الاستثناء، و فی الاستثناء یلزم الإخراج کما فی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 کلامه علی التقیید بغیر الاستثناء فهو متین، إلاّ أنّه خارج عن محطّ الخلاف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التفصیل بین التخصیص النوعیّ و الفردیّ، بلزوم المجازیّة فی الثانی، دون الأوّل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من الأقوال و الاحتمالات </w:t>
      </w:r>
      <w:r>
        <w:rPr>
          <w:rStyle w:val="FootnoteAnchor"/>
          <w:rtl w:val="true"/>
        </w:rPr>
        <w:footnoteReference w:id="505"/>
      </w:r>
      <w:r>
        <w:rPr>
          <w:rFonts w:ascii="IRNazanin" w:hAnsi="IRNazanin" w:eastAsia="IRNazanin"/>
          <w:color w:val="111111"/>
          <w:sz w:val="28"/>
          <w:sz w:val="28"/>
          <w:szCs w:val="28"/>
          <w:rtl w:val="true"/>
          <w:lang w:bidi="fa-IR"/>
        </w:rPr>
        <w:t>، کالتفصیل بین أقسام العموم الاستغراقیّ و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غایة الوجه فی تقریب المجازیّة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القائلین بالمجازیّة، و قد قرّروه فی کتبهم بما لا مزید علیه </w:t>
      </w:r>
      <w:r>
        <w:rPr>
          <w:rStyle w:val="FootnoteAnchor"/>
          <w:rtl w:val="true"/>
        </w:rPr>
        <w:footnoteReference w:id="506"/>
      </w:r>
      <w:r>
        <w:rPr>
          <w:rFonts w:ascii="IRNazanin" w:hAnsi="IRNazanin" w:eastAsia="IRNazanin"/>
          <w:color w:val="111111"/>
          <w:sz w:val="28"/>
          <w:sz w:val="28"/>
          <w:szCs w:val="28"/>
          <w:rtl w:val="true"/>
          <w:lang w:bidi="fa-IR"/>
        </w:rPr>
        <w:t>، و إجماله أنّ أداة العموم موضوعة لاستیعاب مصادیق مدخولها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موضوعة لإسراء الحکم فی العامّ الاستغراقیّ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الدائر کثیرا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الأفراد قاطبة و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دلّ دلیل من الخارج متّصلا کان أو منفصلا، علی أنّ هذه الأداة لا تفی بما وضعت له، و لا تسری الحکم</w:t>
      </w:r>
    </w:p>
    <w:p>
      <w:pPr>
        <w:pStyle w:val="BookText"/>
        <w:rPr/>
      </w:pPr>
      <w:r>
        <w:rPr>
          <w:rFonts w:ascii="IRNazanin" w:hAnsi="IRNazanin" w:eastAsia="IRNazanin"/>
          <w:color w:val="111111"/>
          <w:sz w:val="28"/>
          <w:sz w:val="28"/>
          <w:szCs w:val="28"/>
          <w:rtl w:val="true"/>
          <w:lang w:bidi="fa-IR"/>
        </w:rPr>
        <w:t>إلی طائفة خاصّة، فتکون مستعملة فی غیر ما وضعت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تسقط عن العمل بوظیفتها، و هذا عین سقوطها عن الوقوع فی محلّها و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خلافه و لا سیّما فی المتّصل، بدعوی أنّ للمتکلّم أن یلحق بکلامه ما شاء، فی غیر محلّه، ضرورة أنّه کذلک، إلاّ أنّه من قبیل الإتیان بالقرینة علی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خلط العلاّمتین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النائینیّ </w:t>
      </w:r>
      <w:r>
        <w:rPr>
          <w:rStyle w:val="FootnoteAnchor"/>
          <w:rtl w:val="true"/>
        </w:rPr>
        <w:footnoteReference w:id="507"/>
      </w:r>
      <w:r>
        <w:rPr>
          <w:rFonts w:ascii="Amiri" w:hAnsi="Amiri" w:eastAsia="Amiri" w:cs="Amiri"/>
          <w:color w:val="111111"/>
          <w:sz w:val="28"/>
          <w:sz w:val="28"/>
          <w:szCs w:val="28"/>
          <w:rtl w:val="true"/>
          <w:lang w:bidi="ar-SA"/>
        </w:rPr>
        <w:t xml:space="preserve">و الحائریّ </w:t>
      </w:r>
      <w:r>
        <w:rPr>
          <w:rStyle w:val="FootnoteAnchor"/>
          <w:rtl w:val="true"/>
        </w:rPr>
        <w:footnoteReference w:id="508"/>
      </w:r>
      <w:r>
        <w:rPr>
          <w:rFonts w:ascii="IRNazanin" w:hAnsi="IRNazanin" w:eastAsia="IRNazanin"/>
          <w:color w:val="111111"/>
          <w:sz w:val="28"/>
          <w:sz w:val="28"/>
          <w:szCs w:val="28"/>
          <w:rtl w:val="true"/>
          <w:lang w:bidi="fa-IR"/>
        </w:rPr>
        <w:t xml:space="preserve">بین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المتعقّبة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الأولی لا یلزم من التقیید مجازیّة کما أفاداه،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ورد من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تلزم المجازیّة،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فیما سیق له، و أدّی حینئذ وظیفته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و إن لم تکن موضوعة للمعانی المرادة، لا بنحو القضیّة الشرطیّة، و لا الحینیّة، و لکن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تحرّر عند الفضلاء 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 بالإرادة و القصد</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إلقاء اللفظ کما یصدر من بعض الحیوانات، لا یکون من الاستعمال، فإذا کان هو متقوّما بالإرادة و قصد المعنی، ففی مورد استعمال أداة العموم فی العامّ المخصّص إمّا لا یقصد المعنی و هو الاستیعاب، أو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یقصد المعنی أصلا فیلزم الغلط، و لا یکون من الاستعمال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قصد المعنی فإمّا یقصد عدم الاستیعاب، فتلزم المجازیّة، و إن قصد</w:t>
      </w:r>
    </w:p>
    <w:p>
      <w:pPr>
        <w:pStyle w:val="BookText"/>
        <w:rPr/>
      </w:pPr>
      <w:r>
        <w:rPr>
          <w:rFonts w:ascii="IRNazanin" w:hAnsi="IRNazanin" w:eastAsia="IRNazanin"/>
          <w:color w:val="111111"/>
          <w:sz w:val="28"/>
          <w:sz w:val="28"/>
          <w:szCs w:val="28"/>
          <w:rtl w:val="true"/>
          <w:lang w:bidi="fa-IR"/>
        </w:rPr>
        <w:t>الاستیعاب فیلزم النسخ الممتنع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سبیل إلی الأوّل و الثالث یتعیّن الثانی،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التقریبین یظهر قصور تقریب القوم حول لزوم المجازیّة، فإنّه یظهر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أداة العموم لیست إلاّ لاستیعاب الطبیعة المهملة الواردة علیها، و هذا معنی استعملت فیه الأداة قبل التخصیص و بعده، فلا مجازیّة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الاستیعاب متقوّم بالمستوعب و المستوعب، فلا بدّ من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الأداة وضعت لبسط الحکم المذکور فی القضیّة الإخباریّة أو الإنشائیّة علی الأفراد علی نعت الاستقلال، و علی المجموع فی العامّ المجموعیّ، فلا بدّ هناک من جهة الاستیعاب، و من أمر استوعبه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تحرّر فی الوجهین و التقریبین، و لکن لنا أن نقول بعدم لزوم المجازیّة أیضا، و ذلک لأنّ الحکم المتقوّم به الاستیعاب الّذی وضعت له أداة العموم، أعمّ من الحکم الإنشائیّ و الجدّی، و لیکن ذلک هو الإنشائیّ دون الجدّی، فلا یلزم اختلال فی وظیفة الأداة، لسریان الحکم الإنشائیّ إلی جمیع الأفراد، دون الجدّی، و ذلک للقرینة المتّصلة أو المنفصلة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عن سرّ الأحکام الإنشائیّة و إلقاء القوانین العامّة، فهو خارج عن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ذلک ممّا لا مفرّ منه لوضوحه، و علیه بناء کافّة العقلاء فی قوانینهم العرفیّة، و قاطبة الشرائع فی تشریعاتها الإلهیّة، فما تری فی کلماتهم حوله </w:t>
      </w:r>
      <w:r>
        <w:rPr>
          <w:rStyle w:val="FootnoteAnchor"/>
          <w:rtl w:val="true"/>
        </w:rPr>
        <w:footnoteReference w:id="511"/>
      </w:r>
      <w:r>
        <w:rPr>
          <w:rFonts w:ascii="IRNazanin" w:hAnsi="IRNazanin" w:eastAsia="IRNazanin"/>
          <w:color w:val="111111"/>
          <w:sz w:val="28"/>
          <w:sz w:val="28"/>
          <w:szCs w:val="28"/>
          <w:rtl w:val="true"/>
          <w:lang w:bidi="fa-IR"/>
        </w:rPr>
        <w:t>لا یخلو من 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القصد و الإرادة المتقوّم بهما الاستعمال، أعمّ من القصد و الإرادة التی یتعقّبها الحکم الإنشائیّ، فیحصل بذلک شرط صحّة الاستعمال، و هذا هو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الاستعمالیّة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تقریرات العلاّمة النائینی </w:t>
      </w:r>
      <w:r>
        <w:rPr>
          <w:rStyle w:val="FootnoteAnchor"/>
          <w:rtl w:val="true"/>
        </w:rPr>
        <w:footnoteReference w:id="512"/>
      </w:r>
      <w:r>
        <w:rPr>
          <w:rFonts w:ascii="IRNazanin" w:hAnsi="IRNazanin" w:eastAsia="IRNazanin"/>
          <w:color w:val="111111"/>
          <w:sz w:val="28"/>
          <w:sz w:val="28"/>
          <w:szCs w:val="28"/>
          <w:rtl w:val="true"/>
          <w:lang w:bidi="fa-IR"/>
        </w:rPr>
        <w:t xml:space="preserve">و غیره </w:t>
      </w:r>
      <w:r>
        <w:rPr>
          <w:rStyle w:val="FootnoteAnchor"/>
          <w:rtl w:val="true"/>
        </w:rPr>
        <w:footnoteReference w:id="513"/>
      </w:r>
      <w:r>
        <w:rPr>
          <w:rFonts w:ascii="IRNazanin" w:hAnsi="IRNazanin" w:eastAsia="IRNazanin"/>
          <w:color w:val="111111"/>
          <w:sz w:val="28"/>
          <w:sz w:val="28"/>
          <w:szCs w:val="28"/>
          <w:rtl w:val="true"/>
          <w:lang w:bidi="fa-IR"/>
        </w:rPr>
        <w:t>من إنکار الإرادتین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الاستعمالیّة، و الجدّیة، یرجع إلی إنکار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الإنشائیّ، و الجدّی و الفعلیّ، و حیث لا سبیل إلی الثانی فیتعیّن الأوّل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أنّا أنکرنا الاستعمالات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استعمال اللفظ فی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المجاز المرسل، فإنّ فی مثل الأمر بسؤال الدکّة و العیر و القریة، لا یرید المتکلّم فی مقام الاستعمال إلاّ الدکّة و العیر و القریة، و لکن له قصد آخر ینتقل إلیه الناس عند استماع کلامه، و هو صاحب الدکّة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غیر استعمال اللفظ فی صاحبها، و لا یکون من المجاز فی الإسناد بحذف المضاف، و تفصیله فی محلّه </w:t>
      </w:r>
      <w:r>
        <w:rPr>
          <w:rStyle w:val="FootnoteAnchor"/>
          <w:rtl w:val="true"/>
        </w:rPr>
        <w:footnoteReference w:id="514"/>
      </w:r>
      <w:r>
        <w:rPr>
          <w:rFonts w:ascii="IRNazanin" w:hAnsi="IRNazanin" w:eastAsia="IRNazanin"/>
          <w:color w:val="111111"/>
          <w:sz w:val="28"/>
          <w:sz w:val="28"/>
          <w:szCs w:val="28"/>
          <w:rtl w:val="true"/>
          <w:lang w:bidi="fa-IR"/>
        </w:rPr>
        <w:t>، و من شاء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کافّة العمومات الاستغراقیّة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إخباریّة کانت، أو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مجازیّة، من غیر ارتباط المسألة بالحجّیة و اللاحجّیة، کما یأتی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القضایا الإخباریّة إذا أخبر عن مجی‌ء کلّ عالم عنده، ثمّ توجّه بعد ذلک إلی أنّ طائفة منهم ما جاءوا، فإنّه لا تلزم المجازیّة و إن کانت القضیّة کاذبة، و لو لزمت المجازیّة لما لزم الکذب، ففیما إذا کان معذورا من الکذب لجهله بالواقعة لم تستوعب أداة العموم، و لکن لا تلزم المجازیّة، لأنّها استوعبت بحسب</w:t>
      </w:r>
      <w:bookmarkStart w:id="414" w:name="pg13167_140913"/>
    </w:p>
    <w:p>
      <w:pPr>
        <w:pStyle w:val="BookText"/>
        <w:rPr/>
      </w:pPr>
      <w:bookmarkEnd w:id="414"/>
      <w:r>
        <w:rPr>
          <w:rFonts w:ascii="IRNazanin" w:hAnsi="IRNazanin" w:eastAsia="IRNazanin"/>
          <w:color w:val="111111"/>
          <w:sz w:val="28"/>
          <w:sz w:val="28"/>
          <w:szCs w:val="28"/>
          <w:rtl w:val="true"/>
          <w:lang w:bidi="fa-IR"/>
        </w:rPr>
        <w:t>الاستعمال و تلک الإرادة و القصد و إن لم یکن الجدّ و الواقعیّة مستوعبة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حال القضایا الإنشائیّة العامّة المخصّصة، فافهم و اغتنم و 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العمومات المجموعیّة</w:t>
      </w:r>
      <w:r>
        <w:rPr>
          <w:rFonts w:eastAsia="IRNazanin" w:cs="IRNazanin"/>
          <w:color w:val="111111"/>
          <w:sz w:val="28"/>
          <w:szCs w:val="28"/>
          <w:rtl w:val="true"/>
          <w:lang w:bidi="fa-IR"/>
        </w:rPr>
        <w:t>.</w:t>
      </w:r>
    </w:p>
    <w:p>
      <w:pPr>
        <w:pStyle w:val="Heading5"/>
        <w:numPr>
          <w:ilvl w:val="4"/>
          <w:numId w:val="1"/>
        </w:numPr>
        <w:rPr/>
      </w:pPr>
      <w:bookmarkStart w:id="415" w:name="__RefHeading___Toc559626_3244359995"/>
      <w:bookmarkStart w:id="416" w:name="_Toc156"/>
      <w:bookmarkEnd w:id="415"/>
      <w:r>
        <w:rPr>
          <w:rtl w:val="true"/>
        </w:rPr>
        <w:t>تنبیه</w:t>
      </w:r>
      <w:r>
        <w:rPr>
          <w:rtl w:val="true"/>
        </w:rPr>
        <w:t>:</w:t>
      </w:r>
      <w:bookmarkEnd w:id="416"/>
    </w:p>
    <w:p>
      <w:pPr>
        <w:pStyle w:val="BookText"/>
        <w:rPr/>
      </w:pPr>
      <w:r>
        <w:rPr>
          <w:rFonts w:ascii="IRNazanin" w:hAnsi="IRNazanin" w:eastAsia="IRNazanin"/>
          <w:color w:val="111111"/>
          <w:sz w:val="28"/>
          <w:sz w:val="28"/>
          <w:szCs w:val="28"/>
          <w:rtl w:val="true"/>
          <w:lang w:bidi="fa-IR"/>
        </w:rPr>
        <w:t>بناء علی ما سلکناه فی أداة العموم، و قصورها عن إفادة العام الاستغراقیّ بالوضع، و احتیاجها إلی مقدّمات الحکمة</w:t>
      </w:r>
      <w:r>
        <w:rPr>
          <w:rStyle w:val="FootnoteAnchor"/>
          <w:rtl w:val="true"/>
        </w:rPr>
        <w:footnoteReference w:id="515"/>
      </w:r>
      <w:r>
        <w:rPr>
          <w:rFonts w:ascii="IRNazanin" w:hAnsi="IRNazanin" w:eastAsia="IRNazanin"/>
          <w:color w:val="111111"/>
          <w:sz w:val="28"/>
          <w:sz w:val="28"/>
          <w:szCs w:val="28"/>
          <w:rtl w:val="true"/>
          <w:lang w:bidi="fa-IR"/>
        </w:rPr>
        <w:t>، لا تلزم المجازیّة رأسا،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توهّم جریان إشکال المجازیّة فی المطلق و المقیّد بالمنفصل، ضرورة أنّ الطبیعة قبل التقیید و بعدها لا تستعمل إلاّ فیما وضعت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مقدّمات الحکمة تستلزم تکثیر الطبیعة بحسب الحالات، و یکون الإطلاق جمع القیود</w:t>
      </w:r>
      <w:r>
        <w:rPr>
          <w:rStyle w:val="FootnoteAnchor"/>
          <w:rtl w:val="true"/>
        </w:rPr>
        <w:footnoteReference w:id="516"/>
      </w:r>
      <w:r>
        <w:rPr>
          <w:rFonts w:ascii="IRNazanin" w:hAnsi="IRNazanin" w:eastAsia="IRNazanin"/>
          <w:color w:val="111111"/>
          <w:sz w:val="28"/>
          <w:sz w:val="28"/>
          <w:szCs w:val="28"/>
          <w:rtl w:val="true"/>
          <w:lang w:bidi="fa-IR"/>
        </w:rPr>
        <w:t>، فتلزم المجازیّة مطلقا کما لا یخفی، و تفصیله ربّما یناسب بحوث المطلق و المقیّد</w:t>
      </w:r>
      <w:r>
        <w:rPr>
          <w:rStyle w:val="FootnoteAnchor"/>
          <w:rtl w:val="true"/>
        </w:rPr>
        <w:footnoteReference w:id="517"/>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559628_3244359995"/>
      <w:bookmarkStart w:id="418" w:name="_Toc157"/>
      <w:bookmarkEnd w:id="417"/>
      <w:r>
        <w:rPr>
          <w:rtl w:val="true"/>
        </w:rPr>
        <w:t>المقام الثانی</w:t>
      </w:r>
      <w:r>
        <w:rPr>
          <w:rtl w:val="true"/>
        </w:rPr>
        <w:t xml:space="preserve">: </w:t>
      </w:r>
      <w:r>
        <w:rPr>
          <w:rtl w:val="true"/>
        </w:rPr>
        <w:t>فی حجّیة العامّ بعد التخصیص</w:t>
      </w:r>
      <w:bookmarkEnd w:id="418"/>
    </w:p>
    <w:p>
      <w:pPr>
        <w:pStyle w:val="Heading5"/>
        <w:numPr>
          <w:ilvl w:val="4"/>
          <w:numId w:val="1"/>
        </w:numPr>
        <w:rPr/>
      </w:pPr>
      <w:bookmarkStart w:id="419" w:name="__RefHeading___Toc559630_3244359995"/>
      <w:bookmarkStart w:id="420" w:name="_Toc158"/>
      <w:bookmarkEnd w:id="419"/>
      <w:r>
        <w:rPr>
          <w:rtl w:val="true"/>
        </w:rPr>
        <w:t>اشارة</w:t>
      </w:r>
      <w:bookmarkEnd w:id="42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العامّ بعد التخصیص یبقی علی حجّیته، أم لا؟ و یلزم علی الثانی سقوط جمیع العمومات فی الکتاب و السنّة، لما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ما من عامّ إلاّ و قد خصّ</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عدم الحجیّة إلی القائلین بالمجازیّة</w:t>
      </w:r>
      <w:r>
        <w:rPr>
          <w:rStyle w:val="FootnoteAnchor"/>
          <w:rtl w:val="true"/>
        </w:rPr>
        <w:footnoteReference w:id="519"/>
      </w:r>
      <w:r>
        <w:rPr>
          <w:rFonts w:ascii="IRNazanin" w:hAnsi="IRNazanin" w:eastAsia="IRNazanin"/>
          <w:color w:val="111111"/>
          <w:sz w:val="28"/>
          <w:sz w:val="28"/>
          <w:szCs w:val="28"/>
          <w:rtl w:val="true"/>
          <w:lang w:bidi="fa-IR"/>
        </w:rPr>
        <w:t>، فی غیر محلّها، ضرورة أنّ المنسوب إلی المشهور إلی القرن الحادی عشر، مجازیّة العامّ بعد التخصیص، و مع ذلک کان من القدیم إلی العصر المزبور، یتمسّک بجمیع العمومات بلا وقفة و انتظار فی کثیر من الفروع، بل الفقه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بالحجیّة لا یدور مدار الحقیقة و المجاز، کما أشیر إلیه فی أوّل البحث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إمکان اختیار عدم الحجّیة و إن قلنا بالحقیقة و عدم لزوم المجازیّة، و ذلک لأمور نشیر إلیها علی إجمالها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الأصول العقلائیّة اللاّزم جریانها فی المحاورات حتّی یصحّ الاحتجاج و تتمّ الحجّة، هی أصالة التطابق، و لو ورد دلیل علی عدم الإرادة الجدّیة بالنسبة إلی طائفة من العامّ، یصحّ أن یشکّ فی حصول الجدّ و تحقّقه بالنسبة إلی الطائفة الأخری، لوجود ما یصلح للقرینیّة علی ذلک، و هو خروج طائفة منها قطعا، و عدم التطابق بینهما، أی بین الحکم الإنشائیّ و الفعلیّ، و بین الإرادة الاستعمالیّة و الجدّیة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أَوْفُوا بِالْعُقُودِ</w:t>
      </w:r>
      <w:r>
        <w:rPr>
          <w:rStyle w:val="FootnoteAnchor"/>
          <w:rtl w:val="true"/>
        </w:rPr>
        <w:footnoteReference w:id="521"/>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 بعقد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شکّ فی أنّ عقد الجعالة واجب الوفاء، أم لا، یشکل حجّیة العامّ بالنسبة إلیه، لأنّه من الشّک المستقرّ المستند إلی ما یصلح للقرینیّة علی عدم جریان أصالة التطابق التی هی من الأصول العقلائیّة، فمجرّد کونه عامّا غیر کاف، فلا تخلط</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العمومات لا یستعمل العامّ استعمالات کثیرة، بخلاف الحکم،</w:t>
      </w:r>
    </w:p>
    <w:p>
      <w:pPr>
        <w:pStyle w:val="BookText"/>
        <w:rPr/>
      </w:pPr>
      <w:r>
        <w:rPr>
          <w:rFonts w:ascii="IRNazanin" w:hAnsi="IRNazanin" w:eastAsia="IRNazanin"/>
          <w:color w:val="111111"/>
          <w:sz w:val="28"/>
          <w:sz w:val="28"/>
          <w:szCs w:val="28"/>
          <w:rtl w:val="true"/>
          <w:lang w:bidi="fa-IR"/>
        </w:rPr>
        <w:t xml:space="preserve">فإنّه یتکثّر فی الاعتبار، علی وجه تحرّر فی بحوث الترتّب </w:t>
      </w:r>
      <w:r>
        <w:rPr>
          <w:rStyle w:val="FootnoteAnchor"/>
          <w:rtl w:val="true"/>
        </w:rPr>
        <w:footnoteReference w:id="522"/>
      </w:r>
      <w:r>
        <w:rPr>
          <w:rFonts w:ascii="IRNazanin" w:hAnsi="IRNazanin" w:eastAsia="IRNazanin"/>
          <w:color w:val="111111"/>
          <w:sz w:val="28"/>
          <w:sz w:val="28"/>
          <w:szCs w:val="28"/>
          <w:rtl w:val="true"/>
          <w:lang w:bidi="fa-IR"/>
        </w:rPr>
        <w:t xml:space="preserve">، و یأتی فی مباحث البراءة و الاشتغال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هناک استعمال واحد، فإن کان هو المراد جدّاً فهو، و إلاّ فلو کان بعض المستعمل فیه مرادا جدّیا، لا یمکن فی ظرف الشکّ استکشاف الجدّ حسب الألفاظ المستعملة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الحکایات الکثیرة أو الاستعمالات المتعدّدة، غیر صحیح، بل هناک حکایة واحدة عن العموم الاستغراقیّ بوجه الإجمال، و استعمال فارد بالضرورة، و لذلک فی القضایا الإخباریّة یکون له الصدق الواحد و الکذب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کاشفیّة الألفاظ عن الإرادة الجدّیة کاشفیّة نوعیّة، و تکون حجّة لتلک الکاشفیّة، و العامّ قبل التخصیص لا قصور فی کشفه عن الإرادة الجدّیة، و أمّا بعده فلا معنی لکاشفیّته بعد اتضاح عدم کشفه فی مورد التخصیص، لما لا یتکثّر کشفه، بل هو ذو کشف وحدانیّ،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الوجوه من التسویلات فی مقابل البدیهة الناطق بها کافّة الناس و العقلاء، و بالنسبة إلی القوانین العرفیّة و الشرعیّة، ضرورة تمسّکهم و بنائهم العملیّ علی الاعتناء و الاحتجاج بالعمومات المخصّصة، و لا یعتنون باحتمال المخصّص الآخر، أو احتمال عدم إرادة مورد الشکّ من الأوّل، أو غیر ذلک، و هذا ممّا لا غبار علیه، و لا ثمرة فیه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کلّه لا تخلو من المناقشات تلک الوجوه الإجمالیّة، مثلا یتوجّه إلی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الاتکاء المزبور یصحّ فیما لم یعلم من عادة المقنّن تدریج البیان</w:t>
      </w:r>
      <w:bookmarkStart w:id="421" w:name="pg13167_140916"/>
    </w:p>
    <w:p>
      <w:pPr>
        <w:pStyle w:val="BookText"/>
        <w:rPr/>
      </w:pPr>
      <w:bookmarkEnd w:id="421"/>
      <w:r>
        <w:rPr>
          <w:rFonts w:ascii="IRNazanin" w:hAnsi="IRNazanin" w:eastAsia="IRNazanin"/>
          <w:color w:val="111111"/>
          <w:sz w:val="28"/>
          <w:sz w:val="28"/>
          <w:szCs w:val="28"/>
          <w:rtl w:val="true"/>
          <w:lang w:bidi="fa-IR"/>
        </w:rPr>
        <w:t>و تقسیط المخصّصات علی الأزمنة لمصالح عنده، فلا یکون مثل ذلک من الاتکاء علی ما یصلح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قضیّة العموم الاستغراقیّ، تعدّد الأحکام الجدّیة و إن کان الاستعمال و الحکایة واحدا، و إذا قامت القرینة علی عدم الجدّ بالنسبة إلی طائفة من الأفراد، لا یبقی وجه لصرف النّظر عن مورد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التطابق بین الجدّ و الاستعمال ترجع إلی التطابق بین الحکم الإنشائیّ و الفعلیّ، و الحکم الإنشائیّ متعدّد، و هکذا الفعلیّ، فما قامت علیه القرینة الخاصّة خارج عن الأصل المزبور، دون الباقی، لتعدّد الحکم انحلالا حکمیّا و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الکاشفیّة فهو أیضا مورد المناقشة، فإنّ ما هو الکاشف عن الحکم الأعمّ من الإنشائیّ و الجدّی، هی الألفاظ المستعملة، و ما هو الکاشف عن الأحکام الفعلیّة و الجدّیة هی أصالة التطابق التی هی مصبّها الأحکام الانحلالیّة الکثیرة، و عندئذ لا منع من ورود التخصیص و قیام القرینة علی طائفة منها، و بقاء الباقی تحت العامّ و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ما أشیر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بناء العقلاء فی جمیع المحاورات علی التمسّک بالعمومات، مع أنّه ما من عامّ إلاّ و قد خصّ </w:t>
      </w:r>
      <w:r>
        <w:rPr>
          <w:rStyle w:val="FootnoteAnchor"/>
          <w:rtl w:val="true"/>
        </w:rPr>
        <w:footnoteReference w:id="524"/>
      </w:r>
      <w:r>
        <w:rPr>
          <w:rFonts w:ascii="IRNazanin" w:hAnsi="IRNazanin" w:eastAsia="IRNazanin"/>
          <w:color w:val="111111"/>
          <w:sz w:val="28"/>
          <w:sz w:val="28"/>
          <w:szCs w:val="28"/>
          <w:rtl w:val="true"/>
          <w:lang w:bidi="fa-IR"/>
        </w:rPr>
        <w:t>، و لو تمّ ما توهّم من سقوط الحجّیة، یلزم النظام الجدید و الفقه الحدیث</w:t>
      </w:r>
      <w:r>
        <w:rPr>
          <w:rFonts w:eastAsia="IRNazanin" w:cs="IRNazanin"/>
          <w:color w:val="111111"/>
          <w:sz w:val="28"/>
          <w:szCs w:val="28"/>
          <w:rtl w:val="true"/>
          <w:lang w:bidi="fa-IR"/>
        </w:rPr>
        <w:t>.</w:t>
      </w:r>
    </w:p>
    <w:p>
      <w:pPr>
        <w:pStyle w:val="Heading5"/>
        <w:numPr>
          <w:ilvl w:val="4"/>
          <w:numId w:val="1"/>
        </w:numPr>
        <w:rPr/>
      </w:pPr>
      <w:bookmarkStart w:id="422" w:name="__RefHeading___Toc559632_3244359995"/>
      <w:bookmarkStart w:id="423" w:name="_Toc159"/>
      <w:bookmarkEnd w:id="422"/>
      <w:r>
        <w:rPr>
          <w:rtl w:val="true"/>
        </w:rPr>
        <w:t>تذنیب</w:t>
      </w:r>
      <w:r>
        <w:rPr>
          <w:rtl w:val="true"/>
        </w:rPr>
        <w:t xml:space="preserve">: </w:t>
      </w:r>
      <w:r>
        <w:rPr>
          <w:rtl w:val="true"/>
        </w:rPr>
        <w:t>فی الوجوه الدالّة علی حجّیة العامّ و لو مع الالتزام بالمجازیة</w:t>
      </w:r>
      <w:bookmarkEnd w:id="42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عرفت سقوط الملازمة بین الحقیقة و الحجّیة، کذلک الأمر بین اللاحجّیة</w:t>
      </w:r>
    </w:p>
    <w:p>
      <w:pPr>
        <w:pStyle w:val="BookText"/>
        <w:rPr/>
      </w:pPr>
      <w:r>
        <w:rPr>
          <w:rFonts w:ascii="IRNazanin" w:hAnsi="IRNazanin" w:eastAsia="IRNazanin"/>
          <w:color w:val="111111"/>
          <w:sz w:val="28"/>
          <w:sz w:val="28"/>
          <w:szCs w:val="28"/>
          <w:rtl w:val="true"/>
          <w:lang w:bidi="fa-IR"/>
        </w:rPr>
        <w:t>و المجازیّة، فإنّه یمکن الالتزام بالمجازیّة حسب الوجوه المزبورة</w:t>
      </w:r>
      <w:r>
        <w:rPr>
          <w:rStyle w:val="FootnoteAnchor"/>
          <w:rtl w:val="true"/>
        </w:rPr>
        <w:footnoteReference w:id="525"/>
      </w:r>
      <w:r>
        <w:rPr>
          <w:rFonts w:ascii="IRNazanin" w:hAnsi="IRNazanin" w:eastAsia="IRNazanin"/>
          <w:color w:val="111111"/>
          <w:sz w:val="28"/>
          <w:sz w:val="28"/>
          <w:szCs w:val="28"/>
          <w:rtl w:val="true"/>
          <w:lang w:bidi="fa-IR"/>
        </w:rPr>
        <w:t xml:space="preserve">، و لکن مع ذلک یبقی العامّ علی حجّیته، لما عرفت من بناء العقلاء علیه </w:t>
      </w:r>
      <w:r>
        <w:rPr>
          <w:rStyle w:val="FootnoteAnchor"/>
          <w:rtl w:val="true"/>
        </w:rPr>
        <w:footnoteReference w:id="526"/>
      </w:r>
      <w:r>
        <w:rPr>
          <w:rFonts w:ascii="IRNazanin" w:hAnsi="IRNazanin" w:eastAsia="IRNazanin"/>
          <w:color w:val="111111"/>
          <w:sz w:val="28"/>
          <w:sz w:val="28"/>
          <w:szCs w:val="28"/>
          <w:rtl w:val="true"/>
          <w:lang w:bidi="fa-IR"/>
        </w:rPr>
        <w:t xml:space="preserve">، و عدم إمکان الاعتناء بما فی المطوّلات من المناقشات </w:t>
      </w:r>
      <w:r>
        <w:rPr>
          <w:rStyle w:val="FootnoteAnchor"/>
          <w:rtl w:val="true"/>
        </w:rPr>
        <w:footnoteReference w:id="527"/>
      </w:r>
      <w:r>
        <w:rPr>
          <w:rFonts w:ascii="IRNazanin" w:hAnsi="IRNazanin" w:eastAsia="IRNazanin"/>
          <w:color w:val="111111"/>
          <w:sz w:val="28"/>
          <w:sz w:val="28"/>
          <w:szCs w:val="28"/>
          <w:rtl w:val="true"/>
          <w:lang w:bidi="fa-IR"/>
        </w:rPr>
        <w:t>، لأنّها خارجة عن محیطهم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هناک بعض وجوه تنتهی إلی الحجّیة و لو کان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 بعد التخصیص و إن کان مجازا، و لکن بالنسبة إلی الباقی یکون أقرب المجازات إلی الحقیقة، و عند ذلک یتعیّن حمل الکلام علیه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علی أقرب المجازات و تعیین فرد من المجازات الکثیرة، محتاج إلی القرینة المعیّنة، و تلک القرینة کما ربّما تکون لفظیّة، یمکن أن تکون عقلیّة، أو عقلائیّة و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العقلیّة، أنّ إلقاء العمومات القانونیّة، و تخصیصها بعد ذلک بالمخصّصات المنفصلة، لو کان موجبا لسقوطها عن الحجّیة، للزمت اللغویّة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المخصّص المتّصل، لا تلزم المجازیّة حتّی تلزم اللغویّة، فی غیر محلّه کما مضی </w:t>
      </w:r>
      <w:r>
        <w:rPr>
          <w:rStyle w:val="FootnoteAnchor"/>
          <w:rtl w:val="true"/>
        </w:rPr>
        <w:footnoteReference w:id="529"/>
      </w:r>
      <w:r>
        <w:rPr>
          <w:rFonts w:ascii="IRNazanin" w:hAnsi="IRNazanin" w:eastAsia="IRNazanin"/>
          <w:color w:val="111111"/>
          <w:sz w:val="28"/>
          <w:sz w:val="28"/>
          <w:szCs w:val="28"/>
          <w:rtl w:val="true"/>
          <w:lang w:bidi="fa-IR"/>
        </w:rPr>
        <w:t>، فإنّ المجازیّة تلزم فی المتّصل و المنفصل، فمقتضی الفرار من اللغویّة هو الالتزام بالحجّیة و لو کان مجازا بحسب الاستعمال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العقلائیّة ما مرّ منّا، من أنّ بناء العقلاء علی الاحتجاج، و هو فی حکم القرینة علی تعیین المراد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بناءهم علیه فرع ما یرون الاستعمال حقیقة، فاسد جدّاً، لنسیانهم و غفلتهم عن هذه المرحلة التی هی ترجع إلی المسائل الدرسیّة و الذوقیّات الشعریّة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ربّما یستفاد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 العلاّمة قدس سرُّه </w:t>
      </w:r>
      <w:r>
        <w:rPr>
          <w:rStyle w:val="FootnoteAnchor"/>
          <w:rtl w:val="true"/>
        </w:rPr>
        <w:footnoteReference w:id="530"/>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بعد الإطلاق و الإلقاء استعمل فی جمیع الأفراد، و القرینة الصارفة قائمة علی خروج طائفة منها، فیکون الباقی فی الخروج محتاجا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أصالة الجدّ مخصّصة بالمنفصل، فیکون الباقی تحت العامّ حسب الجدّ و الحکم الفعلیّ و إن کان اللفظ مجازا،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العامّ علی جمیع التقادیر بعد التخصیص بالنسبة إلی مورد الشکّ و محطّ الشبهة، و ما ینبغی البعث عن ذلک إنصافا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بعضا من المسائل الأصولیّة غنیّة عن البیان و البرهان، و المناقشات العقلیّة و التسویلات الشیطانیّة و الوهمیّة، لا تضرّ بما علیه دأب العقلاء و عادة الناس، و هذه المسألة من هذه الجهة مثل مسألة دلالة الأمر علی الوجوب، فإنّه لا ینبغی أن یعتمد علی الوجوه الناهضة علی امتناعها، کما لا یعتمد علیها أحد، و إنّما خلافهم فی سرّ المسألة، کما هو کذلک فی دلالة النهی علی الترک بالمرّة، بخلاف الأمر، مع اتحادهما بحسب الکیفیّة و الکمّیة، فإنّه لا مفرّ من الالتزام بوجوب الترک بالمرّة و إن کان هو مورد المناقشة العقلیّة جدّاً، و لکن لأجل تلک المناقشات لا یمکن العدول عمّا علیه بناء العقلاء و العرف بالضرورة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فحجّیة العامّ فی الباقی بعد کون المخصّص مبیّن المراد، ممّا لا وجه للخلاف فیها، و إنّما الخلاف کان فی أمر علمیّ آخر، و لا یتوقّف ذاک بهذا، کما عرفت بتفصیل، فلاحظ و تدبّر، و لا تکن من الخالطین</w:t>
      </w:r>
      <w:r>
        <w:rPr>
          <w:rFonts w:eastAsia="IRNazanin" w:cs="IRNazanin"/>
          <w:color w:val="111111"/>
          <w:sz w:val="28"/>
          <w:szCs w:val="28"/>
          <w:rtl w:val="true"/>
          <w:lang w:bidi="fa-IR"/>
        </w:rPr>
        <w:t>.</w:t>
      </w:r>
      <w:bookmarkStart w:id="424" w:name="pg13167_140919"/>
    </w:p>
    <w:p>
      <w:pPr>
        <w:pStyle w:val="Heading5"/>
        <w:numPr>
          <w:ilvl w:val="4"/>
          <w:numId w:val="1"/>
        </w:numPr>
        <w:rPr/>
      </w:pPr>
      <w:bookmarkStart w:id="425" w:name="__RefHeading___Toc559634_3244359995"/>
      <w:bookmarkStart w:id="426" w:name="_Toc160"/>
      <w:bookmarkEnd w:id="424"/>
      <w:bookmarkEnd w:id="425"/>
      <w:r>
        <w:rPr>
          <w:rtl w:val="true"/>
        </w:rPr>
        <w:t>إیقاظ</w:t>
      </w:r>
      <w:r>
        <w:rPr>
          <w:rtl w:val="true"/>
        </w:rPr>
        <w:t xml:space="preserve">: </w:t>
      </w:r>
      <w:r>
        <w:rPr>
          <w:rtl w:val="true"/>
        </w:rPr>
        <w:t>حول مختار السیّد الأستاذ البروجردی فی المقام</w:t>
      </w:r>
      <w:bookmarkEnd w:id="426"/>
    </w:p>
    <w:p>
      <w:pPr>
        <w:pStyle w:val="BookText"/>
        <w:rPr/>
      </w:pPr>
      <w:r>
        <w:rPr>
          <w:rFonts w:ascii="Amiri" w:hAnsi="Amiri" w:eastAsia="Amiri" w:cs="Amiri"/>
          <w:color w:val="111111"/>
          <w:sz w:val="28"/>
          <w:sz w:val="28"/>
          <w:szCs w:val="28"/>
          <w:rtl w:val="true"/>
          <w:lang w:bidi="ar-SA"/>
        </w:rPr>
        <w:t xml:space="preserve">اختار السیّد الأستاذ البروجردیّ حجّیة العامّ </w:t>
      </w:r>
      <w:r>
        <w:rPr>
          <w:rStyle w:val="FootnoteAnchor"/>
          <w:rtl w:val="true"/>
        </w:rPr>
        <w:footnoteReference w:id="531"/>
      </w:r>
      <w:r>
        <w:rPr>
          <w:rFonts w:ascii="IRNazanin" w:hAnsi="IRNazanin" w:eastAsia="IRNazanin"/>
          <w:color w:val="111111"/>
          <w:sz w:val="28"/>
          <w:sz w:val="28"/>
          <w:szCs w:val="28"/>
          <w:rtl w:val="true"/>
          <w:lang w:bidi="fa-IR"/>
        </w:rPr>
        <w:t>، و اختار أنّ العامّ المخصّص بحسب الاستعمال لیس بحقیقة، و لا مجاز، و ذلک لأنّ الحقیقة استعمال اللفظ فی الموضوع له، علی أن یکون المعنی الموضوع له مرادا جدّیا، و المجاز استعمال اللفظ فی الموضوع له علی أن یکون المعنی الموضوع غیر مراد جدّاً، و لکنّه جعل مجازا و معبرا للمعنی المراد الجدّی الّذی ادعی المتکلّم اتحادهما، و العامّ المخصّص لیس من الثانی، و لا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الثانی، فلأنّه لا یرید دعوی الاتحاد، و أنّ الباقی هو تمام العلماء، لأنّ المقام لیس ذلک المقام، بل لا یرید من العامّ إلاّ طائفة، فلا یکون من المجاز الساری فی جمیع المجازات </w:t>
      </w:r>
      <w:r>
        <w:rPr>
          <w:rStyle w:val="FootnoteAnchor"/>
          <w:rtl w:val="true"/>
        </w:rPr>
        <w:footnoteReference w:id="532"/>
      </w:r>
      <w:r>
        <w:rPr>
          <w:rFonts w:ascii="IRNazanin" w:hAnsi="IRNazanin" w:eastAsia="IRNazanin"/>
          <w:color w:val="111111"/>
          <w:sz w:val="28"/>
          <w:sz w:val="28"/>
          <w:szCs w:val="28"/>
          <w:rtl w:val="true"/>
          <w:lang w:bidi="fa-IR"/>
        </w:rPr>
        <w:t>، انتهی ملخّص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سقوط مبناه و بنائه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سقوط مبناه فی المجازات، فقد مضی تفصیله فی محلّه </w:t>
      </w:r>
      <w:r>
        <w:rPr>
          <w:rStyle w:val="FootnoteAnchor"/>
          <w:rtl w:val="true"/>
        </w:rPr>
        <w:footnoteReference w:id="533"/>
      </w:r>
      <w:r>
        <w:rPr>
          <w:rFonts w:ascii="IRNazanin" w:hAnsi="IRNazanin" w:eastAsia="IRNazanin"/>
          <w:color w:val="111111"/>
          <w:sz w:val="28"/>
          <w:sz w:val="28"/>
          <w:szCs w:val="28"/>
          <w:rtl w:val="true"/>
          <w:lang w:bidi="fa-IR"/>
        </w:rPr>
        <w:t>، و أنّ المجازات بین ما هی من قبیل الحقائق الادعائیّة للشیخ محمّد الرضائیّة</w:t>
      </w:r>
      <w:r>
        <w:rPr>
          <w:rStyle w:val="FootnoteAnchor"/>
          <w:rtl w:val="true"/>
        </w:rPr>
        <w:footnoteReference w:id="534"/>
      </w:r>
      <w:r>
        <w:rPr>
          <w:rFonts w:ascii="IRNazanin" w:hAnsi="IRNazanin" w:eastAsia="IRNazanin"/>
          <w:color w:val="111111"/>
          <w:sz w:val="28"/>
          <w:sz w:val="28"/>
          <w:szCs w:val="28"/>
          <w:rtl w:val="true"/>
          <w:lang w:bidi="fa-IR"/>
        </w:rPr>
        <w:t>، لا السکّاکیة</w:t>
      </w:r>
      <w:r>
        <w:rPr>
          <w:rStyle w:val="FootnoteAnchor"/>
          <w:rtl w:val="true"/>
        </w:rPr>
        <w:footnoteReference w:id="535"/>
      </w:r>
      <w:r>
        <w:rPr>
          <w:rFonts w:ascii="IRNazanin" w:hAnsi="IRNazanin" w:eastAsia="IRNazanin"/>
          <w:color w:val="111111"/>
          <w:sz w:val="28"/>
          <w:sz w:val="28"/>
          <w:szCs w:val="28"/>
          <w:rtl w:val="true"/>
          <w:lang w:bidi="fa-IR"/>
        </w:rPr>
        <w:t>، و بین ما هو خارج عن محیط الادعاء، کما فی الاستعمالات العرفیّة للعوامّ غیر المتوجّهین لمسائل البلاغة و الأدب و الأمور الذوقیّة، و من ذلک ما إذا</w:t>
      </w:r>
      <w:bookmarkStart w:id="427" w:name="pg13167_140920"/>
    </w:p>
    <w:p>
      <w:pPr>
        <w:pStyle w:val="BookText"/>
        <w:rPr/>
      </w:pPr>
      <w:bookmarkEnd w:id="427"/>
      <w:r>
        <w:rPr>
          <w:rFonts w:ascii="IRNazanin" w:hAnsi="IRNazanin" w:eastAsia="IRNazanin"/>
          <w:color w:val="111111"/>
          <w:sz w:val="28"/>
          <w:sz w:val="28"/>
          <w:szCs w:val="28"/>
          <w:rtl w:val="true"/>
          <w:lang w:bidi="fa-IR"/>
        </w:rPr>
        <w:t>یسأل العالم مثلا عن بقّال من البقّالین،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 هذه الدکّة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من الادعاء، و مع ذلک لیس من المجاز باستعمال اللفظ فی غیر ما وضع له، کما أشیر إلیه فی المقام الأوّل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سقوط بنائه، فلأنّ فی العامّ المخصّص لا مجازیّة أصلا، و لا وجه لتوهّم المجازیّة حسب التحقیق،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لاستیعاب الحکم بالنسبة إلی الأفراد، و ما هو الحکم فی العامّ هو الإنشائیّ، و هو مستوعب بالضرورة قبل التخصیص و بعده، و ما لا یستوعبه هو الحکم الفعلیّ، و هو لیس مقوّم الاستعمال، فکأنّه قدس سرُّه غفل عن أساس البحث فی العامّ المخصّص، أو أغفله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و علی کلّ تقدیر یکون الأمر سهلا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أبیت إلاّ عن أنّ الحقیقة هی المعنی المزبور، و هذا لیس بحاصل فی العامّ المخصّص، فلنا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الجدّ هو الجدّ بالإنشاء، و هذا کاف للاستعمال الحقیقیّ</w:t>
      </w:r>
      <w:r>
        <w:rPr>
          <w:rFonts w:eastAsia="IRNazanin" w:cs="IRNazanin"/>
          <w:color w:val="111111"/>
          <w:sz w:val="28"/>
          <w:szCs w:val="28"/>
          <w:rtl w:val="true"/>
          <w:lang w:bidi="fa-IR"/>
        </w:rPr>
        <w:t>.</w:t>
      </w:r>
    </w:p>
    <w:p>
      <w:pPr>
        <w:pStyle w:val="Heading5"/>
        <w:numPr>
          <w:ilvl w:val="4"/>
          <w:numId w:val="1"/>
        </w:numPr>
        <w:rPr/>
      </w:pPr>
      <w:bookmarkStart w:id="428" w:name="__RefHeading___Toc559636_3244359995"/>
      <w:bookmarkStart w:id="429" w:name="_Toc161"/>
      <w:bookmarkEnd w:id="428"/>
      <w:r>
        <w:rPr>
          <w:rtl w:val="true"/>
        </w:rPr>
        <w:t>بحث و تحقیق</w:t>
      </w:r>
      <w:r>
        <w:rPr>
          <w:rtl w:val="true"/>
        </w:rPr>
        <w:t xml:space="preserve">: </w:t>
      </w:r>
      <w:r>
        <w:rPr>
          <w:rtl w:val="true"/>
        </w:rPr>
        <w:t>حول ثبوت المجازیّة بین الحاکم و المحکوم</w:t>
      </w:r>
      <w:bookmarkEnd w:id="429"/>
    </w:p>
    <w:p>
      <w:pPr>
        <w:pStyle w:val="BookText"/>
        <w:rPr/>
      </w:pPr>
      <w:r>
        <w:rPr>
          <w:rFonts w:ascii="IRNazanin" w:hAnsi="IRNazanin" w:eastAsia="IRNazanin"/>
          <w:color w:val="111111"/>
          <w:sz w:val="28"/>
          <w:sz w:val="28"/>
          <w:szCs w:val="28"/>
          <w:rtl w:val="true"/>
          <w:lang w:bidi="fa-IR"/>
        </w:rPr>
        <w:t>هل المجازیّة المتوهّمة فی مورد التخصیص، تأتی فی موارد الحکومة، و إذا ورد دلیل بنحو الحکومة یستلزم الاستعمال المجازیّ فی ناحیة الدلیل المحکوم، أم لا؟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یفصّل بین ما کانت الحکومة بنحو التضییق، أو کانت بنحو التوسعة، فما کان من قبیل الأوّل فیلزم مع جوابه، دون الثانی؟</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النحویّون لیسوا بعلماء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تقریب المجازیّة واضح، و الجواب أوضح، و هذا من الشواهد القطعیّة علی أنّ المجازیّة و الحقیقیّة، لا تدوران مدار الطلب الواقعیّ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ورد بعد ذلک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الکذائیّة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کلّهم جهلاء مثلا،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النّظر و الاعتبار هو تسریة الحکم إلی أفرادهم بتوسیط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المجازیّة، لأنّه موضوع لاستیعاب أفراد المدخول، و هو العالم دون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فی الحکومة علی نعت التوسعة، هو إیجاب إکرام الطائفة المزبورة بدعوی المماثلة الادعائیّة، فلا تلزم المجازیّة کما هو الواضح</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مورد لزوم المجازیّة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المجازیّة الادعائیّة، لأنّ بادعاء أنّ الطائفة الکذائیّة علماء، لا تلزم المجازیّة الواقعیّة، و المجاز بالادعاء لا یوجب سقوط الحجّیة، بل مطلقا کما عرفت </w:t>
      </w:r>
      <w:r>
        <w:rPr>
          <w:rStyle w:val="FootnoteAnchor"/>
          <w:rtl w:val="true"/>
        </w:rPr>
        <w:footnoteReference w:id="538"/>
      </w:r>
      <w:r>
        <w:rPr>
          <w:rFonts w:ascii="Amiri" w:hAnsi="Amiri" w:eastAsia="Amiri" w:cs="Amiri"/>
          <w:color w:val="111111"/>
          <w:sz w:val="28"/>
          <w:sz w:val="28"/>
          <w:szCs w:val="28"/>
          <w:rtl w:val="true"/>
          <w:lang w:bidi="ar-SA"/>
        </w:rPr>
        <w:t>، فتأمّل جیّدا</w:t>
      </w:r>
      <w:r>
        <w:rPr>
          <w:rFonts w:eastAsia="Amiri" w:cs="Amiri" w:ascii="Amiri" w:hAnsi="Amiri"/>
          <w:color w:val="111111"/>
          <w:sz w:val="28"/>
          <w:szCs w:val="28"/>
          <w:rtl w:val="true"/>
          <w:lang w:bidi="ar-SA"/>
        </w:rPr>
        <w:t>.</w:t>
      </w:r>
      <w:bookmarkStart w:id="430" w:name="pg13167_140923"/>
    </w:p>
    <w:p>
      <w:pPr>
        <w:pStyle w:val="Heading3"/>
        <w:numPr>
          <w:ilvl w:val="2"/>
          <w:numId w:val="1"/>
        </w:numPr>
        <w:rPr/>
      </w:pPr>
      <w:bookmarkStart w:id="431" w:name="__RefHeading___Toc559638_3244359995"/>
      <w:bookmarkStart w:id="432" w:name="_Toc162"/>
      <w:bookmarkEnd w:id="430"/>
      <w:bookmarkEnd w:id="431"/>
      <w:r>
        <w:rPr>
          <w:rtl w:val="true"/>
        </w:rPr>
        <w:t>المبحث الثانی فی صور المخصّص و أحکامها</w:t>
      </w:r>
      <w:bookmarkEnd w:id="432"/>
    </w:p>
    <w:p>
      <w:pPr>
        <w:pStyle w:val="Heading4"/>
        <w:numPr>
          <w:ilvl w:val="3"/>
          <w:numId w:val="1"/>
        </w:numPr>
        <w:rPr/>
      </w:pPr>
      <w:bookmarkStart w:id="433" w:name="__RefHeading___Toc559640_3244359995"/>
      <w:bookmarkStart w:id="434" w:name="_Toc163"/>
      <w:bookmarkEnd w:id="433"/>
      <w:r>
        <w:rPr>
          <w:rtl w:val="true"/>
        </w:rPr>
        <w:t>اشارة</w:t>
      </w:r>
      <w:bookmarkEnd w:id="434"/>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المسألة الأولی کان حول أنّ نفس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المخصّص لفظیّا معلوم المراد و مبیّن المفهوم، بل و متّصلا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یستلزم سقوط العامّ عن الحجّیة بالنسبة إلی موارد الشکّ و الشبهة؟ و فیما نحن فیه حول أنّ المخصّص إذا کان کذا و کذا، هل یستلزم ذلک، أم لا؟ فلا وجه لدرج أقسام المخصّص اللفظیّ المعلوم المراد فی هذا البحث، لدخوله فی المسألة الأولی، لأنّه القدر المتیقّن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المخصّص علی أنحاء، 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لفظیّا مجمل المراد،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متّصلا، أو منفصلا، أو بصورة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بنحو الاستغراق، أم بشکل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الثانی بشکل الإطلاق و إن کان مخصّصا، لما عرفت من أعمّیة الخاصّ من هذه الجهة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435" w:name="pg13167_140924"/>
    </w:p>
    <w:p>
      <w:pPr>
        <w:pStyle w:val="BookText"/>
        <w:rPr/>
      </w:pPr>
      <w:bookmarkEnd w:id="435"/>
      <w:r>
        <w:rPr>
          <w:rFonts w:ascii="IRNazanin" w:hAnsi="IRNazanin" w:eastAsia="IRNazanin"/>
          <w:color w:val="111111"/>
          <w:sz w:val="28"/>
          <w:sz w:val="28"/>
          <w:szCs w:val="28"/>
          <w:rtl w:val="true"/>
          <w:lang w:bidi="fa-IR"/>
        </w:rPr>
        <w:t xml:space="preserve">و أمّا درج الشبهة المصداقیّة فی أقسام المخصّص </w:t>
      </w:r>
      <w:r>
        <w:rPr>
          <w:rStyle w:val="FootnoteAnchor"/>
          <w:rtl w:val="true"/>
        </w:rPr>
        <w:footnoteReference w:id="540"/>
      </w:r>
      <w:r>
        <w:rPr>
          <w:rFonts w:ascii="IRNazanin" w:hAnsi="IRNazanin" w:eastAsia="IRNazanin"/>
          <w:color w:val="111111"/>
          <w:sz w:val="28"/>
          <w:sz w:val="28"/>
          <w:szCs w:val="28"/>
          <w:rtl w:val="true"/>
          <w:lang w:bidi="fa-IR"/>
        </w:rPr>
        <w:t>، فهو فی غیر محلّه، لأنّه یرجع إلی جهة خارجیّة لا ربط لها بعنوان المخصّص و خصوصیّته، التی توجب أحیانا سقوط العامّ عن الحجّیة، فلا تخلط،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یکون اللبّ من قبیل الإجماع، أو من قبیل البناءات العقلائیّة، أو العقل الصریح الواضح، أو من العقل البرهانیّ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مجملا، أو معلوم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الإجمال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الإجمال فی الفرضین من قبیل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قبیل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مورد النّظر فی هذه الأقسام، هو أنّ المخصّصات المزبورة توجب سقوط العامّ عن الحجّیة و إن لم تستلزم المجازیّة، أم لا، و علی هذا فلا بدّ من التعرّض لأصولها حتّی یتبیّن حال فروعها إن شاء اللَّه تعالی و إلیک نبذة من صورها</w:t>
      </w:r>
      <w:r>
        <w:rPr>
          <w:rFonts w:eastAsia="IRNazanin" w:cs="IRNazanin"/>
          <w:color w:val="111111"/>
          <w:sz w:val="28"/>
          <w:szCs w:val="28"/>
          <w:rtl w:val="true"/>
          <w:lang w:bidi="fa-IR"/>
        </w:rPr>
        <w:t>:</w:t>
      </w:r>
    </w:p>
    <w:p>
      <w:pPr>
        <w:pStyle w:val="Heading4"/>
        <w:numPr>
          <w:ilvl w:val="3"/>
          <w:numId w:val="1"/>
        </w:numPr>
        <w:rPr/>
      </w:pPr>
      <w:bookmarkStart w:id="436" w:name="__RefHeading___Toc559642_3244359995"/>
      <w:bookmarkStart w:id="437" w:name="_Toc164"/>
      <w:bookmarkEnd w:id="436"/>
      <w:r>
        <w:rPr>
          <w:rtl w:val="true"/>
        </w:rPr>
        <w:t>الصورة الأولی</w:t>
      </w:r>
      <w:r>
        <w:rPr>
          <w:rtl w:val="true"/>
        </w:rPr>
        <w:t xml:space="preserve">: </w:t>
      </w:r>
      <w:r>
        <w:rPr>
          <w:rtl w:val="true"/>
        </w:rPr>
        <w:t>ما إذا کان المخصّص مجملا و لفظیّا</w:t>
      </w:r>
      <w:bookmarkEnd w:id="437"/>
    </w:p>
    <w:p>
      <w:pPr>
        <w:pStyle w:val="BookText"/>
        <w:rPr/>
      </w:pPr>
      <w:r>
        <w:rPr>
          <w:rFonts w:ascii="IRNazanin" w:hAnsi="IRNazanin" w:eastAsia="IRNazanin"/>
          <w:color w:val="111111"/>
          <w:sz w:val="28"/>
          <w:sz w:val="28"/>
          <w:szCs w:val="28"/>
          <w:rtl w:val="true"/>
          <w:lang w:bidi="fa-IR"/>
        </w:rPr>
        <w:t>و فیها یسقط العامّ عن الحجّیة، سواء کان متّصلا، أو بشکل الاستثناء، و سواء کان إجماله لأجل تردّد المفهوم بین الأقلّ و الأکثر، أم المتباینین، و سواء کان ذلک بشکل الاستغراق، أو الإطلاق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الکلّ یکون الوجه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سرایة الإجمال حکما لا حقیقة، لأنّ موضوع الحکم لیس مقیّدا حتّی فی مورد الاستثناء، ففرق بین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غیر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الصفة، 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 منفصلا عن الجملة و متّصلا بالکلام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الأوّل یکون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الإنشائیّ و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الثانی، فإنّ الاحتجاج بالکلام مشروط بعدم لحوق ما یوجب إجمال المراد من الأوّل، فإنّ للمتکلّم ذلک، و إجمال المراد الجدّی غیر إجمال المفهوم، و ما هو المجمل حقیقة هو الإجمال المفهومیّ، و هو لا یتصوّر إلاّ فی موارد کون الموضوع مجملا، سواء کان بسیطا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مرکّبا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 بعض آخر</w:t>
      </w:r>
      <w:r>
        <w:rPr>
          <w:rStyle w:val="FootnoteAnchor"/>
          <w:rtl w:val="true"/>
        </w:rPr>
        <w:footnoteReference w:id="542"/>
      </w:r>
      <w:r>
        <w:rPr>
          <w:rFonts w:ascii="IRNazanin" w:hAnsi="IRNazanin" w:eastAsia="IRNazanin"/>
          <w:color w:val="111111"/>
          <w:sz w:val="28"/>
          <w:sz w:val="28"/>
          <w:szCs w:val="28"/>
          <w:rtl w:val="true"/>
          <w:lang w:bidi="fa-IR"/>
        </w:rPr>
        <w:t xml:space="preserve">من التفصیل، فی غیر محلّه، کما أنّ ما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إرجاع الکلام المشتمل علی الاستثناء إلی الموضوع المقیّد</w:t>
      </w:r>
      <w:r>
        <w:rPr>
          <w:rStyle w:val="FootnoteAnchor"/>
          <w:rtl w:val="true"/>
        </w:rPr>
        <w:footnoteReference w:id="543"/>
      </w:r>
      <w:r>
        <w:rPr>
          <w:rFonts w:ascii="IRNazanin" w:hAnsi="IRNazanin" w:eastAsia="IRNazanin"/>
          <w:color w:val="111111"/>
          <w:sz w:val="28"/>
          <w:sz w:val="28"/>
          <w:szCs w:val="28"/>
          <w:rtl w:val="true"/>
          <w:lang w:bidi="fa-IR"/>
        </w:rPr>
        <w:t>، فی غیر مقامه، لأنّه تصرّف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من المحافظة علی کیفیّة الورود، لأنّه کثیرا ما یلزم فی القلب و الانقلاب إخلال بالمرام، و ضلال فی الطریقة، و لذلک تری أنّ فی صورة الاستثناء الشخصیّ لا یمکن جعل الموضوع مرکّبا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یصحّ جعل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الأمر کذلک فیما إذا کان العنوان الخارج عن العموم بشکل الإطلاق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إلاّ الفاسق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توصیف العموم الأفرادیّ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إرجاع المطلق إلی الاستغراق الأفرادیّ غیر جائز بالضرورة، لأنّه اعوجاج فی الطریقة، کما تبیّن فی محلّه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bookmarkStart w:id="438" w:name="pg13167_140926"/>
    </w:p>
    <w:p>
      <w:pPr>
        <w:pStyle w:val="Heading4"/>
        <w:numPr>
          <w:ilvl w:val="3"/>
          <w:numId w:val="1"/>
        </w:numPr>
        <w:rPr/>
      </w:pPr>
      <w:bookmarkStart w:id="439" w:name="__RefHeading___Toc559644_3244359995"/>
      <w:bookmarkStart w:id="440" w:name="_Toc165"/>
      <w:bookmarkEnd w:id="438"/>
      <w:bookmarkEnd w:id="439"/>
      <w:r>
        <w:rPr>
          <w:rtl w:val="true"/>
        </w:rPr>
        <w:t>الصورة الثانیة</w:t>
      </w:r>
      <w:r>
        <w:rPr>
          <w:rtl w:val="true"/>
        </w:rPr>
        <w:t xml:space="preserve">: </w:t>
      </w:r>
      <w:r>
        <w:rPr>
          <w:rtl w:val="true"/>
        </w:rPr>
        <w:t>فیما إذا کان المخصّص اللفظیّ المجمل منفصلا</w:t>
      </w:r>
      <w:bookmarkEnd w:id="440"/>
    </w:p>
    <w:p>
      <w:pPr>
        <w:pStyle w:val="Heading5"/>
        <w:numPr>
          <w:ilvl w:val="4"/>
          <w:numId w:val="1"/>
        </w:numPr>
        <w:rPr/>
      </w:pPr>
      <w:bookmarkStart w:id="441" w:name="__RefHeading___Toc559646_3244359995"/>
      <w:bookmarkStart w:id="442" w:name="_Toc166"/>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فإن کان مردّدا بین المتباینین فسقوط حجّیة العامّ بمعنی تعیین التکلیف به فی أحدهما المعیّن قطعا لا یمکن، لأنّ تعیین أحدهما المعیَّن بلا معیِّن، و تعیینَهما معا خلاف العلم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بقاء حجّیته بالنسبة إلی الواحد الواقعیّ الموجب لحصول العلم الإجمالیّ بالتکلیف فی مورد التردّد، فهو أیضا ممّا لا قصور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فیما کان مردّدا بین الأقلّ و الأکثر، کما فی مورد التخصیص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المردّد بین فاعل الکبیرة، أو هی و الصغیرة، بناء علی کون الذنوب تنقسم إلیهما، علی خلاف ما تحرّر منّا فی محلّه </w:t>
      </w:r>
      <w:r>
        <w:rPr>
          <w:rStyle w:val="FootnoteAnchor"/>
          <w:rtl w:val="true"/>
        </w:rPr>
        <w:footnoteReference w:id="545"/>
      </w:r>
      <w:r>
        <w:rPr>
          <w:rFonts w:ascii="IRNazanin" w:hAnsi="IRNazanin" w:eastAsia="IRNazanin"/>
          <w:color w:val="111111"/>
          <w:sz w:val="28"/>
          <w:sz w:val="28"/>
          <w:szCs w:val="28"/>
          <w:rtl w:val="true"/>
          <w:lang w:bidi="fa-IR"/>
        </w:rPr>
        <w:t xml:space="preserve">، أو فی مورد التخصیص بالمجمل الّذی لا یمکن فهم شی‌ء منه، کما فی تخصیص عموم الوفاء بالعقود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حصول العلم الإجمالیّ منه بشی‌ء، کما لا یخفی، فإنّ البحث هنا لا یقصر بالصورة الأولی، بل یعمّ الأخیرة، و ربّما یتّفق ذلک فی الفقه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تسقط حجّیة العموم فی مورد الشبهة، أم لا؟ وجهان، بل قولان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اختار الأوّل شیخ مشایخنا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و إن نسب إلیه الرجوع عمّا أفاده </w:t>
      </w:r>
      <w:r>
        <w:rPr>
          <w:rStyle w:val="FootnoteAnchor"/>
          <w:rtl w:val="true"/>
        </w:rPr>
        <w:footnoteReference w:id="547"/>
      </w:r>
      <w:r>
        <w:rPr>
          <w:rFonts w:ascii="IRNazanin" w:hAnsi="IRNazanin" w:eastAsia="IRNazanin"/>
          <w:color w:val="111111"/>
          <w:sz w:val="28"/>
          <w:sz w:val="28"/>
          <w:szCs w:val="28"/>
          <w:rtl w:val="true"/>
          <w:lang w:bidi="fa-IR"/>
        </w:rPr>
        <w:t xml:space="preserve">، و الثانی مختار الآخرین </w:t>
      </w:r>
      <w:r>
        <w:rPr>
          <w:rStyle w:val="FootnoteAnchor"/>
          <w:rtl w:val="true"/>
        </w:rPr>
        <w:footnoteReference w:id="548"/>
      </w:r>
      <w:r>
        <w:rPr>
          <w:rFonts w:ascii="IRNazanin" w:hAnsi="IRNazanin" w:eastAsia="IRNazanin"/>
          <w:color w:val="111111"/>
          <w:sz w:val="28"/>
          <w:sz w:val="28"/>
          <w:szCs w:val="28"/>
          <w:rtl w:val="true"/>
          <w:lang w:bidi="fa-IR"/>
        </w:rPr>
        <w:t>، و لعلّه مورد الوفاق قدیما و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یقرّب به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سقوط الحجّیة بلا حجّة أقوی، و رفع الید عنها بلا قرینة، ممنوع بحکم العقل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التعابیر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المخصّص غیر الحجّة فی مورد الإجمال، کیف یتمکّن من إسقاط ما هو حجّة فی ذلک المورد لولاه؟</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التعبیر الأوّل ممّا یجری فی العامّ غیر المتمسّک به فی الشبهة المصداقیّة، و التعبیر الثانی أیضا جار فیه، مع أنّ الأصحاب لا یتمسّکون به فیها</w:t>
      </w:r>
      <w:r>
        <w:rPr>
          <w:rStyle w:val="FootnoteAnchor"/>
          <w:rtl w:val="true"/>
        </w:rPr>
        <w:footnoteReference w:id="550"/>
      </w:r>
      <w:r>
        <w:rPr>
          <w:rFonts w:ascii="Amiri" w:hAnsi="Amiri" w:eastAsia="Amiri" w:cs="Amiri"/>
          <w:color w:val="111111"/>
          <w:sz w:val="28"/>
          <w:sz w:val="28"/>
          <w:szCs w:val="28"/>
          <w:rtl w:val="true"/>
          <w:lang w:bidi="ar-SA"/>
        </w:rPr>
        <w:t>إلاّ من شذّ</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یستند إلیه فی الحجّیة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المخصّص المنفصل إذا کان صادرا عن المقنّن البانی علی ذکر المخصّصات منفصلة، یوجب الإجمال، لأنّه حاله فی کلامه حال المتّصل فی کلام غیره </w:t>
      </w:r>
      <w:r>
        <w:rPr>
          <w:rStyle w:val="FootnoteAnchor"/>
          <w:rtl w:val="true"/>
        </w:rPr>
        <w:footnoteReference w:id="552"/>
      </w:r>
      <w:r>
        <w:rPr>
          <w:rFonts w:ascii="IRNazanin" w:hAnsi="IRNazanin" w:eastAsia="IRNazanin"/>
          <w:color w:val="111111"/>
          <w:sz w:val="28"/>
          <w:sz w:val="28"/>
          <w:szCs w:val="28"/>
          <w:rtl w:val="true"/>
          <w:lang w:bidi="fa-IR"/>
        </w:rPr>
        <w:t>، انتهی المهمّ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العادة فی القوانین الکلّیة العرفیّة و الشرعیّة علی التدریج فی التقنین، فالمخصّصات المتدرّجة فی الوجود و المتأخّرة زمانا، تلتحق بالعمومات حسب البناءات العرفیّة، و تعدّ من تتمّة کلام المقنّن الناظر إلی قوانینه، و نتیجة ذلک إمّا الحکم بالسرایة، أو احتمالها مع وجود ما یصلح لذلک، و هو خروج العنوان المذکور عنه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أصالة التطابق و الجدّ هنا مشکل، و لو صحّ ما استمسک به السیّد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عدم حجّیة العمومات فی الشبهة</w:t>
      </w:r>
    </w:p>
    <w:p>
      <w:pPr>
        <w:pStyle w:val="BookText"/>
        <w:rPr/>
      </w:pPr>
      <w:r>
        <w:rPr>
          <w:rFonts w:ascii="IRNazanin" w:hAnsi="IRNazanin" w:eastAsia="IRNazanin"/>
          <w:color w:val="111111"/>
          <w:sz w:val="28"/>
          <w:sz w:val="28"/>
          <w:szCs w:val="28"/>
          <w:rtl w:val="true"/>
          <w:lang w:bidi="fa-IR"/>
        </w:rPr>
        <w:t>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 فی جریان الأصل المزبور</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 الأمر هنا، و لا یصحّ التفکیک بین المسألتین، بجریانها هنا دون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و أهل العرف فی القوانین العرفیّة علی تعنون العمومات بعناوین المخصّصات، و الإخبار عن مرام المولی بعد ذلک، و أن المولی أوجب إکرام العلماء غیر الفاسقین، من غیر النّظر إلی مفهوم الخاصّ إجمالا و تفصیلا، فیلزم سقوط العامّ، لرجوع الشکّ و الشبهة إلی الشکّ و الشبهة الموضوعیّة لنفس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 هو التفصیل، فإنّ من الخاصّ ما یکون متکفّلا لحکم نفسیّ، من غیر نظر فیه إلی العامّ المتکفّل للحکم النفسیّ الآخر حسب ظاهر ألفاظ الخاصّ، و من الخاصّ ما یکون متکفّلا لحکم نفسی، بل هو متکفّل لرفع الحکم النفسیّ الثابت بالعمومات، فتکون الهیئة فیها مثلا عقیب الأمر الإیجابیّ و غیر مفیدة للحرمة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قبیل الأوّل، فلا یوجب قصورا فی التمسّک بالعامّ و حجّیته، لأنّه کلام تصدیقیّ منفصل عن کلام تصدیقیّ تامّ الظهور فی الآخر، و عندئذ لا معنی لسقوط أحدهما بالآخر إلاّ فی مورد الخروج و التخصیص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قصور جریان أصالة التطابق، فی غیر محلّه، لأنّ الأحکام الکثیرة الانحلالیّة مورد الأصل المزبور، و حیث إنّ العامّ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إکرام مرتکب الصغیرة، دون الخاصّ، فذلک الأصل بلا مزاحم، و سیأتی أنّ وجه عدم جواز التمسّک بالعامّ فی الشبهة المصداقیّة أمر آخر</w:t>
      </w:r>
      <w:r>
        <w:rPr>
          <w:rStyle w:val="FootnoteAnchor"/>
          <w:rtl w:val="true"/>
        </w:rPr>
        <w:footnoteReference w:id="554"/>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من قبیل الثانی، فبحکم العرف و العقلاء یعدّ من تتمّة الکلام و العامّ، و یصیر کالمتّصل، فلو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p>
    <w:p>
      <w:pPr>
        <w:pStyle w:val="BookText"/>
        <w:rPr/>
      </w:pPr>
      <w:r>
        <w:rPr>
          <w:rFonts w:ascii="IRNazanin" w:hAnsi="IRNazanin" w:eastAsia="IRNazanin"/>
          <w:color w:val="111111"/>
          <w:sz w:val="28"/>
          <w:sz w:val="28"/>
          <w:szCs w:val="28"/>
          <w:rtl w:val="true"/>
          <w:lang w:bidi="fa-IR"/>
        </w:rPr>
        <w:t xml:space="preserve">کما لا یستقرّ الظهور التامّ للأوّل، کذلک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القانون الکلّی، و یعدّ من تبعاته، و لا سیّما إذا کان بناء القوانین علی الصدور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فی الدساتیر العرفیّة و القوانین الأساسیّة العقلائیّة، ذکر المخصّصات بعنوان الموادّ و التبصرة فی ذیل کتب القانون، و یلحقونه به فی النشر للعمل،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غیر تامّ علی کلّیته، کما أنّ ما أفاده السیّد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علیه </w:t>
      </w:r>
      <w:r>
        <w:rPr>
          <w:rStyle w:val="FootnoteAnchor"/>
          <w:rtl w:val="true"/>
        </w:rPr>
        <w:footnoteReference w:id="556"/>
      </w:r>
      <w:r>
        <w:rPr>
          <w:rFonts w:ascii="IRNazanin" w:hAnsi="IRNazanin" w:eastAsia="IRNazanin"/>
          <w:color w:val="111111"/>
          <w:sz w:val="28"/>
          <w:sz w:val="28"/>
          <w:szCs w:val="28"/>
          <w:rtl w:val="true"/>
          <w:lang w:bidi="fa-IR"/>
        </w:rPr>
        <w:t>، فی غیر محلّه، لأنّ النّظر المزبور فیه یرجع إلی ما حصّلناه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تنافی بینه و بین کون ذلک هو الوجه، للزوم الفحص عن المخصّص قبل العمل بالعامّ، کما أنّه هو الوجه لتقدیم الخاصّ و المقیّد علی العامّ 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الوجوه المشار إلیها کلّها غیر تامّة، و لا سیّما القول بتعنون العامّ بالمخصّص، لما عرفت منّا</w:t>
      </w:r>
      <w:r>
        <w:rPr>
          <w:rStyle w:val="FootnoteAnchor"/>
          <w:rtl w:val="true"/>
        </w:rPr>
        <w:footnoteReference w:id="557"/>
      </w:r>
      <w:r>
        <w:rPr>
          <w:rFonts w:ascii="IRNazanin" w:hAnsi="IRNazanin" w:eastAsia="IRNazanin"/>
          <w:color w:val="111111"/>
          <w:sz w:val="28"/>
          <w:sz w:val="28"/>
          <w:szCs w:val="28"/>
          <w:rtl w:val="true"/>
          <w:lang w:bidi="fa-IR"/>
        </w:rPr>
        <w:t>من إنکاره فی الاستثناء، فضلا عن غیره، و عرفت أنّ التفصیل المزبور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استقرّت حجّیة العامّ و تمّ ظهوره، فلا معنی للسرایة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إذا أخبر المتکلّم و المقنّن مثلا بعد ما استقرّ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اشتبه علیه، و کان فی نفسه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 حجّیة العامّ فی الشبهة المصداقیّة الناشئة عن المفهومیّة، أم مجرّد انفصال المخصّص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تتبیّن وجاهة التفصیل</w:t>
      </w:r>
      <w:r>
        <w:rPr>
          <w:rFonts w:eastAsia="IRNazanin" w:cs="IRNazanin"/>
          <w:color w:val="111111"/>
          <w:sz w:val="28"/>
          <w:szCs w:val="28"/>
          <w:rtl w:val="true"/>
          <w:lang w:bidi="fa-IR"/>
        </w:rPr>
        <w:t>.</w:t>
      </w:r>
      <w:bookmarkStart w:id="443" w:name="pg13167_140930"/>
    </w:p>
    <w:p>
      <w:pPr>
        <w:pStyle w:val="BookText"/>
        <w:rPr/>
      </w:pPr>
      <w:bookmarkEnd w:id="443"/>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ذلک لیس اشتراط حجّیة العمومات بمضیّ زمان ورود المخصّص، ضرورة أنّ کلّ کلام محمول علی الجدّ، و تجری فیه أصالته إلی أن یرد علیه الموهن من الخارج، و هذا الإشکال ینشأ من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سریان التخصیص إلی کافّة العمومات، و لکن مع ذلک لا بدّ فی القوانین التی بناؤها علی الصدور التدریجیّ من العمل علی طبقها، حتّی تتوجّه إلیها المخصّصات،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ما فی حواشی جدّی العلاّمة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أستاذه جدّ أولادی العلاّمة فی وجه عدوله عمّا فی المتن فی الدورة الأخیرة،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الأمر کذلک لما تمسّک أصحاب الأئمة علیهم السلام بکلام إمام زمانهم، لأنّه کالتمسّک بصدر کلام متکلّم قبل تمامیّته، و حیث لم یکن الأمر کذلک فالحقّ جواز التمسّک </w:t>
      </w:r>
      <w:r>
        <w:rPr>
          <w:rStyle w:val="FootnoteAnchor"/>
          <w:rtl w:val="true"/>
        </w:rPr>
        <w:footnoteReference w:id="559"/>
      </w:r>
      <w:r>
        <w:rPr>
          <w:rFonts w:ascii="IRNazanin" w:hAnsi="IRNazanin" w:eastAsia="IRNazanin"/>
          <w:color w:val="111111"/>
          <w:sz w:val="28"/>
          <w:sz w:val="28"/>
          <w:szCs w:val="28"/>
          <w:rtl w:val="true"/>
          <w:lang w:bidi="fa-IR"/>
        </w:rPr>
        <w:t>، انتهی ملخّصه</w:t>
      </w:r>
      <w:r>
        <w:rPr>
          <w:rFonts w:eastAsia="IRNazanin" w:cs="IRNazanin"/>
          <w:color w:val="111111"/>
          <w:sz w:val="28"/>
          <w:szCs w:val="28"/>
          <w:rtl w:val="true"/>
          <w:lang w:bidi="fa-IR"/>
        </w:rPr>
        <w:t>.</w:t>
      </w:r>
    </w:p>
    <w:p>
      <w:pPr>
        <w:pStyle w:val="Heading5"/>
        <w:numPr>
          <w:ilvl w:val="4"/>
          <w:numId w:val="1"/>
        </w:numPr>
        <w:rPr/>
      </w:pPr>
      <w:bookmarkStart w:id="444" w:name="__RefHeading___Toc559648_3244359995"/>
      <w:bookmarkStart w:id="445" w:name="_Toc167"/>
      <w:bookmarkEnd w:id="444"/>
      <w:r>
        <w:rPr>
          <w:rtl w:val="true"/>
        </w:rPr>
        <w:t>بحث و تحصیل</w:t>
      </w:r>
      <w:r>
        <w:rPr>
          <w:rtl w:val="true"/>
        </w:rPr>
        <w:t xml:space="preserve">: </w:t>
      </w:r>
      <w:r>
        <w:rPr>
          <w:rtl w:val="true"/>
        </w:rPr>
        <w:t>حول سریان إجمال الحاکم إلی المحکوم فی الشبهة المصداقیّة الناشئة عن المفهومیّة</w:t>
      </w:r>
      <w:bookmarkEnd w:id="445"/>
    </w:p>
    <w:p>
      <w:pPr>
        <w:pStyle w:val="BookText"/>
        <w:rPr/>
      </w:pPr>
      <w:r>
        <w:rPr>
          <w:rFonts w:ascii="IRNazanin" w:hAnsi="IRNazanin" w:eastAsia="IRNazanin"/>
          <w:color w:val="111111"/>
          <w:sz w:val="28"/>
          <w:sz w:val="28"/>
          <w:szCs w:val="28"/>
          <w:rtl w:val="true"/>
          <w:lang w:bidi="fa-IR"/>
        </w:rPr>
        <w:t>فیما إذا کانت القرائن اللفظیّة المنفصلة أو المتّصلة بصورة الحکومة، فهل یسری الإجمال و یوجب سقوط العامّ عن الحجّیة فی الشبهات المصداقیّة الناشئة عن الشبهة المفهومیّة مطلقا، أم لا مطلقا، أو یفصّل؟ وجوه و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یتعرّض لهذه المسألة أصحابنا الأصولیّون مع کثرة فائدتها، و ربّما کان نظرهم إلی وحدة الحکم فی أنحاء القرائن، و منها ما إذا کان دلیل المقیّد مجملا، و ما یتمسّک به من المطلقات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أیضا صورا، فإن کان دلیل الحاکم متّصلا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p>
    <w:p>
      <w:pPr>
        <w:pStyle w:val="BookText"/>
        <w:rPr/>
      </w:pPr>
      <w:r>
        <w:rPr>
          <w:rFonts w:ascii="IRNazanin" w:hAnsi="IRNazanin" w:eastAsia="IRNazanin"/>
          <w:color w:val="111111"/>
          <w:sz w:val="28"/>
          <w:sz w:val="28"/>
          <w:szCs w:val="28"/>
          <w:rtl w:val="true"/>
          <w:lang w:bidi="fa-IR"/>
        </w:rPr>
        <w:t>کلّ عالم إلاّ الفسّاق منهم، لأنّهم لیسوا بعالمین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کالمتّصل کما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الفسّاق لیسوا بعلماء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منشأ السرایة فیما سبق هو تعنون الموضوع بعنوان المخصّص </w:t>
      </w:r>
      <w:r>
        <w:rPr>
          <w:rStyle w:val="FootnoteAnchor"/>
          <w:rtl w:val="true"/>
        </w:rPr>
        <w:footnoteReference w:id="560"/>
      </w:r>
      <w:r>
        <w:rPr>
          <w:rFonts w:ascii="IRNazanin" w:hAnsi="IRNazanin" w:eastAsia="IRNazanin"/>
          <w:color w:val="111111"/>
          <w:sz w:val="28"/>
          <w:sz w:val="28"/>
          <w:szCs w:val="28"/>
          <w:rtl w:val="true"/>
          <w:lang w:bidi="fa-IR"/>
        </w:rPr>
        <w:t xml:space="preserve">، فلا وجه للسرایة هنا، لامتناع ذلک، ضرورة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الفسّاق لیسوا بعلماء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یمکن توصیف العامّ بالمخصّص المزبور، و یصیر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غیر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بمعزل عن التحقیق کما أشیر إلیه فی تلک المسألة</w:t>
      </w:r>
      <w:r>
        <w:rPr>
          <w:rStyle w:val="FootnoteAnchor"/>
          <w:rtl w:val="true"/>
        </w:rPr>
        <w:footnoteReference w:id="561"/>
      </w:r>
      <w:r>
        <w:rPr>
          <w:rFonts w:ascii="IRNazanin" w:hAnsi="IRNazanin" w:eastAsia="IRNazanin"/>
          <w:color w:val="111111"/>
          <w:sz w:val="28"/>
          <w:sz w:val="28"/>
          <w:szCs w:val="28"/>
          <w:rtl w:val="true"/>
          <w:lang w:bidi="fa-IR"/>
        </w:rPr>
        <w:t>،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الوجه عدم تمامیّة الکلام التصدیقیّ و الحجّة العرفیّة و الظهور التامّ المستقرّ</w:t>
      </w:r>
      <w:r>
        <w:rPr>
          <w:rStyle w:val="FootnoteAnchor"/>
          <w:rtl w:val="true"/>
        </w:rPr>
        <w:footnoteReference w:id="562"/>
      </w:r>
      <w:r>
        <w:rPr>
          <w:rFonts w:ascii="IRNazanin" w:hAnsi="IRNazanin" w:eastAsia="IRNazanin"/>
          <w:color w:val="111111"/>
          <w:sz w:val="28"/>
          <w:sz w:val="28"/>
          <w:szCs w:val="28"/>
          <w:rtl w:val="true"/>
          <w:lang w:bidi="fa-IR"/>
        </w:rPr>
        <w:t>، و هذا کما یمنع عن الاحتجاج فی تلک الصور، یمنع عنه فی هذه الصور من غیر فرق بین کون الإجمال ناشئا عن الأقلّ و الأکثر أو عن تردّد 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أن یشکّ فی صحّة الاحتجاج العقلائیّ، و لمّا کان شکّه مستندا إلی منشأ عرضیّ فی الکلام یلزم قصور المقتضی، لتمامیّة الحجّة فی ناحیة صدر الکلام کما لا یخفی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الحکومة لا توجب سقوط العامّ عن الحجّیة مطلقا، لأنّها تختلف مع العامّ فی کیفیّة التعرّض لحدود الحکم، فإنّ العامّ و الخاصّ متّفقان فی کیفیّة الأداء، فیسری الإجمال، و أمّا فی صورة الحکومة فیکون دلیل الحاکم ناظرا إلی جهة الموضوع، و تکون النسبة بینه و بین العامّ عموما من وجه أحیانا، فیکون هو کلاما مستقلا ناظرا إلی بیان الموضوع فی سائر الأدلّة، فما کان مورد الشبهة یکون</w:t>
      </w:r>
      <w:bookmarkStart w:id="446" w:name="pg13167_140932"/>
    </w:p>
    <w:p>
      <w:pPr>
        <w:pStyle w:val="BookText"/>
        <w:rPr/>
      </w:pPr>
      <w:bookmarkEnd w:id="446"/>
      <w:r>
        <w:rPr>
          <w:rFonts w:ascii="IRNazanin" w:hAnsi="IRNazanin" w:eastAsia="IRNazanin"/>
          <w:color w:val="111111"/>
          <w:sz w:val="28"/>
          <w:sz w:val="28"/>
          <w:szCs w:val="28"/>
          <w:rtl w:val="true"/>
          <w:lang w:bidi="fa-IR"/>
        </w:rPr>
        <w:t>مورد العامّ بالضرورة، کما هو المفروض، و لا دلیل علی خروجه عن موضوع العموم فی الاعتبار، فمن ارتکب الصغیرة یرجع فیه إلی عموم العامّ، و السرّ عدم توحّد الدلیلین لسانا،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تردّد الأمر بین المتباینین یسقط العامّ،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دلیل الحاکم متّصلا، أو بصورة الاستثناء المعلّل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منفصلا، ففیما یدور الأمر بین المتباینین فلا بحث فی سقوط العامّ علی الوجه المحرّر فی أصل المسألة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إذا کان منفصلا، و دار الأمر بین الأقلّ و الأکثر، أو کان دلیل الحاکم مجملا، بحیث لا یفهم منه شی‌ء، فإن کانت النسبة بین دلیل الحاکم و المحکوم عموما و خصوصا،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العلماء لیسوا بعلماء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یستفاد منه نظره إلی دلیل المحکوم، فللسرایة وجه، و إلاّ فلا، لأنّ فی صورة کون النسبة عموما من وجه، کما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الفسّاق لیسوا بعلماء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الشریعة أحکام مختلفة بالنسبة إلی العلماء، فإنّ السرایة حینئذ مشکلة، و الحجّة لا تنقض إلاّ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الأولی یلحق دلیل المخصّص بالعامّ، و یصیر بالنسبة إلیه کالمتّصل، و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لتعدّد دلیل العامّ و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إلحاقه بأحدهما معیّنا فی الکلام، فیکون هو مستقلا فی الذات و الحجّة، و لا یمکن حینئذ حسب الموازین العرفیّة، إسقاط دلیل المحکوم عن الحجّیة، فتأمّل جیّدا</w:t>
      </w:r>
      <w:r>
        <w:rPr>
          <w:rFonts w:eastAsia="IRNazanin" w:cs="IRNazanin"/>
          <w:color w:val="111111"/>
          <w:sz w:val="28"/>
          <w:szCs w:val="28"/>
          <w:rtl w:val="true"/>
          <w:lang w:bidi="fa-IR"/>
        </w:rPr>
        <w:t>.</w:t>
      </w:r>
    </w:p>
    <w:p>
      <w:pPr>
        <w:pStyle w:val="Heading5"/>
        <w:numPr>
          <w:ilvl w:val="4"/>
          <w:numId w:val="1"/>
        </w:numPr>
        <w:rPr/>
      </w:pPr>
      <w:bookmarkStart w:id="447" w:name="__RefHeading___Toc559650_3244359995"/>
      <w:bookmarkStart w:id="448" w:name="_Toc168"/>
      <w:bookmarkEnd w:id="447"/>
      <w:r>
        <w:rPr>
          <w:rtl w:val="true"/>
        </w:rPr>
        <w:t>تتمّة</w:t>
      </w:r>
      <w:bookmarkEnd w:id="44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حکم المقیّد المجمل من البحوث المزبورة فی أصل المسألة و البحث</w:t>
      </w:r>
      <w:bookmarkStart w:id="449" w:name="pg13167_140933"/>
    </w:p>
    <w:p>
      <w:pPr>
        <w:pStyle w:val="BookText"/>
        <w:rPr/>
      </w:pPr>
      <w:bookmarkEnd w:id="449"/>
      <w:r>
        <w:rPr>
          <w:rFonts w:ascii="IRNazanin" w:hAnsi="IRNazanin" w:eastAsia="IRNazanin"/>
          <w:color w:val="111111"/>
          <w:sz w:val="28"/>
          <w:sz w:val="28"/>
          <w:szCs w:val="28"/>
          <w:rtl w:val="true"/>
          <w:lang w:bidi="fa-IR"/>
        </w:rPr>
        <w:t xml:space="preserve">المذکور فی دلیل الحاکم، و لا ثمرة مهمّة فی إطالة الکلام حوله، کما ظهر البحث ممّا سبق بالنسبة إلی المخصّص الوارد بصورة المطلق، لا الاستغراق، کما إذا ورد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الفاسق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تدبّر</w:t>
      </w:r>
      <w:r>
        <w:rPr>
          <w:rFonts w:eastAsia="IRNazanin" w:cs="IRNazanin"/>
          <w:color w:val="111111"/>
          <w:sz w:val="28"/>
          <w:szCs w:val="28"/>
          <w:rtl w:val="true"/>
          <w:lang w:bidi="fa-IR"/>
        </w:rPr>
        <w:t>.</w:t>
      </w:r>
    </w:p>
    <w:p>
      <w:pPr>
        <w:pStyle w:val="Heading5"/>
        <w:numPr>
          <w:ilvl w:val="4"/>
          <w:numId w:val="1"/>
        </w:numPr>
        <w:rPr/>
      </w:pPr>
      <w:bookmarkStart w:id="450" w:name="__RefHeading___Toc559652_3244359995"/>
      <w:bookmarkStart w:id="451" w:name="_Toc169"/>
      <w:bookmarkEnd w:id="450"/>
      <w:r>
        <w:rPr>
          <w:rtl w:val="true"/>
        </w:rPr>
        <w:t>خاتمة</w:t>
      </w:r>
      <w:r>
        <w:rPr>
          <w:rtl w:val="true"/>
        </w:rPr>
        <w:t xml:space="preserve">: </w:t>
      </w:r>
      <w:r>
        <w:rPr>
          <w:rtl w:val="true"/>
        </w:rPr>
        <w:t>فی مقتضی الأصل العملیّ عند الشّک فی حجّیة العام</w:t>
      </w:r>
      <w:bookmarkEnd w:id="451"/>
    </w:p>
    <w:p>
      <w:pPr>
        <w:pStyle w:val="BookText"/>
        <w:rPr/>
      </w:pPr>
      <w:r>
        <w:rPr>
          <w:rFonts w:ascii="IRNazanin" w:hAnsi="IRNazanin" w:eastAsia="IRNazanin"/>
          <w:color w:val="111111"/>
          <w:sz w:val="28"/>
          <w:sz w:val="28"/>
          <w:szCs w:val="28"/>
          <w:rtl w:val="true"/>
          <w:lang w:bidi="fa-IR"/>
        </w:rPr>
        <w:t>قد عرفت الخلاف فی المسألة الأصولیّة، و هی حجّیة العامّ فی الشبهة المصداقیّة الناشئة عن الشبهة المفهومیّة</w:t>
      </w:r>
      <w:r>
        <w:rPr>
          <w:rStyle w:val="FootnoteAnchor"/>
          <w:rtl w:val="true"/>
        </w:rPr>
        <w:footnoteReference w:id="564"/>
      </w:r>
      <w:r>
        <w:rPr>
          <w:rFonts w:ascii="IRNazanin" w:hAnsi="IRNazanin" w:eastAsia="IRNazanin"/>
          <w:color w:val="111111"/>
          <w:sz w:val="28"/>
          <w:sz w:val="28"/>
          <w:szCs w:val="28"/>
          <w:rtl w:val="true"/>
          <w:lang w:bidi="fa-IR"/>
        </w:rPr>
        <w:t>، و هکذا سیظهر الخلاف الأصلیّ فی حجّیة العامّ فی الشبهة المصداقیّة الناشئة عن الأمور الخارجیّة</w:t>
      </w:r>
      <w:r>
        <w:rPr>
          <w:rStyle w:val="FootnoteAnchor"/>
          <w:rtl w:val="true"/>
        </w:rPr>
        <w:footnoteReference w:id="565"/>
      </w:r>
      <w:r>
        <w:rPr>
          <w:rFonts w:ascii="IRNazanin" w:hAnsi="IRNazanin" w:eastAsia="IRNazanin"/>
          <w:color w:val="111111"/>
          <w:sz w:val="28"/>
          <w:sz w:val="28"/>
          <w:szCs w:val="28"/>
          <w:rtl w:val="true"/>
          <w:lang w:bidi="fa-IR"/>
        </w:rPr>
        <w:t>، و علی هذا فهل مقتضی الشکّ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قصور الأدلّة الاجتهادیة عن إثبات أحد طرفی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وجه عدمها فهو واضح، لما تقرّر من أنّ مقتضی الشکّ فی الحجّیة یرجع إلی القطع بعدم الحجّیة، لأنّها صفة إثباتیّة لا یتصوّر لها الثبوت </w:t>
      </w:r>
      <w:r>
        <w:rPr>
          <w:rStyle w:val="FootnoteAnchor"/>
          <w:rtl w:val="true"/>
        </w:rPr>
        <w:footnoteReference w:id="566"/>
      </w:r>
      <w:r>
        <w:rPr>
          <w:rFonts w:ascii="IRNazanin" w:hAnsi="IRNazanin" w:eastAsia="IRNazanin"/>
          <w:color w:val="111111"/>
          <w:sz w:val="28"/>
          <w:sz w:val="28"/>
          <w:szCs w:val="28"/>
          <w:rtl w:val="true"/>
          <w:lang w:bidi="fa-IR"/>
        </w:rPr>
        <w:t>، و کلّ ما کان کذلک تکون حاله ذلک،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حجّیتها، ففیما إذا کان الفرض زمان الحضور، و قبل ورود المخصّص المجمل، فقضیّة الاستصحاب حجّیة العامّ بالنسبة إلی مرتکب الصغیرة، و أنّ المخصّص الموهن محکوم بعدم سرایة وهنه، و لو کان استصحاب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أنّها من الأحکام الوضعیّة القابلة للجعل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جاریا لکان جریانه هنا بلا مانع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المفروض زمان الغیبة، و بعد صدور المخصّص،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w:t>
      </w:r>
    </w:p>
    <w:p>
      <w:pPr>
        <w:pStyle w:val="BookText"/>
        <w:rPr/>
      </w:pPr>
      <w:r>
        <w:rPr>
          <w:rFonts w:ascii="IRNazanin" w:hAnsi="IRNazanin" w:eastAsia="IRNazanin"/>
          <w:color w:val="111111"/>
          <w:sz w:val="28"/>
          <w:sz w:val="28"/>
          <w:szCs w:val="28"/>
          <w:rtl w:val="true"/>
          <w:lang w:bidi="fa-IR"/>
        </w:rPr>
        <w:t>الیقین التقدیریّ فی جریانه، و أنّه لو فرضنا عدم ورود المخصّص لکنّا نستیقن بحجّیة العامّ فی مورد الشبهة و هو مرتکب الصغیرة فهو، و إلاّ فلا یمکن إجراء الاستصحاب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مجری الاستصحاب لو کان عنوانا کلّیا، یکون الیقین فعلیّا، فإنّا نستیقن بأنّ العامّ بالنسبة إلی مرتکب الصغائر، کان حجّة قبل صدور المخصّص اللفظیّ المجمل، و الآن نشکّ فی ذلک، و لا یعتبر فی جریان الاستصحاب أزید من الیقین و الشکّ المزبورین، و لا یعتبر تقدّم زمان حصول الیقین علی زمان حصول الشکّ، بل یکفی فی جریانه و لو کان زمان حصول الیقین و الشکّ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استصحاب حجّیة العامّ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وجه، لأنّ النّظر إلی التمسّک بالعامّ بالنسبة إلی الفرد الخارجیّ، و ما کان مورد الیقین لیس المعنون المزبور کما لا یخفی، 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من الاستصحاب، بل هو یرجع إلی قاعدة الیقین، لأنّ الشکّ فی الحجّیة من الشکّ الساری إلی أصل حجّیة العامّ من الأوّل بالنسبة إلی مرتکب الصغیرة، فهی قابلة للدفع، ضرورة أنّ الحجّیة إن کانت ناشئة عن الإرادة الجدّیة المحرزة، فهنا لا تجری إلاّ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الحجّیة من أوصاف الجمل التصدیقیّة و الکلمات التامّة، فلا شبهة فی أنّ العامّ قبل ورود المخصّص کان یحتجّ به، و إذا شکّ فی سریان الوهن یشکّ فی بقاء الصفة المزبورة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حتّی بالنسبة إلی مورد التخصیص یکون حجّة، و لا ینکشف بعد ورود التخصیص عدم حجّیته، بل ینکشف بعده عدم ثبوت الإرادة الجدّیة، و لا ینبغی الخلط بینهما، فافهم و اغتنم جیّدا</w:t>
      </w:r>
      <w:r>
        <w:rPr>
          <w:rFonts w:eastAsia="IRNazanin" w:cs="IRNazanin"/>
          <w:color w:val="111111"/>
          <w:sz w:val="28"/>
          <w:szCs w:val="28"/>
          <w:rtl w:val="true"/>
          <w:lang w:bidi="fa-IR"/>
        </w:rPr>
        <w:t>.</w:t>
      </w:r>
      <w:bookmarkStart w:id="452" w:name="pg13167_140935"/>
    </w:p>
    <w:p>
      <w:pPr>
        <w:pStyle w:val="Heading4"/>
        <w:numPr>
          <w:ilvl w:val="3"/>
          <w:numId w:val="1"/>
        </w:numPr>
        <w:rPr/>
      </w:pPr>
      <w:bookmarkStart w:id="453" w:name="__RefHeading___Toc559654_3244359995"/>
      <w:bookmarkStart w:id="454" w:name="_Toc170"/>
      <w:bookmarkEnd w:id="452"/>
      <w:bookmarkEnd w:id="453"/>
      <w:r>
        <w:rPr>
          <w:rtl w:val="true"/>
        </w:rPr>
        <w:t>الصورة الثالثة</w:t>
      </w:r>
      <w:r>
        <w:rPr>
          <w:rtl w:val="true"/>
        </w:rPr>
        <w:t xml:space="preserve">: </w:t>
      </w:r>
      <w:r>
        <w:rPr>
          <w:rtl w:val="true"/>
        </w:rPr>
        <w:t>فیما إذا کان المخصّص لبّیا</w:t>
      </w:r>
      <w:bookmarkEnd w:id="454"/>
    </w:p>
    <w:p>
      <w:pPr>
        <w:pStyle w:val="BookText"/>
        <w:rPr/>
      </w:pPr>
      <w:r>
        <w:rPr>
          <w:rFonts w:ascii="IRNazanin" w:hAnsi="IRNazanin" w:eastAsia="IRNazanin"/>
          <w:color w:val="111111"/>
          <w:sz w:val="28"/>
          <w:sz w:val="28"/>
          <w:szCs w:val="28"/>
          <w:rtl w:val="true"/>
          <w:lang w:bidi="fa-IR"/>
        </w:rPr>
        <w:t>بأن علم بدلیل من العقل أو الإجماع أو بناء من العقلاء، عدم تطابق الإرادتین بالنسبة إلی مجموع مفاد العامّ، و أنّ تمام مفهوم العامّ لیس مرادا بالإرادة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یتصوّر علی وجوه، ضرورة 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لاتصال القرائن بالعمومات اللفظیّة الموجبة لصرفها إلی محطّ خاصّ، و لکونها واردة فی مصبّ مخصوص، و هو خارج عن محلّ الکلام، لأنّه لیس من التخصیص طبعا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منه عمومات القرعة</w:t>
      </w:r>
      <w:r>
        <w:rPr>
          <w:rStyle w:val="FootnoteAnchor"/>
          <w:rtl w:val="true"/>
        </w:rPr>
        <w:footnoteReference w:id="567"/>
      </w:r>
      <w:r>
        <w:rPr>
          <w:rFonts w:ascii="IRNazanin" w:hAnsi="IRNazanin" w:eastAsia="IRNazanin"/>
          <w:color w:val="111111"/>
          <w:sz w:val="28"/>
          <w:sz w:val="28"/>
          <w:szCs w:val="28"/>
          <w:rtl w:val="true"/>
          <w:lang w:bidi="fa-IR"/>
        </w:rPr>
        <w:t>، فإنّه ربّما یستکشف من القرائن المختلفة المذکورة فی محلّها</w:t>
      </w:r>
      <w:r>
        <w:rPr>
          <w:rStyle w:val="FootnoteAnchor"/>
          <w:rtl w:val="true"/>
        </w:rPr>
        <w:footnoteReference w:id="568"/>
      </w:r>
      <w:r>
        <w:rPr>
          <w:rFonts w:ascii="IRNazanin" w:hAnsi="IRNazanin" w:eastAsia="IRNazanin"/>
          <w:color w:val="111111"/>
          <w:sz w:val="28"/>
          <w:sz w:val="28"/>
          <w:szCs w:val="28"/>
          <w:rtl w:val="true"/>
          <w:lang w:bidi="fa-IR"/>
        </w:rPr>
        <w:t>، أنّ مصبّها تشاحّ الحقوق و تزاحمها من غیر کونها مخصّصة، بل هذا من قبیل ورود العامّ و أداته علی العنوان المقیّد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لأجل خروج العنوان عن تحت العامّ بحکم العقل أو الإجماع مثلا، و ذلک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عنوانا معلوم المراد،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مجمل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لأجل خروج أفراد عن تحت العامّ، و هذا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لأجل حیثیّة واحدة مشترکة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ذلک، و لا یمکن فهم الجهة الجامعة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شقّ خامس فی البین إلاّ ما یأتی مستقلا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 من قبیل الفرض الأوّل، فهو من قبیل المخصّص اللفظیّ فی صور</w:t>
      </w:r>
    </w:p>
    <w:p>
      <w:pPr>
        <w:pStyle w:val="BookText"/>
        <w:rPr/>
      </w:pPr>
      <w:r>
        <w:rPr>
          <w:rFonts w:ascii="IRNazanin" w:hAnsi="IRNazanin" w:eastAsia="IRNazanin"/>
          <w:color w:val="111111"/>
          <w:sz w:val="28"/>
          <w:sz w:val="28"/>
          <w:szCs w:val="28"/>
          <w:rtl w:val="true"/>
          <w:lang w:bidi="fa-IR"/>
        </w:rPr>
        <w:t xml:space="preserve">إجماله و تفصیله </w:t>
      </w:r>
      <w:r>
        <w:rPr>
          <w:rStyle w:val="FootnoteAnchor"/>
          <w:rtl w:val="true"/>
        </w:rPr>
        <w:footnoteReference w:id="569"/>
      </w:r>
      <w:r>
        <w:rPr>
          <w:rFonts w:ascii="IRNazanin" w:hAnsi="IRNazanin" w:eastAsia="IRNazanin"/>
          <w:color w:val="111111"/>
          <w:sz w:val="28"/>
          <w:sz w:val="28"/>
          <w:szCs w:val="28"/>
          <w:rtl w:val="true"/>
          <w:lang w:bidi="fa-IR"/>
        </w:rPr>
        <w:t>، و یحذو حذوها فی السرایة و عدمها، و بقاء حجّیّة العامّ فی مورد الشبهة و عدمه، لأنّ العنوان المزبور الخارج إذا کان تامّا عند العقل أو الإجماع، یکشف منه التمامیّة عند الشرع، و لا معنی لکون سند العنوان خبر الواحد أو العقل أو الإجماع لیختلف حکم المسألة و حکم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دعوی الفرق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اللفظیّات قد ألقی المولی حجّتین، و بعد تحکیم الخاصّ یصیر العامّ مقصور الحجّیة من أوّل الأمر، و هذا بخلاف المخصّصات اللبیّة، فإنّ المولی قد ألقی هنا حجّة واحدة یجب العمل علی مقتضاها ما لم تقم حجّة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و الطریقة المألوفة بین العقلاء، أقوی شاهد علی التفصیل المزبور</w:t>
      </w:r>
      <w:r>
        <w:rPr>
          <w:rStyle w:val="FootnoteAnchor"/>
          <w:rtl w:val="true"/>
        </w:rPr>
        <w:footnoteReference w:id="570"/>
      </w:r>
      <w:r>
        <w:rPr>
          <w:rFonts w:ascii="IRNazanin" w:hAnsi="IRNazanin" w:eastAsia="IRNazanin"/>
          <w:color w:val="111111"/>
          <w:sz w:val="28"/>
          <w:sz w:val="28"/>
          <w:szCs w:val="28"/>
          <w:rtl w:val="true"/>
          <w:lang w:bidi="fa-IR"/>
        </w:rPr>
        <w:t>، انتهی ملخّص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حجّیة العامّ لا تزول بورود المخصّص بالنسبة إلی زمان قبل التخصیص، کما عرفت فی البحث السابق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دلیله الّذی ادعاه هو الدلیل الجاری بالنسبة إلی المخصّص اللفظیّ، فإنّ رفع الید عن العامّ الحجّة بما لیس بحجّة فی مورد، ممّا لا یراه العقل و لا العقلاء، و لو کان اللفظیّ کافیا للشکّ فی الحجّیة شکّا مستقرّا فاللبّی مثله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 العنوان المزبور إذا کان معلوما عدم حجّیة العامّ بالنسبة إلی مصادیقه، یعدّ من کلام الشرع عرفا و ممضیّا عند الشرع عقلا، و اختلاف دلیل ذلک العنوان الخارج لا یورث فرقا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إن کان عذرا بالنسبة إلی ترک العمل بالعامّ، فلا بدّ من العمل به فی مورد الشبهة حتّی یعلم العذر، من غیر فرق بین اللبّی و اللفظیّ، و أمّا إن کان المخصّص دلیلا علی عدم الحکم الفعلیّ فی مورده من الأوّل، فلا فرق أیضا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تقریب التمسّک بالعامّ فی اللبّیات العقلیّة، هو أنّ فی اللفظیّات کان إلقاء الکبری الکلیّة المخرجة وظیفة الشرع، بخلاف العقلیّة، فإنّ الشرع مستوی النسبة، فیکون العامّ حجّة حتّی یحرز مصداق العنوان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الإجماع قائما علی العنوان المزبور، فهو دلیل کونه من السنّة، فإن کان مطلقا أو مجملا یؤخذ بإطلاقه، و یطرح مورد إجماله، کما فی السنن، بخلاف ما إذا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خارجا بحکم العقل عن الأدلّة العامّة، فإنّه لا یعدّ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نقول بأنّ فی موارد المخصّصات اللبّیة العقلیّة، یکون مصبّ العامّ من الأوّل مقصودا، و ذلک لأنّ الأحکام العقلیّة المتّبعة هی المرتکزات العقلیّة المتّصلة و الناهضة عند العقلاء محفوفة بالقوانین الکلّیة، و لا یتصوّر اللبّی العقلیّ المنفصل، بل اللبّیات العقلیّة دائمة الاتصال، فتکون أسوأ حالا من اللبّی الإجماعیّ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اللبّی من الإجماع لیس من اللبّی واقعا، بل هو کاشف عن السنّة، فیکون من اللفظیّ، و اللبّی العقلیّ لا یتصوّر انفصاله عن العمومات، فلا یتصوّر لمحلّ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المخصّص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حتّی یکون مورد البحث و الکلام و النقض و الإبرام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الید الأمانیّة عن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کتاب الغصب، أبواب کتاب الغصب،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فهم العقلاء</w:t>
      </w:r>
    </w:p>
    <w:p>
      <w:pPr>
        <w:pStyle w:val="BookText"/>
        <w:rPr/>
      </w:pPr>
      <w:r>
        <w:rPr>
          <w:rFonts w:ascii="IRNazanin" w:hAnsi="IRNazanin" w:eastAsia="IRNazanin"/>
          <w:color w:val="111111"/>
          <w:sz w:val="28"/>
          <w:sz w:val="28"/>
          <w:szCs w:val="28"/>
          <w:rtl w:val="true"/>
          <w:lang w:bidi="fa-IR"/>
        </w:rPr>
        <w:t>و ارتکازهم، لا یکون إلاّ متّصلا، و لا یتصوّر هناک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حدوث الارتکاز المتأخّر غیر الممضی فهو لیس حجّة، و لا مانعا عن التمسّک بالعموم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العلم بعدم إرادة العدد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المرتکزات علی القسمین،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الواضح الظاهر المانع عن انعقاد الظهور،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بهذه المرتبة من الظهور، و علی هذا یصحّ عقد البحث المذکور، غیر تامّ، لأنّ الغفلة حین الاطلاع عن الارتکاز العقلائیّ أو الدرک العقلیّ، کالذهول عن الخاصّ اللفظیّ، فإنّه بعد الالتفات یتوجّه إلی القرینة الحافّة، لأنّه کان لو التفت إلی الارتکاز المذکور لا ینعقد الظهور التصدیقیّ إلاّ مضیّقا، فلیلاحظ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قبیل الفرض الثانی و هو کون الخارج أفرادا، فإن أمکن أخذ الجامع فلا بدّ و أن یکون ذلک الجامع مورد الحکم و الخارج، لأنّ الحیثیّات التعلیلیّة فی الأحکام العقلیّة هی عناوین موضوعاتها، فیکون مندرجا فی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ذلک، و کان کلّ واحد خارجا بخصوصه، فالشکّ یرجع إلی الشکّ فی التخصیص، فیکون خارجا عن محطّ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عن الشیخ الأعظم الأنصاریّ قدس سرُّه حیث نسب إلیه حجّیة العامّ فی الشبهة المصداقیّة للمخصّص اللبّی مطلقا</w:t>
      </w:r>
      <w:r>
        <w:rPr>
          <w:rStyle w:val="FootnoteAnchor"/>
          <w:rtl w:val="true"/>
        </w:rPr>
        <w:footnoteReference w:id="573"/>
      </w:r>
      <w:r>
        <w:rPr>
          <w:rFonts w:ascii="IRNazanin" w:hAnsi="IRNazanin" w:eastAsia="IRNazanin"/>
          <w:color w:val="111111"/>
          <w:sz w:val="28"/>
          <w:sz w:val="28"/>
          <w:szCs w:val="28"/>
          <w:rtl w:val="true"/>
          <w:lang w:bidi="fa-IR"/>
        </w:rPr>
        <w:t>، فإنّه فیما نسب إلیه خرج عن محیط المسألة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دعواه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الأکثر فی المخصّصات اللبّیة، خروج الأفراد بلا توسّط عنوان جامع بینها یکون هو الخارج حقیقة</w:t>
      </w:r>
      <w:r>
        <w:rPr>
          <w:rStyle w:val="FootnoteAnchor"/>
          <w:rtl w:val="true"/>
        </w:rPr>
        <w:footnoteReference w:id="574"/>
      </w:r>
      <w:r>
        <w:rPr>
          <w:rFonts w:ascii="IRNazanin" w:hAnsi="IRNazanin" w:eastAsia="IRNazanin"/>
          <w:color w:val="111111"/>
          <w:sz w:val="28"/>
          <w:sz w:val="28"/>
          <w:szCs w:val="28"/>
          <w:rtl w:val="true"/>
          <w:lang w:bidi="fa-IR"/>
        </w:rPr>
        <w:t>، فغیر</w:t>
      </w:r>
    </w:p>
    <w:p>
      <w:pPr>
        <w:pStyle w:val="BookText"/>
        <w:rPr/>
      </w:pPr>
      <w:r>
        <w:rPr>
          <w:rFonts w:ascii="IRNazanin" w:hAnsi="IRNazanin" w:eastAsia="IRNazanin"/>
          <w:color w:val="111111"/>
          <w:sz w:val="28"/>
          <w:sz w:val="28"/>
          <w:szCs w:val="28"/>
          <w:rtl w:val="true"/>
          <w:lang w:bidi="fa-IR"/>
        </w:rPr>
        <w:t>مسموعة أیضا، کما أشیر فی ضمن البحث لأمثلته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الواضح أنّ المخصّص اللبّی العقلیّ لا یمکن أن یکون مجملا، لأنّ الإجمال ینافی حکم العقل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الشکّ فی القدرة یتعیّن جریان البراءة، لأنّ العنوان الخارج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بعنوانه موضوع حکم العقل دون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المرتکزات الحافّة بالکلام المانعة عن عموم حجّیة العامّ بالنسبة إلی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و المحقّقین علی الاحتیاط فی هذه المسألة، و یعلم منه أنّ ذلک حکم سار فی جمیع المخصّصات اللبیّة العقلیّة دون الإجماعیّة، لرجوعها إلی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التمسّک بالعامّ حتّی فی اللبّیات المتّصلة، فضلا عن المنفصلة لو فرض له مثال، و خروج الإجماع عن اللبّیات صغرویّا لا یضرّ بما هی الجهة المبحوث عنها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مقدّمات الترتّب تفصیل الکلام فی هذه المسألة</w:t>
      </w:r>
      <w:r>
        <w:rPr>
          <w:rStyle w:val="FootnoteAnchor"/>
          <w:rtl w:val="true"/>
        </w:rPr>
        <w:footnoteReference w:id="575"/>
      </w:r>
      <w:r>
        <w:rPr>
          <w:rFonts w:ascii="IRNazanin" w:hAnsi="IRNazanin" w:eastAsia="IRNazanin"/>
          <w:color w:val="111111"/>
          <w:sz w:val="28"/>
          <w:sz w:val="28"/>
          <w:szCs w:val="28"/>
          <w:rtl w:val="true"/>
          <w:lang w:bidi="fa-IR"/>
        </w:rPr>
        <w:t>، و الّذی هو التحقیق أحد الأمور علی سبیل منع الخلوّ، و هو أنّ الوجه فی بنائهم هو أنّهم 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التکالیف فعلیّة، و عندئذ لا بدّ من الاعتذار، و الشکّ فی القدرة یرجع إلی الشکّ فی العذر، فلا بدّ من الاحتیاط، و هذا هو مختار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فلا یقاس به سائر العناوین الخارجة لبّا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بین العجز و سائر العناوین فرقا، و لا یقاس مورد الشکّ فی القدرة</w:t>
      </w:r>
      <w:bookmarkStart w:id="455" w:name="pg13167_140940"/>
    </w:p>
    <w:p>
      <w:pPr>
        <w:pStyle w:val="BookText"/>
        <w:rPr/>
      </w:pPr>
      <w:bookmarkEnd w:id="455"/>
      <w:r>
        <w:rPr>
          <w:rFonts w:ascii="IRNazanin" w:hAnsi="IRNazanin" w:eastAsia="IRNazanin"/>
          <w:color w:val="111111"/>
          <w:sz w:val="28"/>
          <w:sz w:val="28"/>
          <w:szCs w:val="28"/>
          <w:rtl w:val="true"/>
          <w:lang w:bidi="fa-IR"/>
        </w:rPr>
        <w:t xml:space="preserve">بالشکّ فی العداوة فیما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 من حال المولی أنّه لا یحبّ إکرام عدوّه، فإنّ فی الصورة الأولی یکون العجز من صفات المکلّفین غیر الدخیلة فی المقتضیات، و عدم ثبوت الأمر و الفعلیّة ینتهی إلی عدم الاقتضاء فی ناحیة الامتثال، بخلاف الصورة الثانیة، فإنّه یرجع عدم الأمر فیها إلی حال المولی، و عدم ثبوت المقتضی للتکلیف، و عدم حصول ملاک بالنسبة إلیه فی ناحیة الجعل، و هذا هو الموجب لبناء العقلاء علی الاحتیاط فی خصوص الشکّ 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أصل البناء المزبور غیر محرز، و لیس هو إلاّ من الادعاء، و یستتبع الأمر ذلک المبنی، و هو أنّ الأمر دائر مدار کون العجز من الأعذار، أو یکون التکلیف فی مورد العجز غیر موجود، فعلی الأوّل لا بدّ من الاحتیاط، و علی الثانی تجری البراءة و لو شرعیّة لو استشکل فی العقلیّة منها، و بناء العقلاء غیر واضح نهجه و حدوده، فلاحظ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بناؤهم المزبور عن إجراء البراءة الشرعیّة إذا لم یکن العامّ دلیلا فی مورد الشکّ 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المعلوم من العرف هو الاحتیاط، و أمّا منشأه فهو غیر محرز، و ما هو النافع هو إحراز کون احتیاطهم مستندا إلی الأخذ بعموم العامّ، مع عدم فعلیّة التکلیف عندهم فی مورد العجز، فلاحظ جیّدا</w:t>
      </w:r>
      <w:r>
        <w:rPr>
          <w:rFonts w:eastAsia="IRNazanin" w:cs="IRNazanin"/>
          <w:color w:val="111111"/>
          <w:sz w:val="28"/>
          <w:szCs w:val="28"/>
          <w:rtl w:val="true"/>
          <w:lang w:bidi="fa-IR"/>
        </w:rPr>
        <w:t>.</w:t>
      </w:r>
    </w:p>
    <w:p>
      <w:pPr>
        <w:pStyle w:val="Heading4"/>
        <w:numPr>
          <w:ilvl w:val="3"/>
          <w:numId w:val="1"/>
        </w:numPr>
        <w:rPr/>
      </w:pPr>
      <w:bookmarkStart w:id="456" w:name="__RefHeading___Toc559656_3244359995"/>
      <w:bookmarkStart w:id="457" w:name="_Toc171"/>
      <w:bookmarkEnd w:id="456"/>
      <w:r>
        <w:rPr>
          <w:rtl w:val="true"/>
        </w:rPr>
        <w:t>الصورة الرابعة</w:t>
      </w:r>
      <w:r>
        <w:rPr>
          <w:rtl w:val="true"/>
        </w:rPr>
        <w:t xml:space="preserve">: </w:t>
      </w:r>
      <w:r>
        <w:rPr>
          <w:rtl w:val="true"/>
        </w:rPr>
        <w:t>فیما إذا لم یعلم حال أمر المخصّص</w:t>
      </w:r>
      <w:bookmarkEnd w:id="45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 الکلام فی المقام حول صورة أخری فی مسألة التمسّک بالعامّ فی الشبهة المصداقیّة الناشئة عن إجمال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لم یکن أمر المخصّص دائرا بین الأقلّ و الأکثر، و لا بین المتباینین، بل لا یعلم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أنّه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صلی اللَّه علیه و آله و سلم نهی عن بیع الملامسة و المنابذة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577"/>
      </w:r>
      <w:r>
        <w:rPr>
          <w:rFonts w:ascii="IRNazanin" w:hAnsi="IRNazanin" w:eastAsia="IRNazanin"/>
          <w:color w:val="111111"/>
          <w:sz w:val="28"/>
          <w:sz w:val="28"/>
          <w:szCs w:val="28"/>
          <w:rtl w:val="true"/>
          <w:lang w:bidi="fa-IR"/>
        </w:rPr>
        <w:t>، و لم یکن لنا إمکان فهم هذا الصنف من البیع، و لا یمکن الاطلاع علی معناه المقصود أصلا، لا بنحو التفصیل، و لا الإجمال و القدر المتیقّن، و لا الأقلّ و الأکثر، فهل یتمسّک بالعمومات فی جمیع الموارد، نظرا إلی أنّ إسقاط العامّ بذلک غیر جائز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صورة الاتصال یشکل الأمر، و یکون الدلیل مجملا فی جمیع مفهومه؟</w:t>
      </w:r>
    </w:p>
    <w:p>
      <w:pPr>
        <w:pStyle w:val="BookText"/>
        <w:rPr/>
      </w:pPr>
      <w:r>
        <w:rPr>
          <w:rFonts w:ascii="IRNazanin" w:hAnsi="IRNazanin" w:eastAsia="IRNazanin"/>
          <w:color w:val="111111"/>
          <w:sz w:val="28"/>
          <w:sz w:val="28"/>
          <w:szCs w:val="28"/>
          <w:rtl w:val="true"/>
          <w:lang w:bidi="fa-IR"/>
        </w:rPr>
        <w:t>أو یسقط العامّ، للعلم الإجمالیّ بخروج عنوان منه، و لو جاز التمسّک بالعامّ للزم خلاف العلم الإجمالیّ؟</w:t>
      </w:r>
    </w:p>
    <w:p>
      <w:pPr>
        <w:pStyle w:val="BookText"/>
        <w:rPr/>
      </w:pPr>
      <w:r>
        <w:rPr>
          <w:rFonts w:ascii="IRNazanin" w:hAnsi="IRNazanin" w:eastAsia="IRNazanin"/>
          <w:color w:val="111111"/>
          <w:sz w:val="28"/>
          <w:sz w:val="28"/>
          <w:szCs w:val="28"/>
          <w:rtl w:val="true"/>
          <w:lang w:bidi="fa-IR"/>
        </w:rPr>
        <w:t>أو یفصّل بین المخصّص المشتمل علی الحکم الّذی یلزم من تنجیزه استحقاق العقوبة، و بین ما لم یکن کذلک، فلا یکون العلم الإجمالیّ إلاّ مرخّصا لترک العمل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و احتمالات أقربها الأخیر، و المسألة تحتاج إلی التأمّل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القول بالاحتیاط فی أطراف العلم،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یتمّ التفصیل، کما أنّه من موارد الشّک من کونه الأقلّ فی الکثیر، أو القلیل فی الکثیر، أو الکثیر فی الکثیر، أو الکثیر فی القلیل، و لم یتعرّض الأصحاب فی محلّه لحکم هذه الصورة من موارد العلم الإجمالیّ، و الأمر سهل عندنا، کما یأتی إن شاء اللَّه تعالی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bookmarkStart w:id="458" w:name="pg13167_140942"/>
    </w:p>
    <w:p>
      <w:pPr>
        <w:pStyle w:val="Heading4"/>
        <w:numPr>
          <w:ilvl w:val="3"/>
          <w:numId w:val="1"/>
        </w:numPr>
        <w:rPr/>
      </w:pPr>
      <w:bookmarkStart w:id="459" w:name="__RefHeading___Toc559658_3244359995"/>
      <w:bookmarkStart w:id="460" w:name="_Toc172"/>
      <w:bookmarkEnd w:id="458"/>
      <w:bookmarkEnd w:id="459"/>
      <w:r>
        <w:rPr>
          <w:rtl w:val="true"/>
        </w:rPr>
        <w:t>الصورة الخامسة</w:t>
      </w:r>
      <w:r>
        <w:rPr>
          <w:rtl w:val="true"/>
        </w:rPr>
        <w:t xml:space="preserve">: </w:t>
      </w:r>
      <w:r>
        <w:rPr>
          <w:rtl w:val="true"/>
        </w:rPr>
        <w:t>فیما لو کان المخصّص اللفظیّ مرتکزا عقلائیّا</w:t>
      </w:r>
      <w:bookmarkEnd w:id="46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صورة مشترکة بین کونها من المخصّص اللفظیّ و اللبّی، و ذلک فی مورد کان مفاد المخصّص اللفظیّ مرتکز العقلاء، کما لو ورد لفظ بعدم التکلیف فی مورد العجز و هکذا، و الحقّ فیها أنّه إن کان الدلیل المخصّص اللفظیّ إمضاء حکم العقل، لا مرتکز العقلاء و بنائهم فقط، فهو راجع إلی اللبیّ، و إن کان مؤسّسا بإطلاقه فی موارد الشکّ و قصور بناء العقلاء، فهو بحکم اللفظیّ، فلیلاحظ</w:t>
      </w:r>
      <w:r>
        <w:rPr>
          <w:rFonts w:eastAsia="IRNazanin" w:cs="IRNazanin"/>
          <w:color w:val="111111"/>
          <w:sz w:val="28"/>
          <w:szCs w:val="28"/>
          <w:rtl w:val="true"/>
          <w:lang w:bidi="fa-IR"/>
        </w:rPr>
        <w:t>.</w:t>
      </w:r>
      <w:bookmarkStart w:id="461" w:name="pg13167_140943"/>
    </w:p>
    <w:p>
      <w:pPr>
        <w:pStyle w:val="Heading3"/>
        <w:numPr>
          <w:ilvl w:val="2"/>
          <w:numId w:val="1"/>
        </w:numPr>
        <w:rPr/>
      </w:pPr>
      <w:bookmarkStart w:id="462" w:name="__RefHeading___Toc559660_3244359995"/>
      <w:bookmarkStart w:id="463" w:name="_Toc173"/>
      <w:bookmarkEnd w:id="461"/>
      <w:bookmarkEnd w:id="462"/>
      <w:r>
        <w:rPr>
          <w:rtl w:val="true"/>
        </w:rPr>
        <w:t>المبحث الثالث فی جواز التمسّک بالعامّ فی الشبهة المصداقیّة الناشئة عن الأمور الخارجیّة</w:t>
      </w:r>
      <w:bookmarkEnd w:id="463"/>
    </w:p>
    <w:p>
      <w:pPr>
        <w:pStyle w:val="Heading4"/>
        <w:numPr>
          <w:ilvl w:val="3"/>
          <w:numId w:val="1"/>
        </w:numPr>
        <w:rPr/>
      </w:pPr>
      <w:bookmarkStart w:id="464" w:name="__RefHeading___Toc559662_3244359995"/>
      <w:bookmarkStart w:id="465" w:name="_Toc174"/>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و هذا البحث لیس داخلا فی البحث السابق المتعرّض لأنحاء المخصّصات و أنواعها، بل یعدّ من تتمّة البحث الأوّل المتکفّل لصحّة التمسّک بالعامّ بعد التخصیص، الّذی کان قدر متیقّنه کون المخصّص مبیّن المراد</w:t>
      </w:r>
      <w:r>
        <w:rPr>
          <w:rStyle w:val="FootnoteAnchor"/>
          <w:rtl w:val="true"/>
        </w:rPr>
        <w:footnoteReference w:id="579"/>
      </w:r>
      <w:r>
        <w:rPr>
          <w:rFonts w:ascii="IRNazanin" w:hAnsi="IRNazanin" w:eastAsia="IRNazanin"/>
          <w:color w:val="111111"/>
          <w:sz w:val="28"/>
          <w:sz w:val="28"/>
          <w:szCs w:val="28"/>
          <w:rtl w:val="true"/>
          <w:lang w:bidi="fa-IR"/>
        </w:rPr>
        <w:t>، و أنّه إذا کان هو مبیّن المفهوم و المراد، و لکن اشتبه أمر الفرد بحسب الخارج، و أنه من مصادیق المخصّص أم لا، فهل هذا یوجب سقوط العامّ، أم لا؟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محلّ الکلام هو المخصّص المنفصل، و کأنّ فی المتّصل و الاستثناء لا یجوز التمسّک و لا یصحّ، و ذلک إمّا لأجل تعنون العامّ بعنوان المخصّص، فیصیر الشبهة المصداقیّة شبهة موضوعیّة لنفس العامّ، أو لأجل عدم تمامیّة الحجّة التصدیقیّة بمجرّد صدور العامّ، و إذا کان الخاصّ من تتمّة الکلام یشکل الاحتجاج بالعامّ، و لا طریق لنا إلی إحراز بناء العرف و العقلاء، بل ظاهرهم سقوط العمومات</w:t>
      </w:r>
    </w:p>
    <w:p>
      <w:pPr>
        <w:pStyle w:val="BookText"/>
        <w:rPr/>
      </w:pPr>
      <w:r>
        <w:rPr>
          <w:rFonts w:ascii="IRNazanin" w:hAnsi="IRNazanin" w:eastAsia="IRNazanin"/>
          <w:color w:val="111111"/>
          <w:sz w:val="28"/>
          <w:sz w:val="28"/>
          <w:szCs w:val="28"/>
          <w:rtl w:val="true"/>
          <w:lang w:bidi="fa-IR"/>
        </w:rPr>
        <w:t>حینئذ بعدم انعقاد ظهور لها رأسا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من المسائل المبتلی بها کثیرا، و اشتهر بین أبناء التحقیق عدم جواز التمسّک </w:t>
      </w:r>
      <w:r>
        <w:rPr>
          <w:rStyle w:val="FootnoteAnchor"/>
          <w:rtl w:val="true"/>
        </w:rPr>
        <w:footnoteReference w:id="581"/>
      </w:r>
      <w:r>
        <w:rPr>
          <w:rFonts w:ascii="IRNazanin" w:hAnsi="IRNazanin" w:eastAsia="IRNazanin"/>
          <w:color w:val="111111"/>
          <w:sz w:val="28"/>
          <w:sz w:val="28"/>
          <w:szCs w:val="28"/>
          <w:rtl w:val="true"/>
          <w:lang w:bidi="fa-IR"/>
        </w:rPr>
        <w:t xml:space="preserve">، خلافا لما نسب </w:t>
      </w:r>
      <w:r>
        <w:rPr>
          <w:rStyle w:val="FootnoteAnchor"/>
          <w:rtl w:val="true"/>
        </w:rPr>
        <w:footnoteReference w:id="582"/>
      </w:r>
      <w:r>
        <w:rPr>
          <w:rFonts w:ascii="Amiri" w:hAnsi="Amiri" w:eastAsia="Amiri" w:cs="Amiri"/>
          <w:color w:val="111111"/>
          <w:sz w:val="28"/>
          <w:sz w:val="28"/>
          <w:szCs w:val="28"/>
          <w:rtl w:val="true"/>
          <w:lang w:bidi="ar-SA"/>
        </w:rPr>
        <w:t xml:space="preserve">إلی العلاّمة النهاوندی قدس سرُّه </w:t>
      </w:r>
      <w:r>
        <w:rPr>
          <w:rStyle w:val="FootnoteAnchor"/>
          <w:rtl w:val="true"/>
        </w:rPr>
        <w:footnoteReference w:id="583"/>
      </w:r>
      <w:r>
        <w:rPr>
          <w:rFonts w:ascii="Amiri" w:hAnsi="Amiri" w:eastAsia="Amiri" w:cs="Amiri"/>
          <w:color w:val="111111"/>
          <w:sz w:val="28"/>
          <w:sz w:val="28"/>
          <w:szCs w:val="28"/>
          <w:rtl w:val="true"/>
          <w:lang w:bidi="ar-SA"/>
        </w:rPr>
        <w:t xml:space="preserve">و ربّما ینسب </w:t>
      </w:r>
      <w:r>
        <w:rPr>
          <w:rStyle w:val="FootnoteAnchor"/>
          <w:rtl w:val="true"/>
        </w:rPr>
        <w:footnoteReference w:id="584"/>
      </w:r>
      <w:r>
        <w:rPr>
          <w:rFonts w:ascii="IRNazanin" w:hAnsi="IRNazanin" w:eastAsia="IRNazanin"/>
          <w:color w:val="111111"/>
          <w:sz w:val="28"/>
          <w:sz w:val="28"/>
          <w:szCs w:val="28"/>
          <w:rtl w:val="true"/>
          <w:lang w:bidi="fa-IR"/>
        </w:rPr>
        <w:t>إلی الفقیه الیزدیّ حسبما أفتی فی کثیر من الفروع علی الأخذ بالعامّ فی الشبهة المصداقیّة</w:t>
      </w:r>
      <w:r>
        <w:rPr>
          <w:rStyle w:val="FootnoteAnchor"/>
          <w:rtl w:val="true"/>
        </w:rPr>
        <w:footnoteReference w:id="585"/>
      </w:r>
      <w:r>
        <w:rPr>
          <w:rFonts w:ascii="IRNazanin" w:hAnsi="IRNazanin" w:eastAsia="IRNazanin"/>
          <w:color w:val="111111"/>
          <w:sz w:val="28"/>
          <w:sz w:val="28"/>
          <w:szCs w:val="28"/>
          <w:rtl w:val="true"/>
          <w:lang w:bidi="fa-IR"/>
        </w:rPr>
        <w:t xml:space="preserve">، مع أنّه فی طرح المسألة أنکر جواز التمسّک فی کتاب النکاح </w:t>
      </w:r>
      <w:r>
        <w:rPr>
          <w:rStyle w:val="FootnoteAnchor"/>
          <w:rtl w:val="true"/>
        </w:rPr>
        <w:footnoteReference w:id="586"/>
      </w:r>
      <w:r>
        <w:rPr>
          <w:rFonts w:ascii="Amiri" w:hAnsi="Amiri" w:eastAsia="Amiri" w:cs="Amiri"/>
          <w:color w:val="111111"/>
          <w:sz w:val="28"/>
          <w:sz w:val="28"/>
          <w:szCs w:val="28"/>
          <w:rtl w:val="true"/>
          <w:lang w:bidi="ar-SA"/>
        </w:rPr>
        <w:t xml:space="preserve">و الحجّ </w:t>
      </w:r>
      <w:r>
        <w:rPr>
          <w:rStyle w:val="FootnoteAnchor"/>
          <w:rtl w:val="true"/>
        </w:rPr>
        <w:footnoteReference w:id="587"/>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ملحقاتها</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المسألة مشکلة جدّاً، و لا بأس بصرف الکلام عنها حتّی تتبیّن حالها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المتفاهم العرفیّ جواز التمسّک به، و ذلک لأنّ العامّ حجّة حسب الفرض بالنسبة إلی جمیع مصادیقه الواقعیّة، و الخروج عن هذه الحجّة و العدول عن حدودها، لا یمکن إلاّ بحجّة أخری تکون هی مقدّمة علیها فی مقام الجمع و المعارضة، ففی کلّ مورد من موارد الخاصّ و مصادیقه یقدّم الخاصّ، لأجل</w:t>
      </w:r>
    </w:p>
    <w:p>
      <w:pPr>
        <w:pStyle w:val="BookText"/>
        <w:rPr/>
      </w:pPr>
      <w:r>
        <w:rPr>
          <w:rFonts w:ascii="IRNazanin" w:hAnsi="IRNazanin" w:eastAsia="IRNazanin"/>
          <w:color w:val="111111"/>
          <w:sz w:val="28"/>
          <w:sz w:val="28"/>
          <w:szCs w:val="28"/>
          <w:rtl w:val="true"/>
          <w:lang w:bidi="fa-IR"/>
        </w:rPr>
        <w:t>کونه مقدّما علی العامّ المنطبق علیه، فعلی هذا إذا لم یکن الخاصّ حجّة فی مورد الشبهة، فلا یکون وجه لسقوط العامّ فی تلک الموارد،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لیس بحجّة فی مورد، کیف یعقل أن یستتبع سقوط الحجّة المنطقیّة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المولی إلاّ إلقاء الکبریات الکلّیة، و أمّا تشخیص صغریاتها فنوعا بید الموالی و العبید، و إذا أحرز مصداق العامّ فقد تمّ الشکل الأوّل، و لا یمکن إسقاط هذا الشکل إلاّ بقیام شکل آخر معتبر مقدّم علیه، و ذلک ینحصر بما إذا أحرز مصداق المخصّص، و أمّا إذا شکّ فی مصداقه یکون الشکل الأوّل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حسب النّظر البدویّ، متکفّل للحکم الفعلیّ بالنسبة إلی جمیع مصادیقه الواقعیّة، فإن ثبت عنوان الخاصّ فی مورد و أحرز ذلک، فیتمّ الدلیل علی عدم الفعلیّة فی ذلک المورد، و إلاّ فأصالة تطابق الجدّ و الاستعمال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العرف یتوهّم أنّ الخاصّ عذر فی ترک العامّ، و ما دام لم یحرز العذر لا یجوز التجاوز عن مقتضی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عموم العامّ و إطلاقه الأحوالیّ، وجوب إکرام زید المشکوک فسقه لا بما هو مشکوک، فلا یکون من قبیل الشکّ المأخوذ فی أدلّة الأصول العملیّة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و التخصیص علی ضربین، و ذلک لأنّ التخصیص بین ما یکون تخصیصا واقعا و صورة، و بین ما یکون تخصیصا بحسب الصورة، و تقییدا بحسب الواقع، و یکون فی عبارة أخری تخصیصا بنتیجة التقیید، فما کان من قبیل الأوّل یجوز التمسّک، بخلاف الفرض الثانی، و ذلک لأنّ فی مورد التخصیص الواقعیّ، لا یصلح تقیید موضوع العامّ بعنوان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النهی عن الوفاء بعقد الهبة، فهو تخصیص واقعا، و لا یصحّ تعنون العامّ بعنوان المخصّص، و لا توصیفه به، فإنّه عند ذلک یبقی العامّ علی حاله من الحجّیة، بخلاف 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یلزم من الجمع بین الدلیلین بعد المعارضة تقیید عنوان العامّ، و أنّ العالم جزء موضوع الدلیل، و جزؤه الآخر صفة العدالة أو عدم الفسق، فإنّه حینئذ لا یمکن التمسّک بالعامّ، لأنّ الشبهة المصداقیّة تصیر موضوعیّة، فیدور الأمر بین بقاء العامّ علی الحجّیة و تعیّن التمسّک، و بین امتناع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حدیث تعنون القانون و ألفاظه بألفاظ القانون الآخر، ممّا لا یصحّ و لا یجوز ذلک، لأنّه تصرّف فی القانون، و یکون من الاعوجاج فی الاجتهاد</w:t>
      </w:r>
      <w:r>
        <w:rPr>
          <w:rStyle w:val="FootnoteAnchor"/>
          <w:rtl w:val="true"/>
        </w:rPr>
        <w:footnoteReference w:id="590"/>
      </w:r>
      <w:r>
        <w:rPr>
          <w:rFonts w:ascii="IRNazanin" w:hAnsi="IRNazanin" w:eastAsia="IRNazanin"/>
          <w:color w:val="111111"/>
          <w:sz w:val="28"/>
          <w:sz w:val="28"/>
          <w:szCs w:val="28"/>
          <w:rtl w:val="true"/>
          <w:lang w:bidi="fa-IR"/>
        </w:rPr>
        <w:t>، فألفاظ القوانین بما لها من المعانی باقیة علی حالها، و لا یکون فی مرحلة الإثبات تقیید و لا توصیف و إن کان الأمر کذلک فی مرحلة الثبوت، ضرورة أنّ الاحتجاجات العقلائیّة تدور مدار الإثبات، و حدود الدلالات التصوّریة و التصدیقیّة و الظهورات المستقرّة و المنعقدة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فالاستظهار من الألفاظ الواردة فی القوانین بعد التقیید استظهار من غیر القانون الإلهیّ الشرعیّ، بل لا بدّ للمجتهد من فهم الواقع من غیر أنّ یقیّد عنوان العامّ بما لیس مقیّدا به فی الدلیل بحسب الظاهر و الإثبات، و لا سیّما بعد احتمال ترتّب الشهرة علیه، کما تری و تحرّر فی محلّه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أنّه ربّما لا یمکن تعیین خصوص القید کما فی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کما یمکن أنّ یکون القید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یمکن الأخیر علی نعت</w:t>
      </w:r>
    </w:p>
    <w:p>
      <w:pPr>
        <w:pStyle w:val="BookText"/>
        <w:rPr/>
      </w:pPr>
      <w:r>
        <w:rPr>
          <w:rFonts w:ascii="IRNazanin" w:hAnsi="IRNazanin" w:eastAsia="IRNazanin"/>
          <w:color w:val="111111"/>
          <w:sz w:val="28"/>
          <w:sz w:val="28"/>
          <w:szCs w:val="28"/>
          <w:rtl w:val="true"/>
          <w:lang w:bidi="fa-IR"/>
        </w:rPr>
        <w:t>العدول یمکن علی نعت السالبة المحصّلة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القضیّة موجبة معدولة، أو موجبة سالبة المحمول، و لا معیّن لإحداها مع اختلاف آثارهما استظهارا و فی مجاری الأصول العملیّة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الّذی رکن إلیه العلاّمتان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النائینیّ، و الحائریّ قدس سرُّهما</w:t>
      </w:r>
      <w:r>
        <w:rPr>
          <w:rStyle w:val="FootnoteAnchor"/>
          <w:rtl w:val="true"/>
        </w:rPr>
        <w:footnoteReference w:id="592"/>
      </w:r>
      <w:r>
        <w:rPr>
          <w:rFonts w:ascii="IRNazanin" w:hAnsi="IRNazanin" w:eastAsia="IRNazanin"/>
          <w:color w:val="111111"/>
          <w:sz w:val="28"/>
          <w:sz w:val="28"/>
          <w:szCs w:val="28"/>
          <w:rtl w:val="true"/>
          <w:lang w:bidi="fa-IR"/>
        </w:rPr>
        <w:t>فی غیر محلّه، لا لما أورد علیه الأستاذان البروجردیّ و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بالمناقشة علیهما فی مبناهما فی باب الإطلاق و العامّ </w:t>
      </w:r>
      <w:r>
        <w:rPr>
          <w:rStyle w:val="FootnoteAnchor"/>
          <w:rtl w:val="true"/>
        </w:rPr>
        <w:footnoteReference w:id="593"/>
      </w:r>
      <w:r>
        <w:rPr>
          <w:rFonts w:ascii="IRNazanin" w:hAnsi="IRNazanin" w:eastAsia="IRNazanin"/>
          <w:color w:val="111111"/>
          <w:sz w:val="28"/>
          <w:sz w:val="28"/>
          <w:szCs w:val="28"/>
          <w:rtl w:val="true"/>
          <w:lang w:bidi="fa-IR"/>
        </w:rPr>
        <w:t>، بل الوجه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تجاوز عنوان المنفصل إلی العامّ ممنوع حتّی فی المطلق و المقیّد، بل کلّ دلیل باق علی حاله، و لا یکون الشبهة المصداقیّة شبهة موضوعیّة لنفس العامّ، بل الشبهة مصداقیّة أبدا حسب الاصطلاح، فلا یتمّ هذا الوجه لإسقاط العامّ،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الأراکیّ من تخیّل اختلاف المطلق و العامّ فی هذه الناحیة</w:t>
      </w:r>
      <w:r>
        <w:rPr>
          <w:rStyle w:val="FootnoteAnchor"/>
          <w:rtl w:val="true"/>
        </w:rPr>
        <w:footnoteReference w:id="594"/>
      </w:r>
      <w:r>
        <w:rPr>
          <w:rFonts w:ascii="IRNazanin" w:hAnsi="IRNazanin" w:eastAsia="IRNazanin"/>
          <w:color w:val="111111"/>
          <w:sz w:val="28"/>
          <w:sz w:val="28"/>
          <w:szCs w:val="28"/>
          <w:rtl w:val="true"/>
          <w:lang w:bidi="fa-IR"/>
        </w:rPr>
        <w:t>، غیر واقع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عدم جواز التمسّک بالمطلقات عند الشّک فی مصداق المقیّد، لا یورث کون عنوان الدلیل الأوّل مقیّدا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الخلاف المزبور فی التمسّک بالعامّ فی الشبهة المصداقیّة، یجری فی المطلق أیضا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الأحکام الغیریّة المخصّصة للأحکام النفسیّة أو المقیّدة لها، لا یجوز التمسّک قطعا، لما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العرف یجد المنفصل من تتمّة الکلام الأوّل، و لا سیّما فی الأحکام الغیریّة المتعلّقة ذاتا بالدلیل الأوّل </w:t>
      </w:r>
      <w:r>
        <w:rPr>
          <w:rStyle w:val="FootnoteAnchor"/>
          <w:rtl w:val="true"/>
        </w:rPr>
        <w:footnoteReference w:id="595"/>
      </w:r>
      <w:r>
        <w:rPr>
          <w:rFonts w:ascii="IRNazanin" w:hAnsi="IRNazanin" w:eastAsia="IRNazanin"/>
          <w:color w:val="111111"/>
          <w:sz w:val="28"/>
          <w:sz w:val="28"/>
          <w:szCs w:val="28"/>
          <w:rtl w:val="true"/>
          <w:lang w:bidi="fa-IR"/>
        </w:rPr>
        <w:t>، و هذا لیس معناه تعنون الموضوع فی العامّ بعنوان الخاصّ، بل یرجع إلی سقوط الحجّیة و انکشاف الخلاف، فلا تذهل</w:t>
      </w:r>
      <w:r>
        <w:rPr>
          <w:rFonts w:eastAsia="IRNazanin" w:cs="IRNazanin"/>
          <w:color w:val="111111"/>
          <w:sz w:val="28"/>
          <w:szCs w:val="28"/>
          <w:rtl w:val="true"/>
          <w:lang w:bidi="fa-IR"/>
        </w:rPr>
        <w:t>.</w:t>
      </w:r>
      <w:bookmarkStart w:id="466" w:name="pg13167_140948"/>
    </w:p>
    <w:p>
      <w:pPr>
        <w:pStyle w:val="BookText"/>
        <w:rPr/>
      </w:pPr>
      <w:bookmarkEnd w:id="466"/>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ستأتی زیادة توضیح حول المختار إن شاء اللَّه تعالی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559664_3244359995"/>
      <w:bookmarkStart w:id="468" w:name="_Toc175"/>
      <w:bookmarkEnd w:id="467"/>
      <w:r>
        <w:rPr>
          <w:rtl w:val="true"/>
        </w:rPr>
        <w:t>وجوه سقوط العامّ فی الشبهة المصداقیّة</w:t>
      </w:r>
      <w:bookmarkEnd w:id="468"/>
    </w:p>
    <w:p>
      <w:pPr>
        <w:pStyle w:val="BookText"/>
        <w:rPr/>
      </w:pPr>
      <w:r>
        <w:rPr>
          <w:rFonts w:ascii="IRNazanin" w:hAnsi="IRNazanin" w:eastAsia="IRNazanin"/>
          <w:color w:val="111111"/>
          <w:sz w:val="28"/>
          <w:sz w:val="28"/>
          <w:szCs w:val="28"/>
          <w:rtl w:val="true"/>
          <w:lang w:bidi="fa-IR"/>
        </w:rPr>
        <w:t>إذا تبیّن الأمر إلی هنا، فلا بأس بالإشارة إلی الوجوه المتمسّک بها لسقوط 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تبعا للآخرین </w:t>
      </w:r>
      <w:r>
        <w:rPr>
          <w:rStyle w:val="FootnoteAnchor"/>
          <w:rtl w:val="true"/>
        </w:rPr>
        <w:footnoteReference w:id="598"/>
      </w:r>
      <w:r>
        <w:rPr>
          <w:rFonts w:ascii="IRNazanin" w:hAnsi="IRNazanin" w:eastAsia="IRNazanin"/>
          <w:color w:val="111111"/>
          <w:sz w:val="28"/>
          <w:sz w:val="28"/>
          <w:szCs w:val="28"/>
          <w:rtl w:val="true"/>
          <w:lang w:bidi="fa-IR"/>
        </w:rPr>
        <w:t>، و هو ببیان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و إن کان حجّة بالنسبة إلی العموم الأفرادیّ، و لا یجوز إسقاطه عند الشکّ فی التخصیص، و لکن مع ذلک إذا ورد المخصّص المخرج لعدّة من أفراده منه، و المستلزم لعدم جریان أصالة التطابق بالنسبة إلی جمیع المضمون، یلزم من ذلک کون العامّ حجّة بالنسبة إلی أفراد الخاصّ، و إلی غیر الفاسقین، من غیر سرایة عنوان المخصّص إلی العامّ، فإنّ حدیث السرایة غیر حدیث سقوط الحجّیة، و لا یتقوّم به، ففی مورد الشکّ فی المصداق یشکّ فی حجّیة العامّ، لأجل الشکّ فی أنّه من الموارد التی تکون هی حجّة فیه أم لا، من غیر إمکان إحراز حجّیته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منه، و قد سلکه أستاذنا البروجردیّ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من وجب إکرامه فإنّما یثبت له الوجوب بما هو عالم، و لکنّ العلماء الفسّاق قد خرجوا بحسب نفس الأمر، بحیث لم یبق بالنسبة إلیهم إرادة جدّیة بوجوب الإکرام، و خالف فیها الجدّ الاستعمال، فحجّیته مقصورة علی غیر من هو فاسق بحسب الواقع</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ببیان منّا، و هو أیضا قریب منهما، فإنّ الشکّ فیما نحن فیه یرجع إلی الشکّ فی موضوع أصالة الجدّ، و ذلک لأنّه کما أنّ فی العامّ بعد التخصیص تجری أصالة الجدّ، کذلک فی المخصّص أیضا تجری أصالة الجدّ، و أنّ جدّ المولی فی مورد التخصیص عدم وجوب الإکرام، و بناء علی هذا إذا شکّ فی فسق عالم یشکّ فی أنّه مصداق أصالة الجدّ فی ناحیة العامّ، أو فی ناحیة الخاصّ، و لا سبیل إلی إحراز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بحسب الواقع یرجع إلی ما سبق، و إجماله أنّ وظیفة الشرع بیان الأحکام فی الشبهات الحکمیّة، دون الموضوعیّة، و العمومات کما لا تتعرّض قبل التخصیص إلاّ لسریان الأحکام إلی الأفراد، کذلک هی بعد التخصیص، ففی مورد الشبهة إن کانت هی حکمیّة فالعامّ مرجع، و أمّا إذا کانت موضوعیّة فلا مرجعیّة للعامّ، و المفروض فیما نحن فیه هی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غیر الحقیقیّ ربّما یکون جاهلا فی مورد الشبهة و الشکّ بالموضوع، فکیف یمکن جعل الکاشف فی ذلک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القوانین الشرعیّة تقاس بالعرفیّة فی هذه الجهات، فلا یصحّ أن یکون العامّ مرجعا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ما نسب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 العلاّمة قدس سرُّه إلی الشیخ </w:t>
      </w:r>
      <w:r>
        <w:rPr>
          <w:rStyle w:val="FootnoteAnchor"/>
          <w:rtl w:val="true"/>
        </w:rPr>
        <w:footnoteReference w:id="601"/>
      </w:r>
      <w:r>
        <w:rPr>
          <w:rFonts w:ascii="IRNazanin" w:hAnsi="IRNazanin" w:eastAsia="IRNazanin"/>
          <w:color w:val="111111"/>
          <w:sz w:val="28"/>
          <w:sz w:val="28"/>
          <w:szCs w:val="28"/>
          <w:rtl w:val="true"/>
          <w:lang w:bidi="fa-IR"/>
        </w:rPr>
        <w:t>یرجع إلی التعبیر الأخیر، و الأمر سهل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الوجوه غیر کافیة، و ذلک لأنّه فی مفروض البحث یکون المصداق للعامّ محرزا، و مقتضی جریان أصالة التطابق أنّ المصداق المشتبه واجب الإکرام، و خروج طائفة من العامّ بحسب الواقع، لا ینافی حجّیة العام بالنسبة إلی</w:t>
      </w:r>
    </w:p>
    <w:p>
      <w:pPr>
        <w:pStyle w:val="BookText"/>
        <w:rPr/>
      </w:pPr>
      <w:r>
        <w:rPr>
          <w:rFonts w:ascii="Amiri" w:hAnsi="Amiri" w:eastAsia="Amiri" w:cs="Amiri"/>
          <w:color w:val="111111"/>
          <w:sz w:val="28"/>
          <w:sz w:val="28"/>
          <w:szCs w:val="28"/>
          <w:rtl w:val="true"/>
          <w:lang w:bidi="ar-SA"/>
        </w:rPr>
        <w:t>مورد 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معنی لرجوعه إلی الشکّ فی الحجّیة، أو الشکّ فی أنّه موضوع أصالة الجدّ، و ذلک لأنّ مقتضی الحکم الإنشائیّ وجوب إکرام زید، و قضیّة أصالة الجدّ أنّه واجب الإکرام واقعا و فعلا، و الخاصّ المزبور یقصر بالضرورة عن القرینیّة بالنسبة إلی مورد الشبهة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العمل علی طبق أصالة الجدّ إلی أن تقوم القرینة و تحرز، و لو کفی مجرّد احتمال القرینة للزم سقوط العامّ عند الشکّ فی التخصیص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 کأنّه یلزم إسقاط العامّ فی الشکّ فی التخصیص، لأنّه بعد کون المصداق زید العالم، و هو مورد الإنشاء حسب الظاهر، فهو مورد الجدّ بحسب مقام الاستظهار أیضا و الصناعة، و مجرّد احتمال کونه خارجا غیر کاف لإسقاطه، فهو من قبیل الشکّ فی التخصیص و إن لم یکن منه واقعا و حقیقة،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العامّ بعد التخصیص حجّة بالنسبة إلی الأفراد الواقعیّة من غیر الفاسقین، و عند الشکّ یشکّ فی حجّیة العامّ، لأنّه لا معنی لحجّیته إلاّ بعد انضمام الصغری إلیه و تطبیقه علیها</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یتراءی من التقریب الأخیر المنسوب </w:t>
      </w:r>
      <w:r>
        <w:rPr>
          <w:rStyle w:val="FootnoteAnchor"/>
          <w:rtl w:val="true"/>
        </w:rPr>
        <w:footnoteReference w:id="603"/>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صدّقه العلاّمة الأراکیّ قدس سرُّه </w:t>
      </w:r>
      <w:r>
        <w:rPr>
          <w:rStyle w:val="FootnoteAnchor"/>
          <w:rtl w:val="true"/>
        </w:rPr>
        <w:footnoteReference w:id="604"/>
      </w:r>
      <w:r>
        <w:rPr>
          <w:rFonts w:ascii="IRNazanin" w:hAnsi="IRNazanin" w:eastAsia="IRNazanin"/>
          <w:color w:val="111111"/>
          <w:sz w:val="28"/>
          <w:sz w:val="28"/>
          <w:szCs w:val="28"/>
          <w:rtl w:val="true"/>
          <w:lang w:bidi="fa-IR"/>
        </w:rPr>
        <w:t>فهو أفحش فسادا، ضرورة أنّ وظیفة الشرع لیس إلاّ إلقاء</w:t>
      </w:r>
      <w:bookmarkStart w:id="469" w:name="pg13167_140951"/>
    </w:p>
    <w:p>
      <w:pPr>
        <w:pStyle w:val="BookText"/>
        <w:rPr/>
      </w:pPr>
      <w:bookmarkEnd w:id="469"/>
      <w:r>
        <w:rPr>
          <w:rFonts w:ascii="IRNazanin" w:hAnsi="IRNazanin" w:eastAsia="IRNazanin"/>
          <w:color w:val="111111"/>
          <w:sz w:val="28"/>
          <w:sz w:val="28"/>
          <w:szCs w:val="28"/>
          <w:rtl w:val="true"/>
          <w:lang w:bidi="fa-IR"/>
        </w:rPr>
        <w:t>الکبریات، و أمّا تشخیص الصغریات، أو کون حجّیة الکبری منوطة بمعلومیّة الصغری عند المتکلّم، فهو أجنبیّ عمّا هو شأن المقنّن، و لذلک یتّبع رأی أهل الخبرة فی الصغری و إن کان رأی المقنّن فی الصغری مخالفا لهم بالضرورة، فلا تخلط</w:t>
      </w:r>
      <w:r>
        <w:rPr>
          <w:rFonts w:eastAsia="IRNazanin" w:cs="IRNazanin"/>
          <w:color w:val="111111"/>
          <w:sz w:val="28"/>
          <w:szCs w:val="28"/>
          <w:rtl w:val="true"/>
          <w:lang w:bidi="fa-IR"/>
        </w:rPr>
        <w:t>.</w:t>
      </w:r>
    </w:p>
    <w:p>
      <w:pPr>
        <w:pStyle w:val="Heading4"/>
        <w:numPr>
          <w:ilvl w:val="3"/>
          <w:numId w:val="1"/>
        </w:numPr>
        <w:rPr/>
      </w:pPr>
      <w:bookmarkStart w:id="470" w:name="__RefHeading___Toc559666_3244359995"/>
      <w:bookmarkStart w:id="471" w:name="_Toc176"/>
      <w:bookmarkEnd w:id="470"/>
      <w:r>
        <w:rPr>
          <w:rtl w:val="true"/>
        </w:rPr>
        <w:t>بقی شی‌ء</w:t>
      </w:r>
      <w:r>
        <w:rPr>
          <w:rtl w:val="true"/>
        </w:rPr>
        <w:t xml:space="preserve">: </w:t>
      </w:r>
      <w:r>
        <w:rPr>
          <w:rtl w:val="true"/>
        </w:rPr>
        <w:t>حول سقوط أصالة الجدّ فی المقام</w:t>
      </w:r>
      <w:bookmarkEnd w:id="471"/>
    </w:p>
    <w:p>
      <w:pPr>
        <w:pStyle w:val="BookText"/>
        <w:rPr/>
      </w:pPr>
      <w:r>
        <w:rPr>
          <w:rFonts w:ascii="IRNazanin" w:hAnsi="IRNazanin" w:eastAsia="IRNazanin"/>
          <w:color w:val="111111"/>
          <w:sz w:val="28"/>
          <w:sz w:val="28"/>
          <w:szCs w:val="28"/>
          <w:rtl w:val="true"/>
          <w:lang w:bidi="fa-IR"/>
        </w:rPr>
        <w:t>و هو أنّ إجراء أصالة الجدّ قبل التخصیص فی مورد الشکّ فی الفسق قطعیّ، و أمّا بعد خروج الفسّاق فیشکل، لأجل وجود ما یصلح للقرینیّة علی عدم الإرادة الجدّیة فی مورده، و عدم محکومیّته بالحکم الفعلیّ، فإنّ سقوط أصل التطابق و أصالة الجدّ بالنسبة إلی تلک الطائفة، یکفی لأن یکون موجبا لشکّ العقلاء و العرف فی حجّیة العامّ بعد ذلک فی مورد الشبهة، و إذا کان الشکّ فی الحجّیة مستندا إلی منشأ عقلائیّ فلا یمکن إحرازه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غیر واضح، فلا بدّ من الأخذ بالظاهر حتّی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جریان أصالة التطابق إحراز أنّ زیدا غیر فاسق، فیخرج بذلک عن الشبهة حسب لازم شمول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الدور، لأنّ جریان أصالة الجدّ منوط بالإحراز المنوط بها، فتدبّر فیها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حتّی الآن، أنّ الوجوه المتمسّک بها لإسقاط حجّیة العامّ، و لتحصیل التفکیک بین الظهور و الحجّیة، و أنّ أصالة الجدّ لا تجری بالنسبة إلی العامّ فی الشبهة المصداقیّة، کلّها غیر نقیّة حسب الصناعة العلمیّة، و ینحصر الوجه بإرجاع تلک الشبهة إلی الشبهة الموضوعیّة بتعنون العامّ، و قد عرفت عدم تمامیّته</w:t>
      </w:r>
      <w:bookmarkStart w:id="472" w:name="pg13167_140952"/>
    </w:p>
    <w:p>
      <w:pPr>
        <w:pStyle w:val="BookText"/>
        <w:rPr/>
      </w:pPr>
      <w:bookmarkEnd w:id="472"/>
      <w:r>
        <w:rPr>
          <w:rFonts w:ascii="IRNazanin" w:hAnsi="IRNazanin" w:eastAsia="IRNazanin"/>
          <w:color w:val="111111"/>
          <w:sz w:val="28"/>
          <w:sz w:val="28"/>
          <w:szCs w:val="28"/>
          <w:rtl w:val="true"/>
          <w:lang w:bidi="fa-IR"/>
        </w:rPr>
        <w:t>فی المخصّصات الواقعیّة أوّلا، و فی مطلق التخصیص و التقیید ثانیا، و فی موارد الحکومة ثالثا</w:t>
      </w:r>
      <w:r>
        <w:rPr>
          <w:rStyle w:val="FootnoteAnchor"/>
          <w:rtl w:val="true"/>
        </w:rPr>
        <w:footnoteReference w:id="605"/>
      </w:r>
      <w:r>
        <w:rPr>
          <w:rFonts w:ascii="IRNazanin" w:hAnsi="IRNazanin" w:eastAsia="IRNazanin"/>
          <w:color w:val="111111"/>
          <w:sz w:val="28"/>
          <w:sz w:val="28"/>
          <w:szCs w:val="28"/>
          <w:rtl w:val="true"/>
          <w:lang w:bidi="fa-IR"/>
        </w:rPr>
        <w:t xml:space="preserve">، کما یأتی البحث عنه إجمالا إن شاء اللَّه تعالی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ذلک و ذاک رأیت فی حواشی العلاّمة الإیروانیّ قدس سرُّه إسقاط الحجّیة حتّی فی الشبهة المفهومیّة</w:t>
      </w:r>
      <w:r>
        <w:rPr>
          <w:rStyle w:val="FootnoteAnchor"/>
          <w:rtl w:val="true"/>
        </w:rPr>
        <w:footnoteReference w:id="607"/>
      </w:r>
      <w:r>
        <w:rPr>
          <w:rFonts w:ascii="Amiri" w:hAnsi="Amiri" w:eastAsia="Amiri" w:cs="Amiri"/>
          <w:color w:val="111111"/>
          <w:sz w:val="28"/>
          <w:sz w:val="28"/>
          <w:szCs w:val="28"/>
          <w:rtl w:val="true"/>
          <w:lang w:bidi="ar-SA"/>
        </w:rPr>
        <w:t>، و فی حواشی جدّی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إثباتها حتّی فیما نحن فیه </w:t>
      </w:r>
      <w:r>
        <w:rPr>
          <w:rStyle w:val="FootnoteAnchor"/>
          <w:rtl w:val="true"/>
        </w:rPr>
        <w:footnoteReference w:id="608"/>
      </w:r>
      <w:r>
        <w:rPr>
          <w:rFonts w:ascii="IRNazanin" w:hAnsi="IRNazanin" w:eastAsia="IRNazanin"/>
          <w:color w:val="111111"/>
          <w:sz w:val="28"/>
          <w:sz w:val="28"/>
          <w:szCs w:val="28"/>
          <w:rtl w:val="true"/>
          <w:lang w:bidi="fa-IR"/>
        </w:rPr>
        <w:t xml:space="preserve">، من غیر اعتناء بما تسالم علیه العقلاء المتأخّرون رحمهم اللَّه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559668_3244359995"/>
      <w:bookmarkStart w:id="474" w:name="_Toc177"/>
      <w:bookmarkEnd w:id="473"/>
      <w:r>
        <w:rPr>
          <w:rtl w:val="true"/>
        </w:rPr>
        <w:t>تتمیم</w:t>
      </w:r>
      <w:r>
        <w:rPr>
          <w:rtl w:val="true"/>
        </w:rPr>
        <w:t xml:space="preserve">: </w:t>
      </w:r>
      <w:r>
        <w:rPr>
          <w:rtl w:val="true"/>
        </w:rPr>
        <w:t>حول مختار العلاّمة النهاوندی قدس سرُّه</w:t>
      </w:r>
      <w:bookmarkEnd w:id="474"/>
    </w:p>
    <w:p>
      <w:pPr>
        <w:pStyle w:val="BookText"/>
        <w:rPr/>
      </w:pPr>
      <w:r>
        <w:rPr>
          <w:rFonts w:ascii="IRNazanin" w:hAnsi="IRNazanin" w:eastAsia="IRNazanin"/>
          <w:color w:val="111111"/>
          <w:sz w:val="28"/>
          <w:sz w:val="28"/>
          <w:szCs w:val="28"/>
          <w:rtl w:val="true"/>
          <w:lang w:bidi="fa-IR"/>
        </w:rPr>
        <w:t xml:space="preserve">لا بأس بالإشارة إلی ما أفاده العلاّمة النهاوندیّ قدس سرُّه </w:t>
      </w:r>
      <w:r>
        <w:rPr>
          <w:rStyle w:val="FootnoteAnchor"/>
          <w:rtl w:val="true"/>
        </w:rPr>
        <w:footnoteReference w:id="610"/>
      </w:r>
      <w:r>
        <w:rPr>
          <w:rFonts w:ascii="IRNazanin" w:hAnsi="IRNazanin" w:eastAsia="IRNazanin"/>
          <w:color w:val="111111"/>
          <w:sz w:val="28"/>
          <w:sz w:val="28"/>
          <w:szCs w:val="28"/>
          <w:rtl w:val="true"/>
          <w:lang w:bidi="fa-IR"/>
        </w:rPr>
        <w:t>و قد مرّ الإیماء إلیه فی أوّل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قضیّة إطلاق العامّ وجوب إکرام زید العالم المشکوک فسقه، لا عمومه، فما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العامّ مرجع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إن أرید إطلاقه الأحوالیّ، لا عمومه الأفرادیّ، ضرورة أنّ قضیّة عمومه الأفرادیّ وجوب إکرام زید، و مقتضی إطلاقه وجوبه و لو کان مشکوک الفسق، کما أنّ قضیّة الإطلاق الأحوالیّ فی الخاصّ، عدم وجوب إکرام زید الفاسق و لو کان مجهول العلم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نظره قدس سرُّه إلی أنّ الإطلاق المزبور، یؤکّد لزوم وجوب إکرام زید فی کلّ حال، لا أنّ عنوان مشکوک الفسق موضوع الدلیل و محکوم بحکم آخر، حتّی یلزم</w:t>
      </w:r>
    </w:p>
    <w:p>
      <w:pPr>
        <w:pStyle w:val="BookText"/>
        <w:rPr/>
      </w:pPr>
      <w:r>
        <w:rPr>
          <w:rFonts w:ascii="IRNazanin" w:hAnsi="IRNazanin" w:eastAsia="IRNazanin"/>
          <w:color w:val="111111"/>
          <w:sz w:val="28"/>
          <w:sz w:val="28"/>
          <w:szCs w:val="28"/>
          <w:rtl w:val="true"/>
          <w:lang w:bidi="fa-IR"/>
        </w:rPr>
        <w:t>المناقضة المعروفة بین الأحکام الظاهریّة و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یندفع ما وجّهوه إلیه من الإشکال </w:t>
      </w:r>
      <w:r>
        <w:rPr>
          <w:rStyle w:val="FootnoteAnchor"/>
          <w:rtl w:val="true"/>
        </w:rPr>
        <w:footnoteReference w:id="611"/>
      </w:r>
      <w:r>
        <w:rPr>
          <w:rFonts w:ascii="IRNazanin" w:hAnsi="IRNazanin" w:eastAsia="IRNazanin"/>
          <w:color w:val="111111"/>
          <w:sz w:val="28"/>
          <w:sz w:val="28"/>
          <w:szCs w:val="28"/>
          <w:rtl w:val="true"/>
          <w:lang w:bidi="fa-IR"/>
        </w:rPr>
        <w:t>، فإنّ زیدا کما یجب إکرامه سواء کان أسود أو أبیض، کذلک یجب إکرامه سواء کان موصوفا بوصف مشکوک الفسق أم لا، فإنّه فی کلّ تقدیر ما هو الموضوع هو زید العالم،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یتوجّه إلیه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المزبور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التقیید بالنسبة إلی الإطلاق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الإطلاق حسب التحقیق ما توهّمه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 ذلک فی مقابل الوجه الّذی اعتمد علیه المتأخّرون </w:t>
      </w:r>
      <w:r>
        <w:rPr>
          <w:rStyle w:val="FootnoteAnchor"/>
          <w:rtl w:val="true"/>
        </w:rPr>
        <w:footnoteReference w:id="612"/>
      </w:r>
      <w:r>
        <w:rPr>
          <w:rFonts w:ascii="IRNazanin" w:hAnsi="IRNazanin" w:eastAsia="IRNazanin"/>
          <w:color w:val="111111"/>
          <w:sz w:val="28"/>
          <w:sz w:val="28"/>
          <w:szCs w:val="28"/>
          <w:rtl w:val="true"/>
          <w:lang w:bidi="fa-IR"/>
        </w:rPr>
        <w:t>، و ذلک لأنّ زیدا العالم المشکوک فسقه إذا کان فاسقا بحسب الواقع، یکون خارجا، و ما کان حاله ذلک یشکّ فی حجّیة العامّ بالنسبة إلیه، لما مرّ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إثبات الوجوب الظاهریّ حال الشکّ فیتوجّه إلیه ما أشیر إلیه من المناقضة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 و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إمکان الجمع لا یکفی، لعدم إمکان تکفّل الدلیل الواحد لذلک و لو فرضنا إمکانه، و لکنّه خروج من المتفاهم العرفیّ فی فهم الأدلّة و الظواهر، فلاحظ جیّدا</w:t>
      </w:r>
      <w:r>
        <w:rPr>
          <w:rFonts w:eastAsia="IRNazanin" w:cs="IRNazanin"/>
          <w:color w:val="111111"/>
          <w:sz w:val="28"/>
          <w:szCs w:val="28"/>
          <w:rtl w:val="true"/>
          <w:lang w:bidi="fa-IR"/>
        </w:rPr>
        <w:t>.</w:t>
      </w:r>
      <w:bookmarkStart w:id="475" w:name="pg13167_140954"/>
    </w:p>
    <w:p>
      <w:pPr>
        <w:pStyle w:val="Heading4"/>
        <w:numPr>
          <w:ilvl w:val="3"/>
          <w:numId w:val="1"/>
        </w:numPr>
        <w:rPr/>
      </w:pPr>
      <w:bookmarkStart w:id="476" w:name="__RefHeading___Toc559670_3244359995"/>
      <w:bookmarkStart w:id="477" w:name="_Toc178"/>
      <w:bookmarkEnd w:id="475"/>
      <w:bookmarkEnd w:id="476"/>
      <w:r>
        <w:rPr>
          <w:rtl w:val="true"/>
        </w:rPr>
        <w:t>تذنیب</w:t>
      </w:r>
      <w:r>
        <w:rPr>
          <w:rtl w:val="true"/>
        </w:rPr>
        <w:t xml:space="preserve">: </w:t>
      </w:r>
      <w:r>
        <w:rPr>
          <w:rtl w:val="true"/>
        </w:rPr>
        <w:t>حول إیجاب المخصّص المنفصل لصیرورة الشبهة موضوعیّة باعتبار مقام الثبوت</w:t>
      </w:r>
      <w:bookmarkEnd w:id="477"/>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المنفصل و إن لا یورث تعنون العامّ إثباتا و فی مرحلة الإنشاء الجعل، و لکن یورث تضییق المراد و تحدّد الإرادة، و تنتقل الأذهان العرفیّة إلی أنّ المولی أراد کذا و کذا، فتصیر الشبهة موضوعیّة باعتبار مقام الثبوت، دون الإثبات، و هذا ممّا لا یمکن إنکاره فی النّظر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فی سالف الزمان مصرّین علی هذا الأمر، و لکنّ التوجّه إلی أطراف القضیّة، مع احتمال کون المخصّص منفصلا لأجل أمثال ذلک، یوجب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العام یشمل المورد، و یکون کاشفا عن الإرادة الجدّیة بالنسبة إلیه، فیخرج طبعا و قهرا عن موضوع الخاصّ 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التمسّک، التأمّل فی القوانین العرفیّة، فإنّ قانون الخدمة العسکریّة مخصّص بموارد خاصّة، و ما دام لم یحرز عنوان المخصّص یؤخذ المشمول و یستدعی إلی الخدمة من غیر توقّف أو مناقشة ظاهرا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التفصیل الّذی أبدعناه فی الشبهة المفهومیّة</w:t>
      </w:r>
      <w:r>
        <w:rPr>
          <w:rStyle w:val="FootnoteAnchor"/>
          <w:rtl w:val="true"/>
        </w:rPr>
        <w:footnoteReference w:id="614"/>
      </w:r>
      <w:r>
        <w:rPr>
          <w:rFonts w:ascii="IRNazanin" w:hAnsi="IRNazanin" w:eastAsia="IRNazanin"/>
          <w:color w:val="111111"/>
          <w:sz w:val="28"/>
          <w:sz w:val="28"/>
          <w:szCs w:val="28"/>
          <w:rtl w:val="true"/>
          <w:lang w:bidi="fa-IR"/>
        </w:rPr>
        <w:t>غیر جار فی المقام، و ذلک لأنّ فی الشبهة الحکمیّة یکون الأمر بید الشرع، فیمکن دعوی قصور الدلیل و العامّ عن الحجّیة بعد ورود المنفصل الناظر إلیه، و أمّا فیما نحن فیه فلا یکون رفع الشبهة بید الشرع، فلو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تحدید الحکم الثابت فی العامّ، و لا یکون حکما نفسیّا تحریمیّا، فهو أیضا و إن یعدّ من تتمّة الکلام</w:t>
      </w:r>
      <w:bookmarkStart w:id="478" w:name="pg13167_140955"/>
    </w:p>
    <w:p>
      <w:pPr>
        <w:pStyle w:val="BookText"/>
        <w:rPr/>
      </w:pPr>
      <w:bookmarkEnd w:id="478"/>
      <w:r>
        <w:rPr>
          <w:rFonts w:ascii="IRNazanin" w:hAnsi="IRNazanin" w:eastAsia="IRNazanin"/>
          <w:color w:val="111111"/>
          <w:sz w:val="28"/>
          <w:sz w:val="28"/>
          <w:szCs w:val="28"/>
          <w:rtl w:val="true"/>
          <w:lang w:bidi="fa-IR"/>
        </w:rPr>
        <w:t>الأوّل، و لکن لا یوجب قصورا فی حجّیة العامّ بعد وضوح مفاده و مفهومه، و علی هذا یلزم بناء علی ما سلکناه عکس ما اشتهر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التمسّک بالعامّ فی الشبهة المفهومیّة، دون المصداقیّة، و اللَّه العالم بحقائق الأمور</w:t>
      </w:r>
      <w:r>
        <w:rPr>
          <w:rFonts w:eastAsia="IRNazanin" w:cs="IRNazanin"/>
          <w:color w:val="111111"/>
          <w:sz w:val="28"/>
          <w:szCs w:val="28"/>
          <w:rtl w:val="true"/>
          <w:lang w:bidi="fa-IR"/>
        </w:rPr>
        <w:t>.</w:t>
      </w:r>
    </w:p>
    <w:p>
      <w:pPr>
        <w:pStyle w:val="Heading4"/>
        <w:numPr>
          <w:ilvl w:val="3"/>
          <w:numId w:val="1"/>
        </w:numPr>
        <w:rPr/>
      </w:pPr>
      <w:bookmarkStart w:id="479" w:name="__RefHeading___Toc559672_3244359995"/>
      <w:bookmarkStart w:id="480" w:name="_Toc179"/>
      <w:bookmarkEnd w:id="479"/>
      <w:r>
        <w:rPr>
          <w:rtl w:val="true"/>
        </w:rPr>
        <w:t>تنبیهات</w:t>
      </w:r>
      <w:bookmarkEnd w:id="480"/>
    </w:p>
    <w:p>
      <w:pPr>
        <w:pStyle w:val="Heading5"/>
        <w:numPr>
          <w:ilvl w:val="4"/>
          <w:numId w:val="1"/>
        </w:numPr>
        <w:rPr/>
      </w:pPr>
      <w:bookmarkStart w:id="481" w:name="__RefHeading___Toc559674_3244359995"/>
      <w:bookmarkStart w:id="482" w:name="_Toc180"/>
      <w:bookmarkEnd w:id="481"/>
      <w:r>
        <w:rPr>
          <w:rtl w:val="true"/>
        </w:rPr>
        <w:t>الأوّل</w:t>
      </w:r>
      <w:r>
        <w:rPr>
          <w:rtl w:val="true"/>
        </w:rPr>
        <w:t xml:space="preserve">: </w:t>
      </w:r>
      <w:r>
        <w:rPr>
          <w:rtl w:val="true"/>
        </w:rPr>
        <w:t>التمسّک بحجّیة الخبر مع الشکّ فی الإعراض بنحو الشبهة المصداقیّة</w:t>
      </w:r>
      <w:bookmarkEnd w:id="482"/>
    </w:p>
    <w:p>
      <w:pPr>
        <w:pStyle w:val="BookText"/>
        <w:rPr/>
      </w:pPr>
      <w:r>
        <w:rPr>
          <w:rFonts w:ascii="IRNazanin" w:hAnsi="IRNazanin" w:eastAsia="IRNazanin"/>
          <w:color w:val="111111"/>
          <w:sz w:val="28"/>
          <w:sz w:val="28"/>
          <w:szCs w:val="28"/>
          <w:rtl w:val="true"/>
          <w:lang w:bidi="fa-IR"/>
        </w:rPr>
        <w:t>لا إشکال بناء علی جواز التمسّک فی صورة الشکّ فی الإعراض، بناء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الإعراض یوجب سقوط حجّیة الخبر، و أمّا بناء علی عدم جواز التمسّک فیشکل الأمر علی المتأخّرین، فإنّه قلّما یتّفق مورد لا یشکّ فی ذلک، فلا بدّ عندئذ من تصدیق القائلین به، ضرورة أنّ أدلّة حجّیة الخبر الواحد تشمل مطلق الخبر، و قد خرج منه الخبر المعرض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المخصّص اللبّی، فی محلّه، و لکن المرضیّ عند کثیر منهم عدم الفرق بین اللبّی و غیر اللبّی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الشاذّ النادر</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محمول علی الندرة الفتوائیّة کما یأتی </w:t>
      </w:r>
      <w:r>
        <w:rPr>
          <w:rStyle w:val="FootnoteAnchor"/>
          <w:rtl w:val="true"/>
        </w:rPr>
        <w:footnoteReference w:id="617"/>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یختلف مع هذا، و ذلک لأنّ حجّیة الخبر</w:t>
      </w:r>
      <w:bookmarkStart w:id="483" w:name="pg13167_140956"/>
    </w:p>
    <w:p>
      <w:pPr>
        <w:pStyle w:val="BookText"/>
        <w:rPr/>
      </w:pPr>
      <w:bookmarkEnd w:id="483"/>
      <w:r>
        <w:rPr>
          <w:rFonts w:ascii="IRNazanin" w:hAnsi="IRNazanin" w:eastAsia="IRNazanin"/>
          <w:color w:val="111111"/>
          <w:sz w:val="28"/>
          <w:sz w:val="28"/>
          <w:szCs w:val="28"/>
          <w:rtl w:val="true"/>
          <w:lang w:bidi="fa-IR"/>
        </w:rPr>
        <w:t>الواحد إمضائیّة عقلائیّة، و لا إطلاق لأدلّتها، و لا ذات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أسوأ حالا، لرجوع ذلک إلی أنّ ما هو الحجّة من الأوّل هو العنوان المقیّد، و هو الخبر غیر المعرض عنه، فلو شکّ فی ذلک یلزم سقوطه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قضیّة ذلک عدم الفرق بین جواز التمسّک بالعامّ فی المقام و عدمه، لأنّه فی الحقیقة یرجع إلی الشبهة الموضوعیّة لموضوع الأحکام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حکم العقلاء بلزوم العمل بالعمومات إلاّ فی العامّ المخصّص، فإذا شکّ فی عامّ أنّه مخصّص أم لا، یلزم سقوطه عن الحجّیة و إن یرجع إلی الشکّ فی التخصیص، و ذلک لأنّ ما هو الحجّة هو العامّ غیر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الأظهر فی أمثال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الحجّیة أمر عقلائیّ ثابت بحسب حکم العقلاء لکلّ خبر و کلّ عامّ إلاّ بعد ورود الموهن، کالإعراض و التخصیص، و إذا لم یصل الموهن و لم یحرز یکون بناؤهم باقیا علیه، فتأمّل، و علی هذا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بناءهم علی العمل بالعامّ إلی أن یحرز عنوان الخاصّ، کما مرّ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دعوی إمکان إجراء استصحاب حجّیة الخبر المزبور، لأنّ صفة الإعراض تعرضه بعد تحقّقه، و هکذا صفة غیر المخصّصیة بالنسبة إلی العامّ، فلاحظ فی المقام</w:t>
      </w:r>
      <w:r>
        <w:rPr>
          <w:rFonts w:eastAsia="IRNazanin" w:cs="IRNazanin"/>
          <w:color w:val="111111"/>
          <w:sz w:val="28"/>
          <w:szCs w:val="28"/>
          <w:rtl w:val="true"/>
          <w:lang w:bidi="fa-IR"/>
        </w:rPr>
        <w:t>.</w:t>
      </w:r>
    </w:p>
    <w:p>
      <w:pPr>
        <w:pStyle w:val="Heading5"/>
        <w:numPr>
          <w:ilvl w:val="4"/>
          <w:numId w:val="1"/>
        </w:numPr>
        <w:rPr/>
      </w:pPr>
      <w:bookmarkStart w:id="484" w:name="__RefHeading___Toc559676_3244359995"/>
      <w:bookmarkStart w:id="485" w:name="_Toc181"/>
      <w:bookmarkEnd w:id="484"/>
      <w:r>
        <w:rPr>
          <w:rtl w:val="true"/>
        </w:rPr>
        <w:t>الثانی</w:t>
      </w:r>
      <w:r>
        <w:rPr>
          <w:rtl w:val="true"/>
        </w:rPr>
        <w:t xml:space="preserve">: </w:t>
      </w:r>
      <w:r>
        <w:rPr>
          <w:rtl w:val="true"/>
        </w:rPr>
        <w:t>حول التمسّک بالعامّ فی العناوین التی لا واقعیّة لها إلاّ ثبوتا و العناوین الوجودیّة المرخصة علی خلاف العامّ</w:t>
      </w:r>
      <w:bookmarkEnd w:id="48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کان العنوان الخارج من العناوین التی لا واقعیّة لها إلاّ إثباتا،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الخبر غیر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إذا خرج عن وجوب إکرام</w:t>
      </w:r>
    </w:p>
    <w:p>
      <w:pPr>
        <w:pStyle w:val="BookText"/>
        <w:rPr/>
      </w:pPr>
      <w:r>
        <w:rPr>
          <w:rFonts w:ascii="IRNazanin" w:hAnsi="IRNazanin" w:eastAsia="IRNazanin"/>
          <w:color w:val="111111"/>
          <w:sz w:val="28"/>
          <w:sz w:val="28"/>
          <w:szCs w:val="28"/>
          <w:rtl w:val="true"/>
          <w:lang w:bidi="fa-IR"/>
        </w:rPr>
        <w:t xml:space="preserve">العلماء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فسقه، فهل یتمسّک بالعامّ بعد معلومیّة عدم انطباق الخاصّ علیه، أم یشکل أیضا، لأنّ العامّ یتکفّل لأفراد العالم من غیر تقیید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ذلک ما إذا کان العنوان الخارج من العناوین الوجودیّة الموجبة للترخیص علی خلاف الحکم التحریمیّ المتکفّل له العامّ،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النّظر إلی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رخّص ذلک بالنسبة إلی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 فی المثال الأوّل، هو التمسّک بالعامّ بلا کلام، إلاّ أنّه هل العموم الأفرادی مرجع، أم الإطلاق؟</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الأفرادیّ مرجع، فیلزم أن یکون الحال من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مرجع، یلزم عدم التخصیص بهذا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التخصیصات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أخرج زیدا حال العلم بفسقه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تقیید العامّ، و فی التخصیصات غیر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أخرج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المحرز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کون التقیید الحالی مفرِّدا، و هذا ممّا لا مانع منه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المثال الثانی فربّما یقال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 کلّ مورد کان العامّ متکفّلا للحکم التحریمیّ، ثمّ علّق الترخیص علی أمر وجودیّ، یلزم التمسّک بالعامّ فی موارد الشکّ و الشبهة، و لأجل ذلک أفتی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جواز النّظر إلی المشتبهة</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بمعزل عن التحقیق، ضرورة أنّ العناوین المأخوذة فی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واقعیّة، و لا معنی لکون العامّ حینئذ متکفّلا لحال الشکّ، فیکون التفصیل المذکور ساقطا</w:t>
      </w:r>
      <w:r>
        <w:rPr>
          <w:rFonts w:eastAsia="IRNazanin" w:cs="IRNazanin"/>
          <w:color w:val="111111"/>
          <w:sz w:val="28"/>
          <w:szCs w:val="28"/>
          <w:rtl w:val="true"/>
          <w:lang w:bidi="fa-IR"/>
        </w:rPr>
        <w:t>.</w:t>
      </w:r>
      <w:bookmarkStart w:id="486" w:name="pg13167_140958"/>
    </w:p>
    <w:p>
      <w:pPr>
        <w:pStyle w:val="BookText"/>
        <w:rPr/>
      </w:pPr>
      <w:bookmarkEnd w:id="486"/>
      <w:r>
        <w:rPr>
          <w:rFonts w:ascii="IRNazanin" w:hAnsi="IRNazanin" w:eastAsia="IRNazanin"/>
          <w:color w:val="111111"/>
          <w:sz w:val="28"/>
          <w:sz w:val="28"/>
          <w:szCs w:val="28"/>
          <w:rtl w:val="true"/>
          <w:lang w:bidi="fa-IR"/>
        </w:rPr>
        <w:t>نعم، بناء علی ما عرفت منّا لا منع من کون استنادهم إلی حجّیة العامّ فی الشبهة المصداقیّة، و لأجل ذلک أیضا أفتوا بالضمان فی مورد الشکّ فی حال الید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مستندهم الاستصحاب </w:t>
      </w:r>
      <w:r>
        <w:rPr>
          <w:rStyle w:val="FootnoteAnchor"/>
          <w:rtl w:val="true"/>
        </w:rPr>
        <w:footnoteReference w:id="622"/>
      </w:r>
      <w:r>
        <w:rPr>
          <w:rFonts w:ascii="IRNazanin" w:hAnsi="IRNazanin" w:eastAsia="IRNazanin"/>
          <w:color w:val="111111"/>
          <w:sz w:val="28"/>
          <w:sz w:val="28"/>
          <w:szCs w:val="28"/>
          <w:rtl w:val="true"/>
          <w:lang w:bidi="fa-IR"/>
        </w:rPr>
        <w:t xml:space="preserve">، فاسد جدّاً، لأنّه مورد الخلاف بین الأصحاب کلّهم، مع أنّه فی خصوص هذا المورد محلّ المناقشة عند بعض المتأخّرین </w:t>
      </w:r>
      <w:r>
        <w:rPr>
          <w:rStyle w:val="FootnoteAnchor"/>
          <w:rtl w:val="true"/>
        </w:rPr>
        <w:footnoteReference w:id="623"/>
      </w:r>
      <w:r>
        <w:rPr>
          <w:rFonts w:ascii="IRNazanin" w:hAnsi="IRNazanin" w:eastAsia="IRNazanin"/>
          <w:color w:val="111111"/>
          <w:sz w:val="28"/>
          <w:sz w:val="28"/>
          <w:szCs w:val="28"/>
          <w:rtl w:val="true"/>
          <w:lang w:bidi="fa-IR"/>
        </w:rPr>
        <w:t>، فضلا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حجّیة الاستصحاب فیما نحن فیه، و لا سیّما بعد لزوم کون العنوان مرکّبا، حدیث جدید لا یمکن أن یکون سندا للمشهور، فما هو الأقرب استنادهم إلی العامّ، کما هو المستفاد من البناءات العقلائیّة فی المحاجات،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بناءهم علی التمسّک بالعامّ فی مثل المقام، لأنّ المخصّص من اللبّیات کما لا یخفی</w:t>
      </w:r>
      <w:r>
        <w:rPr>
          <w:rFonts w:eastAsia="IRNazanin" w:cs="IRNazanin"/>
          <w:color w:val="111111"/>
          <w:sz w:val="28"/>
          <w:szCs w:val="28"/>
          <w:rtl w:val="true"/>
          <w:lang w:bidi="fa-IR"/>
        </w:rPr>
        <w:t>.</w:t>
      </w:r>
    </w:p>
    <w:p>
      <w:pPr>
        <w:pStyle w:val="Heading5"/>
        <w:numPr>
          <w:ilvl w:val="4"/>
          <w:numId w:val="1"/>
        </w:numPr>
        <w:rPr/>
      </w:pPr>
      <w:bookmarkStart w:id="487" w:name="__RefHeading___Toc559678_3244359995"/>
      <w:bookmarkStart w:id="488" w:name="_Toc182"/>
      <w:bookmarkEnd w:id="487"/>
      <w:r>
        <w:rPr>
          <w:rtl w:val="true"/>
        </w:rPr>
        <w:t>الثالث</w:t>
      </w:r>
      <w:r>
        <w:rPr>
          <w:rtl w:val="true"/>
        </w:rPr>
        <w:t xml:space="preserve">: </w:t>
      </w:r>
      <w:r>
        <w:rPr>
          <w:rtl w:val="true"/>
        </w:rPr>
        <w:t xml:space="preserve">فی حجّیة العامّ مع کون الخارج عنوان </w:t>
      </w:r>
      <w:r>
        <w:rPr>
          <w:rtl w:val="true"/>
        </w:rPr>
        <w:t>«</w:t>
      </w:r>
      <w:r>
        <w:rPr>
          <w:rtl w:val="true"/>
        </w:rPr>
        <w:t>المریض</w:t>
      </w:r>
      <w:r>
        <w:rPr>
          <w:rtl w:val="true"/>
        </w:rPr>
        <w:t xml:space="preserve">» </w:t>
      </w:r>
      <w:r>
        <w:rPr>
          <w:rtl w:val="true"/>
        </w:rPr>
        <w:t>مثلا</w:t>
      </w:r>
      <w:bookmarkEnd w:id="48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بحجّیة العامّ فی طائفة من المقامات و إن لم یکن بحجّة حسب الأصل الأوّلی، و ذلک فیما إذا کان العنوان الخارج من العناوین الأعذاریّة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و العجز، و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ممّا تعدّ حسب الأفهام العرفیّة أعذارا عقلائیّة، فإنّ التخصیص کما یکون دلیلا علی عدم ثبوت الحکم الفعلیّ فی مورد الخاصّ، یکون أحیانا بیانا لصحّة الاعتذار عند التخلّف عن حکم العامّ</w:t>
      </w:r>
      <w:r>
        <w:rPr>
          <w:rFonts w:eastAsia="IRNazanin" w:cs="IRNazanin"/>
          <w:color w:val="111111"/>
          <w:sz w:val="28"/>
          <w:szCs w:val="28"/>
          <w:rtl w:val="true"/>
          <w:lang w:bidi="fa-IR"/>
        </w:rPr>
        <w:t>.</w:t>
      </w:r>
      <w:bookmarkStart w:id="489" w:name="pg13167_140959"/>
    </w:p>
    <w:p>
      <w:pPr>
        <w:pStyle w:val="BookText"/>
        <w:rPr/>
      </w:pPr>
      <w:bookmarkEnd w:id="489"/>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نظرنا إلی أنّ الأفهام السلیمة تری العمل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w:t>
      </w:r>
      <w:r>
        <w:rPr>
          <w:rStyle w:val="FootnoteAnchor"/>
          <w:rtl w:val="true"/>
        </w:rPr>
        <w:footnoteReference w:id="624"/>
      </w:r>
      <w:r>
        <w:rPr>
          <w:rFonts w:ascii="IRNazanin" w:hAnsi="IRNazanin" w:eastAsia="IRNazanin"/>
          <w:color w:val="111111"/>
          <w:sz w:val="28"/>
          <w:sz w:val="28"/>
          <w:szCs w:val="28"/>
          <w:rtl w:val="true"/>
          <w:lang w:bidi="fa-IR"/>
        </w:rPr>
        <w:t>حتّی یثبت مرضهم و یحرز أنّهم ممّا یطیقونه، و غیر ذلک، من غیر التفات إلی الاستصحاب الجاری هنا، فإنّ الارتکاز علیه من غیر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حجّیة الاستصحاب لیست ممّا اتّفقوا علیه، أو تکون عند کثیر منهم علی الظنّ، فهل تری من نفسک إنکار وجوب الصوم إذا أنکرت حجّیته معلّلا بأنّه من التمسّک بالعامّ فی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یشهد علی عموم المدّعی أیضا، فلا تخلط</w:t>
      </w:r>
      <w:r>
        <w:rPr>
          <w:rFonts w:eastAsia="IRNazanin" w:cs="IRNazanin"/>
          <w:color w:val="111111"/>
          <w:sz w:val="28"/>
          <w:szCs w:val="28"/>
          <w:rtl w:val="true"/>
          <w:lang w:bidi="fa-IR"/>
        </w:rPr>
        <w:t>.</w:t>
      </w:r>
    </w:p>
    <w:p>
      <w:pPr>
        <w:pStyle w:val="Heading5"/>
        <w:numPr>
          <w:ilvl w:val="4"/>
          <w:numId w:val="1"/>
        </w:numPr>
        <w:rPr/>
      </w:pPr>
      <w:bookmarkStart w:id="490" w:name="__RefHeading___Toc559680_3244359995"/>
      <w:bookmarkStart w:id="491" w:name="_Toc183"/>
      <w:bookmarkEnd w:id="490"/>
      <w:r>
        <w:rPr>
          <w:rtl w:val="true"/>
        </w:rPr>
        <w:t>الرابع</w:t>
      </w:r>
      <w:r>
        <w:rPr>
          <w:rtl w:val="true"/>
        </w:rPr>
        <w:t xml:space="preserve">: </w:t>
      </w:r>
      <w:r>
        <w:rPr>
          <w:rtl w:val="true"/>
        </w:rPr>
        <w:t>حول جواز التمسّک بالإطلاق فی الشبهة المصداقیّة</w:t>
      </w:r>
      <w:bookmarkEnd w:id="491"/>
    </w:p>
    <w:p>
      <w:pPr>
        <w:pStyle w:val="BookText"/>
        <w:rPr/>
      </w:pPr>
      <w:r>
        <w:rPr>
          <w:rFonts w:ascii="IRNazanin" w:hAnsi="IRNazanin" w:eastAsia="IRNazanin"/>
          <w:color w:val="111111"/>
          <w:sz w:val="28"/>
          <w:sz w:val="28"/>
          <w:szCs w:val="28"/>
          <w:rtl w:val="true"/>
          <w:lang w:bidi="fa-IR"/>
        </w:rPr>
        <w:t>هل یجوز التمسّک بالإطلاق فی الشبهة المصداقیّة للمقیّد، أم لا؟</w:t>
      </w:r>
    </w:p>
    <w:p>
      <w:pPr>
        <w:pStyle w:val="BookText"/>
        <w:rPr/>
      </w:pPr>
      <w:r>
        <w:rPr>
          <w:rFonts w:ascii="IRNazanin" w:hAnsi="IRNazanin" w:eastAsia="IRNazanin"/>
          <w:color w:val="111111"/>
          <w:sz w:val="28"/>
          <w:sz w:val="28"/>
          <w:szCs w:val="28"/>
          <w:rtl w:val="true"/>
          <w:lang w:bidi="fa-IR"/>
        </w:rPr>
        <w:t xml:space="preserve">الّذی یظهر من الأکثر، أنّ هذه المسألة کأصل المسألة بلا تفاوت بین المطلق و العامّ </w:t>
      </w:r>
      <w:r>
        <w:rPr>
          <w:rStyle w:val="FootnoteAnchor"/>
          <w:rtl w:val="true"/>
        </w:rPr>
        <w:footnoteReference w:id="625"/>
      </w:r>
      <w:r>
        <w:rPr>
          <w:rFonts w:ascii="IRNazanin" w:hAnsi="IRNazanin" w:eastAsia="IRNazanin"/>
          <w:color w:val="111111"/>
          <w:sz w:val="28"/>
          <w:sz w:val="28"/>
          <w:szCs w:val="28"/>
          <w:rtl w:val="true"/>
          <w:lang w:bidi="fa-IR"/>
        </w:rPr>
        <w:t>، و لا سیّما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مقدّمات الإطلاق تنوب مناب أداة العموم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أشرنا فیما سلف </w:t>
      </w:r>
      <w:r>
        <w:rPr>
          <w:rStyle w:val="FootnoteAnchor"/>
          <w:rtl w:val="true"/>
        </w:rPr>
        <w:footnoteReference w:id="627"/>
      </w:r>
      <w:r>
        <w:rPr>
          <w:rFonts w:ascii="IRNazanin" w:hAnsi="IRNazanin" w:eastAsia="IRNazanin"/>
          <w:color w:val="111111"/>
          <w:sz w:val="28"/>
          <w:sz w:val="28"/>
          <w:szCs w:val="28"/>
          <w:rtl w:val="true"/>
          <w:lang w:bidi="fa-IR"/>
        </w:rPr>
        <w:t xml:space="preserve">إلی ما أفاده العلاّمة الأراکیّ قدس سرُّه فقال فی موضوع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مرکز بحثهم فی المقام إنّما هو فی فرض التخصیص، و إلاّ ففی باب تقیید المطلقات لم یتوهّم أحد جواز التمسّک بالإطلاق عند الشکّ فی المقیّد، فبعد فرض تقیید الرقبة بالإیمان لم یتوهّم أحد التشبّث بإطلاق الرقبة عند الشکّ فی إیمانها، کما لم یتوهّم أحد التمسّک بإطلاق الصلاة عند الشکّ فی الطهارة أو القبلة أو</w:t>
      </w:r>
    </w:p>
    <w:p>
      <w:pPr>
        <w:pStyle w:val="BookText"/>
        <w:rPr/>
      </w:pPr>
      <w:r>
        <w:rPr>
          <w:rFonts w:ascii="IRNazanin" w:hAnsi="IRNazanin" w:eastAsia="IRNazanin"/>
          <w:color w:val="111111"/>
          <w:sz w:val="28"/>
          <w:sz w:val="28"/>
          <w:szCs w:val="28"/>
          <w:rtl w:val="true"/>
          <w:lang w:bidi="fa-IR"/>
        </w:rPr>
        <w:t>غیرها من القیود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انتهی محلّ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التقیید هو تعنون المطلق فی مرحلة الإثبات، فیکون موضوع الدلیل مصبّا للاستظهار الخاصّ، فإنّه لعب بالقانون علی الوجه غیر الجائز، بل التقیید فی 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إلی متعلّق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کالتخصیص، فقول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بحسب الإنشاء أنّ الرقبة تمام الموضوع، و إذا ورد منفصلا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هو القرینة علی عدم الجدّ بالنسبة إلی تمام مضمون المطلق، کما فی العامّ، و استکشاف أنّ الموضوع مضیّق ثبوتا أمر یشترک فیه العامّ و المطلق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فما یقتضی التمسّک بالعامّ یقتضی التمسّک بالمطلق، و قضیّة شموله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أنّ مورد الشبهة لیس بکافر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یتعرّض لحکم الفرد دون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مقتضی شمول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مقتضی اقتضاء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المشکوک مورد الجدّ و التطابق بین الإرادتین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بابی العامّ و الإطلاق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مفهوم التقیید هو کشف القید فی مصبّ الإطلاق، و تقیید المطلق بالقید الوارد، توهّم التفکیک المزبور، مع أنّ مفاد التخصیص أیضا لیس إلاّ جعل الحکم فی العامّ مخصوصا بطائفة، و لیس هذا أیضا إلاّ إیراد القید فی محطّ العموم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من التخصیص ما هو واقعیّ، کالموت العارض علی أفراد العلماء، فتکون الأفراد خارجة بالتخصیص أبدا، کخروج العقد الجائز عن</w:t>
      </w:r>
    </w:p>
    <w:p>
      <w:pPr>
        <w:pStyle w:val="BookText"/>
        <w:rPr/>
      </w:pPr>
      <w:r>
        <w:rPr>
          <w:rFonts w:ascii="Amiri" w:hAnsi="Amiri" w:eastAsia="Amiri" w:cs="Amiri"/>
          <w:color w:val="111111"/>
          <w:sz w:val="28"/>
          <w:sz w:val="28"/>
          <w:szCs w:val="28"/>
          <w:rtl w:val="true"/>
          <w:lang w:bidi="ar-SA"/>
        </w:rPr>
        <w:t>عموم أَوْفُوا بِالْعُقُودِ</w:t>
      </w:r>
      <w:r>
        <w:rPr>
          <w:rStyle w:val="FootnoteAnchor"/>
          <w:rtl w:val="true"/>
        </w:rPr>
        <w:footnoteReference w:id="629"/>
      </w:r>
      <w:r>
        <w:rPr>
          <w:rFonts w:ascii="IRNazanin" w:hAnsi="IRNazanin" w:eastAsia="IRNazanin"/>
          <w:color w:val="111111"/>
          <w:sz w:val="28"/>
          <w:sz w:val="28"/>
          <w:szCs w:val="28"/>
          <w:rtl w:val="true"/>
          <w:lang w:bidi="fa-IR"/>
        </w:rPr>
        <w:t>و من التخصیص ما هو بمنزلة نتیجة التقیید، کإخراج الفسّاق من العلماء، فلا منع من کون التخصیص موجبا لتقیید مصبّ العامّ، 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التخصیص بمنزلة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ورد من الابتداء</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بین باب متعلّقات الأحکام، و باب موضوعاتها، فإنّ فی الصورة الأولی لا یجوز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بالمطلق عند الشکّ و الشبهة، لأنّه من الشکّ فی السقوط بعد العلم بالثبوت، و فی الصورة الثانیة یجوز، لأنّه من الشکّ فی الثبوت و التعلّق، لانحلال العامّ إلی الأحکام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أَقِمِ الصَّلاةَ لِدُلُوکِ الشَّمْسِ إِلی غَسَقِ اللَّیْلِ </w:t>
      </w:r>
      <w:r>
        <w:rPr>
          <w:rStyle w:val="FootnoteAnchor"/>
          <w:rtl w:val="true"/>
        </w:rPr>
        <w:footnoteReference w:id="631"/>
      </w:r>
      <w:r>
        <w:rPr>
          <w:rFonts w:ascii="IRNazanin" w:hAnsi="IRNazanin" w:eastAsia="IRNazanin"/>
          <w:color w:val="111111"/>
          <w:sz w:val="28"/>
          <w:sz w:val="28"/>
          <w:szCs w:val="28"/>
          <w:rtl w:val="true"/>
          <w:lang w:bidi="fa-IR"/>
        </w:rPr>
        <w:t>فقضیّة إطلاقه الوجوب، و بعد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لإفادة الشرطیّة فی صحّة الصلاة مثلا، لا یجوز التمسّک بالإطلاق المزبور عند الشکّ فی الثوب و اللباس، لأنّه یرجع إلی الشکّ فی أنّ المأتیّ به، واجد للمأمور به المستفاد من الدلیلین، أم لا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حدود المأمور به من الأدلّة المختلفة، لا تقضی رجوع العناوین إلی عنوان واحد، بل لا یعقل ذلک، لأنّ الحکم الإنشائیّ الثابت لطبیعة الصلاة، لا یتجافی عن محلّه أبدا، فالمقیِّد و دلیل القید من القرینة علی أنّ الطبیعة المطلقة فی کلّ مورد صدقت، لیست مورد الجدّ و الإرادة الحتمیّة، و لا معنی للزیادة علی ذلک، کما هو الواضح</w:t>
      </w:r>
      <w:r>
        <w:rPr>
          <w:rFonts w:eastAsia="IRNazanin" w:cs="IRNazanin"/>
          <w:color w:val="111111"/>
          <w:sz w:val="28"/>
          <w:szCs w:val="28"/>
          <w:rtl w:val="true"/>
          <w:lang w:bidi="fa-IR"/>
        </w:rPr>
        <w:t>.</w:t>
      </w:r>
      <w:bookmarkStart w:id="492" w:name="pg13167_140962"/>
    </w:p>
    <w:p>
      <w:pPr>
        <w:pStyle w:val="BookText"/>
        <w:rPr/>
      </w:pPr>
      <w:bookmarkEnd w:id="492"/>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المزبور یرتفع علی الأعمّی خصوصا بإطلاق دلیل الطبیعة، غیر مسموعة، لأنّ للمأمور به قیودا لا بدّ من إحرازها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عدم انحلال إطلاق دلیل الجزء فی إطلاق دلیل الطبیعة، المعارضة التی أوقعوها بینهما فی موارد کثیرة محرّرة فی بحوث الاشتغال، و لو کان دلیل القید راجعا إلی دلیل الطبیعة و ساقطا برأسه، فلا معنی لتوهّم المعارضة، و علی هذا فلا ینقلب الموضوع فی مرحلة الإثبات و الإنشاء فی جمیع المواقف، و یکون الموضوع بحسب الجدّ و اللبّ مضیّقا بالضرورة فی جمیع الموارد</w:t>
      </w:r>
      <w:r>
        <w:rPr>
          <w:rFonts w:eastAsia="IRNazanin" w:cs="IRNazanin"/>
          <w:color w:val="111111"/>
          <w:sz w:val="28"/>
          <w:szCs w:val="28"/>
          <w:rtl w:val="true"/>
          <w:lang w:bidi="fa-IR"/>
        </w:rPr>
        <w:t>.</w:t>
      </w:r>
    </w:p>
    <w:p>
      <w:pPr>
        <w:pStyle w:val="Heading5"/>
        <w:numPr>
          <w:ilvl w:val="4"/>
          <w:numId w:val="1"/>
        </w:numPr>
        <w:rPr/>
      </w:pPr>
      <w:bookmarkStart w:id="493" w:name="__RefHeading___Toc559682_3244359995"/>
      <w:bookmarkStart w:id="494" w:name="_Toc184"/>
      <w:bookmarkEnd w:id="493"/>
      <w:r>
        <w:rPr>
          <w:rtl w:val="true"/>
        </w:rPr>
        <w:t>الخامس</w:t>
      </w:r>
      <w:r>
        <w:rPr>
          <w:rtl w:val="true"/>
        </w:rPr>
        <w:t xml:space="preserve">: </w:t>
      </w:r>
      <w:r>
        <w:rPr>
          <w:rtl w:val="true"/>
        </w:rPr>
        <w:t>حول التمسّک بإطلاق أو عموم المحکوم فی الشبهة المصداقیّة</w:t>
      </w:r>
      <w:bookmarkEnd w:id="494"/>
    </w:p>
    <w:p>
      <w:pPr>
        <w:pStyle w:val="BookText"/>
        <w:rPr/>
      </w:pPr>
      <w:r>
        <w:rPr>
          <w:rFonts w:ascii="IRNazanin" w:hAnsi="IRNazanin" w:eastAsia="IRNazanin"/>
          <w:color w:val="111111"/>
          <w:sz w:val="28"/>
          <w:sz w:val="28"/>
          <w:szCs w:val="28"/>
          <w:rtl w:val="true"/>
          <w:lang w:bidi="fa-IR"/>
        </w:rPr>
        <w:t>هل یجوز التمسّک بإطلاق أو عموم دلیل المحکوم فی الشبهة المصداقیّة، أم لا؟</w:t>
      </w:r>
    </w:p>
    <w:p>
      <w:pPr>
        <w:pStyle w:val="BookText"/>
        <w:rPr/>
      </w:pPr>
      <w:r>
        <w:rPr>
          <w:rFonts w:ascii="IRNazanin" w:hAnsi="IRNazanin" w:eastAsia="IRNazanin"/>
          <w:color w:val="111111"/>
          <w:sz w:val="28"/>
          <w:sz w:val="28"/>
          <w:szCs w:val="28"/>
          <w:rtl w:val="true"/>
          <w:lang w:bidi="fa-IR"/>
        </w:rPr>
        <w:t>و هذه المسألة بذاتها تدلّ علی بطلان مقالة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الحائریّ </w:t>
      </w:r>
      <w:r>
        <w:rPr>
          <w:rStyle w:val="FootnoteAnchor"/>
          <w:rtl w:val="true"/>
        </w:rPr>
        <w:footnoteReference w:id="632"/>
      </w:r>
      <w:r>
        <w:rPr>
          <w:rFonts w:ascii="Amiri" w:hAnsi="Amiri" w:eastAsia="Amiri" w:cs="Amiri"/>
          <w:color w:val="111111"/>
          <w:sz w:val="28"/>
          <w:sz w:val="28"/>
          <w:szCs w:val="28"/>
          <w:rtl w:val="true"/>
          <w:lang w:bidi="ar-SA"/>
        </w:rPr>
        <w:t>، و النائینیّ قدس سرُّهما</w:t>
      </w:r>
      <w:r>
        <w:rPr>
          <w:rStyle w:val="FootnoteAnchor"/>
          <w:rtl w:val="true"/>
        </w:rPr>
        <w:footnoteReference w:id="633"/>
      </w:r>
      <w:r>
        <w:rPr>
          <w:rFonts w:ascii="IRNazanin" w:hAnsi="IRNazanin" w:eastAsia="IRNazanin"/>
          <w:color w:val="111111"/>
          <w:sz w:val="28"/>
          <w:sz w:val="28"/>
          <w:szCs w:val="28"/>
          <w:rtl w:val="true"/>
          <w:lang w:bidi="fa-IR"/>
        </w:rPr>
        <w:t>من أنّ العموم یعنون، فإنّه لا یمکن تعنون دلیل المحکوم بلسان الحاکم،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هذه المسألة بین کون النسبة بین الدلیلین عموما مطلقا، أو من وجه، بل المناط هو التقدّم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ما سلف عن المتأخّرین </w:t>
      </w:r>
      <w:r>
        <w:rPr>
          <w:rStyle w:val="FootnoteAnchor"/>
          <w:rtl w:val="true"/>
        </w:rPr>
        <w:footnoteReference w:id="634"/>
      </w:r>
      <w:r>
        <w:rPr>
          <w:rFonts w:ascii="Amiri" w:hAnsi="Amiri" w:eastAsia="Amiri" w:cs="Amiri"/>
          <w:color w:val="111111"/>
          <w:sz w:val="28"/>
          <w:sz w:val="28"/>
          <w:szCs w:val="28"/>
          <w:rtl w:val="true"/>
          <w:lang w:bidi="ar-SA"/>
        </w:rPr>
        <w:t>منع التمسّک أیضا، و مقتضی ما مرّ منّا</w:t>
      </w:r>
      <w:r>
        <w:rPr>
          <w:rStyle w:val="FootnoteAnchor"/>
          <w:rtl w:val="true"/>
        </w:rPr>
        <w:footnoteReference w:id="635"/>
      </w:r>
      <w:r>
        <w:rPr>
          <w:rFonts w:ascii="IRNazanin" w:hAnsi="IRNazanin" w:eastAsia="IRNazanin"/>
          <w:color w:val="111111"/>
          <w:sz w:val="28"/>
          <w:sz w:val="28"/>
          <w:szCs w:val="28"/>
          <w:rtl w:val="true"/>
          <w:lang w:bidi="fa-IR"/>
        </w:rPr>
        <w:t>صحّة التمسّک و جوازه، و الأمر هنا أوضح، و ربّما یؤیّد أصل البحث</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حال الدلیلین اللّذین کان بینهما العموم من وجه، و لکن قدّم</w:t>
      </w:r>
      <w:bookmarkStart w:id="495" w:name="pg13167_140963"/>
    </w:p>
    <w:p>
      <w:pPr>
        <w:pStyle w:val="BookText"/>
        <w:rPr/>
      </w:pPr>
      <w:bookmarkEnd w:id="495"/>
      <w:r>
        <w:rPr>
          <w:rFonts w:ascii="IRNazanin" w:hAnsi="IRNazanin" w:eastAsia="IRNazanin"/>
          <w:color w:val="111111"/>
          <w:sz w:val="28"/>
          <w:sz w:val="28"/>
          <w:szCs w:val="28"/>
          <w:rtl w:val="true"/>
          <w:lang w:bidi="fa-IR"/>
        </w:rPr>
        <w:t>أحدهما علی الآخر، لأحد الوجوه المتمسّک بها فی تقدیم أحد العامّین من وجه علی الآخر</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الجزء الثانی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فیما إذا کان التقدیم مخصوصا بحال المعارضة، و بالمورد الّذی وقع بینهما التعارض، کما إذا قدّم أحدهما علی الآخر فی محلّ التعارض، لأنّه القدر المتیقّن منه، أو لأنّ بخروجه عن أحدهما یلزم الاستهجان، فلا یلزم من ذلک کون مورد الشبهة فیما نحن فیه من الشبهة المصداقیّة، بل یصیر الدلیلان متعارضین، و لا یجوز التمسّک بأحدهما المعیّن، و یندرجان فی باب التزاحم المحرّرة أحکامه فی البحوث السابقة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559684_3244359995"/>
      <w:bookmarkStart w:id="497" w:name="_Toc185"/>
      <w:bookmarkEnd w:id="496"/>
      <w:r>
        <w:rPr>
          <w:rtl w:val="true"/>
        </w:rPr>
        <w:t>السادس</w:t>
      </w:r>
      <w:r>
        <w:rPr>
          <w:rtl w:val="true"/>
        </w:rPr>
        <w:t xml:space="preserve">: </w:t>
      </w:r>
      <w:r>
        <w:rPr>
          <w:rtl w:val="true"/>
        </w:rPr>
        <w:t>فی التمسّک بالعامّ مع کون الخاصّ معلّلا</w:t>
      </w:r>
      <w:bookmarkEnd w:id="497"/>
    </w:p>
    <w:p>
      <w:pPr>
        <w:pStyle w:val="BookText"/>
        <w:rPr/>
      </w:pPr>
      <w:r>
        <w:rPr>
          <w:rFonts w:ascii="IRNazanin" w:hAnsi="IRNazanin" w:eastAsia="IRNazanin"/>
          <w:color w:val="111111"/>
          <w:sz w:val="28"/>
          <w:sz w:val="28"/>
          <w:szCs w:val="28"/>
          <w:rtl w:val="true"/>
          <w:lang w:bidi="fa-IR"/>
        </w:rPr>
        <w:t>إذا خرج عنوان عن العامّ معلّلا بعلّة، کما إذا ورد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علماء السحر، لأنّهم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عالم أنّه فاسق أم لا، مع العلم بأنّه لیس من علماء السحر، فهل یجوز التمسّک، أم لا؟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یجوز، لأنّ ما هو الخارج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تقریرات أستاذنا البروجردیّ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السیرة علی جواز التمسّک هنا، کالعقلیّ</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هو منشأ الاختلاف هو أنّ التعلیل یرجع إلی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bookmarkStart w:id="498" w:name="pg13167_140964"/>
    </w:p>
    <w:p>
      <w:pPr>
        <w:pStyle w:val="BookText"/>
        <w:rPr/>
      </w:pPr>
      <w:bookmarkEnd w:id="498"/>
      <w:r>
        <w:rPr>
          <w:rFonts w:ascii="IRNazanin" w:hAnsi="IRNazanin" w:eastAsia="IRNazanin"/>
          <w:color w:val="111111"/>
          <w:sz w:val="28"/>
          <w:sz w:val="28"/>
          <w:szCs w:val="28"/>
          <w:rtl w:val="true"/>
          <w:lang w:bidi="fa-IR"/>
        </w:rPr>
        <w:t xml:space="preserve">الظاهر عدمه، و ذلک لأنّ ما هو مورد الحکم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یعقل صرفه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فالتعلیل لا یورث إلاّ أنّ کلّ مسکر یجب الاجتناب عنه، إمّا لأنّه یستکشف من العلّة مبغوضیّته، أو لأنّه یستکشف منه بنوع من الکشف أنّه محرّم، من غیر رجوع القضیّة المزبورة إلی قضیّة أخری، و فیما نحن فیه أیضا یکون الأمر کذلک، و إلاّ فیعدّ هذا من الخروج عن الاجتهاد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لو حکی الراوی بعد سماعه من الإمام علیه السلام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زیدا، لأنّه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حکی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خائنا قطعا، و لیس ذلک إلاّ لأجل اختلاف الأثر، کما تری فی المقام، فإنّه إذا شکّ فی زید العالم أنّه فاسق أم لا، فلا بدّ من الأخذ بالعامّ، فلاحظ فی المقام، و ما أفاده الأستاذ من السیرة، فی محلّه بالنسبة إلی مطلق العمومات، دون ما تعرضه، و إلاّ فلا سیرة فی خصوصه کما لا یخفی</w:t>
      </w:r>
      <w:r>
        <w:rPr>
          <w:rFonts w:eastAsia="IRNazanin" w:cs="IRNazanin"/>
          <w:color w:val="111111"/>
          <w:sz w:val="28"/>
          <w:szCs w:val="28"/>
          <w:rtl w:val="true"/>
          <w:lang w:bidi="fa-IR"/>
        </w:rPr>
        <w:t>.</w:t>
      </w:r>
    </w:p>
    <w:p>
      <w:pPr>
        <w:pStyle w:val="Heading5"/>
        <w:numPr>
          <w:ilvl w:val="4"/>
          <w:numId w:val="1"/>
        </w:numPr>
        <w:rPr/>
      </w:pPr>
      <w:bookmarkStart w:id="499" w:name="__RefHeading___Toc559686_3244359995"/>
      <w:bookmarkStart w:id="500" w:name="_Toc186"/>
      <w:bookmarkEnd w:id="499"/>
      <w:r>
        <w:rPr>
          <w:rtl w:val="true"/>
        </w:rPr>
        <w:t>السابع</w:t>
      </w:r>
      <w:r>
        <w:rPr>
          <w:rtl w:val="true"/>
        </w:rPr>
        <w:t xml:space="preserve">: </w:t>
      </w:r>
      <w:r>
        <w:rPr>
          <w:rtl w:val="true"/>
        </w:rPr>
        <w:t>حول استکشاف عدم اندراج المصداق المشتبه فی الخاصّ و شمول حکم العامّ له</w:t>
      </w:r>
      <w:bookmarkEnd w:id="500"/>
    </w:p>
    <w:p>
      <w:pPr>
        <w:pStyle w:val="BookText"/>
        <w:rPr/>
      </w:pPr>
      <w:r>
        <w:rPr>
          <w:rFonts w:ascii="IRNazanin" w:hAnsi="IRNazanin" w:eastAsia="IRNazanin"/>
          <w:color w:val="111111"/>
          <w:sz w:val="28"/>
          <w:sz w:val="28"/>
          <w:szCs w:val="28"/>
          <w:rtl w:val="true"/>
          <w:lang w:bidi="fa-IR"/>
        </w:rPr>
        <w:t>بناء علی جواز التمسّک بالعامّ فی الشبهة المصداقیّة، فهل یلزم استکشاف أنّ مورد الشبهة لیس مندرجا تحت الخاصّ، و یتبیّن بلازم الدلیل و بشمول العامّ و بحجّیة الإطلاق أنّ زیدا عالم غیر فاسق، أم لا؟ وجهان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Style w:val="FootnoteAnchor"/>
          <w:rtl w:val="true"/>
        </w:rPr>
        <w:footnoteReference w:id="640"/>
      </w:r>
      <w:r>
        <w:rPr>
          <w:rFonts w:ascii="IRNazanin" w:hAnsi="IRNazanin" w:eastAsia="IRNazanin"/>
          <w:color w:val="111111"/>
          <w:sz w:val="28"/>
          <w:sz w:val="28"/>
          <w:szCs w:val="28"/>
          <w:rtl w:val="true"/>
          <w:lang w:bidi="fa-IR"/>
        </w:rPr>
        <w:t>، و الأظهر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تظهر الثمرة فی البحث المذکور فی التنبیه الرابع </w:t>
      </w:r>
      <w:r>
        <w:rPr>
          <w:rStyle w:val="FootnoteAnchor"/>
          <w:rtl w:val="true"/>
        </w:rPr>
        <w:footnoteReference w:id="641"/>
      </w:r>
      <w:r>
        <w:rPr>
          <w:rFonts w:ascii="IRNazanin" w:hAnsi="IRNazanin" w:eastAsia="IRNazanin"/>
          <w:color w:val="111111"/>
          <w:sz w:val="28"/>
          <w:sz w:val="28"/>
          <w:szCs w:val="28"/>
          <w:rtl w:val="true"/>
          <w:lang w:bidi="fa-IR"/>
        </w:rPr>
        <w:t>، ضرورة أنّه لو استکشف من الإطلاق الحجّة أنّ</w:t>
      </w:r>
    </w:p>
    <w:p>
      <w:pPr>
        <w:pStyle w:val="BookText"/>
        <w:rPr/>
      </w:pPr>
      <w:r>
        <w:rPr>
          <w:rFonts w:ascii="IRNazanin" w:hAnsi="IRNazanin" w:eastAsia="IRNazanin"/>
          <w:color w:val="111111"/>
          <w:sz w:val="28"/>
          <w:sz w:val="28"/>
          <w:szCs w:val="28"/>
          <w:rtl w:val="true"/>
          <w:lang w:bidi="fa-IR"/>
        </w:rPr>
        <w:t>الثوب المشکوک طاهر، أو من مأکول اللحم، تصحّ الصلاة فیه، و هذا إحدی المحرزات، و لا تقصر عن الأصول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المختار، فهو أنّ غایة ما یثبت من الطریقة العقلائیّة، لیست إلاّ تمامیّة العامّ بحسب الاحتجاج فی مورد الشکّ، و هذا أمر یستظهر من البناءات العملیّة العرفیّة، و أمّا أنّ زیدا المشکوک فسقه لیس بفاسق فلا، لإمکان کونه مع فسقه الواقعیّ، واجبَ الإکرام لأمر آخر طارئ علی العامّ المخصّص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دعوی أنّ مقتضی القضیّة الاستثنائیّة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إمّا واجب الإکرام، أو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إکرامه فلیس بفاسق، و لکنّها غیر مقرونة بالبیّنة و البرهان، لعدم معهودیّة ذلک عن 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کون أمرها دائرا بین وجوب الإکرام و عدم الفسق ثبوتا ممنوع، کما أشیر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توهّم من الثمرة العملیّة، و هی جواز الصلاة مع الشکّ فی تحقّق شرط صحّتها</w:t>
      </w:r>
      <w:r>
        <w:rPr>
          <w:rStyle w:val="FootnoteAnchor"/>
          <w:rtl w:val="true"/>
        </w:rPr>
        <w:footnoteReference w:id="642"/>
      </w:r>
      <w:r>
        <w:rPr>
          <w:rFonts w:ascii="IRNazanin" w:hAnsi="IRNazanin" w:eastAsia="IRNazanin"/>
          <w:color w:val="111111"/>
          <w:sz w:val="28"/>
          <w:sz w:val="28"/>
          <w:szCs w:val="28"/>
          <w:rtl w:val="true"/>
          <w:lang w:bidi="fa-IR"/>
        </w:rPr>
        <w:t>، فهی غیر تامّة، و ذلک لأنّ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لوجوب إکرام زید العالم بما هو العالم، فیمکن کشف حال الفرد بذلک، و أمّا الإطلاق فلیس متعرّضا إلاّ لحال الصلاة، و أنّها تمام الموضوع للوجوب، و أمّا حال الثوب المشکوکة نجاسته مثلا فلا یمکن کشفها بمثله، لأجنبیّته عنه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الإطلاق هو أنّ الصلاة سواء کانت فی الثوب الموجود أو فی غیره تجب، بمعنی أنّ الوجوب متعلّق بالصلاة فیه مقیّدا به، یمکن ذلک، فلیتأمّل و اغتنم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صحّ کشف حال الفرد بلازم الدلیل، فیترتّب علیه جمیع آثاره، فیصحّ الصلاة خلفه، و یجوز الطلاق عنده، و ذلک إذا فرض أنّ زیدا المشکوک فسقه غیر</w:t>
      </w:r>
      <w:bookmarkStart w:id="501" w:name="pg13167_140966"/>
    </w:p>
    <w:p>
      <w:pPr>
        <w:pStyle w:val="BookText"/>
        <w:rPr/>
      </w:pPr>
      <w:bookmarkEnd w:id="501"/>
      <w:r>
        <w:rPr>
          <w:rFonts w:ascii="IRNazanin" w:hAnsi="IRNazanin" w:eastAsia="IRNazanin"/>
          <w:color w:val="111111"/>
          <w:sz w:val="28"/>
          <w:sz w:val="28"/>
          <w:szCs w:val="28"/>
          <w:rtl w:val="true"/>
          <w:lang w:bidi="fa-IR"/>
        </w:rPr>
        <w:t>فاسق حسب العموم المزبور، فما یظهر من بعضهم من احتمال کونه کشفا حیثیّا، فی غیر محلّه، لعدم جواز الخلط بین مفاد الدلیل عرفا، و بین الأصول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حال مسألة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هل یمکن کشف حال الفرد لأجل الحکم الناقض لحکم العامّ حتّی یتبیّن أنّ العامّ لم یخصّص، أم لا؟ و یتبیّن فساد الکشف المزبور أیضا</w:t>
      </w:r>
      <w:r>
        <w:rPr>
          <w:rFonts w:eastAsia="IRNazanin" w:cs="IRNazanin"/>
          <w:color w:val="111111"/>
          <w:sz w:val="28"/>
          <w:szCs w:val="28"/>
          <w:rtl w:val="true"/>
          <w:lang w:bidi="fa-IR"/>
        </w:rPr>
        <w:t>.</w:t>
      </w:r>
    </w:p>
    <w:p>
      <w:pPr>
        <w:pStyle w:val="Heading5"/>
        <w:numPr>
          <w:ilvl w:val="4"/>
          <w:numId w:val="1"/>
        </w:numPr>
        <w:rPr/>
      </w:pPr>
      <w:bookmarkStart w:id="502" w:name="__RefHeading___Toc559688_3244359995"/>
      <w:bookmarkStart w:id="503" w:name="_Toc187"/>
      <w:bookmarkEnd w:id="502"/>
      <w:r>
        <w:rPr>
          <w:rtl w:val="true"/>
        </w:rPr>
        <w:t>الثامن</w:t>
      </w:r>
      <w:r>
        <w:rPr>
          <w:rtl w:val="true"/>
        </w:rPr>
        <w:t xml:space="preserve">: </w:t>
      </w:r>
      <w:r>
        <w:rPr>
          <w:rtl w:val="true"/>
        </w:rPr>
        <w:t>حول وجوب الفحص فی موارد الشبهة المصداقیّة</w:t>
      </w:r>
      <w:bookmarkEnd w:id="503"/>
    </w:p>
    <w:p>
      <w:pPr>
        <w:pStyle w:val="BookText"/>
        <w:rPr/>
      </w:pPr>
      <w:r>
        <w:rPr>
          <w:rFonts w:ascii="IRNazanin" w:hAnsi="IRNazanin" w:eastAsia="IRNazanin"/>
          <w:color w:val="111111"/>
          <w:sz w:val="28"/>
          <w:sz w:val="28"/>
          <w:szCs w:val="28"/>
          <w:rtl w:val="true"/>
          <w:lang w:bidi="fa-IR"/>
        </w:rPr>
        <w:t>هل یجب الفحص فی موارد الشبهة المصداقیّة، أم یجوز طرح العامّ بمجرّد الشکّ، بناء علی عدم جواز التمسّک، أو یجوز الأخذ به، بناء علی بقاء حجّیته فی مورد الشبهة المصداقیّة؟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الفحص فی الشبهة الموضوعیّة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المقام لیس من الشبهة الموضوعیّة إلاّ للخاصّ، فما دام لم یتفحّص عن حال المصداق و لم یستقرّ الشکّ، یکون العامّ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العرف و العقلاء علی الفحص فی مطلق الشبهة، و إنّما أجاز الشرع توسّعا، و ما هو مورد إجازته مخصوص بغیر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الرجوع إلی محال الأمور فی الاحتجاجات العرفیّة، یعطی لزوم الفحص عن عنوان المخصّص، و لو کان العامّ ساقطا فهو بعد الفحص</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بالتمسّک فی مخلص من هذه المسألة و المشکلة، فی غیر مقامه، لأنّ الأمر ربّما یدور فی الشبهة المصداقیّة بین المحذورین، کما إذا کان أمر زید المشکوک دائرا بین وجوب الإکرام و حرمته</w:t>
      </w:r>
      <w:r>
        <w:rPr>
          <w:rFonts w:eastAsia="IRNazanin" w:cs="IRNazanin"/>
          <w:color w:val="111111"/>
          <w:sz w:val="28"/>
          <w:szCs w:val="28"/>
          <w:rtl w:val="true"/>
          <w:lang w:bidi="fa-IR"/>
        </w:rPr>
        <w:t>.</w:t>
      </w:r>
      <w:bookmarkStart w:id="504" w:name="pg13167_140967"/>
    </w:p>
    <w:p>
      <w:pPr>
        <w:pStyle w:val="Heading5"/>
        <w:numPr>
          <w:ilvl w:val="4"/>
          <w:numId w:val="1"/>
        </w:numPr>
        <w:rPr/>
      </w:pPr>
      <w:bookmarkStart w:id="505" w:name="__RefHeading___Toc559690_3244359995"/>
      <w:bookmarkStart w:id="506" w:name="_Toc188"/>
      <w:bookmarkEnd w:id="504"/>
      <w:bookmarkEnd w:id="505"/>
      <w:r>
        <w:rPr>
          <w:rtl w:val="true"/>
        </w:rPr>
        <w:t>التاسع</w:t>
      </w:r>
      <w:r>
        <w:rPr>
          <w:rtl w:val="true"/>
        </w:rPr>
        <w:t xml:space="preserve">: </w:t>
      </w:r>
      <w:r>
        <w:rPr>
          <w:rtl w:val="true"/>
        </w:rPr>
        <w:t>حول جریان الأصول العملیّة فی موارد الشبهة المصداقیّة</w:t>
      </w:r>
      <w:bookmarkEnd w:id="506"/>
    </w:p>
    <w:p>
      <w:pPr>
        <w:pStyle w:val="BookText"/>
        <w:rPr/>
      </w:pPr>
      <w:r>
        <w:rPr>
          <w:rFonts w:ascii="IRNazanin" w:hAnsi="IRNazanin" w:eastAsia="IRNazanin"/>
          <w:color w:val="111111"/>
          <w:sz w:val="28"/>
          <w:sz w:val="28"/>
          <w:szCs w:val="28"/>
          <w:rtl w:val="true"/>
          <w:lang w:bidi="fa-IR"/>
        </w:rPr>
        <w:t>إذا شکّ فی حجّیة العامّ فی الشبهة المصداقیّة، فالأصل النافی یجری بلا إشکال فی المسألة الفرعیّة، و أمّا فی المسألة الأصولیّة، فقد مضی شطر من البحث فی ذیل التمسّک بالعامّ فی الشبهة المفهومیّة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جری استصحاب الحجّیة فلا یجری الأصل المزبور،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تقریبه یختصّ بصورة عِلمنا بأنّ العامّ قد صدر أوّلا، ثمّ صدر المخصّص، فإنّه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حجّة علی جمیع أفراده، و مقتضی إطلاقه حجّیته و لو فی حال الشکّ فی الفسق، و 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العامّ حجّة بالنسبة إلی جمیع العلماء المشکوک فسقهم بنحو الکلّی، و شکّ فی زوال حجّیته بطروّ المخصّص، فلیتأمّل جیّدا</w:t>
      </w:r>
      <w:r>
        <w:rPr>
          <w:rFonts w:eastAsia="IRNazanin" w:cs="IRNazanin"/>
          <w:color w:val="111111"/>
          <w:sz w:val="28"/>
          <w:szCs w:val="28"/>
          <w:rtl w:val="true"/>
          <w:lang w:bidi="fa-IR"/>
        </w:rPr>
        <w:t>.</w:t>
      </w:r>
    </w:p>
    <w:p>
      <w:pPr>
        <w:pStyle w:val="Heading5"/>
        <w:numPr>
          <w:ilvl w:val="4"/>
          <w:numId w:val="1"/>
        </w:numPr>
        <w:rPr/>
      </w:pPr>
      <w:bookmarkStart w:id="507" w:name="__RefHeading___Toc559692_3244359995"/>
      <w:bookmarkStart w:id="508" w:name="_Toc189"/>
      <w:bookmarkEnd w:id="507"/>
      <w:r>
        <w:rPr>
          <w:rtl w:val="true"/>
        </w:rPr>
        <w:t>العاشر</w:t>
      </w:r>
      <w:r>
        <w:rPr>
          <w:rtl w:val="true"/>
        </w:rPr>
        <w:t xml:space="preserve">: </w:t>
      </w:r>
      <w:r>
        <w:rPr>
          <w:rtl w:val="true"/>
        </w:rPr>
        <w:t>استکشاف حال المصداق المشتبه بواسطة عموم الوفاء بالنذر مثلا</w:t>
      </w:r>
      <w:bookmarkEnd w:id="50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 إن لم یجز التمسّک بالعامّ فی الشبهة المصداقیّة، و لکن یمکن کشف حال الفرد صحّة و فسادا، لأجل العامّ الآخر أحیانا، مثلا إذا شکّ فی مائع أنّه مضاف أم لا، و لم یکن أصل یحرزه، یمکن أن یستکشف حسب أدلّة النذر أنّ الوضوء به صحیح، لأنّ مقتضی إطلاق صحّة النذر تفید صحّته صحّة الوضوء، للملازمة، کما قالوا به فی کشف صحّة العقد تشریعا من ناحیة عموم الوفاء بالعقود</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یکشف بالصحّة خصوصیّة الماء أیضا، فیعلم منه طهارته بلا حاجة</w:t>
      </w:r>
    </w:p>
    <w:p>
      <w:pPr>
        <w:pStyle w:val="BookText"/>
        <w:rPr/>
      </w:pPr>
      <w:r>
        <w:rPr>
          <w:rFonts w:ascii="IRNazanin" w:hAnsi="IRNazanin" w:eastAsia="IRNazanin"/>
          <w:color w:val="111111"/>
          <w:sz w:val="28"/>
          <w:sz w:val="28"/>
          <w:szCs w:val="28"/>
          <w:rtl w:val="true"/>
          <w:lang w:bidi="fa-IR"/>
        </w:rPr>
        <w:t>إلی قاعدتها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ما ورد فی صحّة النذر قبل المیقات </w:t>
      </w:r>
      <w:r>
        <w:rPr>
          <w:rStyle w:val="FootnoteAnchor"/>
          <w:rtl w:val="true"/>
        </w:rPr>
        <w:footnoteReference w:id="645"/>
      </w:r>
      <w:r>
        <w:rPr>
          <w:rFonts w:ascii="IRNazanin" w:hAnsi="IRNazanin" w:eastAsia="IRNazanin"/>
          <w:color w:val="111111"/>
          <w:sz w:val="28"/>
          <w:sz w:val="28"/>
          <w:szCs w:val="28"/>
          <w:rtl w:val="true"/>
          <w:lang w:bidi="fa-IR"/>
        </w:rPr>
        <w:t>، و نذر الصوم فی السفر</w:t>
      </w:r>
      <w:r>
        <w:rPr>
          <w:rStyle w:val="FootnoteAnchor"/>
          <w:rtl w:val="true"/>
        </w:rPr>
        <w:footnoteReference w:id="646"/>
      </w:r>
      <w:r>
        <w:rPr>
          <w:rFonts w:ascii="IRNazanin" w:hAnsi="IRNazanin" w:eastAsia="IRNazanin"/>
          <w:color w:val="111111"/>
          <w:sz w:val="28"/>
          <w:sz w:val="28"/>
          <w:szCs w:val="28"/>
          <w:rtl w:val="true"/>
          <w:lang w:bidi="fa-IR"/>
        </w:rPr>
        <w:t>، و الصوم المتطوّع به قبل الفریضة، و ما یشبه ذلک،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أدلة النذر و وجوب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حال المنذور فی السلسلة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أنّ یعلم من قِبل الحکم خصوصیّات الموضوع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فیما سلف </w:t>
      </w:r>
      <w:r>
        <w:rPr>
          <w:rStyle w:val="FootnoteAnchor"/>
          <w:rtl w:val="true"/>
        </w:rPr>
        <w:footnoteReference w:id="647"/>
      </w:r>
      <w:r>
        <w:rPr>
          <w:rFonts w:ascii="IRNazanin" w:hAnsi="IRNazanin" w:eastAsia="IRNazanin"/>
          <w:color w:val="111111"/>
          <w:sz w:val="28"/>
          <w:sz w:val="28"/>
          <w:szCs w:val="28"/>
          <w:rtl w:val="true"/>
          <w:lang w:bidi="fa-IR"/>
        </w:rPr>
        <w:t>أنّ الکشف المزبور غیر تامّ مطلقا و إن جاز 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فیما نحن فیه لو صحّ ما قیل یلزم جواز الکشف إذا نذر أن یتوضّأ بالخمر، و یحلّل بأدلّته جمیع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حلّ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النذر لا یصحّ فی غیر طاعة اللَّه، أو لا یصحّ فی معصیّة اللَّه، و أمّا فی تلک الموارد فمضافا إلی عدم تمامیّة المسألة احتمالا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ناقشناه فی محلّه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الخاصّة فی الفرضین الأوّلین تکفی للصحّة، دون الکشف المزبور، و یتبیّن بتلک الأدلّة أنّها المعاصی المعلّقة بعدم النذر، کما لا یخفی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ما فی کلمات بعضهم، من صحّة الکشف علی القول بالتمسّک </w:t>
      </w:r>
      <w:r>
        <w:rPr>
          <w:rStyle w:val="FootnoteAnchor"/>
          <w:rtl w:val="true"/>
        </w:rPr>
        <w:footnoteReference w:id="649"/>
      </w:r>
      <w:r>
        <w:rPr>
          <w:rFonts w:ascii="IRNazanin" w:hAnsi="IRNazanin" w:eastAsia="IRNazanin"/>
          <w:color w:val="111111"/>
          <w:sz w:val="28"/>
          <w:sz w:val="28"/>
          <w:szCs w:val="28"/>
          <w:rtl w:val="true"/>
          <w:lang w:bidi="fa-IR"/>
        </w:rPr>
        <w:t xml:space="preserve">، و من أنّ الأمثلة لیست من محلّ الکلام </w:t>
      </w:r>
      <w:r>
        <w:rPr>
          <w:rStyle w:val="FootnoteAnchor"/>
          <w:rtl w:val="true"/>
        </w:rPr>
        <w:footnoteReference w:id="650"/>
      </w:r>
      <w:r>
        <w:rPr>
          <w:rFonts w:ascii="IRNazanin" w:hAnsi="IRNazanin" w:eastAsia="IRNazanin"/>
          <w:color w:val="111111"/>
          <w:sz w:val="28"/>
          <w:sz w:val="28"/>
          <w:szCs w:val="28"/>
          <w:rtl w:val="true"/>
          <w:lang w:bidi="fa-IR"/>
        </w:rPr>
        <w:t>، فإنّ النّظر هنا إلی کشف حال الفرد بالإطلاق و العموم، من غیر فرق بینهما من هذه الناحیة أیضا، فلا تخلط</w:t>
      </w:r>
      <w:r>
        <w:rPr>
          <w:rFonts w:eastAsia="IRNazanin" w:cs="IRNazanin"/>
          <w:color w:val="111111"/>
          <w:sz w:val="28"/>
          <w:szCs w:val="28"/>
          <w:rtl w:val="true"/>
          <w:lang w:bidi="fa-IR"/>
        </w:rPr>
        <w:t>.</w:t>
      </w:r>
      <w:bookmarkStart w:id="509" w:name="pg13167_140969"/>
    </w:p>
    <w:p>
      <w:pPr>
        <w:pStyle w:val="Heading5"/>
        <w:numPr>
          <w:ilvl w:val="4"/>
          <w:numId w:val="1"/>
        </w:numPr>
        <w:rPr/>
      </w:pPr>
      <w:bookmarkStart w:id="510" w:name="__RefHeading___Toc559694_3244359995"/>
      <w:bookmarkStart w:id="511" w:name="_Toc190"/>
      <w:bookmarkEnd w:id="509"/>
      <w:bookmarkEnd w:id="510"/>
      <w:r>
        <w:rPr>
          <w:rtl w:val="true"/>
        </w:rPr>
        <w:t>الحادی عشر</w:t>
      </w:r>
      <w:r>
        <w:rPr>
          <w:rtl w:val="true"/>
        </w:rPr>
        <w:t xml:space="preserve">: </w:t>
      </w:r>
      <w:r>
        <w:rPr>
          <w:rtl w:val="true"/>
        </w:rPr>
        <w:t>فی دوران الأمر بین التخصیص و التخصّص</w:t>
      </w:r>
      <w:bookmarkEnd w:id="511"/>
    </w:p>
    <w:p>
      <w:pPr>
        <w:pStyle w:val="Heading6"/>
        <w:numPr>
          <w:ilvl w:val="5"/>
          <w:numId w:val="1"/>
        </w:numPr>
        <w:rPr/>
      </w:pPr>
      <w:bookmarkStart w:id="512" w:name="__RefHeading___Toc559696_3244359995"/>
      <w:bookmarkStart w:id="513" w:name="_Toc191"/>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لو دار الأمر بین التخصیص و التخصّص فما ذا یقتضی الأصل؟</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التحفّظ علی أصالة العموم حتّی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یصیر العامّ مورد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أم لا، أو یفصّل بین القول بالمجازیّة و عدمه؟</w:t>
      </w:r>
    </w:p>
    <w:p>
      <w:pPr>
        <w:pStyle w:val="BookText"/>
        <w:rPr/>
      </w:pPr>
      <w:r>
        <w:rPr>
          <w:rFonts w:ascii="IRNazanin" w:hAnsi="IRNazanin" w:eastAsia="IRNazanin"/>
          <w:color w:val="111111"/>
          <w:sz w:val="28"/>
          <w:sz w:val="28"/>
          <w:szCs w:val="28"/>
          <w:rtl w:val="true"/>
          <w:lang w:bidi="fa-IR"/>
        </w:rPr>
        <w:t>احتمالات، بل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المحافظة علی العموم غیر لازم بما هو هو، فلو ورد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ماء الاستنجاء لا ینجِّس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ملزم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ماء الاستنجاء لیس بنجس، أخذا بعکس النقیض، و قولا بأنّه من العکوس المعتبرة و القضایا الصادقة، و کلّ ذلک لأجل انحفاظ العامّ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 ذلک إلاّ فی بعض القضایا المهملة،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أمثال هذه القضایا لا عکس إلاّ مهملة، لأنّ الأصل مهمل کما تحرّر، و لذلک تری وجدانا أنّ الصلاة غیر الناهیة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المثال الأوّل الّذی فیه الحکم علی السریان و الاستغراق، و یکون العنوان الآخر أیضا من العناوین الکلّیة، فلا بدّ من الالتزام بأصالة العموم، و الحکم بأنّ ماء الاستنجاء لیس بنجس</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فی مورد تکون القضیّة الثانیة شخصیّة أو بمثابتها، فإنّه عقلا یکشف حال الفرد، فإنّ عکس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یجب إکرامه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لا یجب إکرامه لیس بعالم، فزید لیس بعالم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یستظهر من الشیخ </w:t>
      </w:r>
      <w:r>
        <w:rPr>
          <w:rStyle w:val="FootnoteAnchor"/>
          <w:rtl w:val="true"/>
        </w:rPr>
        <w:footnoteReference w:id="651"/>
      </w:r>
      <w:r>
        <w:rPr>
          <w:rFonts w:ascii="IRNazanin" w:hAnsi="IRNazanin" w:eastAsia="IRNazanin"/>
          <w:color w:val="111111"/>
          <w:sz w:val="28"/>
          <w:sz w:val="28"/>
          <w:szCs w:val="28"/>
          <w:rtl w:val="true"/>
          <w:lang w:bidi="fa-IR"/>
        </w:rPr>
        <w:t xml:space="preserve">علی المحکیّ عنه </w:t>
      </w:r>
      <w:r>
        <w:rPr>
          <w:rStyle w:val="FootnoteAnchor"/>
          <w:rtl w:val="true"/>
        </w:rPr>
        <w:footnoteReference w:id="652"/>
      </w:r>
      <w:r>
        <w:rPr>
          <w:rFonts w:ascii="IRNazanin" w:hAnsi="IRNazanin" w:eastAsia="IRNazanin"/>
          <w:color w:val="111111"/>
          <w:sz w:val="28"/>
          <w:sz w:val="28"/>
          <w:szCs w:val="28"/>
          <w:rtl w:val="true"/>
          <w:lang w:bidi="fa-IR"/>
        </w:rPr>
        <w:t xml:space="preserve">، و استند إلیه العلاّمة الخراسانیّ فی باب الصحیح و الأعمّ </w:t>
      </w:r>
      <w:r>
        <w:rPr>
          <w:rStyle w:val="FootnoteAnchor"/>
          <w:rtl w:val="true"/>
        </w:rPr>
        <w:footnoteReference w:id="653"/>
      </w:r>
      <w:r>
        <w:rPr>
          <w:rFonts w:ascii="IRNazanin" w:hAnsi="IRNazanin" w:eastAsia="IRNazanin"/>
          <w:color w:val="111111"/>
          <w:sz w:val="28"/>
          <w:sz w:val="28"/>
          <w:szCs w:val="28"/>
          <w:rtl w:val="true"/>
          <w:lang w:bidi="fa-IR"/>
        </w:rPr>
        <w:t>، و قد عرفت عدم تمامیّته فی القضایا المهملة</w:t>
      </w:r>
      <w:r>
        <w:rPr>
          <w:rStyle w:val="FootnoteAnchor"/>
          <w:rtl w:val="true"/>
        </w:rPr>
        <w:footnoteReference w:id="654"/>
      </w:r>
      <w:r>
        <w:rPr>
          <w:rFonts w:ascii="IRNazanin" w:hAnsi="IRNazanin" w:eastAsia="IRNazanin"/>
          <w:color w:val="111111"/>
          <w:sz w:val="28"/>
          <w:sz w:val="28"/>
          <w:szCs w:val="28"/>
          <w:rtl w:val="true"/>
          <w:lang w:bidi="fa-IR"/>
        </w:rPr>
        <w:t>، و أمّا فی الحقیقیّة من القضایا فعکس النقیض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هنا فی أنّ عکس نقیض القضیّة الحقیقیّة الإنشائیّة، قضیّة إنشائیّة، أو إخباریّة، لا سبیل إلی الثانی، فلا یکون کاشفا، ضرورة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بمنجّس لا یکون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الأمر بالبناء و جعل الملازمة تعبّدا، و هکذا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بواجب الإکرام لیس بعالم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إنشاء هذا لا یورث کون زید جاهلا حتّی یترتّب علیه سائر الآثار، فیکون ماء الاستنجاء طاهرا و مطهّرا، و غیر ذلک، فلیتدبّر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النّظر فیما أفاده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عدم حجّیة هذه الأصول إلاّ فی مقام الاحتجاج</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أفاده العلاّمة الأراکیّ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عکس النقیض من اللّوازم غیر الکافیة لحجّیتها أصالة العموم فی الأصل</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إذا کانت إخباریّة تکون من القضایا التی قیاساتها معها، و لا محیص عنها عقلا، و لا عرفا، بل لا یعقل تدخّل الشرع فی العکس إلاّ بالتدخّل فی الأصل، بخلاف ما إذا کانت إنشائیّة، فإنّها مضافا إلی عدم کاشفیّتها، قابلة</w:t>
      </w:r>
      <w:bookmarkStart w:id="514" w:name="pg13167_140971"/>
    </w:p>
    <w:p>
      <w:pPr>
        <w:pStyle w:val="BookText"/>
        <w:rPr/>
      </w:pPr>
      <w:bookmarkEnd w:id="514"/>
      <w:r>
        <w:rPr>
          <w:rFonts w:ascii="IRNazanin" w:hAnsi="IRNazanin" w:eastAsia="IRNazanin"/>
          <w:color w:val="111111"/>
          <w:sz w:val="28"/>
          <w:sz w:val="28"/>
          <w:szCs w:val="28"/>
          <w:rtl w:val="true"/>
          <w:lang w:bidi="fa-IR"/>
        </w:rPr>
        <w:t>للتدخّل فیه بإیراد المخصّص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الإقرار بالعموم الاستغراقیّ و لو کان إنشائیّا، لا بدّ من الالتزام بصحّة عکسه، و بعموم عکس نقیضه، إلاّ أنّه لا یمکن کشف حال الفرد بالعموم الثانی، لمکان إنشائیّته، ضرورة أنّ القضایا الإنشائیّة تعبّدیة صرفة، و غایة ما یستظهر من انطباقها علی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انطباق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زیدا لا یترتّب علیه الأثر الثابت فی العامّ، لأجل التعبّد بأنّه جاهل، لا لکشف حاله واقعا</w:t>
      </w:r>
      <w:r>
        <w:rPr>
          <w:rFonts w:eastAsia="IRNazanin" w:cs="IRNazanin"/>
          <w:color w:val="111111"/>
          <w:sz w:val="28"/>
          <w:szCs w:val="28"/>
          <w:rtl w:val="true"/>
          <w:lang w:bidi="fa-IR"/>
        </w:rPr>
        <w:t>.</w:t>
      </w:r>
    </w:p>
    <w:p>
      <w:pPr>
        <w:pStyle w:val="Heading6"/>
        <w:numPr>
          <w:ilvl w:val="5"/>
          <w:numId w:val="1"/>
        </w:numPr>
        <w:rPr/>
      </w:pPr>
      <w:bookmarkStart w:id="515" w:name="__RefHeading___Toc559698_3244359995"/>
      <w:bookmarkStart w:id="516" w:name="_Toc192"/>
      <w:bookmarkEnd w:id="515"/>
      <w:r>
        <w:rPr>
          <w:rtl w:val="true"/>
        </w:rPr>
        <w:t>إیقاظ</w:t>
      </w:r>
      <w:r>
        <w:rPr>
          <w:rtl w:val="true"/>
        </w:rPr>
        <w:t xml:space="preserve">: </w:t>
      </w:r>
      <w:r>
        <w:rPr>
          <w:rtl w:val="true"/>
        </w:rPr>
        <w:t>فی تحریر نزاع دوران الأمر بین التخصیص و التخصّص علی وجه بدیع</w:t>
      </w:r>
      <w:bookmarkEnd w:id="516"/>
    </w:p>
    <w:p>
      <w:pPr>
        <w:pStyle w:val="BookText"/>
        <w:rPr/>
      </w:pPr>
      <w:r>
        <w:rPr>
          <w:rFonts w:ascii="IRNazanin" w:hAnsi="IRNazanin" w:eastAsia="IRNazanin"/>
          <w:color w:val="111111"/>
          <w:sz w:val="28"/>
          <w:sz w:val="28"/>
          <w:szCs w:val="28"/>
          <w:rtl w:val="true"/>
          <w:lang w:bidi="fa-IR"/>
        </w:rPr>
        <w:t>کان ینبغی أن یحرّر البحث المزبور علی وجه بدیع، و هو أنّ القضایا الحقیقیّة الإخباریّة الصادقة، تکون عکوسها المستویة و عکس نقیضها من القضایا الاعتباریّة، فهل القضایا الحقیقیّة الإنشائیّة أیضا مثلها، أم لا؟</w:t>
      </w:r>
    </w:p>
    <w:p>
      <w:pPr>
        <w:pStyle w:val="BookText"/>
        <w:rPr/>
      </w:pPr>
      <w:r>
        <w:rPr>
          <w:rFonts w:ascii="IRNazanin" w:hAnsi="IRNazanin" w:eastAsia="IRNazanin"/>
          <w:color w:val="111111"/>
          <w:sz w:val="28"/>
          <w:sz w:val="28"/>
          <w:szCs w:val="28"/>
          <w:rtl w:val="true"/>
          <w:lang w:bidi="fa-IR"/>
        </w:rPr>
        <w:t>ثمّ علی تقدیر اعتبارها، فهل کما ینکشف حسب القضایا الإخباریّة حال المجهولات، ینکشف حال المجهول فیما نحن فیه، أم لا؟</w:t>
      </w:r>
    </w:p>
    <w:p>
      <w:pPr>
        <w:pStyle w:val="BookText"/>
        <w:rPr/>
      </w:pPr>
      <w:r>
        <w:rPr>
          <w:rFonts w:ascii="IRNazanin" w:hAnsi="IRNazanin" w:eastAsia="IRNazanin"/>
          <w:color w:val="111111"/>
          <w:sz w:val="28"/>
          <w:sz w:val="28"/>
          <w:szCs w:val="28"/>
          <w:rtl w:val="true"/>
          <w:lang w:bidi="fa-IR"/>
        </w:rPr>
        <w:t>و حیث عرفت الجواب عن السؤالین تبیّن الأمر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تبیّن أنّ القضایا المهملة لیس عکس مستواها و لا عکس نقیضها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صحّة اعتبارهما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مهملین، فما تمسّک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للقول بالأخصّ فی مسألة الصحیح و الأعمّ </w:t>
      </w:r>
      <w:r>
        <w:rPr>
          <w:rStyle w:val="FootnoteAnchor"/>
          <w:rtl w:val="true"/>
        </w:rPr>
        <w:footnoteReference w:id="657"/>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البحث هنا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دوران الأمر بین</w:t>
      </w:r>
      <w:bookmarkStart w:id="517" w:name="pg13167_140972"/>
    </w:p>
    <w:p>
      <w:pPr>
        <w:pStyle w:val="BookText"/>
        <w:rPr/>
      </w:pPr>
      <w:bookmarkEnd w:id="517"/>
      <w:r>
        <w:rPr>
          <w:rFonts w:ascii="IRNazanin" w:hAnsi="IRNazanin" w:eastAsia="IRNazanin"/>
          <w:color w:val="111111"/>
          <w:sz w:val="28"/>
          <w:sz w:val="28"/>
          <w:szCs w:val="28"/>
          <w:rtl w:val="true"/>
          <w:lang w:bidi="fa-IR"/>
        </w:rPr>
        <w:t>التخصیص و التخصّص، هل یتعیّن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جامع، و تعلم هذه المسألة من البحث المزبور، و هو أنّه لا یمکن بعد قصور الکشف الالتزام بعدم ورود التخصیص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لاستصحاب عدم التخصیص أثر، أو کان لبقاء العامّ علی عمومه أثر کالحجیّة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بسقوطه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فلاحظ جیّدا</w:t>
      </w:r>
      <w:r>
        <w:rPr>
          <w:rFonts w:eastAsia="IRNazanin" w:cs="IRNazanin"/>
          <w:color w:val="111111"/>
          <w:sz w:val="28"/>
          <w:szCs w:val="28"/>
          <w:rtl w:val="true"/>
          <w:lang w:bidi="fa-IR"/>
        </w:rPr>
        <w:t>.</w:t>
      </w:r>
    </w:p>
    <w:p>
      <w:pPr>
        <w:pStyle w:val="Heading5"/>
        <w:numPr>
          <w:ilvl w:val="4"/>
          <w:numId w:val="1"/>
        </w:numPr>
        <w:rPr/>
      </w:pPr>
      <w:bookmarkStart w:id="518" w:name="__RefHeading___Toc559700_3244359995"/>
      <w:bookmarkStart w:id="519" w:name="_Toc193"/>
      <w:bookmarkEnd w:id="518"/>
      <w:r>
        <w:rPr>
          <w:rtl w:val="true"/>
        </w:rPr>
        <w:t>الثانی عشر</w:t>
      </w:r>
      <w:r>
        <w:rPr>
          <w:rtl w:val="true"/>
        </w:rPr>
        <w:t xml:space="preserve">: </w:t>
      </w:r>
      <w:r>
        <w:rPr>
          <w:rtl w:val="true"/>
        </w:rPr>
        <w:t>حول رفع الشبهة المصداقیّة بالأصل المحرز</w:t>
      </w:r>
      <w:bookmarkEnd w:id="519"/>
    </w:p>
    <w:p>
      <w:pPr>
        <w:pStyle w:val="BookText"/>
        <w:rPr/>
      </w:pPr>
      <w:r>
        <w:rPr>
          <w:rFonts w:ascii="IRNazanin" w:hAnsi="IRNazanin" w:eastAsia="IRNazanin"/>
          <w:color w:val="111111"/>
          <w:sz w:val="28"/>
          <w:sz w:val="28"/>
          <w:szCs w:val="28"/>
          <w:rtl w:val="true"/>
          <w:lang w:bidi="fa-IR"/>
        </w:rPr>
        <w:t>فیما إذا کان فی مجری الشبهة المصداقیّة أصل من الأصول المحرزة، بحیث تخرج الشبهة إلی اللاشبهة تعبّدا، فلا محیص عن التمسّک بالعامّ، و لا وجه للبحث و الکلام، کما هو المعلوم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فی بعض الأحیان یجری الأصل، أم لا، لکونه من الأصول العدمیّة الأزلیّة، أو من الأصول المثبتة، فهو بحث خارج عن مباحث العامّ و الخاصّ، و موکولة کبراه إلی بحوث الاستصحاب، و صغراه فی الفقه، و من العجیب أنّ علم الأصول مع طوله یشتمل علی مباحث مکرّرة خالیة من الفائدة</w:t>
      </w:r>
      <w:r>
        <w:rPr>
          <w:rFonts w:eastAsia="IRNazanin" w:cs="IRNazanin"/>
          <w:color w:val="111111"/>
          <w:sz w:val="28"/>
          <w:szCs w:val="28"/>
          <w:rtl w:val="true"/>
          <w:lang w:bidi="fa-IR"/>
        </w:rPr>
        <w:t>!!</w:t>
      </w:r>
      <w:bookmarkStart w:id="520" w:name="pg13167_140973"/>
    </w:p>
    <w:p>
      <w:pPr>
        <w:pStyle w:val="Heading3"/>
        <w:numPr>
          <w:ilvl w:val="2"/>
          <w:numId w:val="1"/>
        </w:numPr>
        <w:rPr/>
      </w:pPr>
      <w:bookmarkStart w:id="521" w:name="__RefHeading___Toc559702_3244359995"/>
      <w:bookmarkStart w:id="522" w:name="_Toc194"/>
      <w:bookmarkEnd w:id="520"/>
      <w:bookmarkEnd w:id="521"/>
      <w:r>
        <w:rPr>
          <w:rtl w:val="true"/>
        </w:rPr>
        <w:t>المبحث الرابع فی وجوب الفحص عن المخصّص</w:t>
      </w:r>
      <w:bookmarkEnd w:id="522"/>
    </w:p>
    <w:p>
      <w:pPr>
        <w:pStyle w:val="Heading4"/>
        <w:numPr>
          <w:ilvl w:val="3"/>
          <w:numId w:val="1"/>
        </w:numPr>
        <w:rPr/>
      </w:pPr>
      <w:bookmarkStart w:id="523" w:name="__RefHeading___Toc559704_3244359995"/>
      <w:bookmarkStart w:id="524" w:name="_Toc195"/>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 xml:space="preserve">قد اشتهر البحث عن وجوب الفحص عن المخصّص، و اختلفوا فیه علی أقوال </w:t>
      </w:r>
      <w:r>
        <w:rPr>
          <w:rStyle w:val="FootnoteAnchor"/>
          <w:rtl w:val="true"/>
        </w:rPr>
        <w:footnoteReference w:id="658"/>
      </w:r>
      <w:r>
        <w:rPr>
          <w:rFonts w:ascii="IRNazanin" w:hAnsi="IRNazanin" w:eastAsia="IRNazanin"/>
          <w:color w:val="111111"/>
          <w:sz w:val="28"/>
          <w:sz w:val="28"/>
          <w:szCs w:val="28"/>
          <w:rtl w:val="true"/>
          <w:lang w:bidi="fa-IR"/>
        </w:rPr>
        <w:t xml:space="preserve">، فقد حکی عن بعض العامّة جواز التمسّک بالعمومات قبل الفحص </w:t>
      </w:r>
      <w:r>
        <w:rPr>
          <w:rStyle w:val="FootnoteAnchor"/>
          <w:rtl w:val="true"/>
        </w:rPr>
        <w:footnoteReference w:id="659"/>
      </w:r>
      <w:r>
        <w:rPr>
          <w:rFonts w:ascii="IRNazanin" w:hAnsi="IRNazanin" w:eastAsia="IRNazanin"/>
          <w:color w:val="111111"/>
          <w:sz w:val="28"/>
          <w:sz w:val="28"/>
          <w:szCs w:val="28"/>
          <w:rtl w:val="true"/>
          <w:lang w:bidi="fa-IR"/>
        </w:rPr>
        <w:t xml:space="preserve">، و یستظهر ذلک من حواشی العلاّمة الإیروانیّ قدس سرُّه </w:t>
      </w:r>
      <w:r>
        <w:rPr>
          <w:rStyle w:val="FootnoteAnchor"/>
          <w:rtl w:val="true"/>
        </w:rPr>
        <w:footnoteReference w:id="660"/>
      </w:r>
      <w:r>
        <w:rPr>
          <w:rFonts w:ascii="IRNazanin" w:hAnsi="IRNazanin" w:eastAsia="IRNazanin"/>
          <w:color w:val="111111"/>
          <w:sz w:val="28"/>
          <w:sz w:val="28"/>
          <w:szCs w:val="28"/>
          <w:rtl w:val="true"/>
          <w:lang w:bidi="fa-IR"/>
        </w:rPr>
        <w:t>و کأنّه یرید المناقشة فی المسألة حسب الصناعة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المعروف المشهور</w:t>
      </w:r>
      <w:r>
        <w:rPr>
          <w:rStyle w:val="FootnoteAnchor"/>
          <w:rtl w:val="true"/>
        </w:rPr>
        <w:footnoteReference w:id="661"/>
      </w:r>
      <w:r>
        <w:rPr>
          <w:rFonts w:ascii="IRNazanin" w:hAnsi="IRNazanin" w:eastAsia="IRNazanin"/>
          <w:color w:val="111111"/>
          <w:sz w:val="28"/>
          <w:sz w:val="28"/>
          <w:szCs w:val="28"/>
          <w:rtl w:val="true"/>
          <w:lang w:bidi="fa-IR"/>
        </w:rPr>
        <w:t xml:space="preserve">المدّعی علیه الإجماع </w:t>
      </w:r>
      <w:r>
        <w:rPr>
          <w:rStyle w:val="FootnoteAnchor"/>
          <w:rtl w:val="true"/>
        </w:rPr>
        <w:footnoteReference w:id="662"/>
      </w:r>
      <w:r>
        <w:rPr>
          <w:rFonts w:ascii="IRNazanin" w:hAnsi="IRNazanin" w:eastAsia="IRNazanin"/>
          <w:color w:val="111111"/>
          <w:sz w:val="28"/>
          <w:sz w:val="28"/>
          <w:szCs w:val="28"/>
          <w:rtl w:val="true"/>
          <w:lang w:bidi="fa-IR"/>
        </w:rPr>
        <w:t>، عدم الجواز و 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بالتفصیل بین المخصّص المتصل و المنفصل، فیجب فی الثانی، دون الأوّل </w:t>
      </w:r>
      <w:r>
        <w:rPr>
          <w:rStyle w:val="FootnoteAnchor"/>
          <w:rtl w:val="true"/>
        </w:rPr>
        <w:footnoteReference w:id="663"/>
      </w:r>
      <w:r>
        <w:rPr>
          <w:rFonts w:ascii="IRNazanin" w:hAnsi="IRNazanin" w:eastAsia="IRNazanin"/>
          <w:color w:val="111111"/>
          <w:sz w:val="28"/>
          <w:sz w:val="28"/>
          <w:szCs w:val="28"/>
          <w:rtl w:val="true"/>
          <w:lang w:bidi="fa-IR"/>
        </w:rPr>
        <w:t xml:space="preserve">، و هذا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و لأحد أن یدّعی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الإجماع المزبور حادث، لما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المسألة من المسائل التی عنونها أبو العباس بن سریج المتوفّی أوائل القرن الرابع</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فلا خیر فی ذلک الاتفاق المستدلّ به فی المقام، و لا بدّ من النّظر إلی مقتضی الصناعة و البناءات العرفیّة و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وجوب الفحص کثیر الدور فی أدوار الأصول، فتارة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یبحث عنه فی البراءة و الاشتغال،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التعادل و الترجیح،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مرّ منّا فی البحث السابق </w:t>
      </w:r>
      <w:r>
        <w:rPr>
          <w:rStyle w:val="FootnoteAnchor"/>
          <w:rtl w:val="true"/>
        </w:rPr>
        <w:footnoteReference w:id="666"/>
      </w:r>
      <w:r>
        <w:rPr>
          <w:rFonts w:ascii="IRNazanin" w:hAnsi="IRNazanin" w:eastAsia="IRNazanin"/>
          <w:color w:val="111111"/>
          <w:sz w:val="28"/>
          <w:sz w:val="28"/>
          <w:szCs w:val="28"/>
          <w:rtl w:val="true"/>
          <w:lang w:bidi="fa-IR"/>
        </w:rPr>
        <w:t>، و أیضا لا بدّ من البحث عنه فی مباحث حجّیة الظواهر، و لا وجه للبحث الکلّی عنه فی المقام، لإمکان اختلافهم فی الجهة المبحوث عنها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یختصّ البحث هنا بالفحص عن المخصّص، بل هو أعمّ منه و من المقید و الحاکم و الوارد، و أیضا أعمّ منها و من القرائن الموجبة لصرف الظهور البدویّ إلی الظهور المستقرّ، من المتّصلة، أو المنفصلة و غیر ذلک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هنا ممحّض حول البحث عن الفحص فی الأصول اللفظیّة و معارضاتها المحتملة، لا علی وجه التباین، و لکن لا بأس بذلک هنا أیضا، لوحدة الملاک و المناط، و ما رأیت أحدا یفصّل بین المقامین، فتدبّر</w:t>
      </w:r>
      <w:r>
        <w:rPr>
          <w:rFonts w:eastAsia="IRNazanin" w:cs="IRNazanin"/>
          <w:color w:val="111111"/>
          <w:sz w:val="28"/>
          <w:szCs w:val="28"/>
          <w:rtl w:val="true"/>
          <w:lang w:bidi="fa-IR"/>
        </w:rPr>
        <w:t>.</w:t>
      </w:r>
      <w:bookmarkStart w:id="525" w:name="pg13167_140975"/>
    </w:p>
    <w:p>
      <w:pPr>
        <w:pStyle w:val="BookText"/>
        <w:rPr/>
      </w:pPr>
      <w:bookmarkEnd w:id="525"/>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البحث یقع فی محلّه بناء علی ما هو التحقیق فی المسألة الآتیة، من عدم اختصاص القوانین الکلّیة و الخطابات العامّة بالمشافهین و الحاضرین وقت النداء</w:t>
      </w:r>
      <w:r>
        <w:rPr>
          <w:rStyle w:val="FootnoteAnchor"/>
          <w:rtl w:val="true"/>
        </w:rPr>
        <w:footnoteReference w:id="667"/>
      </w:r>
      <w:r>
        <w:rPr>
          <w:rFonts w:ascii="IRNazanin" w:hAnsi="IRNazanin" w:eastAsia="IRNazanin"/>
          <w:color w:val="111111"/>
          <w:sz w:val="28"/>
          <w:sz w:val="28"/>
          <w:szCs w:val="28"/>
          <w:rtl w:val="true"/>
          <w:lang w:bidi="fa-IR"/>
        </w:rPr>
        <w:t>، و إلاّ فلا مورد له کما تری</w:t>
      </w:r>
      <w:r>
        <w:rPr>
          <w:rFonts w:eastAsia="IRNazanin" w:cs="IRNazanin"/>
          <w:color w:val="111111"/>
          <w:sz w:val="28"/>
          <w:szCs w:val="28"/>
          <w:rtl w:val="true"/>
          <w:lang w:bidi="fa-IR"/>
        </w:rPr>
        <w:t>.</w:t>
      </w:r>
    </w:p>
    <w:p>
      <w:pPr>
        <w:pStyle w:val="Heading4"/>
        <w:numPr>
          <w:ilvl w:val="3"/>
          <w:numId w:val="1"/>
        </w:numPr>
        <w:rPr/>
      </w:pPr>
      <w:bookmarkStart w:id="526" w:name="__RefHeading___Toc559706_3244359995"/>
      <w:bookmarkStart w:id="527" w:name="_Toc196"/>
      <w:bookmarkEnd w:id="526"/>
      <w:r>
        <w:rPr>
          <w:rtl w:val="true"/>
        </w:rPr>
        <w:t>وهم و دفع</w:t>
      </w:r>
      <w:bookmarkEnd w:id="527"/>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الفحص عن المخصّص المتّصل غیر لازم، لرجوع الشکّ فیه إلی نسیان الراوی، و أمثاله ممّا یدفع بالأصول العقلائیّة، فالبحث ممحّض فی المنفصل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احتمال صدور الکلام مع القرینة فی مورد آخر، کما هو کثیر الدور فی الأخبار، فربّما یفتی الفقیه بمجرّد 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مع الغفلة عن أنّه مقرون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لصرف الصدر عمّا هو الظاهر فیه، فالتقطیع فی أخبارنا کثیر، و لا بدّ من الفحص عن الصدر و الذیل، و لا یکفی الظهور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هو محلّ البحث أیضا</w:t>
      </w:r>
      <w:r>
        <w:rPr>
          <w:rFonts w:eastAsia="IRNazanin" w:cs="IRNazanin"/>
          <w:color w:val="111111"/>
          <w:sz w:val="28"/>
          <w:szCs w:val="28"/>
          <w:rtl w:val="true"/>
          <w:lang w:bidi="fa-IR"/>
        </w:rPr>
        <w:t>.</w:t>
      </w:r>
    </w:p>
    <w:p>
      <w:pPr>
        <w:pStyle w:val="Heading4"/>
        <w:numPr>
          <w:ilvl w:val="3"/>
          <w:numId w:val="1"/>
        </w:numPr>
        <w:rPr/>
      </w:pPr>
      <w:bookmarkStart w:id="528" w:name="__RefHeading___Toc559708_3244359995"/>
      <w:bookmarkStart w:id="529" w:name="_Toc197"/>
      <w:bookmarkEnd w:id="528"/>
      <w:r>
        <w:rPr>
          <w:rtl w:val="true"/>
        </w:rPr>
        <w:t>وهم آخر و دفع</w:t>
      </w:r>
      <w:bookmarkEnd w:id="52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لا یکون وجه للفحص فی موارد البناء علی الاحتیاط، فلو 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بناء المکلّف علی العمل بمضمونه، فلا یجب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w:t>
      </w:r>
      <w:bookmarkStart w:id="530" w:name="pg13167_140976"/>
    </w:p>
    <w:p>
      <w:pPr>
        <w:pStyle w:val="BookText"/>
        <w:rPr/>
      </w:pPr>
      <w:bookmarkEnd w:id="530"/>
      <w:r>
        <w:rPr>
          <w:rFonts w:ascii="IRNazanin" w:hAnsi="IRNazanin" w:eastAsia="IRNazanin"/>
          <w:color w:val="111111"/>
          <w:sz w:val="28"/>
          <w:sz w:val="28"/>
          <w:szCs w:val="28"/>
          <w:rtl w:val="true"/>
          <w:lang w:bidi="fa-IR"/>
        </w:rPr>
        <w:t>الإفتاء بذلک،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المحتمل کون مورد التخصیص محرّما إکرامه، فلا یکفی ما ذکر، فلیتدبّر</w:t>
      </w:r>
      <w:r>
        <w:rPr>
          <w:rFonts w:eastAsia="IRNazanin" w:cs="IRNazanin"/>
          <w:color w:val="111111"/>
          <w:sz w:val="28"/>
          <w:szCs w:val="28"/>
          <w:rtl w:val="true"/>
          <w:lang w:bidi="fa-IR"/>
        </w:rPr>
        <w:t>.</w:t>
      </w:r>
    </w:p>
    <w:p>
      <w:pPr>
        <w:pStyle w:val="Heading4"/>
        <w:numPr>
          <w:ilvl w:val="3"/>
          <w:numId w:val="1"/>
        </w:numPr>
        <w:rPr/>
      </w:pPr>
      <w:bookmarkStart w:id="531" w:name="__RefHeading___Toc559710_3244359995"/>
      <w:bookmarkStart w:id="532" w:name="_Toc198"/>
      <w:bookmarkEnd w:id="531"/>
      <w:r>
        <w:rPr>
          <w:rtl w:val="true"/>
        </w:rPr>
        <w:t>وهم ثالث و دفع</w:t>
      </w:r>
      <w:bookmarkEnd w:id="532"/>
    </w:p>
    <w:p>
      <w:pPr>
        <w:pStyle w:val="BookText"/>
        <w:rPr/>
      </w:pPr>
      <w:r>
        <w:rPr>
          <w:rFonts w:ascii="IRNazanin" w:hAnsi="IRNazanin" w:eastAsia="IRNazanin"/>
          <w:color w:val="111111"/>
          <w:sz w:val="28"/>
          <w:sz w:val="28"/>
          <w:szCs w:val="28"/>
          <w:rtl w:val="true"/>
          <w:lang w:bidi="fa-IR"/>
        </w:rPr>
        <w:t xml:space="preserve">یستظهر من العلاّمة الخراسانیّ </w:t>
      </w:r>
      <w:r>
        <w:rPr>
          <w:rStyle w:val="FootnoteAnchor"/>
          <w:rtl w:val="true"/>
        </w:rPr>
        <w:footnoteReference w:id="670"/>
      </w:r>
      <w:r>
        <w:rPr>
          <w:rFonts w:ascii="IRNazanin" w:hAnsi="IRNazanin" w:eastAsia="IRNazanin"/>
          <w:color w:val="111111"/>
          <w:sz w:val="28"/>
          <w:sz w:val="28"/>
          <w:szCs w:val="28"/>
          <w:rtl w:val="true"/>
          <w:lang w:bidi="fa-IR"/>
        </w:rPr>
        <w:t xml:space="preserve">و بعض آخر، أنّ النزاع فی المسألة إنّما هو بعد الفراغ من کون أصالة العموم حجّة من باب الظّن النوعیّ، لا الشخصیّ، و کونها معتبرة من باب الظنّ الخاصّ، لا من باب الظنّ المطلق، و بعد عدم وجود العلم التفصیلیّ أو الإجمالیّ بوجود المخصّص </w:t>
      </w:r>
      <w:r>
        <w:rPr>
          <w:rStyle w:val="FootnoteAnchor"/>
          <w:rtl w:val="true"/>
        </w:rPr>
        <w:footnoteReference w:id="67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الأصحاب من ینکر منجّزیة العلم الإجمالیّ </w:t>
      </w:r>
      <w:r>
        <w:rPr>
          <w:rStyle w:val="FootnoteAnchor"/>
          <w:rtl w:val="true"/>
        </w:rPr>
        <w:footnoteReference w:id="672"/>
      </w:r>
      <w:r>
        <w:rPr>
          <w:rFonts w:ascii="IRNazanin" w:hAnsi="IRNazanin" w:eastAsia="IRNazanin"/>
          <w:color w:val="111111"/>
          <w:sz w:val="28"/>
          <w:sz w:val="28"/>
          <w:szCs w:val="28"/>
          <w:rtl w:val="true"/>
          <w:lang w:bidi="fa-IR"/>
        </w:rPr>
        <w:t xml:space="preserve">، فالنزاع من حیث الأخیر أعمّ، و یکون أحد الوجوه المتمسّک بها العلم الإجمالیّ </w:t>
      </w:r>
      <w:r>
        <w:rPr>
          <w:rStyle w:val="FootnoteAnchor"/>
          <w:rtl w:val="true"/>
        </w:rPr>
        <w:footnoteReference w:id="673"/>
      </w:r>
      <w:r>
        <w:rPr>
          <w:rFonts w:ascii="IRNazanin" w:hAnsi="IRNazanin" w:eastAsia="IRNazanin"/>
          <w:color w:val="111111"/>
          <w:sz w:val="28"/>
          <w:sz w:val="28"/>
          <w:szCs w:val="28"/>
          <w:rtl w:val="true"/>
          <w:lang w:bidi="fa-IR"/>
        </w:rPr>
        <w:t>، و أمّا من حیث النوعیّ و الشخصیّ فلأحد احتمال ردع الشرع عن الظنّ الشخصیّ الحاصل قبل الفحص، و هکذا فی الأمر الآخر، فلیتدبّر</w:t>
      </w:r>
      <w:r>
        <w:rPr>
          <w:rFonts w:eastAsia="IRNazanin" w:cs="IRNazanin"/>
          <w:color w:val="111111"/>
          <w:sz w:val="28"/>
          <w:szCs w:val="28"/>
          <w:rtl w:val="true"/>
          <w:lang w:bidi="fa-IR"/>
        </w:rPr>
        <w:t>.</w:t>
      </w:r>
    </w:p>
    <w:p>
      <w:pPr>
        <w:pStyle w:val="Heading4"/>
        <w:numPr>
          <w:ilvl w:val="3"/>
          <w:numId w:val="1"/>
        </w:numPr>
        <w:rPr/>
      </w:pPr>
      <w:bookmarkStart w:id="533" w:name="__RefHeading___Toc559712_3244359995"/>
      <w:bookmarkStart w:id="534" w:name="_Toc199"/>
      <w:bookmarkEnd w:id="533"/>
      <w:r>
        <w:rPr>
          <w:rtl w:val="true"/>
        </w:rPr>
        <w:t>إیقاظ</w:t>
      </w:r>
      <w:r>
        <w:rPr>
          <w:rtl w:val="true"/>
        </w:rPr>
        <w:t xml:space="preserve">: </w:t>
      </w:r>
      <w:r>
        <w:rPr>
          <w:rtl w:val="true"/>
        </w:rPr>
        <w:t>حول تحدید محلّ النزاع فی المقام</w:t>
      </w:r>
      <w:bookmarkEnd w:id="53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النزاع فی هذه المسألة، مخصوص بصورة لا ینقضی فیها</w:t>
      </w:r>
      <w:bookmarkStart w:id="535" w:name="pg13167_140977"/>
    </w:p>
    <w:p>
      <w:pPr>
        <w:pStyle w:val="BookText"/>
        <w:rPr/>
      </w:pPr>
      <w:bookmarkEnd w:id="535"/>
      <w:r>
        <w:rPr>
          <w:rFonts w:ascii="IRNazanin" w:hAnsi="IRNazanin" w:eastAsia="IRNazanin"/>
          <w:color w:val="111111"/>
          <w:sz w:val="28"/>
          <w:sz w:val="28"/>
          <w:szCs w:val="28"/>
          <w:rtl w:val="true"/>
          <w:lang w:bidi="fa-IR"/>
        </w:rPr>
        <w:t xml:space="preserve">وقت العمل بالعامّ و شبهه </w:t>
      </w:r>
      <w:r>
        <w:rPr>
          <w:rStyle w:val="FootnoteAnchor"/>
          <w:rtl w:val="true"/>
        </w:rPr>
        <w:footnoteReference w:id="674"/>
      </w:r>
      <w:r>
        <w:rPr>
          <w:rFonts w:ascii="IRNazanin" w:hAnsi="IRNazanin" w:eastAsia="IRNazanin"/>
          <w:color w:val="111111"/>
          <w:sz w:val="28"/>
          <w:sz w:val="28"/>
          <w:szCs w:val="28"/>
          <w:rtl w:val="true"/>
          <w:lang w:bidi="fa-IR"/>
        </w:rPr>
        <w:t>، و أمّا إذا وصل المکلّف إلی عامّ، و بلغ إلیه دلیل لو فحص عن مخصّصه و معارضاته لفات عنه، فإنّه یجب العمل، و لا یجوز التأخیر لاحتمال تمامیّة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المسألة و أنّ الظواهر هل هی حجّة أم لا؟ لیس بحثا کبرویّا، بل البحث صغرویّ، و یدور مدار أنّ الکلام قبل الفحص یستقرّ ظهوره و یتمّ الاحتجاج به، أم لا، فبناء علیه یکون النزاع من هذه الجهة أیضا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کبرویّ، حیث إنّ البحث یدور حول أنّ مطلق الظهور حجّة، أم الظهور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لا یختصّ النزاع بما وراء الفرض المزبور</w:t>
      </w:r>
      <w:r>
        <w:rPr>
          <w:rFonts w:eastAsia="IRNazanin" w:cs="IRNazanin"/>
          <w:color w:val="111111"/>
          <w:sz w:val="28"/>
          <w:szCs w:val="28"/>
          <w:rtl w:val="true"/>
          <w:lang w:bidi="fa-IR"/>
        </w:rPr>
        <w:t>.</w:t>
      </w:r>
    </w:p>
    <w:p>
      <w:pPr>
        <w:pStyle w:val="Heading4"/>
        <w:numPr>
          <w:ilvl w:val="3"/>
          <w:numId w:val="1"/>
        </w:numPr>
        <w:rPr/>
      </w:pPr>
      <w:bookmarkStart w:id="536" w:name="__RefHeading___Toc559714_3244359995"/>
      <w:bookmarkStart w:id="537" w:name="_Toc200"/>
      <w:bookmarkEnd w:id="536"/>
      <w:r>
        <w:rPr>
          <w:rtl w:val="true"/>
        </w:rPr>
        <w:t>وجه عدم وجوب الفحص</w:t>
      </w:r>
      <w:bookmarkEnd w:id="537"/>
    </w:p>
    <w:p>
      <w:pPr>
        <w:pStyle w:val="BookText"/>
        <w:rPr/>
      </w:pPr>
      <w:r>
        <w:rPr>
          <w:rFonts w:ascii="IRNazanin" w:hAnsi="IRNazanin" w:eastAsia="IRNazanin"/>
          <w:color w:val="111111"/>
          <w:sz w:val="28"/>
          <w:sz w:val="28"/>
          <w:szCs w:val="28"/>
          <w:rtl w:val="true"/>
          <w:lang w:bidi="fa-IR"/>
        </w:rPr>
        <w:t>إذا تبیّنت حدود محلّ البحث و محطّ النزاع، فغایة ما یمکن أن یستند إلیه لإنکار وجوب الفحص، هو أنّ الأدلّة اللفظیّة بما لها من المعانی تکون مرادة، إلاّ مع قیام القرینة علی خلافها، و عند الشکّ فی وجود القرینة لا بدّ من اتباعها، حذرا من الوقوع فی الخلاف بلا عذر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بناء الأصحاب الأقدمین، حیث إنّهم بعد سماع العامّ و المطلق من أحد المعصومین، کانوا یعملون بها من غیر انتظار المخصّص و المقیّد و القرینة و غیرها، و قد کثرت المطلقات المتمسّک بها فی الفقه فی کلمات الرّواة، و فی الأجوبة بعد الأسئلة الجزئیّة، فإنّ المسائل کان یعمل بالإطلاق إلی أن یصل إلیه القید، من غیر</w:t>
      </w:r>
    </w:p>
    <w:p>
      <w:pPr>
        <w:pStyle w:val="BookText"/>
        <w:rPr/>
      </w:pPr>
      <w:r>
        <w:rPr>
          <w:rFonts w:ascii="IRNazanin" w:hAnsi="IRNazanin" w:eastAsia="IRNazanin"/>
          <w:color w:val="111111"/>
          <w:sz w:val="28"/>
          <w:sz w:val="28"/>
          <w:szCs w:val="28"/>
          <w:rtl w:val="true"/>
          <w:lang w:bidi="fa-IR"/>
        </w:rPr>
        <w:t>بناء منهم علی الفحص، و من غیر انتظارهم إلی حال الیأس عن الظفر بالقید، أو صدوره عن الإمام المسئول، أو المعصوم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ابتداء الأمر العمل بالأدلّة قبل الفحص متعارفا بلا شبهة، و لو کان الفحص واجبا لبان، لکثرة الابتلاء به، و قد عرفت أنّ المسألة عنونت عند المتأخّرین عنهم فی المائة الرابعة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ینبغی المقایسة بین القوانین و الکبریات الملقاة للعمل، علی ما هو المتعارف فی الإسلام، و بین الکیفیّة المتعارفة فی القوانین العرفیّة الدولیّة، فإنّ المتعارف فی القوانین العرفیّة علی ضبط العامّ أوّلا، ثمّ ذکر المخصّصات و المقیّدات، ثمّ تنشر تلک الکتب المشتملة علیها للعمل و التنفیذ و التطبیق، بخلاف الإسلام فإنّ المتعارف فیه علی نشر العموم و المطلق، ثمّ ذکر المقیّد و القرائن الصارفة و المعیّنة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ما فی کلمات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تبعا لجمّ غفیر منهم </w:t>
      </w:r>
      <w:r>
        <w:rPr>
          <w:rStyle w:val="FootnoteAnchor"/>
          <w:rtl w:val="true"/>
        </w:rPr>
        <w:footnoteReference w:id="677"/>
      </w:r>
      <w:r>
        <w:rPr>
          <w:rFonts w:ascii="IRNazanin" w:hAnsi="IRNazanin" w:eastAsia="IRNazanin"/>
          <w:color w:val="111111"/>
          <w:sz w:val="28"/>
          <w:sz w:val="28"/>
          <w:szCs w:val="28"/>
          <w:rtl w:val="true"/>
          <w:lang w:bidi="fa-IR"/>
        </w:rPr>
        <w:t xml:space="preserve">، من التشبّث بالبناءات العرفیّة أوّلا، و بالمتعارف فی القوانین العقلائیّة ثانیا، و أنّ المقایسة فی غیر محلّها، و البناءات العرفیّة فی مثل العمومات الملقاة من قبل الموالی إلی عبیدهم علی عدم الفحص، کما هم ملتزمون به </w:t>
      </w:r>
      <w:r>
        <w:rPr>
          <w:rStyle w:val="FootnoteAnchor"/>
          <w:rtl w:val="true"/>
        </w:rPr>
        <w:footnoteReference w:id="678"/>
      </w:r>
      <w:r>
        <w:rPr>
          <w:rFonts w:ascii="IRNazanin" w:hAnsi="IRNazanin" w:eastAsia="IRNazanin"/>
          <w:color w:val="111111"/>
          <w:sz w:val="28"/>
          <w:sz w:val="28"/>
          <w:szCs w:val="28"/>
          <w:rtl w:val="true"/>
          <w:lang w:bidi="fa-IR"/>
        </w:rPr>
        <w:t>، و لیس ذلک إلاّ لأجل ما أشیر إلیه فی القوانین الإلهیّة التی تصل إلی العبید علی نعت التدریج، فکان للشرع طریق خاصّ فی التقنین و النشر، و به یمتاز عن المتعارف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ننکر وجوب الفحص فی صورة واحدة، و هی ما إذا کان الکتاب المنشور و الرسالة المنشورة، مشتملة علی مخصّصات و مقیّدات فیها غیر معلومة أماکنها، و أمّا الکتب الروائیّة الموجودة فیما بأیدینا فهی من علمائنا، و هذا غیر کاف لإیجاب الفحص بعد ما کان بناء السابقین علی العمل بالعموم الواصل إلیهم المسموع عن المعصوم علیه السلام و هکذا الإطلاق و غیره،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تحرّر، إلاّ أنّ هنا بیانا آخر، و هو أنّ هذه المسألة لیست من قبیل المسائل التی إذا أحرز بناء العقلاء فی السلف، أو بناء المتشرّعة فی السابق علیها، فلا تنقلب عمّا کانت علیه، کحجّیة الخبر الواحد، و الید، و الظواهر، فإنّ استکشاف بنائهم علی اعتباره یوجب لزوم الحکم بحجّیته فی عصرنا، و أمّا هذه المسألة فهی من المسائل التی ینقلب میزانها، لاختلاف 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حاکم بلزوم اتخاذ الحجّة، حتّی تکون عذرا عرفیّا و عقلائیّا، و لا دلیل لفظیّ و لا لبّی علی أنّ کلّ ما کان علیه السلف فی اتخاذ الحجّة، فهو المرضیّ و المتّبع، بل غایة ما ثبت هو بناء السابقین عملا علی العمل بالعمومات و المطلقات قبل الفحص، و رضا الشرع به من غیر ردع عنه، و أمّا أنّ هذه الطریقة ممضاة شرعا مطلقا و فی الأعصار المتأخّرة، فهی غیر واضحة، بل ممنوعة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فلو کان بناء العقلاء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 العمومات و المخصّصات فی الکتب الموسّعة، و الرسائل و الدفاتر المعلومة، و الذخائر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الفحص فلا بدّ من ذلک، و هذا ممّا لا شبهة فیه، و لا إشکال علیه بالضرورة، فإنّ دیدن العقلاء فی هذه العصور و عادتهم فی جمیع الأمصار و الممالک، علی الفحص عن قیود القوانین المنتشرة فی الدفاتر الأساسیّة و المنشورات العامّة بلا مناقشة، و حیث إنّ الأصحاب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 و جزاهم اللَّه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أتعبوا أنفسهم، و تحمّلوا مصائب کثیرة، فدوّنوا الکتب الموجودة التی بین أیدینا المشتملة علی العمومات و المخصّصات و المقیّدات و القرائن المنفصلة، و لا یعذر أحد إن اتخذ رأیا بمراجعة العامّ قبل الفحص عن محالّه، أو إن عمل علی طبق الظاهر قبل الفحص عن القرائن المحتملة المنتشرة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الظواهر فی عصر المعصومین علیهم السلام کانت حجّة قبل الفحص، سواء استقرّ ظهورها، أو کانت غیر مستقرّة الظهور، و أمّا فی عصرنا فما دام لم یستقرّ الظهور، لا یصحّ الاعتماد علیها و الاحتجاج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عصرهم علیهم السلام أیضا کان جماعة من الأصحاب یکتبون الأصول و الفروع علی حسب تدوین القوانین، و تلک الأصول الأربعمائة وصلت إلی أیدی أرباب المجامع الأخیرة و مؤلّفی الکتب الأربعة، و کذا یکون الأمر کذلک بالنسبة إلی الجوامع المتأخّرة للمحمّدین بعد الألف، و علی هذا فلا فرق بین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منه إجمالا، إلاّ أنّ کثیرا من المطلقات و العمومات، قد ألقیت إلی السائلین فی مقام العمل قطعا، و ما کان یجب الفحص فیها عن القرائن الآتیة أو المتقدّمة، و لا وجه للقول بالتفصیل، فتعیّن القول بعدم 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بعد ما عرفت منّا، سهل جدّاً، لما أنّ الوجه الوحید لإیجاب الفحص هو المراجعة إلی دأب العرف و العقلاء فی کیفیّة اتخاذ الرّأی و الحجّة و الدلیل، و لا شبهة فی أنّ المراجعة فی هذه العصور إلی الظواهر مع وجود القرائن و المخصّصات من غیر فحص عنها، لیست مقبولة عندهم، و لا العامل بها معذورا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رجع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المعرّضیة للتخصیص </w:t>
      </w:r>
      <w:r>
        <w:rPr>
          <w:rStyle w:val="FootnoteAnchor"/>
          <w:rtl w:val="true"/>
        </w:rPr>
        <w:footnoteReference w:id="679"/>
      </w:r>
      <w:r>
        <w:rPr>
          <w:rFonts w:ascii="IRNazanin" w:hAnsi="IRNazanin" w:eastAsia="IRNazanin"/>
          <w:color w:val="111111"/>
          <w:sz w:val="28"/>
          <w:sz w:val="28"/>
          <w:szCs w:val="28"/>
          <w:rtl w:val="true"/>
          <w:lang w:bidi="fa-IR"/>
        </w:rPr>
        <w:t>إلی ما ذکرنا فهو، و إلاّ فالمعرضیّة بمعنی القابلیّة هی باقیة بعد الفحص، و المعرضیّة بمعنی الظنّ أو العلم أو</w:t>
      </w:r>
      <w:bookmarkStart w:id="538" w:name="pg13167_140981"/>
    </w:p>
    <w:p>
      <w:pPr>
        <w:pStyle w:val="BookText"/>
        <w:rPr/>
      </w:pPr>
      <w:bookmarkEnd w:id="538"/>
      <w:r>
        <w:rPr>
          <w:rFonts w:ascii="IRNazanin" w:hAnsi="IRNazanin" w:eastAsia="IRNazanin"/>
          <w:color w:val="111111"/>
          <w:sz w:val="28"/>
          <w:sz w:val="28"/>
          <w:szCs w:val="28"/>
          <w:rtl w:val="true"/>
          <w:lang w:bidi="fa-IR"/>
        </w:rPr>
        <w:t xml:space="preserve">الوثوق هی الوجوه الآتیة إن شاء اللَّه تعالی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559716_3244359995"/>
      <w:bookmarkStart w:id="540" w:name="_Toc201"/>
      <w:bookmarkEnd w:id="539"/>
      <w:r>
        <w:rPr>
          <w:rtl w:val="true"/>
        </w:rPr>
        <w:t>بقی شی‌ء</w:t>
      </w:r>
      <w:r>
        <w:rPr>
          <w:rtl w:val="true"/>
        </w:rPr>
        <w:t xml:space="preserve">: </w:t>
      </w:r>
      <w:r>
        <w:rPr>
          <w:rtl w:val="true"/>
        </w:rPr>
        <w:t>فی عدم کفایة رجوع المجتهد إلی مجرّد العامّ و الخاصّ</w:t>
      </w:r>
      <w:bookmarkEnd w:id="540"/>
    </w:p>
    <w:p>
      <w:pPr>
        <w:pStyle w:val="BookText"/>
        <w:rPr/>
      </w:pPr>
      <w:r>
        <w:rPr>
          <w:rFonts w:ascii="IRNazanin" w:hAnsi="IRNazanin" w:eastAsia="IRNazanin"/>
          <w:color w:val="111111"/>
          <w:sz w:val="28"/>
          <w:sz w:val="28"/>
          <w:szCs w:val="28"/>
          <w:rtl w:val="true"/>
          <w:lang w:bidi="fa-IR"/>
        </w:rPr>
        <w:t>بناء علی ما عرفت من لزوم اتباع العقلاء فی أخذ الرّأی و إتمام الحجّة، تلزم مشکلة لا بدّ من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دیدن أهل التحقیق و أرباب العلم فی الفنون المنتهیة إلی العمل، علی الرجوع إلی مشارکیهم فی فنّهم و معاصریهم فی رأیهم، حتّی یحصل لهم الوثوق، و یطمئنّوا بما اتخذوه، و ربّما یتحمّلون المشاقّ و المصارف فی محاضراتهم العلمیّة، لما فی صورة استکشاف الخلاف من المفاسد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 فی استحکام رأی المشهور لیس إلاّ لأجل تبادل الآراء علیه، و تقارن الأفکار، و اتفاقهم علیه، فإنّه یورث إبرام الرّأی و صلب المنهج، و یصعب علی الآخرین التخلّف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لم یکن للشرع منهج جدید فی الاحتجاجات و الاستدلالات، و لم یکن طریق بدیع فی ذلک، فلا بدّ من المواظبة علی الطریقة العقلائیّة، و قد عرفت أنّ طریقتهم فی العصر الأوّل، کانت علی العمل بالإطلاق من غیر انتظار لمقیّد، أو فحص عن مخصّص </w:t>
      </w:r>
      <w:r>
        <w:rPr>
          <w:rStyle w:val="FootnoteAnchor"/>
          <w:rtl w:val="true"/>
        </w:rPr>
        <w:footnoteReference w:id="681"/>
      </w:r>
      <w:r>
        <w:rPr>
          <w:rFonts w:ascii="IRNazanin" w:hAnsi="IRNazanin" w:eastAsia="IRNazanin"/>
          <w:color w:val="111111"/>
          <w:sz w:val="28"/>
          <w:sz w:val="28"/>
          <w:szCs w:val="28"/>
          <w:rtl w:val="true"/>
          <w:lang w:bidi="fa-IR"/>
        </w:rPr>
        <w:t>، لا العامی، و لا العارف المبتلی بالمسألة المسئول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بناؤهم فی القرون المتأخّرة و فی القرون التی اجتمعت الآثار فی الکتب و المخازن، کان علی الرجوع إلی المخصّصات و المقیّدات و القرائن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عصرنا فلا بدّ من الاهتمام بالأمر، و لا یکفی مجرّد الرجوع إلی العامّ و مخصّصه، لأنّه کثیرا ما نجد تبادل الآراء و تخلّفها عن الواقع فی عصر واحد، و شخص فارد، فإذا کان ذلک کثیر الدور، فلا بدّ من اتخاذ السبیل العقلائیّ و الطریقة</w:t>
      </w:r>
      <w:bookmarkStart w:id="541" w:name="pg13167_140982"/>
    </w:p>
    <w:p>
      <w:pPr>
        <w:pStyle w:val="BookText"/>
        <w:rPr/>
      </w:pPr>
      <w:bookmarkEnd w:id="541"/>
      <w:r>
        <w:rPr>
          <w:rFonts w:ascii="Amiri" w:hAnsi="Amiri" w:eastAsia="Amiri" w:cs="Amiri"/>
          <w:color w:val="111111"/>
          <w:sz w:val="28"/>
          <w:sz w:val="28"/>
          <w:szCs w:val="28"/>
          <w:rtl w:val="true"/>
          <w:lang w:bidi="ar-SA"/>
        </w:rPr>
        <w:t>الموجودة، و هو التبادل مع الشرکاء و أهل الفنّ فی الأنظار العلمیّة و الآراء الفقهیّة العملیّة، حذرا من وقوع الناس فی الخلاف و فی مفاسد النّفس الأمریّة، و اجتنابا عن تفویت المصالح علی الآمر فی طول الدهور و طیلة العصور، و تحفّظا علی الاهتمام بشأن الأحکام الإلهیّة، متوجّهین إلی أنّ الشرع قد اهتمّ بهذه المسألة، فقال فی الکتاب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الْفاسِقُونَ </w:t>
      </w:r>
      <w:r>
        <w:rPr>
          <w:rStyle w:val="FootnoteAnchor"/>
          <w:rtl w:val="true"/>
        </w:rPr>
        <w:footnoteReference w:id="682"/>
      </w:r>
      <w:r>
        <w:rPr>
          <w:rFonts w:ascii="Amiri" w:hAnsi="Amiri" w:eastAsia="Amiri" w:cs="Amiri"/>
          <w:color w:val="111111"/>
          <w:sz w:val="28"/>
          <w:sz w:val="28"/>
          <w:szCs w:val="28"/>
          <w:rtl w:val="true"/>
          <w:lang w:bidi="ar-SA"/>
        </w:rPr>
        <w:t xml:space="preserve">الْکافِرُونَ </w:t>
      </w:r>
      <w:r>
        <w:rPr>
          <w:rStyle w:val="FootnoteAnchor"/>
          <w:rtl w:val="true"/>
        </w:rPr>
        <w:footnoteReference w:id="683"/>
      </w:r>
      <w:r>
        <w:rPr>
          <w:rFonts w:ascii="Amiri" w:hAnsi="Amiri" w:eastAsia="Amiri" w:cs="Amiri"/>
          <w:color w:val="111111"/>
          <w:sz w:val="28"/>
          <w:sz w:val="28"/>
          <w:szCs w:val="28"/>
          <w:rtl w:val="true"/>
          <w:lang w:bidi="ar-SA"/>
        </w:rPr>
        <w:t xml:space="preserve">الظَّالِمُونَ </w:t>
      </w:r>
      <w:r>
        <w:rPr>
          <w:rStyle w:val="FootnoteAnchor"/>
          <w:rtl w:val="true"/>
        </w:rPr>
        <w:footnoteReference w:id="684"/>
      </w:r>
      <w:r>
        <w:rPr>
          <w:rFonts w:ascii="IRNazanin" w:hAnsi="IRNazanin" w:eastAsia="IRNazanin"/>
          <w:color w:val="111111"/>
          <w:sz w:val="28"/>
          <w:sz w:val="28"/>
          <w:szCs w:val="28"/>
          <w:rtl w:val="true"/>
          <w:lang w:bidi="fa-IR"/>
        </w:rPr>
        <w:t>کما فی ثلاث آیات شریفة، و الحکم بما أنزل اللَّه لیس بمجرّد إصابة العامّ و بعد الفحص عن المخصّص، بل هناک بعض أمور اخر لا بدّ من رعایتها لبناء العرف و العقلاء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الإلهیّة ممّا لا یهتمّ بها، أو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الطریقة تکفی، لأنّ السلف کانوا علیها، کلاهما فاسد جدّاً، و لأجل ذلک تشکل حجّیة فتاوی فقهائنا المعاصرین جدّاً، و لأجل ذلک و ذاک تری تبدّل رأیهم فی مسألة طول عمرهم و مدّة حیاتهم تبدّلا غیر مرّة، و رجوعا غیر عزیز، فما هی العادة الیومیّة من الجلوس فی زوایا دورهم، و الإفتاء علی حسب أفکارهم الوحیدة، مع ما فی المسائل العصریّة من المصائب العلمیّة و المعضلات الفنّیة، لیست بعادة مرضیّة و بطریقة عقلائیّة مألوفة، و اللَّه المستعان</w:t>
      </w:r>
      <w:r>
        <w:rPr>
          <w:rFonts w:eastAsia="IRNazanin" w:cs="IRNazanin"/>
          <w:color w:val="111111"/>
          <w:sz w:val="28"/>
          <w:szCs w:val="28"/>
          <w:rtl w:val="true"/>
          <w:lang w:bidi="fa-IR"/>
        </w:rPr>
        <w:t>.</w:t>
      </w:r>
    </w:p>
    <w:p>
      <w:pPr>
        <w:pStyle w:val="Heading4"/>
        <w:numPr>
          <w:ilvl w:val="3"/>
          <w:numId w:val="1"/>
        </w:numPr>
        <w:rPr/>
      </w:pPr>
      <w:bookmarkStart w:id="542" w:name="__RefHeading___Toc559718_3244359995"/>
      <w:bookmarkStart w:id="543" w:name="_Toc202"/>
      <w:bookmarkEnd w:id="542"/>
      <w:r>
        <w:rPr>
          <w:rtl w:val="true"/>
        </w:rPr>
        <w:t>تتمّة</w:t>
      </w:r>
      <w:r>
        <w:rPr>
          <w:rtl w:val="true"/>
        </w:rPr>
        <w:t xml:space="preserve">: </w:t>
      </w:r>
      <w:r>
        <w:rPr>
          <w:rtl w:val="true"/>
        </w:rPr>
        <w:t>فی لزوم مراجعة أخبار العامّة و فتاواهم</w:t>
      </w:r>
      <w:bookmarkEnd w:id="54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یجب الفحص وجوبا شرطیّا أو احتیاطا عقلیّا عن القرائن المتّصلة و المنفصلة، کذلک لا بدّ من المراجعة إلی فتاوی العامّة و إلی أخبارهم أحیانا، لأنّ فی</w:t>
      </w:r>
      <w:bookmarkStart w:id="544" w:name="pg13167_140983"/>
    </w:p>
    <w:p>
      <w:pPr>
        <w:pStyle w:val="BookText"/>
        <w:rPr/>
      </w:pPr>
      <w:bookmarkEnd w:id="544"/>
      <w:r>
        <w:rPr>
          <w:rFonts w:ascii="IRNazanin" w:hAnsi="IRNazanin" w:eastAsia="IRNazanin"/>
          <w:color w:val="111111"/>
          <w:sz w:val="28"/>
          <w:sz w:val="28"/>
          <w:szCs w:val="28"/>
          <w:rtl w:val="true"/>
          <w:lang w:bidi="fa-IR"/>
        </w:rPr>
        <w:t>ذلک نوع تأثیر فی أخذ الرّأی و إتمام الحجّة، فإنّه کثیرا ما یختلف مصبّ الإطلاق و العموم بعد الرجوع إلی تلک الآراء و الأهواء، فإنّ فی أخبارنا روایات صدرت ناظرة إلی ما أفتوا، و متوجّهة إلی ما عندهم من الرّأی، و تصیر به ساقطة عن العموم و الإطلاق، و 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لها مصبّا خاصّا و محیطا معیّنا</w:t>
      </w:r>
      <w:r>
        <w:rPr>
          <w:rFonts w:eastAsia="IRNazanin" w:cs="IRNazanin"/>
          <w:color w:val="111111"/>
          <w:sz w:val="28"/>
          <w:szCs w:val="28"/>
          <w:rtl w:val="true"/>
          <w:lang w:bidi="fa-IR"/>
        </w:rPr>
        <w:t>.</w:t>
      </w:r>
    </w:p>
    <w:p>
      <w:pPr>
        <w:pStyle w:val="Heading4"/>
        <w:numPr>
          <w:ilvl w:val="3"/>
          <w:numId w:val="1"/>
        </w:numPr>
        <w:rPr/>
      </w:pPr>
      <w:bookmarkStart w:id="545" w:name="__RefHeading___Toc559720_3244359995"/>
      <w:bookmarkStart w:id="546" w:name="_Toc203"/>
      <w:bookmarkEnd w:id="545"/>
      <w:r>
        <w:rPr>
          <w:rtl w:val="true"/>
        </w:rPr>
        <w:t>وجوه أخر علی وجوب الفحص</w:t>
      </w:r>
      <w:bookmarkEnd w:id="546"/>
    </w:p>
    <w:p>
      <w:pPr>
        <w:pStyle w:val="BookText"/>
        <w:rPr/>
      </w:pPr>
      <w:r>
        <w:rPr>
          <w:rFonts w:ascii="IRNazanin" w:hAnsi="IRNazanin" w:eastAsia="IRNazanin"/>
          <w:color w:val="111111"/>
          <w:sz w:val="28"/>
          <w:sz w:val="28"/>
          <w:szCs w:val="28"/>
          <w:rtl w:val="true"/>
          <w:lang w:bidi="fa-IR"/>
        </w:rPr>
        <w:t>إذا تحصّل ذلک فلیعلم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یستند فی هذه المسألة إلی أمور اخر</w:t>
      </w:r>
      <w:r>
        <w:rPr>
          <w:rStyle w:val="FootnoteAnchor"/>
          <w:rtl w:val="true"/>
        </w:rPr>
        <w:footnoteReference w:id="685"/>
      </w:r>
      <w:r>
        <w:rPr>
          <w:rFonts w:ascii="IRNazanin" w:hAnsi="IRNazanin" w:eastAsia="IRNazanin"/>
          <w:color w:val="111111"/>
          <w:sz w:val="28"/>
          <w:sz w:val="28"/>
          <w:szCs w:val="28"/>
          <w:rtl w:val="true"/>
          <w:lang w:bidi="fa-IR"/>
        </w:rPr>
        <w:t>لا بأس بالإشارة الإجمالیّة إلیها،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دعوی أنّه لیس بحجّة فی هذه المسألة</w:t>
      </w:r>
      <w:r>
        <w:rPr>
          <w:rStyle w:val="FootnoteAnchor"/>
          <w:rtl w:val="true"/>
        </w:rPr>
        <w:footnoteReference w:id="686"/>
      </w:r>
      <w:r>
        <w:rPr>
          <w:rFonts w:ascii="IRNazanin" w:hAnsi="IRNazanin" w:eastAsia="IRNazanin"/>
          <w:color w:val="111111"/>
          <w:sz w:val="28"/>
          <w:sz w:val="28"/>
          <w:szCs w:val="28"/>
          <w:rtl w:val="true"/>
          <w:lang w:bidi="fa-IR"/>
        </w:rPr>
        <w:t>، فی غیر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المسألة ما کانت معنونة فی العصر الأوّل </w:t>
      </w:r>
      <w:r>
        <w:rPr>
          <w:rStyle w:val="FootnoteAnchor"/>
          <w:rtl w:val="true"/>
        </w:rPr>
        <w:footnoteReference w:id="687"/>
      </w:r>
      <w:r>
        <w:rPr>
          <w:rFonts w:ascii="IRNazanin" w:hAnsi="IRNazanin" w:eastAsia="IRNazanin"/>
          <w:color w:val="111111"/>
          <w:sz w:val="28"/>
          <w:sz w:val="28"/>
          <w:szCs w:val="28"/>
          <w:rtl w:val="true"/>
          <w:lang w:bidi="fa-IR"/>
        </w:rPr>
        <w:t>، بل هی من المسائل المستحدثة فی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حکاه سیّدنا الأستاذ البروجردیّ قدس سرُّه </w:t>
      </w:r>
      <w:r>
        <w:rPr>
          <w:rStyle w:val="FootnoteAnchor"/>
          <w:rtl w:val="true"/>
        </w:rPr>
        <w:footnoteReference w:id="688"/>
      </w:r>
      <w:r>
        <w:rPr>
          <w:rFonts w:ascii="IRNazanin" w:hAnsi="IRNazanin" w:eastAsia="IRNazanin"/>
          <w:color w:val="111111"/>
          <w:sz w:val="28"/>
          <w:sz w:val="28"/>
          <w:szCs w:val="28"/>
          <w:rtl w:val="true"/>
          <w:lang w:bidi="fa-IR"/>
        </w:rPr>
        <w:t>و علیه فلا صغری للادعاء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ربّما یحتمل کون مستنده عقول المجمعین، لا الروایة الخاصّة أو رأی المعصوم علیه السلام فتأمّل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الخاصّة الناطقة بوجوب التعلّم القائلة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بالعبد یوم القیامة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أعلم،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تعلّمت حتّی تعمل </w:t>
      </w:r>
      <w:r>
        <w:rPr>
          <w:rStyle w:val="FootnoteAnchor"/>
          <w:rtl w:val="true"/>
        </w:rPr>
        <w:footnoteReference w:id="6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الحثّ الکثیر فیها علی التعلّم و التفقّه فی الدین، فعلی هذا یجب علی العبید الفحص عن جمیع الأحکام بخصوصیّاتها و حدودها، و لا عذر لهم فی ترک العمل بها عن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الأصول</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الأخبار الواردة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بالمناط حتّی فی باب الأصول اللفظیّة</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یستدلّ بها الآخرون </w:t>
      </w:r>
      <w:r>
        <w:rPr>
          <w:rStyle w:val="FootnoteAnchor"/>
          <w:rtl w:val="true"/>
        </w:rPr>
        <w:footnoteReference w:id="692"/>
      </w:r>
      <w:r>
        <w:rPr>
          <w:rFonts w:ascii="IRNazanin" w:hAnsi="IRNazanin" w:eastAsia="IRNazanin"/>
          <w:color w:val="111111"/>
          <w:sz w:val="28"/>
          <w:sz w:val="28"/>
          <w:szCs w:val="28"/>
          <w:rtl w:val="true"/>
          <w:lang w:bidi="fa-IR"/>
        </w:rPr>
        <w:t>، و لعلّ ذلک لأنّ من ینکر وجوب الفحص یدّعی العلم الفعلیّ و الحجّة الفعلیّة بمجرّد إصابة العامّ، و لا معنی حینئذ لإیجاب التعلیم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علمنا بأنّ العامّ الکذائیّ مخصَّص لا بدّ من الفحص عن مخصِّصه، کذلک الأمر إذا حصل الوثوق و الاطمئنان بذلک لا بدّ منه، لوحدتهما بحسب الحکم فی نظر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أنّا بعد ما اطلعنا علی أنّ العمومات مخصّصة کثیرا حتّی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من عامّ إلاّ و قد خصّ</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فلا بدّ و أن یحصل ذلک، فإنّ من موجبات الوثوق العقلائیّ و الاطمئنان و العلم العادیّ الغلبةَ، و کیف الغلبة، و أیّة الغلبة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إن کان کذلک، و لکن قضیّة ذلک کفایة الفحص عن المخصّص الواحد مع احتمال التخصیصات الکثیرة علی العامّ الفارد، و ما اشتهر صحیح، و لکن بالنسبة إلی أصل التخصیص، لا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الفحص لازم بالنسبة</w:t>
      </w:r>
    </w:p>
    <w:p>
      <w:pPr>
        <w:pStyle w:val="BookText"/>
        <w:rPr/>
      </w:pPr>
      <w:r>
        <w:rPr>
          <w:rFonts w:ascii="IRNazanin" w:hAnsi="IRNazanin" w:eastAsia="IRNazanin"/>
          <w:color w:val="111111"/>
          <w:sz w:val="28"/>
          <w:sz w:val="28"/>
          <w:szCs w:val="28"/>
          <w:rtl w:val="true"/>
          <w:lang w:bidi="fa-IR"/>
        </w:rPr>
        <w:t>إلی احتمال المخصّص و لو کان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دعوی عدم حجّیة أصالة الظهور مع الظنّ الحاصل من الغلبة بالخلاف، و لا شبهة فی وجوده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ممنوعیّة مبناه، یلزم جواز العمل قبل الفحص مع الاحتمال إذا لم یکن ظنّ بالخلاف فی مورد، کما إذا فحص عن المخصّص فأصابه، ثمّ احتمل المخصّص الثانی، أو الثالث، أو الرابع، أو الخامس، فإنّه بعد ذلک لا یکون ظنّ بالخلاف، و مع ذلک یجب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یدّعی هذا الوجه أو الوجه السابق یلتزم بذلک،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الفحص مقتضی العلم الإجمالیّ بوجود المخصّصات و المقیّدات المنتشرة، و بوجود القرائن الصارفة أو المعیّنة، بل هو مقتضی العلم بتقطیع الأخبار و الروایات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الموجب لاحتمال وجود القرائن المتّصلة الموجبة لصرف الظهور أحیانا، أو لتعیین إحدی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کون المؤلّف بانیا علی عدم التقطیع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فی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لسیّدنا الأستاذ البروجردیّ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الفحص عن القرائن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تنجیز العلم الإجمالیّ، لزوم الفحص عنها بالضرورة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العلم الإجمالیّ لا یکفی، لاحتمال کون المسألة من موارد القلیل فی الکثیر الّذی لا تنجیز للعلم هناک، کما اعترف به المشهور</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ما نحن فیه من الکثیر فی القلیل الّذی لا خلاف فی منجّزیة العلم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الشبهة هنا من قبیل المحصورة علی جمیع التقادیر فی تعریفها</w:t>
      </w:r>
      <w:r>
        <w:rPr>
          <w:rStyle w:val="FootnoteAnchor"/>
          <w:rtl w:val="true"/>
        </w:rPr>
        <w:footnoteReference w:id="695"/>
      </w:r>
      <w:r>
        <w:rPr>
          <w:rFonts w:ascii="IRNazanin" w:hAnsi="IRNazanin" w:eastAsia="IRNazanin"/>
          <w:color w:val="111111"/>
          <w:sz w:val="28"/>
          <w:sz w:val="28"/>
          <w:szCs w:val="28"/>
          <w:rtl w:val="true"/>
          <w:lang w:bidi="fa-IR"/>
        </w:rPr>
        <w:t>، فیتنجّز الواقع بذلک العلم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نسبة المعلوم بالإجمال إلی الأخبار و الأحادیث الموجودة بین أیدینا، نسبة التسعة إلی العشرة، فلا إشکال فی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کانت النسبة مجهولة فالتنجیز غیر معلوم، و هو یساوق عدم التنجیز، بناء علی ما اشتهر عندهم </w:t>
      </w:r>
      <w:r>
        <w:rPr>
          <w:rStyle w:val="FootnoteAnchor"/>
          <w:rtl w:val="true"/>
        </w:rPr>
        <w:footnoteReference w:id="696"/>
      </w:r>
      <w:r>
        <w:rPr>
          <w:rFonts w:ascii="IRNazanin" w:hAnsi="IRNazanin" w:eastAsia="IRNazanin"/>
          <w:color w:val="111111"/>
          <w:sz w:val="28"/>
          <w:sz w:val="28"/>
          <w:szCs w:val="28"/>
          <w:rtl w:val="true"/>
          <w:lang w:bidi="fa-IR"/>
        </w:rPr>
        <w:t>، و أمّا بناء علی ما هو الأقوی فلا فرق بین المحصورة و غیر المحصورة</w:t>
      </w:r>
      <w:r>
        <w:rPr>
          <w:rStyle w:val="FootnoteAnchor"/>
          <w:rtl w:val="true"/>
        </w:rPr>
        <w:footnoteReference w:id="697"/>
      </w:r>
      <w:r>
        <w:rPr>
          <w:rFonts w:ascii="Amiri" w:hAnsi="Amiri" w:eastAsia="Amiri" w:cs="Amiri"/>
          <w:color w:val="111111"/>
          <w:sz w:val="28"/>
          <w:sz w:val="28"/>
          <w:szCs w:val="28"/>
          <w:rtl w:val="true"/>
          <w:lang w:bidi="ar-SA"/>
        </w:rPr>
        <w:t>، فتأمّل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لنا إشکال فی تنجیز هذا العلم من ناحیة الخروج عن محلّ الابتلاء، فإنّ الابتلاء بحسب العمل بمفاد العمومات من أوّل کتاب الطهارة إلی آخر الدّیات، ممنوع جدّاً، بل لا یوجد أحد یبتلی به، و أمّا بحسب الإفتاء علی طبقها و طبق سائر الظواهر، فهو و إن أمکن، و لکنّه لیس کلّ أحد کذلک، و قلّما یوجد المجتهد المطلق، و لا سیّما من راجع لیستخرج، و خصوصا فی هذه العصور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من الخروج عن محلّ الابتلاء، لأنّ جمیع العمومات بالنسبة إلیه فی عرض واحد، و ما هو المضرّ بالتنجیز هو الخروج عن محلّه، بحیث لا تصل إلیه یده لیرتکبه، و یستقبح تحریم الإفتاء بغیر ما أنزل اللَّه بالنسبة إلیه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منّا فی محلّه، أنّ الخروج عن محلّ الابتلاء لا یضرّ بتنجیز</w:t>
      </w:r>
    </w:p>
    <w:p>
      <w:pPr>
        <w:pStyle w:val="BookText"/>
        <w:rPr/>
      </w:pPr>
      <w:r>
        <w:rPr>
          <w:rFonts w:ascii="IRNazanin" w:hAnsi="IRNazanin" w:eastAsia="IRNazanin"/>
          <w:color w:val="111111"/>
          <w:sz w:val="28"/>
          <w:sz w:val="28"/>
          <w:szCs w:val="28"/>
          <w:rtl w:val="true"/>
          <w:lang w:bidi="fa-IR"/>
        </w:rPr>
        <w:t xml:space="preserve">العلم، و لا عدم الخروج شرط تنجیزه </w:t>
      </w:r>
      <w:r>
        <w:rPr>
          <w:rStyle w:val="FootnoteAnchor"/>
          <w:rtl w:val="true"/>
        </w:rPr>
        <w:footnoteReference w:id="698"/>
      </w:r>
      <w:r>
        <w:rPr>
          <w:rFonts w:ascii="Amiri" w:hAnsi="Amiri" w:eastAsia="Amiri" w:cs="Amiri"/>
          <w:color w:val="111111"/>
          <w:sz w:val="28"/>
          <w:sz w:val="28"/>
          <w:szCs w:val="28"/>
          <w:rtl w:val="true"/>
          <w:lang w:bidi="ar-SA"/>
        </w:rPr>
        <w:t>، وفاقا للسیّد المحقّق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إلاّ أنّ السیرة و بناء العقلاء علی عدم الاعتناء بالمعلوم بالإجمال بمجرّد کون الطرف خارجا عن محلّ الابتلاء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قطرة دم، و شکّ فی أنّها وقعت فی الثوب أو علی الأرض، فبناء الأصحاب و العرف علی عدم الاعتناء، مع أنّ الأرض لیست خارجة عن محلّ الابتلاء بالنسبة إلی جواز السجدة، و لکن لمکان عدم الابتلاء فعلا بمثله لا یعتنی بالعلم المزبور، و هکذا فی أشباهه و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ما هو مورد الابتلاء فعلا للفقیه المراجع، کتاب الطهارة و مسائلها، و لا یتّفق فی طول تصدّیه لمقام الإفتاء أن یرجع إلیه أحد فی هذه الأعصار، و یسأل عن مسائل کتاب القِصاص و هکذا، فهو فی حین السؤال الأوّل تکون المسائل الاخر خارجة عن محلّ ابتلائه و الإفتاء بها، فلا یکون العلم المزبور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قیام السیرة فی الموارد الخاصّة، لا یوجب الخروج عن القاعدة إلاّ بإلغاء الخصوصیّة، و هو غیر واضح، و علیه فیکون العلم الإجمالیّ، منجّزا و لو کان من القلیل فی الکثیر، أو کان خارجا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وجوب الفحص تکلیفا شرعیّا و لا العلم بالمخصّصات و المقیّدات موجبا للتکلیف الشرعی حتّی یتنجّز به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تنجیزه ذلک، بل لو رجع إلی مقام العمل و إلی التکالیف الإلهیّة، فهو أیضا ینجّز الواقع، فالعلم الإجمالیّ المزبور یرجع إلی العلم الإجمالیّ</w:t>
      </w:r>
      <w:bookmarkStart w:id="547" w:name="pg13167_140988"/>
    </w:p>
    <w:p>
      <w:pPr>
        <w:pStyle w:val="BookText"/>
        <w:rPr/>
      </w:pPr>
      <w:bookmarkEnd w:id="547"/>
      <w:r>
        <w:rPr>
          <w:rFonts w:ascii="IRNazanin" w:hAnsi="IRNazanin" w:eastAsia="IRNazanin"/>
          <w:color w:val="111111"/>
          <w:sz w:val="28"/>
          <w:sz w:val="28"/>
          <w:szCs w:val="28"/>
          <w:rtl w:val="true"/>
          <w:lang w:bidi="fa-IR"/>
        </w:rPr>
        <w:t>بعدم جواز الإفتاء علی طبقها، أو إلی العلم الإجمالیّ بعدم جواز العمل،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المنجّز واقعا هو العلم بحرمة الإفتاء بغیر ما أنزل اللَّه، فإذا علمنا بأنّ العامّ الواقع فی کتاب الطهارة أو العامّ فی کتاب الدّیات مخصّص، فقد علمنا بحرمة الإفتاء علی طبق أحد العامّین إجمالا، فإذا کان العامّ الثانی و الإفتاء علی طبقه خارجا عن محلّ الابتلاء، یلزم الإشکال، و ینحلّ بما مرّ</w:t>
      </w:r>
      <w:r>
        <w:rPr>
          <w:rFonts w:eastAsia="IRNazanin" w:cs="IRNazanin"/>
          <w:color w:val="111111"/>
          <w:sz w:val="28"/>
          <w:szCs w:val="28"/>
          <w:rtl w:val="true"/>
          <w:lang w:bidi="fa-IR"/>
        </w:rPr>
        <w:t>.</w:t>
      </w:r>
    </w:p>
    <w:p>
      <w:pPr>
        <w:pStyle w:val="Heading4"/>
        <w:numPr>
          <w:ilvl w:val="3"/>
          <w:numId w:val="1"/>
        </w:numPr>
        <w:rPr/>
      </w:pPr>
      <w:bookmarkStart w:id="548" w:name="__RefHeading___Toc559722_3244359995"/>
      <w:bookmarkStart w:id="549" w:name="_Toc204"/>
      <w:bookmarkEnd w:id="548"/>
      <w:r>
        <w:rPr>
          <w:rtl w:val="true"/>
        </w:rPr>
        <w:t>إشکال و حلّ</w:t>
      </w:r>
      <w:bookmarkEnd w:id="549"/>
    </w:p>
    <w:p>
      <w:pPr>
        <w:pStyle w:val="BookText"/>
        <w:rPr/>
      </w:pPr>
      <w:r>
        <w:rPr>
          <w:rFonts w:ascii="IRNazanin" w:hAnsi="IRNazanin" w:eastAsia="IRNazanin"/>
          <w:color w:val="111111"/>
          <w:sz w:val="28"/>
          <w:sz w:val="28"/>
          <w:szCs w:val="28"/>
          <w:rtl w:val="true"/>
          <w:lang w:bidi="fa-IR"/>
        </w:rPr>
        <w:t>ما هو المدّعی فی هذه المسألة هو وجوب الفحص عن المخصّص و نظائره، سواء کان مخصّصا أوّلا، أو من المخصّصات الثانیة و الثالثة و هکذا، لإمکان ورود التخصیصات الکثیرة علی العامّ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فحصنا عن مخصّص و أصبناه، و احتملنا مع ذلک وجود المخصّص الآخر، فلا بد من الفحص ثانیا، و هکذا حتّی لو کان احتمال المخصّص الآخر مساوقا لاستهجان التخصیص، لأنّه حینئذ یکون واجبا أیضا لأجل کونه موجبا لحصول المعارضة بین العامّ و تلک التخصیصات، و الفحص عن المعارض أیضا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مورد الدعوی فی تحریر العلم الإجمالیّ، هو وجود المخصّصات بالنسبة إلی العمومات، و أمّا احتمال المخصّص الرابع و الخامس، فهو احتمال بدویّ لا یتنجّز بالعلم المزبور، فیکون الدلیل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المزبور أعمّ، غیر مقبولة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لأحد دعوی أنّ المقصود إثبات وجوب الفحص بالمقدار المعلوم بالإجمال، و المطلوب إثبات لزوم الأخذ بمقتضی العلم، و أمّا ما وراء ذلک</w:t>
      </w:r>
      <w:bookmarkStart w:id="550" w:name="pg13167_140989"/>
    </w:p>
    <w:p>
      <w:pPr>
        <w:pStyle w:val="BookText"/>
        <w:rPr/>
      </w:pPr>
      <w:bookmarkEnd w:id="550"/>
      <w:r>
        <w:rPr>
          <w:rFonts w:ascii="IRNazanin" w:hAnsi="IRNazanin" w:eastAsia="IRNazanin"/>
          <w:color w:val="111111"/>
          <w:sz w:val="28"/>
          <w:sz w:val="28"/>
          <w:szCs w:val="28"/>
          <w:rtl w:val="true"/>
          <w:lang w:bidi="fa-IR"/>
        </w:rPr>
        <w:t xml:space="preserve">فلا ندّعی وجوبه، و لا منع من الالتزام بعدمه، فما یظهر منهم غیر واضح لمدّعیه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جمیع طبقات المخصّصات و المقیّدات، علما إجمالیّا، إلاّ أنّ المعلوم بالإجمال فی الطبقة الأولی نسبته إلی العمومات من الکثیر فی القلیل، و فی الطبقة الثانیة من الکثیر فی الکثیر، و فی الثالثة من القلیل فی الکثیر، و التحقیق أنّ القلیل فی الکثیر، لا یورث قصورا فی تنجیز العلم إلاّ إذا استلزم الخروج عن محلّ الابتلاء، أو الحرج 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المناقشة فی تنجیز العلم الإجمالیّ مطلقا، أو بالنسبة إلی المخصّصات الواردة أوّلا، قابلة للدفع</w:t>
      </w:r>
      <w:r>
        <w:rPr>
          <w:rFonts w:eastAsia="IRNazanin" w:cs="IRNazanin"/>
          <w:color w:val="111111"/>
          <w:sz w:val="28"/>
          <w:szCs w:val="28"/>
          <w:rtl w:val="true"/>
          <w:lang w:bidi="fa-IR"/>
        </w:rPr>
        <w:t>.</w:t>
      </w:r>
    </w:p>
    <w:p>
      <w:pPr>
        <w:pStyle w:val="Heading4"/>
        <w:numPr>
          <w:ilvl w:val="3"/>
          <w:numId w:val="1"/>
        </w:numPr>
        <w:rPr/>
      </w:pPr>
      <w:bookmarkStart w:id="551" w:name="__RefHeading___Toc559724_3244359995"/>
      <w:bookmarkStart w:id="552" w:name="_Toc205"/>
      <w:bookmarkEnd w:id="551"/>
      <w:r>
        <w:rPr>
          <w:rtl w:val="true"/>
        </w:rPr>
        <w:t>إشکال و دفع</w:t>
      </w:r>
      <w:bookmarkEnd w:id="552"/>
    </w:p>
    <w:p>
      <w:pPr>
        <w:pStyle w:val="BookText"/>
        <w:rPr/>
      </w:pPr>
      <w:r>
        <w:rPr>
          <w:rFonts w:ascii="IRNazanin" w:hAnsi="IRNazanin" w:eastAsia="IRNazanin"/>
          <w:color w:val="111111"/>
          <w:sz w:val="28"/>
          <w:sz w:val="28"/>
          <w:szCs w:val="28"/>
          <w:rtl w:val="true"/>
          <w:lang w:bidi="fa-IR"/>
        </w:rPr>
        <w:t>بقی إشکال تعرّض له الأعلام قدس سرُّهم و هو أنّ قضیّة ما تحرّر فی محلّه، هو انحلال هذا العلم الإجمالیّ بعد العثور علی المقدار المعلوم، مع أنّهم لا یلتزمون بعدم وجوب الفحص، فلا تتمّ دعوی العلم الإجمالیّ حتّی فی الطبقة الأولی من المخصّصات، فضلا عن الطبقات الثانیة و الثالثة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ربّما یقال کما فی تقریرات العلاّمة النائینیّ قدس سرُّه </w:t>
      </w:r>
      <w:r>
        <w:rPr>
          <w:rStyle w:val="FootnoteAnchor"/>
          <w:rtl w:val="true"/>
        </w:rPr>
        <w:footnoteReference w:id="702"/>
      </w:r>
      <w:r>
        <w:rPr>
          <w:rFonts w:ascii="IRNazanin" w:hAnsi="IRNazanin" w:eastAsia="IRNazanin"/>
          <w:color w:val="111111"/>
          <w:sz w:val="28"/>
          <w:sz w:val="28"/>
          <w:szCs w:val="28"/>
          <w:rtl w:val="true"/>
          <w:lang w:bidi="fa-IR"/>
        </w:rPr>
        <w:t xml:space="preserve">و فی غیره </w:t>
      </w:r>
      <w:r>
        <w:rPr>
          <w:rStyle w:val="FootnoteAnchor"/>
          <w:rtl w:val="true"/>
        </w:rPr>
        <w:footnoteReference w:id="703"/>
      </w:r>
      <w:r>
        <w:rPr>
          <w:rFonts w:ascii="IRNazanin" w:hAnsi="IRNazanin" w:eastAsia="IRNazanin"/>
          <w:color w:val="111111"/>
          <w:sz w:val="28"/>
          <w:sz w:val="28"/>
          <w:szCs w:val="28"/>
          <w:rtl w:val="true"/>
          <w:lang w:bidi="fa-IR"/>
        </w:rPr>
        <w:t>جوابا، غیر واقع فی محلّه، فلا نطیل الکلام به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العثور علی المقدار المعلوم بالإجمال فی</w:t>
      </w:r>
      <w:bookmarkStart w:id="553" w:name="pg13167_140990"/>
    </w:p>
    <w:p>
      <w:pPr>
        <w:pStyle w:val="BookText"/>
        <w:rPr/>
      </w:pPr>
      <w:bookmarkEnd w:id="553"/>
      <w:r>
        <w:rPr>
          <w:rFonts w:ascii="IRNazanin" w:hAnsi="IRNazanin" w:eastAsia="IRNazanin"/>
          <w:color w:val="111111"/>
          <w:sz w:val="28"/>
          <w:sz w:val="28"/>
          <w:szCs w:val="28"/>
          <w:rtl w:val="true"/>
          <w:lang w:bidi="fa-IR"/>
        </w:rPr>
        <w:t>المراجعات البدویّة إلی الأخبار و الأحادیث الشریفة، مع ما فیها من المخصّصات الکثیرة و القرائن الشائعة، یحصل علم إجمالیّ آخر أقوی من الأوّل فی اشتمال البقیّة علی المخصّص و المقیّد، و هذا ممّا لا یمکن تکذیبه وجدانا، و مع عدم العثور علیه فلا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بأنّ فی عشرة آلاف حدیث عامّ ألفا مخصّصة، فإذا رجعنا إلیها أصبنا فی الألف الأوّل منها ذلک الألفَ المخصّص، فلا بدّ و أن نعلم ثانیا و یشتدّ العلم به و هکذا، فلاحظ جیّدا، فإنّ الوجه ما عرفت سابقا</w:t>
      </w:r>
      <w:r>
        <w:rPr>
          <w:rFonts w:eastAsia="IRNazanin" w:cs="IRNazanin"/>
          <w:color w:val="111111"/>
          <w:sz w:val="28"/>
          <w:szCs w:val="28"/>
          <w:rtl w:val="true"/>
          <w:lang w:bidi="fa-IR"/>
        </w:rPr>
        <w:t>.</w:t>
      </w:r>
    </w:p>
    <w:p>
      <w:pPr>
        <w:pStyle w:val="Heading4"/>
        <w:numPr>
          <w:ilvl w:val="3"/>
          <w:numId w:val="1"/>
        </w:numPr>
        <w:rPr/>
      </w:pPr>
      <w:bookmarkStart w:id="554" w:name="__RefHeading___Toc559726_3244359995"/>
      <w:bookmarkStart w:id="555" w:name="_Toc206"/>
      <w:bookmarkEnd w:id="554"/>
      <w:r>
        <w:rPr>
          <w:rtl w:val="true"/>
        </w:rPr>
        <w:t>تتمیم البحث</w:t>
      </w:r>
      <w:r>
        <w:rPr>
          <w:rtl w:val="true"/>
        </w:rPr>
        <w:t xml:space="preserve">: </w:t>
      </w:r>
      <w:r>
        <w:rPr>
          <w:rtl w:val="true"/>
        </w:rPr>
        <w:t>حول العلم الإجمالیّ بوجود المخصّصات</w:t>
      </w:r>
      <w:bookmarkEnd w:id="555"/>
    </w:p>
    <w:p>
      <w:pPr>
        <w:pStyle w:val="BookText"/>
        <w:rPr/>
      </w:pPr>
      <w:r>
        <w:rPr>
          <w:rFonts w:ascii="IRNazanin" w:hAnsi="IRNazanin" w:eastAsia="IRNazanin"/>
          <w:color w:val="111111"/>
          <w:sz w:val="28"/>
          <w:sz w:val="28"/>
          <w:szCs w:val="28"/>
          <w:rtl w:val="true"/>
          <w:lang w:bidi="fa-IR"/>
        </w:rPr>
        <w:t>قد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حول العلم الإجمالیّ المزبور کان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الفحص عن المخصّص مع عدم العثور علیه، لا یوجب الخروج عن أطرافه حتّی یجوز العمل بالعامّ، و ذلک لأنّ من المحتمل وجود المخصّصات الکثیرة غیر الواصلة إلینا و الضائعة فی العصر الأوّل، کما هو المعروف فی أصول ابن أبی عمیر و غیره، فیبقی الإشکال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صحّة ما قیل، فهل یلزم الاحتیاط فی العمل و الإفتاء، أم یستکشف به عدم وجوب الفحص، أو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المزبور لا ینجّز، کما مرّ فی الجهة الأولی </w:t>
      </w:r>
      <w:r>
        <w:rPr>
          <w:rStyle w:val="FootnoteAnchor"/>
          <w:rtl w:val="true"/>
        </w:rPr>
        <w:footnoteReference w:id="704"/>
      </w:r>
      <w:r>
        <w:rPr>
          <w:rFonts w:ascii="IRNazanin" w:hAnsi="IRNazanin" w:eastAsia="IRNazanin"/>
          <w:color w:val="111111"/>
          <w:sz w:val="28"/>
          <w:sz w:val="28"/>
          <w:szCs w:val="28"/>
          <w:rtl w:val="true"/>
          <w:lang w:bidi="fa-IR"/>
        </w:rPr>
        <w:t>، و الأمر هنا أوضح؟</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عدم إمکان الالتزام بالأوّلین، فیتعیّن الثالث، بمعنی أنّ العلم</w:t>
      </w:r>
    </w:p>
    <w:p>
      <w:pPr>
        <w:pStyle w:val="BookText"/>
        <w:rPr/>
      </w:pPr>
      <w:r>
        <w:rPr>
          <w:rFonts w:ascii="IRNazanin" w:hAnsi="IRNazanin" w:eastAsia="IRNazanin"/>
          <w:color w:val="111111"/>
          <w:sz w:val="28"/>
          <w:sz w:val="28"/>
          <w:szCs w:val="28"/>
          <w:rtl w:val="true"/>
          <w:lang w:bidi="fa-IR"/>
        </w:rPr>
        <w:t>الإجمالیّ إن کان متعلّقا بوجود المخصّصات و المقیّدات فلا یؤثّر، و أمّا إذا کان متعلّقا بوجودها فیما وصل إلینا من الأخبار و الأحادیث فیؤثّر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شبهة فی أنّ فی الفرض الأوّل لا ینجّز شیئا، لأنّ وجودها الواقعیّ لیس بحجّة، بخلاف وجودها الواصل و لو بنحو الإجمال، و ذلک لأنّه کما أنّ وظیفة العبد هو الفحص بعد العلم الإجمالیّ، کذلک وظیفة المولی هو الإیصال بنحو متعارف إیصالا متعقّبا بالوصول علی نحو متعارف أیضا، فإذا علمنا إجمالا بوجود المخصّصات فیما ضاعت من الکتب و الأصول الأوّلیّة، فهو لا یؤثّر فی شی‌ء بالضرورة، و لعلّ هذا هو المراد ممّا اصطلح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التوسّط فی التنجیز</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إنکار وجود العلم المزبور أوّلا، و إنکار کونه بالنسبة إلی الأحکام الشرعیّة ثانیا، بل إنکار أصل الضیاع ثالثا، و إنکار کونها من المخصّصات المعتبرة سندا 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التزمنا بتنجیزه بدعوی، أنّ المولی أدّی وظیفته و هی الإلقاء إلی الأمّة فی عصره، و الضیاع لا یضرّ بذلک، و لا یعتبر أزید منه، فلنا إنکار التنجیز من ناحیة الخروج عن محلّ الابتلاء، بمعنی أنّه إذا علمنا بوجود المخصّص فلا بدّ من الفحص عنه، و إذا کان أحد الأطراف الکتب الضائعة فیلزم قصوره عن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لا یضرّ فی المقام، لأنّه یرجع إلی حجّیة الظواهر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 علیها السیرة العملیّة، فلا بدّ من الموهن المبرز الواصل، و هو الفحص تفصیلا أو إجمالا علی وجه یتنجّز به وجود الموهن، فتدبّر تعرف، و تأمّل تجد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إجمالا بحرمة الإفتاء علی طبق العامّ فی السنّة</w:t>
      </w:r>
      <w:bookmarkStart w:id="556" w:name="pg13167_140992"/>
    </w:p>
    <w:p>
      <w:pPr>
        <w:pStyle w:val="BookText"/>
        <w:rPr/>
      </w:pPr>
      <w:bookmarkEnd w:id="556"/>
      <w:r>
        <w:rPr>
          <w:rFonts w:ascii="IRNazanin" w:hAnsi="IRNazanin" w:eastAsia="IRNazanin"/>
          <w:color w:val="111111"/>
          <w:sz w:val="28"/>
          <w:sz w:val="28"/>
          <w:szCs w:val="28"/>
          <w:rtl w:val="true"/>
          <w:lang w:bidi="fa-IR"/>
        </w:rPr>
        <w:t>الموجودة بین أیدینا، لاحتمال وجود المخصّص فی الأصول الضائعة، أو حرمة الإفتاء علی طبق العامّ الموجود فی تلک الأصول، ضرورة أنّها کما تشتمل علی المخصّصات تشتمل علی العمومات أیضا، و تکون تلک أیضا من أطراف العلم الإجمالیّ الکبیر، و لو لا رجوع هذا العلم الإجمالیّ إلی العلم الإجمالیّ بحرمة الإفتاء و أمثالها، لما کان وجه لتنجّزه فاغتنم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لنا إنکار أصل الدعوی، و اللَّه الهادی</w:t>
      </w:r>
      <w:r>
        <w:rPr>
          <w:rFonts w:eastAsia="IRNazanin" w:cs="IRNazanin"/>
          <w:color w:val="111111"/>
          <w:sz w:val="28"/>
          <w:szCs w:val="28"/>
          <w:rtl w:val="true"/>
          <w:lang w:bidi="fa-IR"/>
        </w:rPr>
        <w:t>.</w:t>
      </w:r>
    </w:p>
    <w:p>
      <w:pPr>
        <w:pStyle w:val="Heading4"/>
        <w:numPr>
          <w:ilvl w:val="3"/>
          <w:numId w:val="1"/>
        </w:numPr>
        <w:rPr/>
      </w:pPr>
      <w:bookmarkStart w:id="557" w:name="__RefHeading___Toc559728_3244359995"/>
      <w:bookmarkStart w:id="558" w:name="_Toc207"/>
      <w:bookmarkEnd w:id="557"/>
      <w:r>
        <w:rPr>
          <w:rtl w:val="true"/>
        </w:rPr>
        <w:t>تذییل</w:t>
      </w:r>
      <w:r>
        <w:rPr>
          <w:rtl w:val="true"/>
        </w:rPr>
        <w:t xml:space="preserve">: </w:t>
      </w:r>
      <w:r>
        <w:rPr>
          <w:rtl w:val="true"/>
        </w:rPr>
        <w:t>فی مقدار الفحص</w:t>
      </w:r>
      <w:bookmarkEnd w:id="558"/>
    </w:p>
    <w:p>
      <w:pPr>
        <w:pStyle w:val="BookText"/>
        <w:rPr/>
      </w:pPr>
      <w:r>
        <w:rPr>
          <w:rFonts w:ascii="IRNazanin" w:hAnsi="IRNazanin" w:eastAsia="IRNazanin"/>
          <w:color w:val="111111"/>
          <w:sz w:val="28"/>
          <w:sz w:val="28"/>
          <w:szCs w:val="28"/>
          <w:rtl w:val="true"/>
          <w:lang w:bidi="fa-IR"/>
        </w:rPr>
        <w:t>اختلفوا فی مقدار الفحص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قائل بوجوب الفحص إلی أن یحصل العلم بعدم المخصّص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قائل بکفایة الاطمئنان و الوثوق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الظنّ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الفحص عن المخصّصات و القرائن المحتملة فی مواضعها المحرّرة، و المقرّرة فی الکتب الموجودة بین أیدینا، سواء حصل منه العلم و الاطمئنان و الظنّ، أم لم یحصل، فإنّ حصول ذلک لیس مورد النّظر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الوثوق النوعیّ و العلم العادیّ النظامیّ، و لا یعتبر الوثوق أو الظنّ الشخصیّ، و ذلک لأنّ بناء العقلاء علیه من غیر اشتراط حصول أمر</w:t>
      </w:r>
    </w:p>
    <w:p>
      <w:pPr>
        <w:pStyle w:val="BookText"/>
        <w:rPr/>
      </w:pPr>
      <w:r>
        <w:rPr>
          <w:rFonts w:ascii="IRNazanin" w:hAnsi="IRNazanin" w:eastAsia="IRNazanin"/>
          <w:color w:val="111111"/>
          <w:sz w:val="28"/>
          <w:sz w:val="28"/>
          <w:szCs w:val="28"/>
          <w:rtl w:val="true"/>
          <w:lang w:bidi="fa-IR"/>
        </w:rPr>
        <w:t>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عدم کفایة الوثوق و الاطمئنان الشخصیّ إذا حصل من غیر طریق الفحص و التجسّس</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یکون المجتهد مثلا لمکان کونه من أهل الفحص، یعلم بعدم وجود المخصّص للعامّ المبتلی به، فإنّه یکفی بالضرورة، و أمّا إذا حصل الاطمئنان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کالاستبعاد و الاستحسان و 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و لا یقبل الاعتذار به ظاهرا</w:t>
      </w:r>
      <w:r>
        <w:rPr>
          <w:rFonts w:eastAsia="IRNazanin" w:cs="IRNazanin"/>
          <w:color w:val="111111"/>
          <w:sz w:val="28"/>
          <w:szCs w:val="28"/>
          <w:rtl w:val="true"/>
          <w:lang w:bidi="fa-IR"/>
        </w:rPr>
        <w:t>.</w:t>
      </w:r>
      <w:bookmarkStart w:id="559" w:name="pg13167_140995"/>
    </w:p>
    <w:p>
      <w:pPr>
        <w:pStyle w:val="Heading3"/>
        <w:numPr>
          <w:ilvl w:val="2"/>
          <w:numId w:val="1"/>
        </w:numPr>
        <w:rPr/>
      </w:pPr>
      <w:bookmarkStart w:id="560" w:name="__RefHeading___Toc559730_3244359995"/>
      <w:bookmarkStart w:id="561" w:name="_Toc208"/>
      <w:bookmarkEnd w:id="559"/>
      <w:bookmarkEnd w:id="560"/>
      <w:r>
        <w:rPr>
          <w:rtl w:val="true"/>
        </w:rPr>
        <w:t>المبحث الخامس فی أنّ القوانین الإلهیّة الموجودة فی الکتاب و السنّة تختصّ بالحاضرین، أم هی أعمّ</w:t>
      </w:r>
      <w:bookmarkEnd w:id="561"/>
    </w:p>
    <w:p>
      <w:pPr>
        <w:pStyle w:val="Heading4"/>
        <w:numPr>
          <w:ilvl w:val="3"/>
          <w:numId w:val="1"/>
        </w:numPr>
        <w:rPr/>
      </w:pPr>
      <w:bookmarkStart w:id="562" w:name="__RefHeading___Toc559732_3244359995"/>
      <w:bookmarkStart w:id="563" w:name="_Toc209"/>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و قبل الخوض فی أصل البحث، لا بدّ من أن نشیر إلی ما یلیق أن یکون محطّ الکلام، و مصبّ النفی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البحث و إن طال و اختلفت أطرافه و تشتّتت فیه الآراء و المیول، إلاّ أنّ ما هو المبحوث عنه فی هذه المسألة هو أنّ الأمّة الغائبة وقت إلقاء القوانین و حین الخطابات المشتملة علی الأحکام، هل هی مشمولة للقوانین الإلهیّة، و هل هی مشمولة للخطابات الملقاة فی الکتاب و السنّة</w:t>
      </w:r>
      <w:r>
        <w:rPr>
          <w:rStyle w:val="FootnoteAnchor"/>
          <w:rtl w:val="true"/>
        </w:rPr>
        <w:footnoteReference w:id="7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هی بدلیل من الخارج من إجماع و غیره، مشترکة معهم فی الأحکام </w:t>
      </w:r>
      <w:r>
        <w:rPr>
          <w:rStyle w:val="FootnoteAnchor"/>
          <w:rtl w:val="true"/>
        </w:rPr>
        <w:footnoteReference w:id="710"/>
      </w:r>
      <w:r>
        <w:rPr>
          <w:rFonts w:ascii="IRNazanin" w:hAnsi="IRNazanin" w:eastAsia="IRNazanin"/>
          <w:color w:val="111111"/>
          <w:sz w:val="28"/>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یفصّل بین الغائبین الموجودین و المعدومین، فتکون الطائفة الأولی</w:t>
      </w:r>
    </w:p>
    <w:p>
      <w:pPr>
        <w:pStyle w:val="BookText"/>
        <w:rPr/>
      </w:pPr>
      <w:r>
        <w:rPr>
          <w:rFonts w:ascii="IRNazanin" w:hAnsi="IRNazanin" w:eastAsia="IRNazanin"/>
          <w:color w:val="111111"/>
          <w:sz w:val="28"/>
          <w:sz w:val="28"/>
          <w:szCs w:val="28"/>
          <w:rtl w:val="true"/>
          <w:lang w:bidi="fa-IR"/>
        </w:rPr>
        <w:t>مشمولة لتلک القوانین، دون الثانیة</w:t>
      </w:r>
      <w:r>
        <w:rPr>
          <w:rStyle w:val="FootnoteAnchor"/>
          <w:rtl w:val="true"/>
        </w:rPr>
        <w:footnoteReference w:id="7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تفصیل آخر بین القوانین الملقاة علی نعت الخطاب،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و القوانین غیر المشتملة علی أداة الخطاب و النداء</w:t>
      </w:r>
      <w:r>
        <w:rPr>
          <w:rStyle w:val="FootnoteAnchor"/>
          <w:rtl w:val="true"/>
        </w:rPr>
        <w:footnoteReference w:id="712"/>
      </w:r>
      <w:r>
        <w:rPr>
          <w:rFonts w:ascii="Amiri" w:hAnsi="Amiri" w:eastAsia="Amiri" w:cs="Amiri"/>
          <w:color w:val="111111"/>
          <w:sz w:val="28"/>
          <w:sz w:val="28"/>
          <w:szCs w:val="28"/>
          <w:rtl w:val="true"/>
          <w:lang w:bidi="ar-SA"/>
        </w:rPr>
        <w:t>،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713"/>
      </w:r>
      <w:r>
        <w:rPr>
          <w:rFonts w:ascii="IRNazanin" w:hAnsi="IRNazanin" w:eastAsia="IRNazanin"/>
          <w:color w:val="111111"/>
          <w:sz w:val="28"/>
          <w:sz w:val="28"/>
          <w:szCs w:val="28"/>
          <w:rtl w:val="true"/>
          <w:lang w:bidi="fa-IR"/>
        </w:rPr>
        <w:t xml:space="preserve">بل قیل بخروج الأخیر عن محلّ النزاع </w:t>
      </w:r>
      <w:r>
        <w:rPr>
          <w:rStyle w:val="FootnoteAnchor"/>
          <w:rtl w:val="true"/>
        </w:rPr>
        <w:footnoteReference w:id="714"/>
      </w:r>
      <w:r>
        <w:rPr>
          <w:rFonts w:ascii="IRNazanin" w:hAnsi="IRNazanin" w:eastAsia="IRNazanin"/>
          <w:color w:val="111111"/>
          <w:sz w:val="28"/>
          <w:sz w:val="28"/>
          <w:szCs w:val="28"/>
          <w:rtl w:val="true"/>
          <w:lang w:bidi="fa-IR"/>
        </w:rPr>
        <w:t xml:space="preserve">، و هکذا یظهر من الشیخ الأعظم الأنصاریّ </w:t>
      </w:r>
      <w:r>
        <w:rPr>
          <w:rStyle w:val="FootnoteAnchor"/>
          <w:rtl w:val="true"/>
        </w:rPr>
        <w:footnoteReference w:id="715"/>
      </w:r>
      <w:r>
        <w:rPr>
          <w:rFonts w:ascii="IRNazanin" w:hAnsi="IRNazanin" w:eastAsia="IRNazanin"/>
          <w:color w:val="111111"/>
          <w:sz w:val="28"/>
          <w:sz w:val="28"/>
          <w:szCs w:val="28"/>
          <w:rtl w:val="true"/>
          <w:lang w:bidi="fa-IR"/>
        </w:rPr>
        <w:t xml:space="preserve">، و سیظهر ضعفه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لأحد التفصیل بین العمومات و المطلقات، فما کان من قبیل العموم اللفظیّ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أحد فی کلّ أسبوع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یشملهم، و ما کان من قبیل المطلق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البالغ الرشید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و احتمالات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المستفاد من مقایسة القوانین الإلهیّة الموجودة فی الکتاب و السنّة إلی القوانین المصوّبة العرفیّة المضبوطة، أنّ جمیع الطبقات مشترکة فی شمول القوانین لها، و أنّ جمیع القوانین مستویة النسبة إلی کافّة الأنام، سواء کانوا غائبین، أو معدومین، أو غیر ملتفتین، و هذا ممّا تشترک فیه العقول و الآراء العقلائیّة، و یرجع الناس إلیها، و تنال الأحکام منها بلا توسّط أمر آخر و دلیل علی حِدة و حجّة أخری،</w:t>
      </w:r>
    </w:p>
    <w:p>
      <w:pPr>
        <w:pStyle w:val="BookText"/>
        <w:rPr/>
      </w:pPr>
      <w:r>
        <w:rPr>
          <w:rFonts w:ascii="IRNazanin" w:hAnsi="IRNazanin" w:eastAsia="IRNazanin"/>
          <w:color w:val="111111"/>
          <w:sz w:val="28"/>
          <w:sz w:val="28"/>
          <w:szCs w:val="28"/>
          <w:rtl w:val="true"/>
          <w:lang w:bidi="fa-IR"/>
        </w:rPr>
        <w:t>من عقل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لا أظنّ التزام أحد من المحقّقین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الفضلاء الأقدمین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 القوانین بالحاضرین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شمولها للنساء من أجل الجهة اللغویّة، و اختصاص الألفاظ المستعملة فیها بهنّ تردّد، و لأجله تشبّثوا بدلیل الشرکة</w:t>
      </w:r>
      <w:r>
        <w:rPr>
          <w:rStyle w:val="FootnoteAnchor"/>
          <w:rtl w:val="true"/>
        </w:rPr>
        <w:footnoteReference w:id="717"/>
      </w:r>
      <w:r>
        <w:rPr>
          <w:rFonts w:ascii="IRNazanin" w:hAnsi="IRNazanin" w:eastAsia="IRNazanin"/>
          <w:color w:val="111111"/>
          <w:sz w:val="28"/>
          <w:sz w:val="28"/>
          <w:szCs w:val="28"/>
          <w:rtl w:val="true"/>
          <w:lang w:bidi="fa-IR"/>
        </w:rPr>
        <w:t>، و لو کان المستند ذلک یشکل الأمر فی کثیر من الموضوعات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أیضا فی المسألة الأخیرة خلافه، و استواء نسبة القوانین إلیهم و إلیهنّ، لأنّ ذلک هو الدأب و العادة الواضحة فی القوانین الإسلامیّة، و لا یحتاج إلی قاعدة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یتوسّل فی بعض الأحیان بإلغاء الخصوصیّة عرفا، لظهور أنّ الموضوع المنادی به أو المجعول فی القوانین، أعمّ من الصیغ الخاصّة بالمذکّرین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أجنبیّة هذه المسألة عن البحث المعنون فی المقام، فهو فی غیر محلّه، لما سیأتی من أنّ من الوجوه المتمسّک بها فی المقام لإفادة الاختصاص، هو قصور اللغة وضعا عن شمول المعدومین </w:t>
      </w:r>
      <w:r>
        <w:rPr>
          <w:rStyle w:val="FootnoteAnchor"/>
          <w:rtl w:val="true"/>
        </w:rPr>
        <w:footnoteReference w:id="718"/>
      </w:r>
      <w:r>
        <w:rPr>
          <w:rFonts w:ascii="IRNazanin" w:hAnsi="IRNazanin" w:eastAsia="IRNazanin"/>
          <w:color w:val="111111"/>
          <w:sz w:val="28"/>
          <w:sz w:val="28"/>
          <w:szCs w:val="28"/>
          <w:rtl w:val="true"/>
          <w:lang w:bidi="fa-IR"/>
        </w:rPr>
        <w:t>، فالبحث بناء علی هذا أیضا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البحث أیضا أعمّ من ذلک من وجه آخر، و هو أنّ القوانین هل تشمل غیر البالغین أم لا فتکون مختصّة بالبالغین؟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نطاق البحث أوسع ممّا جعلوه محور الکلام </w:t>
      </w:r>
      <w:r>
        <w:rPr>
          <w:rStyle w:val="FootnoteAnchor"/>
          <w:rtl w:val="true"/>
        </w:rPr>
        <w:footnoteReference w:id="719"/>
      </w:r>
      <w:r>
        <w:rPr>
          <w:rFonts w:ascii="IRNazanin" w:hAnsi="IRNazanin" w:eastAsia="IRNazanin"/>
          <w:color w:val="111111"/>
          <w:sz w:val="28"/>
          <w:sz w:val="28"/>
          <w:szCs w:val="28"/>
          <w:rtl w:val="true"/>
          <w:lang w:bidi="fa-IR"/>
        </w:rPr>
        <w:t>، و ینبغی أن نبحث عن أنّ القوانین الموضوعة فی الکتاب و السنّة، هل تقصر عن</w:t>
      </w:r>
      <w:bookmarkStart w:id="564" w:name="pg13167_140998"/>
    </w:p>
    <w:p>
      <w:pPr>
        <w:pStyle w:val="BookText"/>
        <w:rPr/>
      </w:pPr>
      <w:bookmarkEnd w:id="564"/>
      <w:r>
        <w:rPr>
          <w:rFonts w:ascii="IRNazanin" w:hAnsi="IRNazanin" w:eastAsia="IRNazanin"/>
          <w:color w:val="111111"/>
          <w:sz w:val="28"/>
          <w:sz w:val="28"/>
          <w:szCs w:val="28"/>
          <w:rtl w:val="true"/>
          <w:lang w:bidi="fa-IR"/>
        </w:rPr>
        <w:t>شمول طائفة من المکلّفین بوجه من الوجوه العقلیّة أو العرفیّة أو اللغویّة، أم لا؟</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تقصر عن شمول المعدومین و الغائبین، لوجه عقلیّ أو لغویّ، و تقصر عن شمول غیر الملتفتین و النساء و غیر البالغین، لوجوه عرفیّة، کالانصراف و اللغویّة و غیرها، أم لا بل هی غیر قاصرة عن شمول جمیع الطوائف؟</w:t>
      </w:r>
    </w:p>
    <w:p>
      <w:pPr>
        <w:pStyle w:val="BookText"/>
        <w:rPr/>
      </w:pPr>
      <w:r>
        <w:rPr>
          <w:rFonts w:ascii="IRNazanin" w:hAnsi="IRNazanin" w:eastAsia="IRNazanin"/>
          <w:color w:val="111111"/>
          <w:sz w:val="28"/>
          <w:sz w:val="28"/>
          <w:szCs w:val="28"/>
          <w:rtl w:val="true"/>
          <w:lang w:bidi="fa-IR"/>
        </w:rPr>
        <w:t xml:space="preserve">و هکذا هل هی تقصر عن شمول العصاة و الکفّار و العاجزین، أم لا؟ و علی هذا یکون نزاعا عامّا کثیر النّفع و الثمرة، کما یأتی </w:t>
      </w:r>
      <w:r>
        <w:rPr>
          <w:rStyle w:val="FootnoteAnchor"/>
          <w:rtl w:val="true"/>
        </w:rPr>
        <w:footnoteReference w:id="720"/>
      </w:r>
      <w:r>
        <w:rPr>
          <w:rFonts w:ascii="IRNazanin" w:hAnsi="IRNazanin" w:eastAsia="IRNazanin"/>
          <w:color w:val="111111"/>
          <w:sz w:val="28"/>
          <w:sz w:val="28"/>
          <w:szCs w:val="28"/>
          <w:rtl w:val="true"/>
          <w:lang w:bidi="fa-IR"/>
        </w:rPr>
        <w:t>، و یناسب حینئذ باب العمومات و المطلقات،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الحقّ عدم قصور فی الأدلّة العامّة و القوانین الکلّیة عن شمول جمیع الأصناف و الأشخاص، و عن شمول جمیع الطبقات الموجودة حین الخطاب و الجعل و ضرب القانون، و غیر الموجودة بالضرورة</w:t>
      </w:r>
      <w:r>
        <w:rPr>
          <w:rFonts w:eastAsia="IRNazanin" w:cs="IRNazanin"/>
          <w:color w:val="111111"/>
          <w:sz w:val="28"/>
          <w:szCs w:val="28"/>
          <w:rtl w:val="true"/>
          <w:lang w:bidi="fa-IR"/>
        </w:rPr>
        <w:t>.</w:t>
      </w:r>
    </w:p>
    <w:p>
      <w:pPr>
        <w:pStyle w:val="Heading4"/>
        <w:numPr>
          <w:ilvl w:val="3"/>
          <w:numId w:val="1"/>
        </w:numPr>
        <w:rPr/>
      </w:pPr>
      <w:bookmarkStart w:id="565" w:name="__RefHeading___Toc559734_3244359995"/>
      <w:bookmarkStart w:id="566" w:name="_Toc210"/>
      <w:bookmarkEnd w:id="565"/>
      <w:r>
        <w:rPr>
          <w:rtl w:val="true"/>
        </w:rPr>
        <w:t>شبهات اختصاص الخطابات</w:t>
      </w:r>
      <w:bookmarkEnd w:id="566"/>
    </w:p>
    <w:p>
      <w:pPr>
        <w:pStyle w:val="Heading5"/>
        <w:numPr>
          <w:ilvl w:val="4"/>
          <w:numId w:val="1"/>
        </w:numPr>
        <w:rPr/>
      </w:pPr>
      <w:bookmarkStart w:id="567" w:name="__RefHeading___Toc559736_3244359995"/>
      <w:bookmarkStart w:id="568" w:name="_Toc211"/>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إذا عرفت ذلک فلیعلم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هاهنا شبهات بینما هی تختصّ بطائفة من القوانین، أو طائفة من المکلّفین، و ما هی یشترک فیها الکلّ، و لا بدّ من الإشارة إلیها، و إلی ما یمکن أن یکون حلاّ لها</w:t>
      </w:r>
      <w:r>
        <w:rPr>
          <w:rFonts w:eastAsia="IRNazanin" w:cs="IRNazanin"/>
          <w:color w:val="111111"/>
          <w:sz w:val="28"/>
          <w:szCs w:val="28"/>
          <w:rtl w:val="true"/>
          <w:lang w:bidi="fa-IR"/>
        </w:rPr>
        <w:t>.</w:t>
      </w:r>
    </w:p>
    <w:p>
      <w:pPr>
        <w:pStyle w:val="Heading5"/>
        <w:numPr>
          <w:ilvl w:val="4"/>
          <w:numId w:val="1"/>
        </w:numPr>
        <w:rPr/>
      </w:pPr>
      <w:bookmarkStart w:id="569" w:name="__RefHeading___Toc559738_3244359995"/>
      <w:bookmarkStart w:id="570" w:name="_Toc212"/>
      <w:bookmarkEnd w:id="569"/>
      <w:r>
        <w:rPr>
          <w:rtl w:val="true"/>
        </w:rPr>
        <w:t>الشبهة الأولی</w:t>
      </w:r>
      <w:r>
        <w:rPr>
          <w:rtl w:val="true"/>
        </w:rPr>
        <w:t>:</w:t>
      </w:r>
      <w:bookmarkEnd w:id="57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القوانین المشتملة علی أداة الخطاب و حروف النداء، لا یمکن أن یشمل الغائبین عن مجلس الخطاب و محفل المخاطبة، فضلا عن المعدومین، فعلیه یختصّ</w:t>
      </w:r>
    </w:p>
    <w:p>
      <w:pPr>
        <w:pStyle w:val="BookText"/>
        <w:rPr/>
      </w:pPr>
      <w:r>
        <w:rPr>
          <w:rFonts w:ascii="IRNazanin" w:hAnsi="IRNazanin" w:eastAsia="IRNazanin"/>
          <w:color w:val="111111"/>
          <w:sz w:val="28"/>
          <w:sz w:val="28"/>
          <w:szCs w:val="28"/>
          <w:rtl w:val="true"/>
          <w:lang w:bidi="fa-IR"/>
        </w:rPr>
        <w:t>مفادها بمن یخصّ به الخطاب، و ذلک لأنّ المخاطبة فرع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هو غائبا فکیف یمکن أن یترشّح الجدّ و الإرادة إلی توجیه الخطاب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المستفاد من أدواته و حروف النداء، أو الخطاب المعتبر من الجمل الواقعة فی محلّ المخاطبة، کالجمل المشتملة علی الأمر و النهی، أو الرجوع إلی البحث و الزجر بحسب الجدّ، لا یشمل الغائبین و المعدومین، و إذا صاروا موجودین لا یکون الخطاب باقیا، و تصیر النتیجة علی هذا أیضا اختصاص الحکم بالحاضرین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 لا تختصّ بتلک الطائفة من القوانین الفرعیّة الإلهیّة، و ذلک لأنّ جمیع القوانین بعث و زجر، فلا بدّ و أن تشتمل علی معنی یعتبر منه ذلک، و یکون فیه المنشأ لانتزاع المخاطبة و إن لم تدلّ علیه ألفاظها بالوضع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w:t>
      </w:r>
      <w:r>
        <w:rPr>
          <w:rStyle w:val="FootnoteAnchor"/>
          <w:rtl w:val="true"/>
        </w:rPr>
        <w:footnoteReference w:id="721"/>
      </w:r>
      <w:r>
        <w:rPr>
          <w:rFonts w:ascii="IRNazanin" w:hAnsi="IRNazanin" w:eastAsia="IRNazanin"/>
          <w:color w:val="111111"/>
          <w:sz w:val="28"/>
          <w:sz w:val="28"/>
          <w:szCs w:val="28"/>
          <w:rtl w:val="true"/>
          <w:lang w:bidi="fa-IR"/>
        </w:rPr>
        <w:t xml:space="preserve">فی موقف خطاب الأمّة بالحجّ و دعوة الناس إلیه و ندائهم، و لا یمکن الدعوة إلاّ بالمخاطبة، و من هنا یظهر عموم النزاع، فما عن الشیخ رحمه اللَّه </w:t>
      </w:r>
      <w:r>
        <w:rPr>
          <w:rStyle w:val="FootnoteAnchor"/>
          <w:rtl w:val="true"/>
        </w:rPr>
        <w:footnoteReference w:id="722"/>
      </w:r>
      <w:r>
        <w:rPr>
          <w:rFonts w:ascii="IRNazanin" w:hAnsi="IRNazanin" w:eastAsia="IRNazanin"/>
          <w:color w:val="111111"/>
          <w:sz w:val="28"/>
          <w:sz w:val="28"/>
          <w:szCs w:val="28"/>
          <w:rtl w:val="true"/>
          <w:lang w:bidi="fa-IR"/>
        </w:rPr>
        <w:t>و تبعه بعض آخر</w:t>
      </w:r>
      <w:r>
        <w:rPr>
          <w:rStyle w:val="FootnoteAnchor"/>
          <w:rtl w:val="true"/>
        </w:rPr>
        <w:footnoteReference w:id="723"/>
      </w:r>
      <w:r>
        <w:rPr>
          <w:rFonts w:ascii="IRNazanin" w:hAnsi="IRNazanin" w:eastAsia="IRNazanin"/>
          <w:color w:val="111111"/>
          <w:sz w:val="28"/>
          <w:sz w:val="28"/>
          <w:szCs w:val="28"/>
          <w:rtl w:val="true"/>
          <w:lang w:bidi="fa-IR"/>
        </w:rPr>
        <w:t xml:space="preserve">، فی غیر محلّه کما أشیر إلیه فیما سبق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وجوه من الکلام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المخاطب فی هذه المواقف هی العناوین، فلا یکون المعدوم مورد الخطاب، فیکون الموجود بعد عصر الخطاب مشمول القانون، لأنّ العنوان المأخوذ فیه صادق علیه، ضرورة أنّ القضیّة المضروبة قانونا لا تأبی من الصدق</w:t>
      </w:r>
    </w:p>
    <w:p>
      <w:pPr>
        <w:pStyle w:val="BookText"/>
        <w:rPr/>
      </w:pPr>
      <w:r>
        <w:rPr>
          <w:rFonts w:ascii="IRNazanin" w:hAnsi="IRNazanin" w:eastAsia="IRNazanin"/>
          <w:color w:val="111111"/>
          <w:sz w:val="28"/>
          <w:sz w:val="28"/>
          <w:szCs w:val="28"/>
          <w:rtl w:val="true"/>
          <w:lang w:bidi="fa-IR"/>
        </w:rPr>
        <w:t>علیه، لأنّها من قبیل القضایا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هو المخاطب هو المعنون، و العنوان بما هو العنوان لا یلیق بالخطاب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یصلح للمخاطبة علی نحو ما یستعمله الشعراء و البلغاء فی نثرهم و أشعارهم، و هذا غیر لائق بالقوانین العرفیّة، فضلا عن الإلهیّة الشرعیّة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المعنون إمّا موجود تقدیریّ ذهنیّ، أو ادعائیّ تنزیلیّ، و علی التقدیرین تنحلّ المعضلة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 أوّلا، أنّ بالتقدیر و تنزیل المعدوم منزلة الموجود، لا یمکن تحصیل الإرادة الجدیّة، و لا یتیسّر الحکم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التقادیر و الفرضیّات الادعائیّة، لا تناسب القوانین الموضوعة فی مقام البعث و الزجر، فافهم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 القرآنیّة لیست کسائر الخطابات الشفاهیّة، بل هی فی صورة الخطاب، من غیر کونها خطابا واقعیّا حتّی یحتاج إلی المخاطب، ضرورة أنّ هذه الکلمات المنسوجة الإلهیّة لا یسمعها الناس و الحاضرون فی المجلس، و لا المحتفّون بالرسول صلی اللَّه علیه و آله و سلم بل و لا هو صلی اللَّه علیه و آله و سلم مخاطب، حسبما هو الظاهر من وساطة الأمین علیه السلام الوحی الإلهیّ، فیکون الرسول صلی اللَّه علیه و آله و سلم ناقلا و قارئا، بل و الأمین علیه السلام أیضا حاکیا، و عندئذ تسقط الشبهة من أساسها، و لا یوجد خطاب لفظیّ وضعیّ حقیقیّ، و حینئذ یکون الحاضرین و غیرهم بالنسبة إلیه واحدة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حضور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الخطابات القرآنیّة، غیر قابل للإنکار، لما لا یتصوّر غیبوبة شی‌ء عن</w:t>
      </w:r>
    </w:p>
    <w:p>
      <w:pPr>
        <w:pStyle w:val="BookText"/>
        <w:rPr/>
      </w:pPr>
      <w:r>
        <w:rPr>
          <w:rFonts w:ascii="IRNazanin" w:hAnsi="IRNazanin" w:eastAsia="IRNazanin"/>
          <w:color w:val="111111"/>
          <w:sz w:val="28"/>
          <w:sz w:val="28"/>
          <w:szCs w:val="28"/>
          <w:rtl w:val="true"/>
          <w:lang w:bidi="fa-IR"/>
        </w:rPr>
        <w:t>محفله تعالی مطلقا، حسبما تحرّر و تقرّر</w:t>
      </w:r>
      <w:r>
        <w:rPr>
          <w:rStyle w:val="FootnoteAnchor"/>
          <w:rtl w:val="true"/>
        </w:rPr>
        <w:footnoteReference w:id="726"/>
      </w:r>
      <w:r>
        <w:rPr>
          <w:rFonts w:ascii="IRNazanin" w:hAnsi="IRNazanin" w:eastAsia="IRNazanin"/>
          <w:color w:val="111111"/>
          <w:sz w:val="28"/>
          <w:sz w:val="28"/>
          <w:szCs w:val="28"/>
          <w:rtl w:val="true"/>
          <w:lang w:bidi="fa-IR"/>
        </w:rPr>
        <w:t>، و لکنّ الخطاب متقوّم بالاستماع و السماع، و هو منتف بالنسبة إلی الکلّ، فلا یتصوّر الخطاب الحقیقیّ بالنسبة إلی الخطابات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محلّ النزاع أعمّ من الخطابات الموجودة فی الکتاب و السنّة کما عرفت </w:t>
      </w:r>
      <w:r>
        <w:rPr>
          <w:rStyle w:val="FootnoteAnchor"/>
          <w:rtl w:val="true"/>
        </w:rPr>
        <w:footnoteReference w:id="727"/>
      </w:r>
      <w:r>
        <w:rPr>
          <w:rFonts w:ascii="IRNazanin" w:hAnsi="IRNazanin" w:eastAsia="IRNazanin"/>
          <w:color w:val="111111"/>
          <w:sz w:val="28"/>
          <w:sz w:val="28"/>
          <w:szCs w:val="28"/>
          <w:rtl w:val="true"/>
          <w:lang w:bidi="fa-IR"/>
        </w:rPr>
        <w:t>، فما أفاده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Style w:val="FootnoteAnchor"/>
          <w:rtl w:val="true"/>
        </w:rPr>
        <w:footnoteReference w:id="728"/>
      </w:r>
      <w:r>
        <w:rPr>
          <w:rFonts w:ascii="Amiri" w:hAnsi="Amiri" w:eastAsia="Amiri" w:cs="Amiri"/>
          <w:color w:val="111111"/>
          <w:sz w:val="28"/>
          <w:sz w:val="28"/>
          <w:szCs w:val="28"/>
          <w:rtl w:val="true"/>
          <w:lang w:bidi="ar-SA"/>
        </w:rPr>
        <w:t>، و السیّد الأستاذ البروجردی قدِس سرُّه ثانیا</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تعابیرهم و تقاریرهم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نافع لحلّ المشکلة بنیانا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الوحی و إن کانت من الغوامض الإلهیّة و المعضلات العلمیّة العرفانیّة، و لکن المتفاهم العرفیّ حین إلقاء الرسول الأکرم صلی اللَّه علیه و آله و سلم کان علی خلاف ما أفید، و أنّ الناس یتلقّون الوحی خطابا، کما هو کذلک عند الخواصّ و الفضلاء من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الممکن خطابه صلی اللَّه علیه و آله و سلم بعد ما سمع من جبرئیل، و توجیهه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یعطیه النّظر حسبما حرّرناه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الکلمات المنسوجة علی أتمّ نسج و أحسن وجه تستند إلیه تعالی و إلیه صلی اللَّه علیه و آله و سلم علی وجه یکون من الخطاب الحقیقیّ </w:t>
      </w:r>
      <w:r>
        <w:rPr>
          <w:rStyle w:val="FootnoteAnchor"/>
          <w:rtl w:val="true"/>
        </w:rPr>
        <w:footnoteReference w:id="730"/>
      </w:r>
      <w:r>
        <w:rPr>
          <w:rFonts w:ascii="IRNazanin" w:hAnsi="IRNazanin" w:eastAsia="IRNazanin"/>
          <w:color w:val="111111"/>
          <w:sz w:val="28"/>
          <w:sz w:val="28"/>
          <w:szCs w:val="28"/>
          <w:rtl w:val="true"/>
          <w:lang w:bidi="fa-IR"/>
        </w:rPr>
        <w:t>، و تفصیله فی محلّه و لأهله الراسخین فی بعض العلوم الأخر، فتدبّر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التحقیق أنّ المشکلة المزبورة تختصّ بطائفة من</w:t>
      </w:r>
    </w:p>
    <w:p>
      <w:pPr>
        <w:pStyle w:val="BookText"/>
        <w:rPr/>
      </w:pPr>
      <w:r>
        <w:rPr>
          <w:rFonts w:ascii="IRNazanin" w:hAnsi="IRNazanin" w:eastAsia="IRNazanin"/>
          <w:color w:val="111111"/>
          <w:sz w:val="28"/>
          <w:sz w:val="28"/>
          <w:szCs w:val="28"/>
          <w:rtl w:val="true"/>
          <w:lang w:bidi="fa-IR"/>
        </w:rPr>
        <w:t>القوانین دون طائفة، مثلا القوانین المشتملة علی الأحکام الوضعیّة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731"/>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لا تکون مشتملة علی الخطاب، و لا یعتبر منها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صحّة اعتباره من بعض القوانین المتکفّلة للحکم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لیس فیها أمر و زجر، فما أفاده الأستاذ البروجردیّ قدس سرُّه </w:t>
      </w:r>
      <w:r>
        <w:rPr>
          <w:rStyle w:val="FootnoteAnchor"/>
          <w:rtl w:val="true"/>
        </w:rPr>
        <w:footnoteReference w:id="733"/>
      </w:r>
      <w:r>
        <w:rPr>
          <w:rFonts w:ascii="Amiri" w:hAnsi="Amiri" w:eastAsia="Amiri" w:cs="Amiri"/>
          <w:color w:val="111111"/>
          <w:sz w:val="28"/>
          <w:sz w:val="28"/>
          <w:szCs w:val="28"/>
          <w:rtl w:val="true"/>
          <w:lang w:bidi="ar-SA"/>
        </w:rPr>
        <w:t>غیر مسموع جدّاً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لا یتقوّم بالحضور، ضرورة أنّ من یتمکّن من إبلاغ صوته إلی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الیوم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له الخطاب بالنسبة إلی الغائبین و إن لم یکونوا 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کما أنّ الوجود و الکیف المسموع من الخطاب یصحّح المخاطبة، و کما أنّ تسجیل نداء الرسول الإسلامیّ فی هذا الیوم و فی هذه الأعصار إذا أمکن، یصحّح المخاطبة بالضرورة، فإذا سمعنا نداءه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المخاطبة واقعا، لأنّ الحاضرین لا یسمعون إلاّ الأمواج، و هی حاصلة لدینا بعد التسجیل، فالمعدومون مثلهم، کذلک الوجود الکتبیّ الباقی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لا یکون إلاّ بالوضع و أداته، لا بالصوت التکوینیّ، فإنّه فی وجه خطاب تکوینیّ، و أداة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کأداة البعث 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الخطاب بالوضع و اللغة، فإذا وصل إلینا القانون الّذی لا یقصر عن شمول الغائبین و المعدومین حسب العناوین المأخوذة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یقصر عن</w:t>
      </w:r>
    </w:p>
    <w:p>
      <w:pPr>
        <w:pStyle w:val="BookText"/>
        <w:rPr/>
      </w:pPr>
      <w:r>
        <w:rPr>
          <w:rFonts w:ascii="IRNazanin" w:hAnsi="IRNazanin" w:eastAsia="IRNazanin"/>
          <w:color w:val="111111"/>
          <w:sz w:val="28"/>
          <w:sz w:val="28"/>
          <w:szCs w:val="28"/>
          <w:rtl w:val="true"/>
          <w:lang w:bidi="fa-IR"/>
        </w:rPr>
        <w:t>ناحیة الخطاب و أداته و حروف النداء، لأنّها بمجرّد الوصول إلی أیدی المتأخّرین یعتبر منها الخطاب و المخاطبة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ذلک قیل بوجوب جواب السلام المکتوب فی الرسائل </w:t>
      </w:r>
      <w:r>
        <w:rPr>
          <w:rStyle w:val="FootnoteAnchor"/>
          <w:rtl w:val="true"/>
        </w:rPr>
        <w:footnoteReference w:id="734"/>
      </w:r>
      <w:r>
        <w:rPr>
          <w:rFonts w:ascii="IRNazanin" w:hAnsi="IRNazanin" w:eastAsia="IRNazanin"/>
          <w:color w:val="111111"/>
          <w:sz w:val="28"/>
          <w:sz w:val="28"/>
          <w:szCs w:val="28"/>
          <w:rtl w:val="true"/>
          <w:lang w:bidi="fa-IR"/>
        </w:rPr>
        <w:t xml:space="preserve">، و لأجله تجد من نفسک أنّ قول الشیخ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xml:space="preserve">أنّه خاطبک بذلک، و کذلک فی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فإنّ المتفاهم من الکلّ هی المخاطبة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کونها بنحو الحقیقة، و لکن لا شبهة فی أنّها لا توجب قصورا فی شمول القانون، کما هو کذلک فی القوانین العرفیّة، فإنّها و إن کانت غیر مشتملة علی، الخطاب حسبما تعارف فی الکتاب الإلهیّ، إلاّ أنّها لو کانت أحیانا مشتملة علیه، لا یوجب بالضرورة قصور القانون و اختصاصه بالحاضرین أو الملتفتین، 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نحن فیه لیس من قبیل الأخذ بإطلاق المادّة مع قصور الهیئة عن شمول العاجزین </w:t>
      </w:r>
      <w:r>
        <w:rPr>
          <w:rStyle w:val="FootnoteAnchor"/>
          <w:rtl w:val="true"/>
        </w:rPr>
        <w:footnoteReference w:id="737"/>
      </w:r>
      <w:r>
        <w:rPr>
          <w:rFonts w:ascii="IRNazanin" w:hAnsi="IRNazanin" w:eastAsia="IRNazanin"/>
          <w:color w:val="111111"/>
          <w:sz w:val="28"/>
          <w:sz w:val="28"/>
          <w:szCs w:val="28"/>
          <w:rtl w:val="true"/>
          <w:lang w:bidi="fa-IR"/>
        </w:rPr>
        <w:t>، فإنّه غیر تامّ صناعة، و تصیر النتیجة قصور شمول القانون للعاجزین، بخلاف المقام، و لا سیّما بعد صدور الأمر من الشرع بالنشر و الکتابة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أمّا التمسّک بالإطلاق المقامیّ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فهو غیر جیّد بعد دلالة الخطاب و حروفه و أداة النداء بالوضع علی أنّ المخاطبین مصبّ القانون و محطّ الحکم،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المشاکل فی هذه المسألة التی تشترک فیها جمیع القوانین الموضوعة فی الکتاب و السنّة، هو أنّ الأحکام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من الأحکام الإنشائیّة المشروطة بشروط غیر حاصلة، أو کانت أحکاما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المعدوم المطلق موضوعها، و القوانین الإلهیّة الملقاة تقصر عن شمول المعدومین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من أنّ الإنشاء خفیف المئونة، و الصیغة موضوعة للطلب الإنشائیّ </w:t>
      </w:r>
      <w:r>
        <w:rPr>
          <w:rStyle w:val="FootnoteAnchor"/>
          <w:rtl w:val="true"/>
        </w:rPr>
        <w:footnoteReference w:id="739"/>
      </w:r>
      <w:r>
        <w:rPr>
          <w:rFonts w:ascii="IRNazanin" w:hAnsi="IRNazanin" w:eastAsia="IRNazanin"/>
          <w:color w:val="111111"/>
          <w:sz w:val="28"/>
          <w:sz w:val="28"/>
          <w:szCs w:val="28"/>
          <w:rtl w:val="true"/>
          <w:lang w:bidi="fa-IR"/>
        </w:rPr>
        <w:t>، لا ینفع، لأنّ خفّة المئونة لا توجب موضوعیّة المعدوم للحکم و اتصافه بشی‌ء، أو معروضیّته لشی‌ء و لو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کون الصیغة موضوعة لما قیل، لا ینافی کونها ظاهرة فی الجدّ عند الإطلاق، فعلیه یشکّ فی شمول القوانین للمعدومین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الّذی سیوجد فی العصر المتأخّر إمّا یکون محکوما بحکم، أم لا یکون، فإن حکم علیه بشی‌ء فهو محال بالضرورة، و إن لم یحکم علیه بشی‌ء فیشترک فی الحکم من ناحیة الإجماع و العقل و السنّة، لا نفس القوانین، و تصیر النتیجة علی هذا قصور القوانین عن شمول المعدومین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الشبهة تختصّ بالقوانین و العمومات المتکفّلة لإسراء الحکم إلی الأفراد، دون المطلقات المتکفّلة لإثبات الحکم علی الطبیعة، فإنّ فی الفرض الأوّل إمّا یسری الحکم حین إلقاء القانون إلی کافّة الأفراد الأعمّ من الموجودة و المعدومة، فیلزم کون المعدوم معروض الحکم، و لو کان المعروض و العارض اعتباریّا و تخیّلیا فإنّه یستحیل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الفرض الثانی فلا یکون معروض الحکم إلاّ الطبیعة، و لا یسری منها إلی الأفراد، فإنّه خلاف التحقیق فی باب الإطلاق، و عندئذ لا یکون شی‌ء فی حال العدم محکوما أو معروضا لشی‌ء أصلا، و بعد ما یوجد الفرد فی العصور المتأخّرة فهو محکوم الحکم، لأجل أن الطبیعة المعروضة تنطبق علیه قهرا، و لا یکون المقنّن إلاّ فی مقام بعث طبیعیّ المؤمن أو طبیعیّ الإنسان إلی المادّة المطلوبة، أو لا یکون إلاّ فی موقف جعل الحکم الأعمّ من الوضعیّ و التکلیفیّ علی طبیعیّ البائع و المبیع، و کأنّ الحکم یصیر من اللوازم لها المتحقِّق بتحقّقها، فلا یلزم اتصاف شی‌ء حال العدم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القوانین بجملتها لا تأبی عن شمول المعدومین، و لا تقصر عن إسراء الحکم إلیهم، إلاّ أنّ المقصود إن کان إسراء الحکم إلیهم حال العدم فهو محال، و لیس مورد النّظر و لا المطلوب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المنظور إسراء الحکم إلیهم فی ظرف وجودهم، فلا غبار علی عدم قصورها، ضرورة أن العناوین المأخوذة فی القوانین، بین ما هی من أشباه القضایا الخارجیّة التی لا تنطبق إلاّ علی الموجودین فی حال الخطاب و الإلقاء، و بین ما هی کالقضایا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قبیل الأوّل فلا یمکن أن یشمل غیره،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من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یأبی عن کونه إخبارا عن قتل غیرهم إذا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عسکرا 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کان عسکرا کلّیا، فإنّه و إن خرج من الخارجیّة و صار حقیقیّة، إلاّ أنّه حقیقیّة فی مصبّ خاصّ،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من القضایا الحقیقیّة فلا یأبی عن الشمول، و ذلک لأنّ قوله تعالی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عَلَی النَّاسِ حِجُّ الْبَیْتِ و لو کان عامّا مسریا إلی الأفراد، إلاّ أنّ المعدوم</w:t>
      </w:r>
    </w:p>
    <w:p>
      <w:pPr>
        <w:pStyle w:val="BookText"/>
        <w:rPr/>
      </w:pPr>
      <w:r>
        <w:rPr>
          <w:rFonts w:ascii="IRNazanin" w:hAnsi="IRNazanin" w:eastAsia="IRNazanin"/>
          <w:color w:val="111111"/>
          <w:sz w:val="28"/>
          <w:sz w:val="28"/>
          <w:szCs w:val="28"/>
          <w:rtl w:val="true"/>
          <w:lang w:bidi="fa-IR"/>
        </w:rPr>
        <w:t xml:space="preserve">حال العدم لیس فردا، فلیس محکوما بحکم، و إذا وجد بعد ذلک و 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أنّه محکوم بحکم العامّ المزبور، لأنّ العنوان المأخوذ فیه کالعنوان المأخوذ فی القضایا الحقیقیّة المنطقیّة،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 و کلّ إنسان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العامّ یسری الحکم إلی الأفراد الموجودة، من غیر کونه مقصورا علی الموجودین حین الإخبار، فإذا وجدت بعد ذلک نار فهی أیضا محکومة بحکم الحارّ، و تکون إخبارا عنه، و لو وجدت نار و لم تکن حارّة یلزم کذب القضیّة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حال العدم لا موضوع و لا محمول، و أمّا فی حال الوجود فیتحقّق الموضوع، و یترتّب علیه المحمول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ینحلّ إلی أنّ کلّ فرد من أفراد النار، و کلَّ فرد من أفراد العلماء، حارّ و واجب الإکرام، و الفرد لا یکون فردا إلاّ بالوجود، فیلزم کون الفرد الموجود مورد الحکم، و عندئذ لا یشمل الموجود المتأخّر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ذلک، لأنّ القید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مأخوذا فی القانون الإخباریّ أو الإنشائیّ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انقلاب الحقیقیّة خارجیّة، لأنّ الموجود فی العصور المتأخّرة أیضا فرد موجود، و الموضوع لا یزید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الانحلال موجبا لکون الفرد بلوازمه و خصوصیّاته محطّ الحکم ممنوع، و لذلک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الأعراض و المقولات من المشخّصات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للتحقیق، ضرورة أنّها أمارات التشخّص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أیضا فساد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إلی أنّ کلّ فرد من العلماء</w:t>
      </w:r>
    </w:p>
    <w:p>
      <w:pPr>
        <w:pStyle w:val="BookText"/>
        <w:rPr/>
      </w:pPr>
      <w:r>
        <w:rPr>
          <w:rFonts w:ascii="IRNazanin" w:hAnsi="IRNazanin" w:eastAsia="IRNazanin"/>
          <w:color w:val="111111"/>
          <w:sz w:val="28"/>
          <w:sz w:val="28"/>
          <w:szCs w:val="28"/>
          <w:rtl w:val="true"/>
          <w:lang w:bidi="fa-IR"/>
        </w:rPr>
        <w:t xml:space="preserve">کذلک، و الفرد لیس فردا إلاّ بالمقولات، و منها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مقیّدا بالموجود فی الحال، فتنقلب القضیّة الحقیقیّة خارجیّة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الموضوع هو الفرد، لا بما هو مقرون بکذا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لها العرض العریض، فلا تنقلب إلاّ برجوع الموضوع المفروض إلی المقیّد بالقید الخاصّ،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یجب إکرام کلّ عالم فی الحال، و فی هذا الزمان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المشکلة تنحلّ بما ذکرناه، سواء کانت القضیّة الحقیقیّة من القضایا البتّیة، کما هو ظاهر المنطقیین،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من القضایا المؤوّلة إلی الشرطیّة و القضیّتین الناقصتین، أو إلی القضیّة الاستثنائیّة مثلا،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الکبیر</w:t>
      </w:r>
      <w:r>
        <w:rPr>
          <w:rStyle w:val="FootnoteAnchor"/>
          <w:rtl w:val="true"/>
        </w:rPr>
        <w:footnoteReference w:id="742"/>
      </w:r>
      <w:r>
        <w:rPr>
          <w:rFonts w:ascii="IRNazanin" w:hAnsi="IRNazanin" w:eastAsia="IRNazanin"/>
          <w:color w:val="111111"/>
          <w:sz w:val="28"/>
          <w:sz w:val="28"/>
          <w:szCs w:val="28"/>
          <w:rtl w:val="true"/>
          <w:lang w:bidi="fa-IR"/>
        </w:rPr>
        <w:t>، فإطالة الکلام هنا حول هذه المسألة من الذهول عن مغزی المرام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الحکم فی القضایا الحقیقیّة علی الأفراد الأعمّ من المحقّق و المقدّر وجودها</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فهو بمعزل عن التحقیق، و تفصیله فی محلّه، و لازم ذلک کون الأفراد المقدّرة محکومة بالحکم، مع أنّ المقدّرة لا وجود لها إلاّ علی تقدیر فی الذهن، و ما هو محکوم فی الذهن و إن کان فردا ذهنیّا، إلاّ أنّ المراد فی القوانین الإخباریّة و الإنشائیّة هی الأفراد الخارجیّة، و إلاّ یلزم کذب القضیّة، ضرورة أنّ الفرد من النار الذهنیّ لا یکون حارّا، و ذلک لضعف وجود النار، لا لعدم صدق الطبیعة، فافهم و لا تکن من الخالطین</w:t>
      </w:r>
      <w:r>
        <w:rPr>
          <w:rFonts w:eastAsia="IRNazanin" w:cs="IRNazanin"/>
          <w:color w:val="111111"/>
          <w:sz w:val="28"/>
          <w:szCs w:val="28"/>
          <w:rtl w:val="true"/>
          <w:lang w:bidi="fa-IR"/>
        </w:rPr>
        <w:t>.</w:t>
      </w:r>
      <w:bookmarkStart w:id="571" w:name="pg13167_141008"/>
    </w:p>
    <w:p>
      <w:pPr>
        <w:pStyle w:val="Heading5"/>
        <w:numPr>
          <w:ilvl w:val="4"/>
          <w:numId w:val="1"/>
        </w:numPr>
        <w:rPr/>
      </w:pPr>
      <w:bookmarkStart w:id="572" w:name="__RefHeading___Toc559740_3244359995"/>
      <w:bookmarkStart w:id="573" w:name="_Toc213"/>
      <w:bookmarkEnd w:id="571"/>
      <w:bookmarkEnd w:id="572"/>
      <w:r>
        <w:rPr>
          <w:rtl w:val="true"/>
        </w:rPr>
        <w:t>الشبهة الثالثة</w:t>
      </w:r>
      <w:r>
        <w:rPr>
          <w:rtl w:val="true"/>
        </w:rPr>
        <w:t>:</w:t>
      </w:r>
      <w:bookmarkEnd w:id="573"/>
    </w:p>
    <w:p>
      <w:pPr>
        <w:pStyle w:val="BookText"/>
        <w:rPr/>
      </w:pPr>
      <w:r>
        <w:rPr>
          <w:rFonts w:ascii="IRNazanin" w:hAnsi="IRNazanin" w:eastAsia="IRNazanin"/>
          <w:color w:val="111111"/>
          <w:sz w:val="28"/>
          <w:sz w:val="28"/>
          <w:szCs w:val="28"/>
          <w:rtl w:val="true"/>
          <w:lang w:bidi="fa-IR"/>
        </w:rPr>
        <w:t>أنّ الألفاظ المستعملة فی القوانین لیست إلاّ موضوعة للمعانی و للطبائع، و لا شبهة فی أنّ تلک المعانی تقصر عن الصدق علی المعدومین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القوانین تشتمل علی المعانی الحرفیّة طرّا، و المعانی الحرفیّة جزئیّة خارجیّة و شخصیّة، فیوجب ذلک اختصاص الحکم بالموجودین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منه کون الموضوع موجودا فی الحال، فلا تنقلب القضیّة الکلّیة الحقیقیّة إلی الکلّیة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منّا، أنّ الألفاظ موضوعة للطبائع و المعانی الکلّیة</w:t>
      </w:r>
      <w:r>
        <w:rPr>
          <w:rStyle w:val="FootnoteAnchor"/>
          <w:rtl w:val="true"/>
        </w:rPr>
        <w:footnoteReference w:id="745"/>
      </w:r>
      <w:r>
        <w:rPr>
          <w:rFonts w:ascii="IRNazanin" w:hAnsi="IRNazanin" w:eastAsia="IRNazanin"/>
          <w:color w:val="111111"/>
          <w:sz w:val="28"/>
          <w:sz w:val="28"/>
          <w:szCs w:val="28"/>
          <w:rtl w:val="true"/>
          <w:lang w:bidi="fa-IR"/>
        </w:rPr>
        <w:t>، و لا یکون المقصود فی القانون، إسراءَ الحکم إلی أفرادها حال العدم، بل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فیما إذا صرّح فی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إکرام العلماء واجب، سواء کانوا موجودین، أو 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إسراء الحکم إلی الموجودین فی ظرف الوجود المعدومین حال ضرب القانون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سلف و سبق، أنّ المعانی الحرفیّة هی الجزئیّة الخارجیّة، و تکون أداتها موضوعة بالوضع العامّ و الموضوع له الخاصّ، و أیضا هی ذهنیّة کلّیة فی وجه </w:t>
      </w:r>
      <w:r>
        <w:rPr>
          <w:rStyle w:val="FootnoteAnchor"/>
          <w:rtl w:val="true"/>
        </w:rPr>
        <w:footnoteReference w:id="746"/>
      </w:r>
      <w:r>
        <w:rPr>
          <w:rFonts w:ascii="IRNazanin" w:hAnsi="IRNazanin" w:eastAsia="IRNazanin"/>
          <w:color w:val="111111"/>
          <w:sz w:val="28"/>
          <w:sz w:val="28"/>
          <w:szCs w:val="28"/>
          <w:rtl w:val="true"/>
          <w:lang w:bidi="fa-IR"/>
        </w:rPr>
        <w:t>، و تکون الأداة فی هذه النشأة موضوعة بالوضع العامّ و الموضوع له العامّ من غیر لزوم إشکال، و بذلک یمکن الجمع بین المقالتین، و یدفع إشکالات المسألة</w:t>
      </w:r>
      <w:r>
        <w:rPr>
          <w:rFonts w:eastAsia="IRNazanin" w:cs="IRNazanin"/>
          <w:color w:val="111111"/>
          <w:sz w:val="28"/>
          <w:szCs w:val="28"/>
          <w:rtl w:val="true"/>
          <w:lang w:bidi="fa-IR"/>
        </w:rPr>
        <w:t>.</w:t>
      </w:r>
      <w:bookmarkStart w:id="574" w:name="pg13167_141009"/>
    </w:p>
    <w:p>
      <w:pPr>
        <w:pStyle w:val="Heading5"/>
        <w:numPr>
          <w:ilvl w:val="4"/>
          <w:numId w:val="1"/>
        </w:numPr>
        <w:rPr/>
      </w:pPr>
      <w:bookmarkStart w:id="575" w:name="__RefHeading___Toc559742_3244359995"/>
      <w:bookmarkStart w:id="576" w:name="_Toc214"/>
      <w:bookmarkEnd w:id="574"/>
      <w:bookmarkEnd w:id="575"/>
      <w:r>
        <w:rPr>
          <w:rtl w:val="true"/>
        </w:rPr>
        <w:t>الشبهة الرابعة</w:t>
      </w:r>
      <w:r>
        <w:rPr>
          <w:rtl w:val="true"/>
        </w:rPr>
        <w:t>:</w:t>
      </w:r>
      <w:bookmarkEnd w:id="576"/>
    </w:p>
    <w:p>
      <w:pPr>
        <w:pStyle w:val="Heading6"/>
        <w:numPr>
          <w:ilvl w:val="5"/>
          <w:numId w:val="1"/>
        </w:numPr>
        <w:rPr/>
      </w:pPr>
      <w:bookmarkStart w:id="577" w:name="__RefHeading___Toc559744_3244359995"/>
      <w:bookmarkStart w:id="578" w:name="_Toc215"/>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 xml:space="preserve">أنّ القوانین تقصر عن شمول غیر الملتفتین، بل و الجهّال و غیر القادرین و الکافرین، بل و العصاة، ضرورة امتناع توجیه الخطاب إلیهم، و استحالة البعث و الزجر الجدّی بالنسبة إلیهم، بعد ما یعلم المقنّن من عدم انبعاثهم نحو المطلوب، إمّا لأجل عدم التفاتهم و عدم تمکّنهم، أو لأجل عدم مبالاتهم، فإنّ هذه الأمور کلّها مشترکة فی لزوم قصر القوانین و الخطابات علی غیرهم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تفصیل هذه المسألة منّا فی مقدّمات بحوث الترتّب فی مبحث الضدّ، و ذکرنا أنّ قضیّة کون الخطابات و القوانین کلّیة و عامّة، هو شمولها لجمیع الأصناف و الطبقات و کافّة الناس فی کلّ الأحوال، و أنّها بالنسبة إلی الکلّ علی السواء، و لا قصور فیها، و إنّما الجهل و العجز و عدم الالتفات یعدّ عذرا أحیانا، دون الکفر و العصیان، و الأحکام بالنسبة إلی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القانون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فعلیّة، و إن أمکن تقییدها أو ما یرجع إلیه بالنتیجة، حتّی لا یکون الجاهل مکلّفا رأسا فی بعض أقسام الجهل، و هکذا العاجز و الساهی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منّا هناک تبعات هذه المائدة</w:t>
      </w:r>
      <w:r>
        <w:rPr>
          <w:rStyle w:val="FootnoteAnchor"/>
          <w:rtl w:val="true"/>
        </w:rPr>
        <w:footnoteReference w:id="749"/>
      </w:r>
      <w:r>
        <w:rPr>
          <w:rFonts w:ascii="IRNazanin" w:hAnsi="IRNazanin" w:eastAsia="IRNazanin"/>
          <w:color w:val="111111"/>
          <w:sz w:val="28"/>
          <w:sz w:val="28"/>
          <w:szCs w:val="28"/>
          <w:rtl w:val="true"/>
          <w:lang w:bidi="fa-IR"/>
        </w:rPr>
        <w:t>التی أبدعها و أتی بها السیّد المحقّق الجامع لکافّة العلوم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مزید علیه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bookmarkStart w:id="579" w:name="pg13167_141010"/>
    </w:p>
    <w:p>
      <w:pPr>
        <w:pStyle w:val="Heading6"/>
        <w:numPr>
          <w:ilvl w:val="5"/>
          <w:numId w:val="1"/>
        </w:numPr>
        <w:rPr/>
      </w:pPr>
      <w:bookmarkStart w:id="580" w:name="__RefHeading___Toc559746_3244359995"/>
      <w:bookmarkStart w:id="581" w:name="_Toc216"/>
      <w:bookmarkEnd w:id="579"/>
      <w:bookmarkEnd w:id="580"/>
      <w:r>
        <w:rPr>
          <w:rtl w:val="true"/>
        </w:rPr>
        <w:t>تذنیب فی تکلیف الکفّار بالفروع و عدمه</w:t>
      </w:r>
      <w:bookmarkEnd w:id="581"/>
    </w:p>
    <w:p>
      <w:pPr>
        <w:pStyle w:val="Heading6"/>
        <w:numPr>
          <w:ilvl w:val="5"/>
          <w:numId w:val="1"/>
        </w:numPr>
        <w:rPr/>
      </w:pPr>
      <w:bookmarkStart w:id="582" w:name="__RefHeading___Toc559748_3244359995"/>
      <w:bookmarkStart w:id="583" w:name="_Toc217"/>
      <w:bookmarkEnd w:id="582"/>
      <w:r>
        <w:rPr>
          <w:rtl w:val="true"/>
        </w:rPr>
        <w:t>اشارة</w:t>
      </w:r>
      <w:bookmarkEnd w:id="583"/>
    </w:p>
    <w:p>
      <w:pPr>
        <w:pStyle w:val="BookText"/>
        <w:rPr/>
      </w:pPr>
      <w:r>
        <w:rPr>
          <w:rFonts w:ascii="IRNazanin" w:hAnsi="IRNazanin" w:eastAsia="IRNazanin"/>
          <w:color w:val="111111"/>
          <w:sz w:val="28"/>
          <w:sz w:val="28"/>
          <w:szCs w:val="28"/>
          <w:rtl w:val="true"/>
          <w:lang w:bidi="fa-IR"/>
        </w:rPr>
        <w:t>فی خصوص تکلیف الکفّار بالفروع خلاف انسحب ذیله إلی التمسّک بالأدلّة النقلیّة کتابا و سنّة، بعد ظهور الخلاف بین العامّة و الخاصّة، فمن العامّة ذهب أبو حنیفة إلی عدم تکلیفهم بها</w:t>
      </w:r>
      <w:r>
        <w:rPr>
          <w:rStyle w:val="FootnoteAnchor"/>
          <w:rtl w:val="true"/>
        </w:rPr>
        <w:footnoteReference w:id="751"/>
      </w:r>
      <w:r>
        <w:rPr>
          <w:rFonts w:ascii="IRNazanin" w:hAnsi="IRNazanin" w:eastAsia="IRNazanin"/>
          <w:color w:val="111111"/>
          <w:sz w:val="28"/>
          <w:sz w:val="28"/>
          <w:szCs w:val="28"/>
          <w:rtl w:val="true"/>
          <w:lang w:bidi="fa-IR"/>
        </w:rPr>
        <w:t xml:space="preserve">، و من الخاصّة ذهب الکاشانیّ </w:t>
      </w:r>
      <w:r>
        <w:rPr>
          <w:rStyle w:val="FootnoteAnchor"/>
          <w:rtl w:val="true"/>
        </w:rPr>
        <w:footnoteReference w:id="752"/>
      </w:r>
      <w:r>
        <w:rPr>
          <w:rFonts w:ascii="IRNazanin" w:hAnsi="IRNazanin" w:eastAsia="IRNazanin"/>
          <w:color w:val="111111"/>
          <w:sz w:val="28"/>
          <w:sz w:val="28"/>
          <w:szCs w:val="28"/>
          <w:rtl w:val="true"/>
          <w:lang w:bidi="fa-IR"/>
        </w:rPr>
        <w:t xml:space="preserve">، و أصرّ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Style w:val="FootnoteAnchor"/>
          <w:rtl w:val="true"/>
        </w:rPr>
        <w:footnoteReference w:id="753"/>
      </w:r>
      <w:r>
        <w:rPr>
          <w:rFonts w:ascii="IRNazanin" w:hAnsi="IRNazanin" w:eastAsia="IRNazanin"/>
          <w:color w:val="111111"/>
          <w:sz w:val="28"/>
          <w:sz w:val="28"/>
          <w:szCs w:val="28"/>
          <w:rtl w:val="true"/>
          <w:lang w:bidi="fa-IR"/>
        </w:rPr>
        <w:t xml:space="preserve">و یظهر من السبزواریّ أنّ تحقیق هذا المقام من المشکلات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4" w:name="__RefHeading___Toc559750_3244359995"/>
      <w:bookmarkStart w:id="585" w:name="_Toc218"/>
      <w:bookmarkEnd w:id="584"/>
      <w:r>
        <w:rPr>
          <w:rtl w:val="true"/>
        </w:rPr>
        <w:t>الوجوه التی یمکن التمسّک بها فی المقام</w:t>
      </w:r>
      <w:bookmarkEnd w:id="585"/>
    </w:p>
    <w:p>
      <w:pPr>
        <w:pStyle w:val="Heading6"/>
        <w:numPr>
          <w:ilvl w:val="5"/>
          <w:numId w:val="1"/>
        </w:numPr>
        <w:rPr/>
      </w:pPr>
      <w:bookmarkStart w:id="586" w:name="__RefHeading___Toc559752_3244359995"/>
      <w:bookmarkStart w:id="587" w:name="_Toc219"/>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و حیث یناسب البحث فی المقام، فلا بأس بالإشارة الإجمالیّة إلی وجوه الکلام</w:t>
      </w:r>
      <w:r>
        <w:rPr>
          <w:rFonts w:eastAsia="IRNazanin" w:cs="IRNazanin"/>
          <w:color w:val="111111"/>
          <w:sz w:val="28"/>
          <w:szCs w:val="28"/>
          <w:rtl w:val="true"/>
          <w:lang w:bidi="fa-IR"/>
        </w:rPr>
        <w:t>:</w:t>
      </w:r>
    </w:p>
    <w:p>
      <w:pPr>
        <w:pStyle w:val="Heading6"/>
        <w:numPr>
          <w:ilvl w:val="5"/>
          <w:numId w:val="1"/>
        </w:numPr>
        <w:rPr/>
      </w:pPr>
      <w:bookmarkStart w:id="588" w:name="__RefHeading___Toc559754_3244359995"/>
      <w:bookmarkStart w:id="589" w:name="_Toc220"/>
      <w:bookmarkEnd w:id="588"/>
      <w:r>
        <w:rPr>
          <w:rtl w:val="true"/>
        </w:rPr>
        <w:t>الوجه الأوّل</w:t>
      </w:r>
      <w:r>
        <w:rPr>
          <w:rtl w:val="true"/>
        </w:rPr>
        <w:t>:</w:t>
      </w:r>
      <w:bookmarkEnd w:id="589"/>
    </w:p>
    <w:p>
      <w:pPr>
        <w:pStyle w:val="BookText"/>
        <w:rPr/>
      </w:pPr>
      <w:r>
        <w:rPr>
          <w:rFonts w:ascii="IRNazanin" w:hAnsi="IRNazanin" w:eastAsia="IRNazanin"/>
          <w:color w:val="111111"/>
          <w:sz w:val="28"/>
          <w:sz w:val="28"/>
          <w:szCs w:val="28"/>
          <w:rtl w:val="true"/>
          <w:lang w:bidi="fa-IR"/>
        </w:rPr>
        <w:t>أنّ الخطابات و القوانین الموضوعة فی الکتاب مختلفة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یستظهر منها اختصاص الحکم بالمؤمنین،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الصِّیامُ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أَنْفِقُوا مِمَّا رَزَقْناکُمْ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أَنْفِقُوا مِنْ طَیِّباتِ ما کَسَبْتُمْ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تُبْطِلُوا صَدَقاتِکُمْ بِالْمَنِّ وَ الْأَذی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اللَّهَ وَ ذَرُوا ما بَقِیَ مِنَ الرِّبا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تَدایَنْتُمْ بِدَیْنٍ إِلی أَجَلٍ مُسَمًّی فَاکْتُبُوهُ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کُتِبَ عَلَیْکُمُ الْقِصاصُ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اسْتَعِینُوا بِالصَّبْرِ وَ الصَّلاةِ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تَأْکُلُوا الرِّبَوا أَضْعافاً مُضاعَفَةً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یَحِلُّ لَکُمْ أَنْ تَرِثُوا النِّساءَ کَرْهاً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تَأْکُلُوا أَمْوالَکُمْ بَیْنَکُمْ بِالْباطِلِ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تُحِلُّوا شَعائِرَ اللَّهِ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قُمْتُمْ إِلَی الصَّلاةِ فَاغْسِلُوا وُجُوهَکُمْ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الْخَمْرُ وَ الْمَیْسِرُ وَ الْأَنْصابُ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تَقْتُلُوا الصَّیْدَ وَ أَنْتُمْ حُرُمٌ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لَیَبْلُوَنَّکُمُ اللَّهُ بِشَیْ‌ءٍ مِنَ الصَّیْدِ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غیر ذلک من الآیات المتکفّلة للأحکام الکلّیة و الجزئیّة، المصدّرة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Style w:val="FootnoteAnchor"/>
          <w:rtl w:val="true"/>
        </w:rPr>
        <w:footnoteReference w:id="774"/>
      </w:r>
      <w:r>
        <w:rPr>
          <w:rFonts w:ascii="IRNazanin" w:hAnsi="IRNazanin" w:eastAsia="IRNazanin"/>
          <w:color w:val="111111"/>
          <w:sz w:val="28"/>
          <w:sz w:val="28"/>
          <w:szCs w:val="28"/>
          <w:rtl w:val="true"/>
          <w:lang w:bidi="fa-IR"/>
        </w:rPr>
        <w:t>الموجب لاختصاص الخطاب و القانون بالمؤمنین، حسب النّظر البدوی و الرّأی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القبیل فی وجه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یا أَیُّهَا الَّذِینَ آمَنُوا تُوبُوا إِلَی اللَّهِ تَوْبَةً نَصُوحاً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آمِنُوا بِاللَّهِ وَ رَسُولِهِ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علی الأعمّ،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حُسْناً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وَصَّیْنَا الْإِنْسانَ بِوالِدَیْهِ إِحْساناً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خُذُوا زِینَتَکُمْ عِنْدَ کُلِّ مَسْجِدٍ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اعْبُدُوا رَبَّکُمُ الَّذِی خَلَقَکُمْ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جَعَلْنَا الْبَیْتَ مَثابَةً لِلنَّاسِ وَ أَمْناً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أُنْزِلَ فِیهِ الْقُرْآنُ هُدیً لِلنَّاسِ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یُبَیِّنُ اللَّهُ آیاتِهِ لِلنَّاسِ لَعَلَّهُمْ یَتَّقُونَ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هِیَ مَواقِیتُ لِلنَّاسِ وَ الْحَجِ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حَیْثُ أَفاضَ النَّاسُ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الَّذِی خَلَقَکُمْ مِنْ نَفْسٍ واحِدَةٍ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الَّذِینَ إِذَا اکْتالُوا عَلَی النَّاسِ یَسْتَوْفُونَ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غیر ذلک ممّا یطّلع علیه المتتبّع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جملة منها و من الأخبار المصرّحة بأنّ اللَّه فرض علی العباد کذا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یسری الحکم إلی جمیع الأحکام بالإجماع المرکّب القطعیّ، أو ینقّح المناط کذلک</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أکثریّة الطائفة الأُولی أوّلا، و قضیّة کون عنوان الطائفة الثانیة أعمّ، هو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المقید هو الإجماع علی عدم القول بالفصل، و لا یکفی عدم القول بالفصل بالإجماع المرکّب، و لا سبیل إلی التنقیح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ذلک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العامّ علی الخاصّ، و المطلق علی المقیّد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فی غیر المقام، کما لا یخفی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الأُولی مخصوصة بالمؤمنین فی العصر الأوّل،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w:t>
      </w:r>
      <w:r>
        <w:rPr>
          <w:rStyle w:val="FootnoteAnchor"/>
          <w:rtl w:val="true"/>
        </w:rPr>
        <w:footnoteReference w:id="794"/>
      </w:r>
      <w:r>
        <w:rPr>
          <w:rFonts w:ascii="IRNazanin" w:hAnsi="IRNazanin" w:eastAsia="IRNazanin"/>
          <w:color w:val="111111"/>
          <w:sz w:val="28"/>
          <w:sz w:val="28"/>
          <w:szCs w:val="28"/>
          <w:rtl w:val="true"/>
          <w:lang w:bidi="fa-IR"/>
        </w:rPr>
        <w:t>صلی اللَّه علیه و آله و سلم و لأمثاله، فهی غیر مسموعة، لعدم سرایة القرینة إلی تلک الآیات العامّة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الطائفة الأُولی أعمّ، و إنّما جی‌ء بالأخصّ تشریفا للمؤمنین، کما جی‌ء بالمذکّر تشریفا للرجال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آمِنُوا</w:t>
      </w:r>
      <w:r>
        <w:rPr>
          <w:rStyle w:val="FootnoteAnchor"/>
          <w:rtl w:val="true"/>
        </w:rPr>
        <w:footnoteReference w:id="79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w:t>
      </w:r>
      <w:r>
        <w:rPr>
          <w:rStyle w:val="FootnoteAnchor"/>
          <w:rtl w:val="true"/>
        </w:rPr>
        <w:footnoteReference w:id="797"/>
      </w:r>
      <w:r>
        <w:rPr>
          <w:rFonts w:ascii="Amiri" w:hAnsi="Amiri" w:eastAsia="Amiri" w:cs="Amiri"/>
          <w:color w:val="111111"/>
          <w:sz w:val="28"/>
          <w:sz w:val="28"/>
          <w:szCs w:val="28"/>
          <w:rtl w:val="true"/>
          <w:lang w:bidi="ar-SA"/>
        </w:rPr>
        <w:t>و هکذا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أَنْفُسَکُمْ </w:t>
      </w:r>
      <w:r>
        <w:rPr>
          <w:rStyle w:val="FootnoteAnchor"/>
          <w:rtl w:val="true"/>
        </w:rPr>
        <w:footnoteReference w:id="798"/>
      </w:r>
      <w:r>
        <w:rPr>
          <w:rFonts w:ascii="Amiri" w:hAnsi="Amiri" w:eastAsia="Amiri" w:cs="Amiri"/>
          <w:color w:val="111111"/>
          <w:sz w:val="28"/>
          <w:sz w:val="28"/>
          <w:szCs w:val="28"/>
          <w:rtl w:val="true"/>
          <w:lang w:bidi="ar-SA"/>
        </w:rPr>
        <w:t>ممّا مرّت آیاته، فإنّ جمیع ذلک یشهد علی الأعمّیة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أیضا غیر نقیّة، و ذلک لأنّ من المحتمل إرادة الإیمان الخاصّ فی الآیة الأولی، أو الإیمان المقرون بالعمل، و مجرّد کونه علی الفرض للتشریف، لا یکفی لحمل تلک الطائفة بکثرتها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الثانیة فربّما یختصّ ذلک بهم، لما أنّ غیرهم لا یستتابون، و هکذا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دلالة القضیّة بمدالیلها الوضعیّة علی الأخصّ، لا سبیل إلی حملها علی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دلیل الأعمّیة، فیکون قرینة علی أعمّیة الطائفة الأُولی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الهیئة فی هذه الآیة لیست نفسیّة، بل هی إرشادیّة، ضرورة أنّ ما هو الواجب شرعا هی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الصوم، و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العبادیّات، دون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بذاتها، و حیث إنّ موضوع العناوین المزبورة هو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الأخصّ محفوظا بحاله، فلا تدلّ</w:t>
      </w:r>
      <w:bookmarkStart w:id="590" w:name="pg13167_141016"/>
    </w:p>
    <w:p>
      <w:pPr>
        <w:pStyle w:val="BookText"/>
        <w:rPr/>
      </w:pPr>
      <w:bookmarkEnd w:id="590"/>
      <w:r>
        <w:rPr>
          <w:rFonts w:ascii="IRNazanin" w:hAnsi="IRNazanin" w:eastAsia="IRNazanin"/>
          <w:color w:val="111111"/>
          <w:sz w:val="28"/>
          <w:sz w:val="28"/>
          <w:szCs w:val="28"/>
          <w:rtl w:val="true"/>
          <w:lang w:bidi="fa-IR"/>
        </w:rPr>
        <w:t>الآیة علی أنّ الکفّار مکلّفون شرعا بالعبادة بما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الطائفة الأُولی أولی بالقرینة علی الثانیة من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لأحدٍ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الطائفة الأُولی تختصّ بالمؤمنین و أهل الولایة، لظهور الإیمان فی ذلک، أو لأنّه فسّر فی أخبارنا بذلک، أو لأنّ أهل الخلاف من الکافرین، کما علیه بعض أصحابنا</w:t>
      </w:r>
      <w:r>
        <w:rPr>
          <w:rStyle w:val="FootnoteAnchor"/>
          <w:rtl w:val="true"/>
        </w:rPr>
        <w:footnoteReference w:id="800"/>
      </w:r>
      <w:r>
        <w:rPr>
          <w:rFonts w:ascii="IRNazanin" w:hAnsi="IRNazanin" w:eastAsia="IRNazanin"/>
          <w:color w:val="111111"/>
          <w:sz w:val="28"/>
          <w:sz w:val="28"/>
          <w:szCs w:val="28"/>
          <w:rtl w:val="true"/>
          <w:lang w:bidi="fa-IR"/>
        </w:rPr>
        <w:t>، فلا یکلّفون بالفروع أیضا،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مفاد الطائفة الأُولی لا یورث عدم کون الکفّار مکلّفین بالفروع بالضرورة، فلو دلّ الدلیل علی أنّ القرآن هدی للناس، کما مرّ فی آیات الطائفة الثانیة، أو دلّ علی أنّ اللَّه تعالی یبیّن آیاته للناس، کما فیها أیضا، فقضیّة إطلاقهما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عموم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الناس فی جمیع أنحاء الهدایات، و اشتراکهم فی الآیات المبیّنة، فلیتأمّل جیّدا</w:t>
      </w:r>
      <w:r>
        <w:rPr>
          <w:rFonts w:eastAsia="IRNazanin" w:cs="IRNazanin"/>
          <w:color w:val="111111"/>
          <w:sz w:val="28"/>
          <w:szCs w:val="28"/>
          <w:rtl w:val="true"/>
          <w:lang w:bidi="fa-IR"/>
        </w:rPr>
        <w:t>.</w:t>
      </w:r>
    </w:p>
    <w:p>
      <w:pPr>
        <w:pStyle w:val="Heading6"/>
        <w:numPr>
          <w:ilvl w:val="5"/>
          <w:numId w:val="1"/>
        </w:numPr>
        <w:rPr/>
      </w:pPr>
      <w:bookmarkStart w:id="591" w:name="__RefHeading___Toc559756_3244359995"/>
      <w:bookmarkStart w:id="592" w:name="_Toc221"/>
      <w:bookmarkEnd w:id="591"/>
      <w:r>
        <w:rPr>
          <w:rtl w:val="true"/>
        </w:rPr>
        <w:t>الوجه الثانی</w:t>
      </w:r>
      <w:r>
        <w:rPr>
          <w:rtl w:val="true"/>
        </w:rPr>
        <w:t>:</w:t>
      </w:r>
      <w:bookmarkEnd w:id="592"/>
    </w:p>
    <w:p>
      <w:pPr>
        <w:pStyle w:val="BookText"/>
        <w:rPr/>
      </w:pPr>
      <w:r>
        <w:rPr>
          <w:rFonts w:ascii="IRNazanin" w:hAnsi="IRNazanin" w:eastAsia="IRNazanin"/>
          <w:color w:val="111111"/>
          <w:sz w:val="28"/>
          <w:sz w:val="28"/>
          <w:szCs w:val="28"/>
          <w:rtl w:val="true"/>
          <w:lang w:bidi="fa-IR"/>
        </w:rPr>
        <w:t>ما أُشیر إلیه أخیرا، و هو أنّ قضیّة جملة من الآیات الشریفة أنّ الکتاب العزیز و القرآن کتاب الهدایة، و أنّه یهدی الناس من غیر کونه متقیّدا بطائفة، أو بجملة من الهدایات، بل لها إطلاق من الوجوه المحتملة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w:t>
      </w:r>
      <w:r>
        <w:rPr>
          <w:rStyle w:val="FootnoteAnchor"/>
          <w:rtl w:val="true"/>
        </w:rPr>
        <w:footnoteReference w:id="801"/>
      </w:r>
      <w:r>
        <w:rPr>
          <w:rFonts w:ascii="Amiri" w:hAnsi="Amiri" w:eastAsia="Amiri" w:cs="Amiri"/>
          <w:color w:val="111111"/>
          <w:sz w:val="28"/>
          <w:sz w:val="28"/>
          <w:szCs w:val="28"/>
          <w:rtl w:val="true"/>
          <w:lang w:bidi="ar-SA"/>
        </w:rPr>
        <w:t>و هذه الآیة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 عَلَی الْإِنْسانِ حِینٌ مِنَ الدَّهْرِ</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اختصاصها بالهدایة إلی الأصول دون الفروع، غیر موجّه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الکثیرة من الآیات المشتملة علی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التوهّم المزبور یندفع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یَهْدِ قَلْبَهُ </w:t>
      </w:r>
      <w:r>
        <w:rPr>
          <w:rStyle w:val="FootnoteAnchor"/>
          <w:rtl w:val="true"/>
        </w:rPr>
        <w:footnoteReference w:id="804"/>
      </w:r>
      <w:r>
        <w:rPr>
          <w:rFonts w:ascii="IRNazanin" w:hAnsi="IRNazanin" w:eastAsia="IRNazanin"/>
          <w:color w:val="111111"/>
          <w:sz w:val="28"/>
          <w:sz w:val="28"/>
          <w:szCs w:val="28"/>
          <w:rtl w:val="true"/>
          <w:lang w:bidi="fa-IR"/>
        </w:rPr>
        <w:t>فیعلم منه أنّ الهدایة أعمّ، و أنّ موضوعها أیضا أعمّ، و لا تختصّ بالأُصول و لا بالفروع بالنسبة إلی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من الآیات نظیر الطائفة الأُخری المشتملة علی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لا تکون فی مقام الترغیب و بعث الناس إلی الهدایة، فی غایة الوهن، بعد کون الکتاب کتاب الهدایة و الإرشاد إِنَّ هذَا الْقُرْآنَ یَهْدِی لِلَّتِی هِیَ أَقْوَمُ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w:t>
      </w:r>
      <w:r>
        <w:rPr>
          <w:rStyle w:val="FootnoteAnchor"/>
          <w:rtl w:val="true"/>
        </w:rPr>
        <w:footnoteReference w:id="807"/>
      </w:r>
      <w:r>
        <w:rPr>
          <w:rFonts w:ascii="IRNazanin" w:hAnsi="IRNazanin" w:eastAsia="IRNazanin"/>
          <w:color w:val="111111"/>
          <w:sz w:val="28"/>
          <w:sz w:val="28"/>
          <w:szCs w:val="28"/>
          <w:rtl w:val="true"/>
          <w:lang w:bidi="fa-IR"/>
        </w:rPr>
        <w:t>أی صدّقنا، و هذا لیس هو الإیمان بالأُصول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یشبه ذلک الوجه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قَدْ جاءَکُمُ الْحَقُّ مِنْ رَبِّکُمْ فَمَنِ اهْتَدی فَإِنَّما یَهْتَدِی لِنَفْسِهِ وَ مَنْ ضَلَّ فَإِنَّما یَضِلُّ عَلَیْها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قصور الآیات فی الطائفة الأُولی المذکورة فی الوجه الأوّل </w:t>
      </w:r>
      <w:r>
        <w:rPr>
          <w:rStyle w:val="FootnoteAnchor"/>
          <w:rtl w:val="true"/>
        </w:rPr>
        <w:footnoteReference w:id="809"/>
      </w:r>
      <w:r>
        <w:rPr>
          <w:rFonts w:ascii="IRNazanin" w:hAnsi="IRNazanin" w:eastAsia="IRNazanin"/>
          <w:color w:val="111111"/>
          <w:sz w:val="28"/>
          <w:sz w:val="28"/>
          <w:szCs w:val="28"/>
          <w:rtl w:val="true"/>
          <w:lang w:bidi="fa-IR"/>
        </w:rPr>
        <w:t>عن سریان حکمها إلی مطلق الناس، لا یلازم کون القرآن دلیلا من وجهٍ</w:t>
      </w:r>
      <w:r>
        <w:rPr>
          <w:rFonts w:eastAsia="IRNazanin" w:cs="IRNazanin"/>
          <w:color w:val="111111"/>
          <w:sz w:val="28"/>
          <w:szCs w:val="28"/>
          <w:rtl w:val="true"/>
          <w:lang w:bidi="fa-IR"/>
        </w:rPr>
        <w:t>.</w:t>
      </w:r>
      <w:bookmarkStart w:id="593" w:name="pg13167_141018"/>
    </w:p>
    <w:p>
      <w:pPr>
        <w:pStyle w:val="BookText"/>
        <w:rPr/>
      </w:pPr>
      <w:bookmarkEnd w:id="593"/>
      <w:r>
        <w:rPr>
          <w:rFonts w:ascii="IRNazanin" w:hAnsi="IRNazanin" w:eastAsia="IRNazanin"/>
          <w:color w:val="111111"/>
          <w:sz w:val="28"/>
          <w:sz w:val="28"/>
          <w:szCs w:val="28"/>
          <w:rtl w:val="true"/>
          <w:lang w:bidi="fa-IR"/>
        </w:rPr>
        <w:t>آخر علی اشتراک الناس فی مطلق الأحکام، فالهدایات و الإرشادات القرآنیّة أعمّ من الاهتداء الاعتقادیّ و العملیّ، فیکون الکفّار مکلّفین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لکون الفرع إرشادا بعد توقّفه علی الأصل وجودا و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مطلق الفروع متوقّفة علی الأُصول، فإنّ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العبادیّة منها کما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مرهونة بها، و هکذا التوصّلیات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التوقّف قصورا فی ذلک، کما یکون المؤمن مکلّفا بذی المقدّمة و المقدّمة، و بالمشروط و الشرط و هکذا، فدعوی قصور هذه الآیات عن إفادة شرکة الکفّار مع المؤمنین فی الحکم و التکالیف الإلهیّة، غیر جیّدة، فتدبّر جدّاً، و تأمّل تعرف</w:t>
      </w:r>
      <w:r>
        <w:rPr>
          <w:rFonts w:eastAsia="IRNazanin" w:cs="IRNazanin"/>
          <w:color w:val="111111"/>
          <w:sz w:val="28"/>
          <w:szCs w:val="28"/>
          <w:rtl w:val="true"/>
          <w:lang w:bidi="fa-IR"/>
        </w:rPr>
        <w:t>.</w:t>
      </w:r>
    </w:p>
    <w:p>
      <w:pPr>
        <w:pStyle w:val="Heading6"/>
        <w:numPr>
          <w:ilvl w:val="5"/>
          <w:numId w:val="1"/>
        </w:numPr>
        <w:rPr/>
      </w:pPr>
      <w:bookmarkStart w:id="594" w:name="__RefHeading___Toc559758_3244359995"/>
      <w:bookmarkStart w:id="595" w:name="_Toc222"/>
      <w:bookmarkEnd w:id="594"/>
      <w:r>
        <w:rPr>
          <w:rtl w:val="true"/>
        </w:rPr>
        <w:t>الوجه الثالث</w:t>
      </w:r>
      <w:r>
        <w:rPr>
          <w:rtl w:val="true"/>
        </w:rPr>
        <w:t>:</w:t>
      </w:r>
      <w:bookmarkEnd w:id="595"/>
    </w:p>
    <w:p>
      <w:pPr>
        <w:pStyle w:val="BookText"/>
        <w:rPr/>
      </w:pPr>
      <w:r>
        <w:rPr>
          <w:rFonts w:ascii="IRNazanin" w:hAnsi="IRNazanin" w:eastAsia="IRNazanin"/>
          <w:color w:val="111111"/>
          <w:sz w:val="28"/>
          <w:sz w:val="28"/>
          <w:szCs w:val="28"/>
          <w:rtl w:val="true"/>
          <w:lang w:bidi="fa-IR"/>
        </w:rPr>
        <w:t>لا شبهة فی أنّ الکفّار مکلّفون بالإسلام و الإیمان، و إذا کان الإسلام هو الاعتقاد بالشهادتین و إظهارهما، و من ذلک الاعتقاد بما جاء به النبیّ صلی اللَّه علیه و آله و سلم فیجب علی الکافر الاعتقاد المزبور، و هل یمکن بعد ذلک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علیه الاعتقاد بأنّ المؤمن مکلّف بما جاء به النبیّ صلی اللَّه علیه و آله و سلم دون من لم یسلم و لم یؤمن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ضروریّ البطلان، 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الاعتقاد بأنّ ما جاء به النبیّ صلی اللَّه علیه و آله و سلم من الأحکام، عامّ مشترک فیه الناس، فتأمّل فإنّه کما تری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الأخبار</w:t>
      </w:r>
      <w:r>
        <w:rPr>
          <w:rStyle w:val="FootnoteAnchor"/>
          <w:rtl w:val="true"/>
        </w:rPr>
        <w:footnoteReference w:id="810"/>
      </w:r>
      <w:r>
        <w:rPr>
          <w:rFonts w:ascii="IRNazanin" w:hAnsi="IRNazanin" w:eastAsia="IRNazanin"/>
          <w:color w:val="111111"/>
          <w:sz w:val="28"/>
          <w:sz w:val="28"/>
          <w:szCs w:val="28"/>
          <w:rtl w:val="true"/>
          <w:lang w:bidi="fa-IR"/>
        </w:rPr>
        <w:t>دلالة علی أنّ الإسلام و الإیمان لیسا محض التصدیق، بل العمل جزء منهما أیضا، فیکونون مکلّفین</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596" w:name="pg13167_141019"/>
    </w:p>
    <w:p>
      <w:pPr>
        <w:pStyle w:val="BookText"/>
        <w:rPr/>
      </w:pPr>
      <w:bookmarkEnd w:id="596"/>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 لا یمکن الالتزام به</w:t>
      </w:r>
      <w:r>
        <w:rPr>
          <w:rFonts w:eastAsia="IRNazanin" w:cs="IRNazanin"/>
          <w:color w:val="111111"/>
          <w:sz w:val="28"/>
          <w:szCs w:val="28"/>
          <w:rtl w:val="true"/>
          <w:lang w:bidi="fa-IR"/>
        </w:rPr>
        <w:t>.</w:t>
      </w:r>
    </w:p>
    <w:p>
      <w:pPr>
        <w:pStyle w:val="Heading6"/>
        <w:numPr>
          <w:ilvl w:val="5"/>
          <w:numId w:val="1"/>
        </w:numPr>
        <w:rPr/>
      </w:pPr>
      <w:bookmarkStart w:id="597" w:name="__RefHeading___Toc559760_3244359995"/>
      <w:bookmarkStart w:id="598" w:name="_Toc223"/>
      <w:bookmarkEnd w:id="597"/>
      <w:r>
        <w:rPr>
          <w:rtl w:val="true"/>
        </w:rPr>
        <w:t>الوجه الرابع</w:t>
      </w:r>
      <w:r>
        <w:rPr>
          <w:rtl w:val="true"/>
        </w:rPr>
        <w:t>:</w:t>
      </w:r>
      <w:bookmarkEnd w:id="598"/>
    </w:p>
    <w:p>
      <w:pPr>
        <w:pStyle w:val="BookText"/>
        <w:rPr/>
      </w:pPr>
      <w:r>
        <w:rPr>
          <w:rFonts w:ascii="Amiri" w:hAnsi="Amiri" w:eastAsia="Amiri" w:cs="Amiri"/>
          <w:color w:val="111111"/>
          <w:sz w:val="28"/>
          <w:sz w:val="28"/>
          <w:szCs w:val="28"/>
          <w:rtl w:val="true"/>
          <w:lang w:bidi="ar-SA"/>
        </w:rPr>
        <w:t>أنّ قضیّة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وَیْلٌ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کَذَّبَ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Style w:val="FootnoteAnchor"/>
          <w:rtl w:val="true"/>
        </w:rPr>
        <w:footnoteReference w:id="814"/>
      </w:r>
      <w:r>
        <w:rPr>
          <w:rFonts w:ascii="IRNazanin" w:hAnsi="IRNazanin" w:eastAsia="IRNazanin"/>
          <w:color w:val="111111"/>
          <w:sz w:val="28"/>
          <w:sz w:val="28"/>
          <w:szCs w:val="28"/>
          <w:rtl w:val="true"/>
          <w:lang w:bidi="fa-IR"/>
        </w:rPr>
        <w:t>اشتراکهم معهم فی العبادیّات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الآیات تشهد علی أنّ العناوین المخصوصة کنائیّة تشریفیّة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یتوجّه إلی الآیة الأولی ما رواه الثقة الجلیل فی تفسیرها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إدریس، عن أحمد بن محمّد، عن ابن محبوب، عن أبی جمیل، عن أبان ابن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أبان، أ تری أنّ اللَّه عزّ و جلّ طلب من المشرکین زکاة أموالهم و هم یشرکون به،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وَیْلٌ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جعلت فداک؟ فسّره لی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للمشرکین الذین أشرکوا بالإمام الأوّل و هم بالأئمّة الآخرین کافرون، یا أبان، إنّما دعا اللَّه العباد إلی الإیمان به، فإذا آمنوا باللَّه و برسوله افترض علیهم الفرائض</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لا ضعف السند بأبی جمیل المهمل کان الأمر متعیّنا عندنا، و إن کان لإعراض المشهور عنه أیضا 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حجّیة الخبر الواحد فی هذه المسألة محلّ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اعتبار مشایخ علیّ بن إبراهیم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ما قال فی ابتداء الکتاب </w:t>
      </w:r>
      <w:r>
        <w:rPr>
          <w:rStyle w:val="FootnoteAnchor"/>
          <w:rtl w:val="true"/>
        </w:rPr>
        <w:footnoteReference w:id="816"/>
      </w:r>
      <w:r>
        <w:rPr>
          <w:rFonts w:ascii="IRNazanin" w:hAnsi="IRNazanin" w:eastAsia="IRNazanin"/>
          <w:color w:val="111111"/>
          <w:sz w:val="28"/>
          <w:sz w:val="28"/>
          <w:szCs w:val="28"/>
          <w:rtl w:val="true"/>
          <w:lang w:bidi="fa-IR"/>
        </w:rPr>
        <w:t>غیر واضحة، و غیر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ذهاب أبی حنیفة إلی هذه المقالة</w:t>
      </w:r>
      <w:r>
        <w:rPr>
          <w:rStyle w:val="FootnoteAnchor"/>
          <w:rtl w:val="true"/>
        </w:rPr>
        <w:footnoteReference w:id="817"/>
      </w:r>
      <w:r>
        <w:rPr>
          <w:rFonts w:ascii="IRNazanin" w:hAnsi="IRNazanin" w:eastAsia="IRNazanin"/>
          <w:color w:val="111111"/>
          <w:sz w:val="28"/>
          <w:sz w:val="28"/>
          <w:szCs w:val="28"/>
          <w:rtl w:val="true"/>
          <w:lang w:bidi="fa-IR"/>
        </w:rPr>
        <w:t>ربّما یؤیّد الدواعی علی نشر الأکاذیب، و یحثّهم علی الدسّ فی أخبار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المناقشة فی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هذه الروایة ربّما زیدت علیه، فهی لو کانت مسموعة لا نسدّ باب التمسّک بکثیر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النراقیّ کون الروایة فی حکم التأویل غیر المنافی لحجّیة الظاهر</w:t>
      </w:r>
      <w:r>
        <w:rPr>
          <w:rStyle w:val="FootnoteAnchor"/>
          <w:rtl w:val="true"/>
        </w:rPr>
        <w:footnoteReference w:id="818"/>
      </w:r>
      <w:r>
        <w:rPr>
          <w:rFonts w:ascii="IRNazanin" w:hAnsi="IRNazanin" w:eastAsia="IRNazanin"/>
          <w:color w:val="111111"/>
          <w:sz w:val="28"/>
          <w:sz w:val="28"/>
          <w:szCs w:val="28"/>
          <w:rtl w:val="true"/>
          <w:lang w:bidi="fa-IR"/>
        </w:rPr>
        <w:t>، غیر وجیه، لأنّ ذیلها صریح فی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تقصر عن إثبات عموم المدّعی، فهی مسموعة، کما مرّ الإیماء إلیه، و لا إجماع علی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الآیة الثالثة أیضا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الحاکی لسبب نزولها، الموجب لکون موردها المسلّم معاویة غیر المصدّق بولایة علیّ علیه السلام </w:t>
      </w:r>
      <w:r>
        <w:rPr>
          <w:rStyle w:val="FootnoteAnchor"/>
          <w:rtl w:val="true"/>
        </w:rPr>
        <w:footnoteReference w:id="819"/>
      </w:r>
      <w:r>
        <w:rPr>
          <w:rFonts w:ascii="IRNazanin" w:hAnsi="IRNazanin" w:eastAsia="IRNazanin"/>
          <w:color w:val="111111"/>
          <w:sz w:val="28"/>
          <w:sz w:val="28"/>
          <w:szCs w:val="28"/>
          <w:rtl w:val="true"/>
          <w:lang w:bidi="fa-IR"/>
        </w:rPr>
        <w:t>و لکنّ الشأن عدم تمامیّة ذلک علی وجه یکون حجّة شرعیّة مع ما فیه من قصور یشهده المراجع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مقتضی ما حکاه هو کفر معاویة، لما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اتکأ علی المغیرة</w:t>
      </w:r>
    </w:p>
    <w:p>
      <w:pPr>
        <w:pStyle w:val="BookText"/>
        <w:rPr/>
      </w:pPr>
      <w:r>
        <w:rPr>
          <w:rFonts w:ascii="IRNazanin" w:hAnsi="IRNazanin" w:eastAsia="IRNazanin"/>
          <w:color w:val="111111"/>
          <w:sz w:val="28"/>
          <w:sz w:val="28"/>
          <w:szCs w:val="28"/>
          <w:rtl w:val="true"/>
          <w:lang w:bidi="fa-IR"/>
        </w:rPr>
        <w:t>بن شعبة و أبی موسی الأشعریّ، ثمّ أقبل یتمطّی نحو أهله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نقرّ لعلیّ بالولایة أبدا، و لا نصدّق محمّدا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یورث کفره و ارتداده و لو کان هو مأخوذا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صَلَّی یلزم کونه مکلّفا بعد الارتداد و الکفر بالصلاة،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الآیة الثانیة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نَکُ مِنَ الْمُصَلِّینَ أی لم نک من أتباع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حقوق آل محمّد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فهو غیر مسند إلی أهل البیت علیهم السلام فربّما کان هو من القائلین بعدم تکلیف الکفّار بالفروع، فرأی فی الآیات ما رامه،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الإشکالات کثیرة حول الآیات، من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زکاة الأبدان بتزکیتها، و غیر ذلک من الاختلاف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المفسّرین </w:t>
      </w:r>
      <w:r>
        <w:rPr>
          <w:rStyle w:val="FootnoteAnchor"/>
          <w:rtl w:val="true"/>
        </w:rPr>
        <w:footnoteReference w:id="820"/>
      </w:r>
      <w:r>
        <w:rPr>
          <w:rFonts w:ascii="IRNazanin" w:hAnsi="IRNazanin" w:eastAsia="IRNazanin"/>
          <w:color w:val="111111"/>
          <w:sz w:val="28"/>
          <w:sz w:val="28"/>
          <w:szCs w:val="28"/>
          <w:rtl w:val="true"/>
          <w:lang w:bidi="fa-IR"/>
        </w:rPr>
        <w:t xml:space="preserve">، و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الدعاء، إلاّ أنّ کلّها لا توجب إجمالها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قبیل هذه الآیات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 أَصْلَحَ فَلا خَوْفٌ عَلَیْهِمْ وَ لا هُمْ یَحْزَنُونَ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نُرَدُّ فَنَعْمَلَ غَیْرَ الَّذِی کُنَّا نَعْمَلُ قَدْ خَسِرُوا أَنْفُسَهُمْ وَ ضَلَّ عَنْهُمْ ما کانُوا یَفْتَرُونَ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bookmarkStart w:id="599" w:name="pg13167_141022"/>
    </w:p>
    <w:p>
      <w:pPr>
        <w:pStyle w:val="BookText"/>
        <w:rPr/>
      </w:pPr>
      <w:bookmarkEnd w:id="599"/>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إِنَّما بَغْیُکُمْ عَلی أَنْفُسِکُمْ مَتاعَ الْحَیاةِ الدُّنْیا ثُمَّ إِلَیْنا مَرْجِعُکُمْ فَنُنَبِّئُکُمْ بِما کُنْتُمْ تَعْمَلُونَ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تعالی فی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وَ لا یَحُضُّ عَلی طَعامِ الْمِسْکِینِ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آیاتِهِ لِلنَّاسِ لَعَلَّهُمْ یَتَّقُونَ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إِنِّی مَعَکُمْ لَئِنْ أَقَمْتُمُ الصَّلاةَ وَ آتَیْتُمُ الزَّکاةَ وَ آمَنْتُمْ بِرُسُلِی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0" w:name="__RefHeading___Toc559762_3244359995"/>
      <w:bookmarkStart w:id="601" w:name="_Toc224"/>
      <w:bookmarkEnd w:id="600"/>
      <w:r>
        <w:rPr>
          <w:rtl w:val="true"/>
        </w:rPr>
        <w:t>الوجه الخامس</w:t>
      </w:r>
      <w:r>
        <w:rPr>
          <w:rtl w:val="true"/>
        </w:rPr>
        <w:t>:</w:t>
      </w:r>
      <w:bookmarkEnd w:id="601"/>
    </w:p>
    <w:p>
      <w:pPr>
        <w:pStyle w:val="BookText"/>
        <w:rPr/>
      </w:pPr>
      <w:r>
        <w:rPr>
          <w:rFonts w:ascii="IRNazanin" w:hAnsi="IRNazanin" w:eastAsia="IRNazanin"/>
          <w:color w:val="111111"/>
          <w:sz w:val="28"/>
          <w:sz w:val="28"/>
          <w:szCs w:val="28"/>
          <w:rtl w:val="true"/>
          <w:lang w:bidi="fa-IR"/>
        </w:rPr>
        <w:t xml:space="preserve">الأخبار الکثیرة المنتشرة التی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Style w:val="FootnoteAnchor"/>
          <w:rtl w:val="true"/>
        </w:rPr>
        <w:footnoteReference w:id="829"/>
      </w:r>
      <w:r>
        <w:rPr>
          <w:rFonts w:ascii="IRNazanin" w:hAnsi="IRNazanin" w:eastAsia="IRNazanin"/>
          <w:color w:val="111111"/>
          <w:sz w:val="28"/>
          <w:sz w:val="28"/>
          <w:szCs w:val="28"/>
          <w:rtl w:val="true"/>
          <w:lang w:bidi="fa-IR"/>
        </w:rPr>
        <w:t xml:space="preserve">، أو یکون المسئول عنه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Style w:val="FootnoteAnchor"/>
          <w:rtl w:val="true"/>
        </w:rPr>
        <w:footnoteReference w:id="830"/>
      </w:r>
      <w:r>
        <w:rPr>
          <w:rFonts w:ascii="IRNazanin" w:hAnsi="IRNazanin" w:eastAsia="IRNazanin"/>
          <w:color w:val="111111"/>
          <w:sz w:val="28"/>
          <w:sz w:val="28"/>
          <w:szCs w:val="28"/>
          <w:rtl w:val="true"/>
          <w:lang w:bidi="fa-IR"/>
        </w:rPr>
        <w:t>و غیر ذلک من المطلقات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لیست فی مقام بیان حدود الموضوع، بل هی فی مقام بیان</w:t>
      </w:r>
      <w:bookmarkStart w:id="602" w:name="pg13167_141023"/>
    </w:p>
    <w:p>
      <w:pPr>
        <w:pStyle w:val="BookText"/>
        <w:rPr/>
      </w:pPr>
      <w:bookmarkEnd w:id="602"/>
      <w:r>
        <w:rPr>
          <w:rFonts w:ascii="IRNazanin" w:hAnsi="IRNazanin" w:eastAsia="IRNazanin"/>
          <w:color w:val="111111"/>
          <w:sz w:val="28"/>
          <w:sz w:val="28"/>
          <w:szCs w:val="28"/>
          <w:rtl w:val="true"/>
          <w:lang w:bidi="fa-IR"/>
        </w:rPr>
        <w:t>أمر آخر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أنّه لو کان ما فی الأخبار موضوعه الأعمّ من موضوع الکتاب، یؤخذ بما هو الموضوع فی الکتاب، لما تقرّر فی المثبتین مع تقدّم زمان الخاصّ من تقدیمه علی العامّ </w:t>
      </w:r>
      <w:r>
        <w:rPr>
          <w:rStyle w:val="FootnoteAnchor"/>
          <w:rtl w:val="true"/>
        </w:rPr>
        <w:footnoteReference w:id="831"/>
      </w:r>
      <w:r>
        <w:rPr>
          <w:rFonts w:ascii="Amiri" w:hAnsi="Amiri" w:eastAsia="Amiri" w:cs="Amiri"/>
          <w:color w:val="111111"/>
          <w:sz w:val="28"/>
          <w:sz w:val="28"/>
          <w:szCs w:val="28"/>
          <w:rtl w:val="true"/>
          <w:lang w:bidi="ar-SA"/>
        </w:rPr>
        <w:t xml:space="preserve">، و تفصیله فی التعادل و الترجیح، فلو کان فی الکتاب یا أَیُّهَا الَّذِینَ آمَنُوا إِذا قُمْتُمْ إِلَی الصَّلاةِ فَاغْسِلُوا </w:t>
      </w:r>
      <w:r>
        <w:rPr>
          <w:rFonts w:eastAsia="Amiri" w:cs="Amiri" w:ascii="Amiri" w:hAnsi="Amiri"/>
          <w:color w:val="111111"/>
          <w:sz w:val="28"/>
          <w:szCs w:val="28"/>
          <w:rtl w:val="true"/>
          <w:lang w:bidi="ar-SA"/>
        </w:rPr>
        <w:t>...</w:t>
      </w:r>
      <w:r>
        <w:rPr>
          <w:rStyle w:val="FootnoteAnchor"/>
          <w:rtl w:val="true"/>
        </w:rPr>
        <w:footnoteReference w:id="832"/>
      </w:r>
      <w:r>
        <w:rPr>
          <w:rFonts w:ascii="IRNazanin" w:hAnsi="IRNazanin" w:eastAsia="IRNazanin"/>
          <w:color w:val="111111"/>
          <w:sz w:val="28"/>
          <w:sz w:val="28"/>
          <w:szCs w:val="28"/>
          <w:rtl w:val="true"/>
          <w:lang w:bidi="fa-IR"/>
        </w:rPr>
        <w:t xml:space="preserve">إلی آخره، و کان 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کذا فعلیه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یؤخذ إلاّ بما فی الکتاب، لجهات عدیدة کما لا یخفی،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 إجمال الآیة الأولی، لکونها فی أقدم السور المکّیة و هی سورة فصّلت، فتکون الزکاة غیر معلومة المراد، غیر بعیدة فی ذاتها، إلاّ أنّ الانصراف عمّا هو الحجّة حسب الأصول العقلائیّة لأجل هذه الدعاوی،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راجعة إلی المشرکین من المسلمین </w:t>
      </w:r>
      <w:r>
        <w:rPr>
          <w:rStyle w:val="FootnoteAnchor"/>
          <w:rtl w:val="true"/>
        </w:rPr>
        <w:footnoteReference w:id="833"/>
      </w:r>
      <w:r>
        <w:rPr>
          <w:rFonts w:ascii="IRNazanin" w:hAnsi="IRNazanin" w:eastAsia="IRNazanin"/>
          <w:color w:val="111111"/>
          <w:sz w:val="28"/>
          <w:sz w:val="28"/>
          <w:szCs w:val="28"/>
          <w:rtl w:val="true"/>
          <w:lang w:bidi="fa-IR"/>
        </w:rPr>
        <w:t xml:space="preserve">، کما مرّ الإیماء إلیه </w:t>
      </w:r>
      <w:r>
        <w:rPr>
          <w:rStyle w:val="FootnoteAnchor"/>
          <w:rtl w:val="true"/>
        </w:rPr>
        <w:footnoteReference w:id="834"/>
      </w:r>
      <w:r>
        <w:rPr>
          <w:rFonts w:ascii="IRNazanin" w:hAnsi="IRNazanin" w:eastAsia="IRNazanin"/>
          <w:color w:val="111111"/>
          <w:sz w:val="28"/>
          <w:sz w:val="28"/>
          <w:szCs w:val="28"/>
          <w:rtl w:val="true"/>
          <w:lang w:bidi="fa-IR"/>
        </w:rPr>
        <w:t>، و ذلک لأجل أنّ الزکاة ممّا لا تجزئ إذا أدّاها المستبصر قبل استبصاره، و هذا دلیل علی أنّ هذه الآیة ناظرة إلیهم، و لکنّها أیضا غیر مبرهنة</w:t>
      </w:r>
      <w:r>
        <w:rPr>
          <w:rFonts w:eastAsia="IRNazanin" w:cs="IRNazanin"/>
          <w:color w:val="111111"/>
          <w:sz w:val="28"/>
          <w:szCs w:val="28"/>
          <w:rtl w:val="true"/>
          <w:lang w:bidi="fa-IR"/>
        </w:rPr>
        <w:t>.</w:t>
      </w:r>
    </w:p>
    <w:p>
      <w:pPr>
        <w:pStyle w:val="Heading6"/>
        <w:numPr>
          <w:ilvl w:val="5"/>
          <w:numId w:val="1"/>
        </w:numPr>
        <w:rPr/>
      </w:pPr>
      <w:bookmarkStart w:id="603" w:name="__RefHeading___Toc559764_3244359995"/>
      <w:bookmarkStart w:id="604" w:name="_Toc225"/>
      <w:bookmarkEnd w:id="603"/>
      <w:r>
        <w:rPr>
          <w:rtl w:val="true"/>
        </w:rPr>
        <w:t>الوجه السادس</w:t>
      </w:r>
      <w:r>
        <w:rPr>
          <w:rtl w:val="true"/>
        </w:rPr>
        <w:t>:</w:t>
      </w:r>
      <w:bookmarkEnd w:id="604"/>
    </w:p>
    <w:p>
      <w:pPr>
        <w:pStyle w:val="BookText"/>
        <w:rPr/>
      </w:pPr>
      <w:r>
        <w:rPr>
          <w:rFonts w:ascii="Amiri" w:hAnsi="Amiri" w:eastAsia="Amiri" w:cs="Amiri"/>
          <w:color w:val="111111"/>
          <w:sz w:val="28"/>
          <w:sz w:val="28"/>
          <w:szCs w:val="28"/>
          <w:rtl w:val="true"/>
          <w:lang w:bidi="ar-SA"/>
        </w:rPr>
        <w:t xml:space="preserve">قضیّة قاعدة الجبّ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یجبّ ما قبله</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عموم القوانین الفرعیّة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المناقشة فی أصل صدورها، و حدود دلالتها، فهی موکولة إلی محلّها</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w:t>
      </w:r>
      <w:bookmarkStart w:id="605" w:name="pg13167_141024"/>
    </w:p>
    <w:p>
      <w:pPr>
        <w:pStyle w:val="BookText"/>
        <w:rPr/>
      </w:pPr>
      <w:bookmarkEnd w:id="605"/>
      <w:r>
        <w:rPr>
          <w:rFonts w:ascii="IRNazanin" w:hAnsi="IRNazanin" w:eastAsia="IRNazanin"/>
          <w:color w:val="111111"/>
          <w:sz w:val="28"/>
          <w:sz w:val="28"/>
          <w:szCs w:val="28"/>
          <w:rtl w:val="true"/>
          <w:lang w:bidi="fa-IR"/>
        </w:rPr>
        <w:t xml:space="preserve">الّذی یذعن به الخصم أنّها قاعدة إسلامیّة، و تکون ناظرة إلی جبّ ما سلف حال الکفر، و قد یتمسّک بها لنفی وجوب القضاء الّذی هو فرع وجوب الأداء و الأصل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اختصاصها بالإسلام فی عهد النبیّ صلی اللَّه علیه و آله و سلم و بعد ظهوره، لا الإسلام بالإضافة إلی أشخاص الکفّار إذا أسلموا فی عهدنا،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یناقش فی دلالة ما نسب إلیه صلی اللَّه علیه و آله و 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تجبّ ما قبلها من الکفر و المعاصی و الذنوب</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العبارتین بمعنی واحد، و هو هدم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النّظر إلی الموارد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ما ورد فی قصّة رجل طلّق زوجته فی الشرک تطلیقة، و فی الإسلام تطلیقتین،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هدم الإسلام ما کان قبله، هی عندک علی واحدة</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xml:space="preserve">انتهی ما عن ابن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المدّعی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الشأن ثبوت القاعدة صدورا، فلیتدبّر جیّدا</w:t>
      </w:r>
      <w:r>
        <w:rPr>
          <w:rFonts w:eastAsia="IRNazanin" w:cs="IRNazanin"/>
          <w:color w:val="111111"/>
          <w:sz w:val="28"/>
          <w:szCs w:val="28"/>
          <w:rtl w:val="true"/>
          <w:lang w:bidi="fa-IR"/>
        </w:rPr>
        <w:t>.</w:t>
      </w:r>
    </w:p>
    <w:p>
      <w:pPr>
        <w:pStyle w:val="Heading6"/>
        <w:numPr>
          <w:ilvl w:val="5"/>
          <w:numId w:val="1"/>
        </w:numPr>
        <w:rPr/>
      </w:pPr>
      <w:bookmarkStart w:id="606" w:name="__RefHeading___Toc559766_3244359995"/>
      <w:bookmarkStart w:id="607" w:name="_Toc226"/>
      <w:bookmarkEnd w:id="606"/>
      <w:r>
        <w:rPr>
          <w:rtl w:val="true"/>
        </w:rPr>
        <w:t>الوجه السابع</w:t>
      </w:r>
      <w:r>
        <w:rPr>
          <w:rtl w:val="true"/>
        </w:rPr>
        <w:t>:</w:t>
      </w:r>
      <w:bookmarkEnd w:id="607"/>
    </w:p>
    <w:p>
      <w:pPr>
        <w:pStyle w:val="BookText"/>
        <w:rPr/>
      </w:pPr>
      <w:r>
        <w:rPr>
          <w:rFonts w:ascii="IRNazanin" w:hAnsi="IRNazanin" w:eastAsia="IRNazanin"/>
          <w:color w:val="111111"/>
          <w:sz w:val="28"/>
          <w:sz w:val="28"/>
          <w:szCs w:val="28"/>
          <w:rtl w:val="true"/>
          <w:lang w:bidi="fa-IR"/>
        </w:rPr>
        <w:t>الأخبار الدالّة علی توقّف التکلیف علی الإقرار و التصدیق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قدس سرُّه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معرفة الإمام منکم، واجبة علی جمیع الخلق؟</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صلی اللَّه علیه و آله و سلم إلی الناس أجمعین رسولا و حجّة للَّه علی خلقه فی أرضه، فمن آمن باللَّه و بمحمّد رسول اللَّه و اتبعه و صدّقه، فإنّ معرفة الإمام منّا واجبة علیه، و من لم یؤمن باللَّه و برسوله و لم یتّبعه و لم یصدّقه و یعرف</w:t>
      </w:r>
    </w:p>
    <w:p>
      <w:pPr>
        <w:pStyle w:val="BookText"/>
        <w:rPr/>
      </w:pPr>
      <w:r>
        <w:rPr>
          <w:rFonts w:ascii="IRNazanin" w:hAnsi="IRNazanin" w:eastAsia="IRNazanin"/>
          <w:color w:val="111111"/>
          <w:sz w:val="28"/>
          <w:sz w:val="28"/>
          <w:szCs w:val="28"/>
          <w:rtl w:val="true"/>
          <w:lang w:bidi="fa-IR"/>
        </w:rPr>
        <w:t>حقّهما، فکیف یجب علیه معرفة الإمام و هو لا یؤمن باللَّه و رسوله و یعرف حقّهما؟</w:t>
      </w:r>
      <w:r>
        <w:rPr>
          <w:rFonts w:eastAsia="IRNazanin" w:cs="IRNazanin"/>
          <w:color w:val="111111"/>
          <w:sz w:val="28"/>
          <w:szCs w:val="28"/>
          <w:rtl w:val="true"/>
          <w:lang w:bidi="fa-IR"/>
        </w:rPr>
        <w:t>!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فی حدیث الزندیق الّذی جاء إلیه مستدلاًّ بآیتین من القرآن قد اشتبهتا علیه،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أوّل ما قیّدهم به الإقرار بالوحدانیّة و الربوبیّة، و شهادة أن لا إله إلاّ اللَّه، فلمّا أقرّوا بذلک تلاه بالإقرار لنبیّه صلی اللَّه علیه و آله و سلم بالنبوّة و الشهادة بالرسالة، فلمّا انقادوا لذلک فرض علیهم الصلاة، ثمّ الصوم، ثمّ الحجّ</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الخبر الأخیر فمضافا إلی عدم حجّیته، یکون معارضا مع الأوّل، ضرورة أنّ قضیّة الخبر الأوّل وجوب الأصلین عرضا، و مقتضی هذا وجوبهما طولا، و تکون نسبة وجوب الرسالة إلی التوحید، کنسبة وجوب المعرفة إلی التوحید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الظاهر من الخبر ذیلا و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مقام بیان تاریخ کیفیّة الدعوة و وقوعها، فدعی الناس أوّلا إلی التوحید بقوله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ثمّ دعوا إلی الرسالة، ثمّ إلی الصلاة، و تکون الدعوة إلی معرفة الإمام حینئذ متأخّرة، و هذا أیضا خلاف الحقّ، فتدبّر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الخبر الأوّل، فهو و إن قال الفیض رحمه اللَّه بعد ما حکاه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هذه الحدیث دلالة علی أنّ الکفّار لیسوا مکلّفین بشرائع الإسلام، کما هو الحقّ، خلافا لما اشتهر</w:t>
      </w:r>
      <w:r>
        <w:rPr>
          <w:rStyle w:val="FootnoteAnchor"/>
          <w:rtl w:val="true"/>
        </w:rPr>
        <w:footnoteReference w:id="843"/>
      </w:r>
      <w:r>
        <w:rPr>
          <w:rFonts w:ascii="IRNazanin" w:hAnsi="IRNazanin" w:eastAsia="IRNazanin"/>
          <w:color w:val="111111"/>
          <w:sz w:val="28"/>
          <w:sz w:val="28"/>
          <w:szCs w:val="28"/>
          <w:rtl w:val="true"/>
          <w:lang w:bidi="fa-IR"/>
        </w:rPr>
        <w:t>بین متأخّری الأصحاب</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انتهی، إلاّ أنّ فی استشهاده إیماء إلی ضعف</w:t>
      </w:r>
    </w:p>
    <w:p>
      <w:pPr>
        <w:pStyle w:val="BookText"/>
        <w:rPr/>
      </w:pPr>
      <w:r>
        <w:rPr>
          <w:rFonts w:ascii="IRNazanin" w:hAnsi="IRNazanin" w:eastAsia="IRNazanin"/>
          <w:color w:val="111111"/>
          <w:sz w:val="28"/>
          <w:sz w:val="28"/>
          <w:szCs w:val="28"/>
          <w:rtl w:val="true"/>
          <w:lang w:bidi="fa-IR"/>
        </w:rPr>
        <w:t>دلالته، و ذلک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التعجّب الظاهر منه یجری بالنسبة إلی وجوب الإیمان بالرسول و معرفة الرسالة، مع کونه من الملحدین و الزنادقة، و لو صحّ ذلک هناک صحّ هنا، فیکون الحدیث من هذه الجهة محلّ المناقشة،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الظاهر من الاتباع هی التبعیّة العملیّة، لأنّ الاتباع الاعتقادیّ لا یعدّ من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تؤیّد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مورد الإعراض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بعدم موهنیّة کلّ إعراض، ضرورة اشتراط ذلک بکون الحدیث واضح الدلالة، و بمرأی و مسمع من المعرضین، و إلاّ فمع احتمال تخلّل الاجتهاد، و عدم فهمها لسوء الفهم و قصورهم، لا وجه لطرحها، و الأمر فیما نحن فیه من هذا القبیل،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حجّیة آحاد الخبر فی هذه المسألة محلّ المناقشة، بل منعها جمع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ذلک عندی 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المجلسیّ رحمه اللَّه فی توضیح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تجب علیه 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الانفراد، بل یجب علیه أن یؤمن باللَّه و رسوله أوّلا ثمّ بالإمام، و الفرض أنّ معرفتهما أوجب علیه، بل لا سبیل له إلی معرفته إلاّ بمعرفتهما، فلا ینافی أن یعاقب بترکها أیضا إذا ترک الجمیع</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مضافا إلی خلاف ظاهرها، غیر مرضیّ عند القائلین بأنّ الکفّار مکلّفون بالفروع، ضرورة أنّ المقصود هو کونهم مکلّفین بالصلاة، کتکلیف المسلم المتوضّئ بلا فرق بینهما، و کتکلیف المسلم المحدث، فتجب الصلاة علیهم سواء آمنوا أو لم یؤمنوا، و سواء أقرّوا بالولایة أم لم یقرّوا و هکذا، و سواء تطهّروا أم</w:t>
      </w:r>
      <w:bookmarkStart w:id="608" w:name="pg13167_141027"/>
    </w:p>
    <w:p>
      <w:pPr>
        <w:pStyle w:val="BookText"/>
        <w:rPr/>
      </w:pPr>
      <w:bookmarkEnd w:id="608"/>
      <w:r>
        <w:rPr>
          <w:rFonts w:ascii="Amiri" w:hAnsi="Amiri" w:eastAsia="Amiri" w:cs="Amiri"/>
          <w:color w:val="111111"/>
          <w:sz w:val="28"/>
          <w:sz w:val="28"/>
          <w:szCs w:val="28"/>
          <w:rtl w:val="true"/>
          <w:lang w:bidi="ar-SA"/>
        </w:rPr>
        <w:t>لم یتطهّروا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معرفة الإمام لیس وجوبا شرعیّا نفسیّا، بل هو إمّا من قبیل وجوب المقدّمة، أو من قبیل الواجبات العقلیّة، کوجوب معرفة اللَّه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الوجوب الثانی و تمّ الالتزام به، لا یثبت أنّ الروایة متعرّضة له، لاحتمال کون الوجوب الأوّل مورد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الوجوب الثانی لیس مطلقا، فتدبّر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أنّ النّظر فی الخبر إلی الوجوب العقلیّ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لا یؤمن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فإنّه لا معنی لإیجاب العقل ذلک فی تلک الحالة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ذیل خبر عبد الحمید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فرأیت مولی لأبی عبد اللَّه علیه السلام فإذا أنا بأبی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إنّ اللَّه افترض علی أمّة محمّد صلی اللَّه علیه و آله و سلم خمس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 الزکاة، و الصیام، و الحجّ، و ولایتنا </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فمضافا إلی عدم تمامیّة السند، و لا سیّما فی المقام، أنّ الحجّ لمّا فرضه اللَّه حسب الکتاب علی الناس، فیعلم منه أنّ الإمام علیه السلام لیس فی موقف التحدید بحسب الموضوع، بل کما لا یحدّد من ناحیة الخمس، کذلک لا یحدّد من ناحیة الموضوع</w:t>
      </w:r>
      <w:r>
        <w:rPr>
          <w:rFonts w:eastAsia="IRNazanin" w:cs="IRNazanin"/>
          <w:color w:val="111111"/>
          <w:sz w:val="28"/>
          <w:szCs w:val="28"/>
          <w:rtl w:val="true"/>
          <w:lang w:bidi="fa-IR"/>
        </w:rPr>
        <w:t>.</w:t>
      </w:r>
    </w:p>
    <w:p>
      <w:pPr>
        <w:pStyle w:val="Heading6"/>
        <w:numPr>
          <w:ilvl w:val="5"/>
          <w:numId w:val="1"/>
        </w:numPr>
        <w:rPr/>
      </w:pPr>
      <w:bookmarkStart w:id="609" w:name="__RefHeading___Toc559768_3244359995"/>
      <w:bookmarkStart w:id="610" w:name="_Toc227"/>
      <w:bookmarkEnd w:id="609"/>
      <w:r>
        <w:rPr>
          <w:rtl w:val="true"/>
        </w:rPr>
        <w:t>تذنیب</w:t>
      </w:r>
      <w:r>
        <w:rPr>
          <w:rtl w:val="true"/>
        </w:rPr>
        <w:t xml:space="preserve">: </w:t>
      </w:r>
      <w:r>
        <w:rPr>
          <w:rtl w:val="true"/>
        </w:rPr>
        <w:t>فی تتمیم الاستدلال علی تکلیف الکفّار</w:t>
      </w:r>
      <w:bookmarkEnd w:id="6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راجع مختلف الآثار و شتّی الأخبار، ربّما یجد فی خلالها ما یدلّ علی المسألة نفیا و إثباتا، إلاّ أنّ الآیات السابقة،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رَبِّکَ لَنَسْئَلَنَّهُمْ أَجْمَعِینَ</w:t>
      </w:r>
    </w:p>
    <w:p>
      <w:pPr>
        <w:pStyle w:val="BookText"/>
        <w:rPr/>
      </w:pPr>
      <w:r>
        <w:rPr>
          <w:rFonts w:ascii="Amiri" w:hAnsi="Amiri" w:eastAsia="Amiri" w:cs="Amiri"/>
          <w:color w:val="111111"/>
          <w:sz w:val="28"/>
          <w:sz w:val="28"/>
          <w:szCs w:val="28"/>
          <w:rtl w:val="true"/>
          <w:lang w:bidi="ar-SA"/>
        </w:rPr>
        <w:t>عَمَّا کانُوا یَعْمَلُونَ و ما ورد من تقبیل النبیّ صلی اللَّه علیه و آله و سلم خیبر، و أنّه جعل علیهم فی حصصهم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قبالة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 نصفَ العشر</w:t>
      </w:r>
      <w:r>
        <w:rPr>
          <w:rStyle w:val="FootnoteAnchor"/>
          <w:rtl w:val="true"/>
        </w:rPr>
        <w:footnoteReference w:id="848"/>
      </w:r>
      <w:r>
        <w:rPr>
          <w:rFonts w:ascii="IRNazanin" w:hAnsi="IRNazanin" w:eastAsia="IRNazanin"/>
          <w:color w:val="111111"/>
          <w:sz w:val="28"/>
          <w:sz w:val="28"/>
          <w:szCs w:val="28"/>
          <w:rtl w:val="true"/>
          <w:lang w:bidi="fa-IR"/>
        </w:rPr>
        <w:t xml:space="preserve">، و بعضَ الوجوه الاعتباریّة و العقلیّة و الارتکازیّة، کلّها معا تدلّ علی عموم المدّعی، مع ذهاب الأکثر بل القریب من الاتفاق إلی ذلک </w:t>
      </w:r>
      <w:r>
        <w:rPr>
          <w:rStyle w:val="FootnoteAnchor"/>
          <w:rtl w:val="true"/>
        </w:rPr>
        <w:footnoteReference w:id="849"/>
      </w:r>
      <w:r>
        <w:rPr>
          <w:rFonts w:ascii="IRNazanin" w:hAnsi="IRNazanin" w:eastAsia="IRNazanin"/>
          <w:color w:val="111111"/>
          <w:sz w:val="28"/>
          <w:sz w:val="28"/>
          <w:szCs w:val="28"/>
          <w:rtl w:val="true"/>
          <w:lang w:bidi="fa-IR"/>
        </w:rPr>
        <w:t xml:space="preserve">، خلافا لما عرفت من الفیض رحمه اللَّه حیث نسب المسألة إلی الشهرة بین المتأخّرین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أمکن المناقشة فی قصّة خیبر باستثناء الکافر الّذی فی مثل الزکاة، و فی الآیة بجهة أخری فراجع، لا یمکن المناقشة فی الوجوه الارتکازیّة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التکلیف فی حقّهم، لأنّ تبعات الکفر تحتوی علی تبعات المعاصی و الآثام، و لعلّ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فی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بعض الآثار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برهان علیه، لأنّ الخلود فی العذاب أمر، و اشتداد العذاب أمر آخر، و لا شبهة فی أنّ الکفّار مختلفون فی العذاب باختلاف أعمالهم الحسنة و السیّئة، حسبما تدیّنوا به من الدیانة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لا یجوّز استواء نسبة المسی‌ء فی العقیدة و الصفات و الأفعال، مع المسی‌ء فی العقیدة المتّصف بالصفات الإنسانیّة و بالأفعال الخیّرة البشریّة، فبناء علی هذا لا امتناع فی تکلیفهم، و لا وجه للاختصاص بغیرهم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و علمنا اشتراکهم مع سائر المسلمین فی الفروع، یمکن توجیه اختصاص الخطابات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w:t>
      </w:r>
      <w:bookmarkStart w:id="611" w:name="pg13167_141029"/>
    </w:p>
    <w:p>
      <w:pPr>
        <w:pStyle w:val="BookText"/>
        <w:rPr/>
      </w:pPr>
      <w:bookmarkEnd w:id="611"/>
      <w:r>
        <w:rPr>
          <w:rFonts w:ascii="Amiri" w:hAnsi="Amiri" w:eastAsia="Amiri" w:cs="Amiri"/>
          <w:color w:val="111111"/>
          <w:sz w:val="28"/>
          <w:sz w:val="28"/>
          <w:szCs w:val="28"/>
          <w:rtl w:val="true"/>
          <w:lang w:bidi="ar-SA"/>
        </w:rPr>
        <w:t xml:space="preserve">لا رَیْبَ فِیهِ هُدیً لِلْمُتَّقِینَ </w:t>
      </w:r>
      <w:r>
        <w:rPr>
          <w:rStyle w:val="FootnoteAnchor"/>
          <w:rtl w:val="true"/>
        </w:rPr>
        <w:footnoteReference w:id="851"/>
      </w:r>
      <w:r>
        <w:rPr>
          <w:rFonts w:ascii="IRNazanin" w:hAnsi="IRNazanin" w:eastAsia="IRNazanin"/>
          <w:color w:val="111111"/>
          <w:sz w:val="28"/>
          <w:sz w:val="28"/>
          <w:szCs w:val="28"/>
          <w:rtl w:val="true"/>
          <w:lang w:bidi="fa-IR"/>
        </w:rPr>
        <w:t xml:space="preserve">فإنّ من البلاغة هو الحثّ علی المقصود بأنواعه، و التحریک بأنحائه، و من ذلک أخذ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الموضوع، نظرا إلی أنّه لا یتصوّر غیر التقیّ فی جوامعکم، و أنّ الناس لا بدّ و أن یصیروا من المتّقین حتّی یهتدوا بالکتاب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أمثاله کثیر الدور فی العرفیّات و الخطابات العقلائیّة، مثلا إذا نادی المنادی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الأسخیاء أعینوا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الشجعان أعدّوا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الحکم مقصورا بطائفة الأسخیاء و الشجعان بالضرورة، حتّی یدّعی البخیل و 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مورد الأمر و البعث، و لا مصبّ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هذه العناوین فی موضوع الأحکام من باب الدعوة إلی صیرورة الناس معنونین بها، أو من باب أنّ المتکلّم لا یتصوّر فی المجتمع غیرَ المعنونین بهذه العناوین، لأنّ المجتمع مجتمع الأناسیّ و الأنام، لا الحیوانات و الأشرار</w:t>
      </w:r>
      <w:r>
        <w:rPr>
          <w:rFonts w:eastAsia="IRNazanin" w:cs="IRNazanin"/>
          <w:color w:val="111111"/>
          <w:sz w:val="28"/>
          <w:szCs w:val="28"/>
          <w:rtl w:val="true"/>
          <w:lang w:bidi="fa-IR"/>
        </w:rPr>
        <w:t>.</w:t>
      </w:r>
    </w:p>
    <w:p>
      <w:pPr>
        <w:pStyle w:val="Heading5"/>
        <w:numPr>
          <w:ilvl w:val="4"/>
          <w:numId w:val="1"/>
        </w:numPr>
        <w:rPr/>
      </w:pPr>
      <w:bookmarkStart w:id="612" w:name="__RefHeading___Toc559770_3244359995"/>
      <w:bookmarkStart w:id="613" w:name="_Toc228"/>
      <w:bookmarkEnd w:id="612"/>
      <w:r>
        <w:rPr>
          <w:rtl w:val="true"/>
        </w:rPr>
        <w:t>الشبهة الخامسة</w:t>
      </w:r>
      <w:r>
        <w:rPr>
          <w:rtl w:val="true"/>
        </w:rPr>
        <w:t>:</w:t>
      </w:r>
      <w:bookmarkEnd w:id="61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القوانین الإسلامیّة تقصر عن شمول طائفة النساء إلاّ ما کانت منها من قبیل لِلَّهِ عَلَی النَّاسِ حِجُّ الْبَیْتِ </w:t>
      </w:r>
      <w:r>
        <w:rPr>
          <w:rStyle w:val="FootnoteAnchor"/>
          <w:rtl w:val="true"/>
        </w:rPr>
        <w:footnoteReference w:id="852"/>
      </w:r>
      <w:r>
        <w:rPr>
          <w:rFonts w:ascii="Amiri" w:hAnsi="Amiri" w:eastAsia="Amiri" w:cs="Amiri"/>
          <w:color w:val="111111"/>
          <w:sz w:val="28"/>
          <w:sz w:val="28"/>
          <w:szCs w:val="28"/>
          <w:rtl w:val="true"/>
          <w:lang w:bidi="ar-SA"/>
        </w:rPr>
        <w:t>و أمّا ما کانت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و أمثاله فلا تشملهنّ، فلا بدّ حینئذ من التماس دلیل الشرکة، و هو ربّما یقصر عن إثباتها فی جمیع الأحکام، بعد احتمال اختصاص الرّجال بحکم، کما تری فی بعض الأحکام، حتّی ألّف فی فروق الأحکام رسالة فی عصرنا، و لا معقد</w:t>
      </w:r>
      <w:bookmarkStart w:id="614" w:name="pg13167_141030"/>
    </w:p>
    <w:p>
      <w:pPr>
        <w:pStyle w:val="BookText"/>
        <w:rPr/>
      </w:pPr>
      <w:bookmarkEnd w:id="614"/>
      <w:r>
        <w:rPr>
          <w:rFonts w:ascii="IRNazanin" w:hAnsi="IRNazanin" w:eastAsia="IRNazanin"/>
          <w:color w:val="111111"/>
          <w:sz w:val="28"/>
          <w:sz w:val="28"/>
          <w:szCs w:val="28"/>
          <w:rtl w:val="true"/>
          <w:lang w:bidi="fa-IR"/>
        </w:rPr>
        <w:t>للإجماع حتّی یکون له الإطلاق المرجع عند الشکّ 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هذه المعضلة مشکل جدّاً، و لا سبیل إلی حلّه من عقل أو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تساعد الاعتبارات و المناسبات و عموم دعوی النبیّ صلی اللَّه علیه و آله و سلم و أمثال ذلک، علی کون استعمال الصیغ المختصّة بالرجال من باب آخر، لا من باب الدخالة و الموضوعیّة، فتأمّل</w:t>
      </w:r>
      <w:r>
        <w:rPr>
          <w:rFonts w:eastAsia="IRNazanin" w:cs="IRNazanin"/>
          <w:color w:val="111111"/>
          <w:sz w:val="28"/>
          <w:szCs w:val="28"/>
          <w:rtl w:val="true"/>
          <w:lang w:bidi="fa-IR"/>
        </w:rPr>
        <w:t>.</w:t>
      </w:r>
    </w:p>
    <w:p>
      <w:pPr>
        <w:pStyle w:val="Heading5"/>
        <w:numPr>
          <w:ilvl w:val="4"/>
          <w:numId w:val="1"/>
        </w:numPr>
        <w:rPr/>
      </w:pPr>
      <w:bookmarkStart w:id="615" w:name="__RefHeading___Toc559772_3244359995"/>
      <w:bookmarkStart w:id="616" w:name="_Toc229"/>
      <w:bookmarkEnd w:id="615"/>
      <w:r>
        <w:rPr>
          <w:rtl w:val="true"/>
        </w:rPr>
        <w:t>الشبهة السادسة</w:t>
      </w:r>
      <w:r>
        <w:rPr>
          <w:rtl w:val="true"/>
        </w:rPr>
        <w:t>:</w:t>
      </w:r>
      <w:bookmarkEnd w:id="616"/>
    </w:p>
    <w:p>
      <w:pPr>
        <w:pStyle w:val="BookText"/>
        <w:rPr/>
      </w:pPr>
      <w:r>
        <w:rPr>
          <w:rFonts w:ascii="IRNazanin" w:hAnsi="IRNazanin" w:eastAsia="IRNazanin"/>
          <w:color w:val="111111"/>
          <w:sz w:val="28"/>
          <w:sz w:val="28"/>
          <w:szCs w:val="28"/>
          <w:rtl w:val="true"/>
          <w:lang w:bidi="fa-IR"/>
        </w:rPr>
        <w:t>القوانین العامّة و الخطابات إمّا منصرفة من غیر البالغین، أو تکون العناوین غیر قابلة للصدق، کعنوان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إیمانهم غیر نافذ شرعا، و إقرارهم غیر مفید، و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و أمثاله ممّا ورد فی الأحادیث </w:t>
      </w:r>
      <w:r>
        <w:rPr>
          <w:rStyle w:val="FootnoteAnchor"/>
          <w:rtl w:val="true"/>
        </w:rPr>
        <w:footnoteReference w:id="854"/>
      </w:r>
      <w:r>
        <w:rPr>
          <w:rFonts w:ascii="IRNazanin" w:hAnsi="IRNazanin" w:eastAsia="IRNazanin"/>
          <w:color w:val="111111"/>
          <w:sz w:val="28"/>
          <w:sz w:val="28"/>
          <w:szCs w:val="28"/>
          <w:rtl w:val="true"/>
          <w:lang w:bidi="fa-IR"/>
        </w:rPr>
        <w:t>، فعلیه تکون هذه الفرقة أیضا غیر مشمولة لتلک الأدلّة، أو تکون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لظهورها فی الأحکام الإلزامیّة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قابلة للانطباق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الانصراف للزم انصرافها عن طائفتی الشِیب البالغین إلی حدّ من الکهولة بحیث صاروا فی القوی و الإدراکات أقصر من غیر البالغین، فالانصراف المزبور غیر ثابت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فقیه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مقبول إسلامه و نافذ إقراره، و لا سیّما فی هذه المسألة، کما تحرّر فی محلّه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کونه من المؤمنین لغة، و خروجه عن المؤمنین شرعا،</w:t>
      </w:r>
    </w:p>
    <w:p>
      <w:pPr>
        <w:pStyle w:val="BookText"/>
        <w:rPr/>
      </w:pPr>
      <w:r>
        <w:rPr>
          <w:rFonts w:ascii="IRNazanin" w:hAnsi="IRNazanin" w:eastAsia="IRNazanin"/>
          <w:color w:val="111111"/>
          <w:sz w:val="28"/>
          <w:sz w:val="28"/>
          <w:szCs w:val="28"/>
          <w:rtl w:val="true"/>
          <w:lang w:bidi="fa-IR"/>
        </w:rPr>
        <w:t>ربّما کان لأجل عدم ترتّب آثار الإیمان علیه، لا لأجل عدم ترتّب آثار الإسلام و الإیمان علی أنفسهم، ففرق بین کون النّظر إلی عدم نفوذ إیمانه، لأجل عدم جواز الصلاة خلفه، أو لعدم جواز استنابته و غیر ذلک، و بین کون النّظر إلی نفی نفوذ إیمانه لأجل عدم شمول الأدلّة لهم، و الأوّل ثابت فرضا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فهو فیما یلغی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الأربع</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أو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أخذه الرعاف</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 فیه غیره من النساء و غیر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الأمر کذلک فیکون الحکم مخصوصا بهم، فلا یتجاوز إلی غیرهم إلاّ بدلیل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الوجه الأخیر، فقد تحرّر منّا أنّ الأوامر لیست إلاّ محرّکات اعتباریّة</w:t>
      </w:r>
      <w:r>
        <w:rPr>
          <w:rStyle w:val="FootnoteAnchor"/>
          <w:rtl w:val="true"/>
        </w:rPr>
        <w:footnoteReference w:id="857"/>
      </w:r>
      <w:r>
        <w:rPr>
          <w:rFonts w:ascii="IRNazanin" w:hAnsi="IRNazanin" w:eastAsia="IRNazanin"/>
          <w:color w:val="111111"/>
          <w:sz w:val="28"/>
          <w:sz w:val="28"/>
          <w:szCs w:val="28"/>
          <w:rtl w:val="true"/>
          <w:lang w:bidi="fa-IR"/>
        </w:rPr>
        <w:t>، و لیس فیها الوجوب، و لا الندب، و تکون کاشفة عقلائیّة عن الرّأی و الإرادة الإلزامیّة بالنسبة إلی الکلّ، و خروج غیر البالغین ممنوع عنهم إذا بلغوا نصاب الدرک و الفهم، و لا سیّما الاجتهاد، و هکذا المراهقون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هم خرجوا للنصّ </w:t>
      </w:r>
      <w:r>
        <w:rPr>
          <w:rStyle w:val="FootnoteAnchor"/>
          <w:rtl w:val="true"/>
        </w:rPr>
        <w:footnoteReference w:id="858"/>
      </w:r>
      <w:r>
        <w:rPr>
          <w:rFonts w:ascii="IRNazanin" w:hAnsi="IRNazanin" w:eastAsia="IRNazanin"/>
          <w:color w:val="111111"/>
          <w:sz w:val="28"/>
          <w:sz w:val="28"/>
          <w:szCs w:val="28"/>
          <w:rtl w:val="true"/>
          <w:lang w:bidi="fa-IR"/>
        </w:rPr>
        <w:t xml:space="preserve">و الإجماع، و ستأتی ثمرة البحث إن شاء اللَّه تعالی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bookmarkStart w:id="617" w:name="pg13167_141032"/>
    </w:p>
    <w:p>
      <w:pPr>
        <w:pStyle w:val="Heading4"/>
        <w:numPr>
          <w:ilvl w:val="3"/>
          <w:numId w:val="1"/>
        </w:numPr>
        <w:rPr/>
      </w:pPr>
      <w:bookmarkStart w:id="618" w:name="__RefHeading___Toc559774_3244359995"/>
      <w:bookmarkStart w:id="619" w:name="_Toc230"/>
      <w:bookmarkEnd w:id="617"/>
      <w:bookmarkEnd w:id="618"/>
      <w:r>
        <w:rPr>
          <w:rtl w:val="true"/>
        </w:rPr>
        <w:t>تتمیم</w:t>
      </w:r>
      <w:r>
        <w:rPr>
          <w:rtl w:val="true"/>
        </w:rPr>
        <w:t xml:space="preserve">: </w:t>
      </w:r>
      <w:r>
        <w:rPr>
          <w:rtl w:val="true"/>
        </w:rPr>
        <w:t>حول إثبات عموم التکالیف بإلغاء قید الحضور فی عصر الخطاب</w:t>
      </w:r>
      <w:bookmarkEnd w:id="619"/>
    </w:p>
    <w:p>
      <w:pPr>
        <w:pStyle w:val="BookText"/>
        <w:rPr/>
      </w:pPr>
      <w:r>
        <w:rPr>
          <w:rFonts w:ascii="Amiri" w:hAnsi="Amiri" w:eastAsia="Amiri" w:cs="Amiri"/>
          <w:color w:val="111111"/>
          <w:sz w:val="28"/>
          <w:sz w:val="28"/>
          <w:szCs w:val="28"/>
          <w:rtl w:val="true"/>
          <w:lang w:bidi="ar-SA"/>
        </w:rPr>
        <w:t>ربّما یوجد فی الکتاب بعض الخطابات المشتملة علی أداته، و تکون مهملة من حیث المخاطب، و ربّما یکون من هذا القبیل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 فإنّه لا یعلم من الکتاب أنّ المخاطب شخص الرسول صلی اللَّه علیه و آله و سلم کما یحتمل، أو الطائفة الخاصّة فی عصره و عصر بسط الید، أو تکون هی عامّة،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المقصود، هو أنّه هل یمکن التمسّک لإثبات العموم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الحضور فی العصر کقید الحضور فی البلد، و کقید الحضور فی عصر فلان بن فلان، ممّا لا یدخل فی الموضوع، و لا مدخلیّة له فی الحکم، فیکون ملغیّا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المغفول عنها ساقطة، لأنّها لو کانت قیدا یجب التنبیه علیها، و لا سیّما فی مثل الإسلام المبلّغ لکافّة الأنام، و الداعی للکلّ علی الدوام،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الأراکیّ إمکانها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لم یکن فی البین عنوان عامّ فی طیّ أداة الخطاب، بل کان الحاکی عن الموضوع نفس أداته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ککاف الخطاب، أو هیئة الأمر،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حینئذ مجال للتشبّث بمثله لإثبات الحکم للغائبین، لعدم إطلاق یشملهم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حینئذ أمکن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حضور المجلس بعد ما کان مغفولا عنه، فلا یعتنی بهذا الاحتمال فی وجه اختصاص الحکم بهم، فیبقی احتمال دخول قید آخر، و لو مثل دخل زمان حضور الإمام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إلی مثل هذا القید و إن لم یکن إطلاق یشملنا الحکم به، و لکن أمکن دعوی الإطلاق المقامیّ، لا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أمکن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الأداة الحاکیة عن الذات فی الحاضرین فی المجلس، لها إطلاق بالنسبة إلیهم، علی وجه لنا أن نتمسّک به لإثبات عدم دخل قید آخر فی حقّ الحاضرین، و بمثل هذا یحرز موضوع قاعدة الاشتراک من اتحاد الصنف</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بالإطلاق اللفظیّ هنا محلّ إشکال، بل منع، ضرورة أنّ الموضوع واجد للقید و هو الحضور، فیکون فی البین قدر متیقّن، فإسراء الحکم إلی الموضوع الفاقد لیس شأن الإطلاق اللفظیّ، فلا یحرز به موضوع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بالإطلاق المقامیّ، فهو فی مثل الصلاة و البیع لکشف حالهما، ممّا لا بأس به، و أمّا فیما نحن فیه فهو لیس لکشف حال الحاضرین، بل هو لکشف حدود الموضوع، لا المتعلّق، و لا یمکن کشف ذلک إلاّ بوجه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قیدیّة الحضور فی عصر الإمام علیه السلام أو النبیّ صلی اللَّه علیه و آله و سلم من الأمور المغفول عنها نوعا، فلو کان قیدا للزم التنبیه علیه، للزوم الإخلال بالغرض عند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مختلفة، فما کان من قبیل الخصوصیّات و القیود البعیدة قیدیّتها عقلا و عادة کحضور فلان بن فلان و هکذا حضور المدینة و الحجاز فهو ملغی جدّاً، و أمّا مثل قید عصره صلی اللَّه علیه و آله و سلم و قید کونه متکفّلا لأمر الزعامة فی بعض المسائل و هکذا، فاحتمال القیدیّة قویّ و ممّا لا یغفل عنه العرف و العقلاء عادة، فلیتأمّل جیّدا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الممکن تقریب الإطلاق اللفظیّ علی وجه لا نحتاج إلی التمسّک بقاعدة الشرکة، لأنّ القیود المحتملة إذا طرحت یکون موضوع الدلیل طبعا هو الإنسان، فتأمّل</w:t>
      </w:r>
      <w:r>
        <w:rPr>
          <w:rFonts w:eastAsia="IRNazanin" w:cs="IRNazanin"/>
          <w:color w:val="111111"/>
          <w:sz w:val="28"/>
          <w:szCs w:val="28"/>
          <w:rtl w:val="true"/>
          <w:lang w:bidi="fa-IR"/>
        </w:rPr>
        <w:t>.</w:t>
      </w:r>
      <w:bookmarkStart w:id="620" w:name="pg13167_141034"/>
    </w:p>
    <w:p>
      <w:pPr>
        <w:pStyle w:val="Heading4"/>
        <w:numPr>
          <w:ilvl w:val="3"/>
          <w:numId w:val="1"/>
        </w:numPr>
        <w:rPr/>
      </w:pPr>
      <w:bookmarkStart w:id="621" w:name="__RefHeading___Toc559776_3244359995"/>
      <w:bookmarkStart w:id="622" w:name="_Toc231"/>
      <w:bookmarkEnd w:id="620"/>
      <w:bookmarkEnd w:id="621"/>
      <w:r>
        <w:rPr>
          <w:rtl w:val="true"/>
        </w:rPr>
        <w:t>خاتمة الکلام فی ثمرات مسألة عموم الخطابات</w:t>
      </w:r>
      <w:bookmarkEnd w:id="622"/>
    </w:p>
    <w:p>
      <w:pPr>
        <w:pStyle w:val="BookText"/>
        <w:rPr/>
      </w:pPr>
      <w:r>
        <w:rPr>
          <w:rFonts w:ascii="IRNazanin" w:hAnsi="IRNazanin" w:eastAsia="IRNazanin"/>
          <w:color w:val="111111"/>
          <w:sz w:val="28"/>
          <w:sz w:val="28"/>
          <w:szCs w:val="28"/>
          <w:rtl w:val="true"/>
          <w:lang w:bidi="fa-IR"/>
        </w:rPr>
        <w:t>الثمرة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ظواهر الخطابات لنا و للمعدومین فی عصرها، علی فرض عمومها و إطلاقها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القوانین کلّها فی حقّنا، و جواز الرجوع إلیها، و تلقّی الحکم منها، من غیر الحاجة إلی التشبّث بقاعدة الشرکة و إلی إثبات وحدة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الخطابات و القوانین و لو کانت مخصوصة بالمشافهین، یجوز الرجوع إلیها بعد عدم اختصاص حجّیتها بالمقصودین بالإفهام</w:t>
      </w:r>
      <w:r>
        <w:rPr>
          <w:rFonts w:eastAsia="IRNazanin" w:cs="IRNazanin"/>
          <w:color w:val="111111"/>
          <w:sz w:val="28"/>
          <w:szCs w:val="28"/>
          <w:rtl w:val="true"/>
          <w:lang w:bidi="fa-IR"/>
        </w:rPr>
        <w:t>»</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تقرّر فی محلّه </w:t>
      </w:r>
      <w:r>
        <w:rPr>
          <w:rStyle w:val="FootnoteAnchor"/>
          <w:rtl w:val="true"/>
        </w:rPr>
        <w:footnoteReference w:id="864"/>
      </w:r>
      <w:r>
        <w:rPr>
          <w:rFonts w:ascii="IRNazanin" w:hAnsi="IRNazanin" w:eastAsia="IRNazanin"/>
          <w:color w:val="111111"/>
          <w:sz w:val="28"/>
          <w:sz w:val="28"/>
          <w:szCs w:val="28"/>
          <w:rtl w:val="true"/>
          <w:lang w:bidi="fa-IR"/>
        </w:rPr>
        <w:t>، و تقضیه البناءات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إلاّ أنّه لا یقتضی سقوط الثمرة، ضرورة أنّ تمامیّة الحجّیة منوطة بالإجماع علی الشرکة، و بإثبات وحدة النصف، و إلاّ فلا تتمّ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تتقوّم حجّیة القوانین بالقول بالأعمّ فی المقام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کما یمکن ذلک بما تقرّر فی هذه المسألة، کذلک یمکن ذلک بالقول بحجّیتها للأعمّ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مجرّد القول بالأعمّ فی تلک المسألة غیر کاف، بخلافه هنا، ضرورة أنّ فی تلک المسألة مع القول بالأعمّ نحتاج إلی قاعدة الشرکة، و لا نحتاج إلیها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کلام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و التقریرات </w:t>
      </w:r>
      <w:r>
        <w:rPr>
          <w:rStyle w:val="FootnoteAnchor"/>
          <w:rtl w:val="true"/>
        </w:rPr>
        <w:footnoteReference w:id="866"/>
      </w:r>
      <w:r>
        <w:rPr>
          <w:rFonts w:ascii="IRNazanin" w:hAnsi="IRNazanin" w:eastAsia="IRNazanin"/>
          <w:color w:val="111111"/>
          <w:sz w:val="28"/>
          <w:sz w:val="28"/>
          <w:szCs w:val="28"/>
          <w:rtl w:val="true"/>
          <w:lang w:bidi="fa-IR"/>
        </w:rPr>
        <w:t>، غیر وجیه فی وجه، و وجیه فی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حجّیة الخطابات و القوانین لغیر المقصودین بالإفهام، لیست من قبیل حجّیتها للمقصودین بالإفهام، فإنّ ما هو الحجّة للطائفة الثانیة هو القانون نفسه و توجیه الخطاب، و أمّا ما هو الحجّة للطائفة الأولی فهو العلم بالغرض و الاطلاع علی محبوب المولی، و لأجل ذلک یمکن المناقشة فی الثانیة دون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تظهر الثمرة علی الوجه الأوضح، و تفصیله فی محلّه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وحدة الصنف ربّما یستثمر من هذه المسألة أیضا، و بذلک تتساقط نواقص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بالأعمّ یصحّ الرجوع إلی العمومات و الإطلاقات لرفع الشکوک و الشبهات مع اختلاف الصنف، و لا یصحّ علی الأخصّ</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یمکن دعوی التفصیل بین العمومات و المطلقات، بناء علی عدم الحاجة فی العموم إلی مقدّمات الإطلاق، بدعوی أنّ الإطلاقات لا یمکن أن تکون رافعة إلاّ لما شکّ فی قیدیّته مع عدم وجوده الشائع، ضرورة أنّه یضرّ بانعقاد الإطلاق، و أمّا العمومات فلا بأس بها، و لأجل ذلک استشکل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إلاّ أنّه لا یهدم أساس الثمرة، لما یستثمر منها فی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ذهاب بعض الأعلام إلی الحاجة إلیها حتّی فی العمومات </w:t>
      </w:r>
      <w:r>
        <w:rPr>
          <w:rStyle w:val="FootnoteAnchor"/>
          <w:rtl w:val="true"/>
        </w:rPr>
        <w:footnoteReference w:id="869"/>
      </w:r>
      <w:r>
        <w:rPr>
          <w:rFonts w:ascii="IRNazanin" w:hAnsi="IRNazanin" w:eastAsia="IRNazanin"/>
          <w:color w:val="111111"/>
          <w:sz w:val="28"/>
          <w:sz w:val="28"/>
          <w:szCs w:val="28"/>
          <w:rtl w:val="true"/>
          <w:lang w:bidi="fa-IR"/>
        </w:rPr>
        <w:t>لا یخلّ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الموجودة حین الخطاب تضرّ بالإطلاق إذا کان الخطاب من قبیل القضایا الخارجیّة، دون ما إذا کان من قبیل القضایا الحقیقیّة، و حیث إنّ التحقیق ما عرفت من مشابهة القضایا القانونیّة بالحقیقیّة</w:t>
      </w:r>
      <w:r>
        <w:rPr>
          <w:rStyle w:val="FootnoteAnchor"/>
          <w:rtl w:val="true"/>
        </w:rPr>
        <w:footnoteReference w:id="870"/>
      </w:r>
      <w:r>
        <w:rPr>
          <w:rFonts w:ascii="IRNazanin" w:hAnsi="IRNazanin" w:eastAsia="IRNazanin"/>
          <w:color w:val="111111"/>
          <w:sz w:val="28"/>
          <w:sz w:val="28"/>
          <w:szCs w:val="28"/>
          <w:rtl w:val="true"/>
          <w:lang w:bidi="fa-IR"/>
        </w:rPr>
        <w:t>، فلا یضرّ اشتهار القید و موجودیّته بانعقاد الإطلاق، فإنّ نظر المقنّن عامّ عالمیّ، لا خاصّ منطقیّ، فلیغتنم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منّا فی مقدّمات الترتّب فی بحث الضدّ، ثمرات کون القوانین شاملة لغیر الملتفتین و الناسین و الجاهلین و العاجزین و العصاة و الکفّار، و ممّا یترتّب علی الأخیر ثبوت الأحکام الوضعیّة علیه إذا أسلم بعد قصور قاعدة الجبّ سندا، أو دلالة، أو اختصاصا بمورد معیّن </w:t>
      </w:r>
      <w:r>
        <w:rPr>
          <w:rStyle w:val="FootnoteAnchor"/>
          <w:rtl w:val="true"/>
        </w:rPr>
        <w:footnoteReference w:id="871"/>
      </w:r>
      <w:r>
        <w:rPr>
          <w:rFonts w:ascii="IRNazanin" w:hAnsi="IRNazanin" w:eastAsia="IRNazanin"/>
          <w:color w:val="111111"/>
          <w:sz w:val="28"/>
          <w:sz w:val="28"/>
          <w:szCs w:val="28"/>
          <w:rtl w:val="true"/>
          <w:lang w:bidi="fa-IR"/>
        </w:rPr>
        <w:t>، فلا نعیدها، حذرا من الإطالة المملّة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 الأدلّة لطائفة النساء، فالثمرة واضحة أیضا، و أمّا بناء علی شمولها لغیر البالغین، فممّا یترتّب علیه صحّة عبادة الصبیّ و مشروعیّة معاملاته و نفوذها، إلاّ بمقدار دلّ الدلیل علی خلافه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حدیث رفع القلم </w:t>
      </w:r>
      <w:r>
        <w:rPr>
          <w:rStyle w:val="FootnoteAnchor"/>
          <w:rtl w:val="true"/>
        </w:rPr>
        <w:footnoteReference w:id="872"/>
      </w:r>
      <w:r>
        <w:rPr>
          <w:rFonts w:ascii="IRNazanin" w:hAnsi="IRNazanin" w:eastAsia="IRNazanin"/>
          <w:color w:val="111111"/>
          <w:sz w:val="28"/>
          <w:sz w:val="28"/>
          <w:szCs w:val="28"/>
          <w:rtl w:val="true"/>
          <w:lang w:bidi="fa-IR"/>
        </w:rPr>
        <w:t>لا یقتضی إلاّ رفع الإلزام، و لا یکون إلاّ قرینة علی الترخیص فی الترک بالنسبة إلی الواجبات، و فی الفعل بالنسبة إلی المحرّمات، فتکون عبادته مشروعة و صحیحة، من غیر الحاجة إلی التمسّک بأدلّة خاصّة، و بمسألة أنّ الأمر بالأمر بالشی‌ء أمر بذلک الشی‌ء مع أنّها غیر صحیحة</w:t>
      </w:r>
    </w:p>
    <w:p>
      <w:pPr>
        <w:pStyle w:val="BookText"/>
        <w:rPr/>
      </w:pPr>
      <w:r>
        <w:rPr>
          <w:rFonts w:ascii="Amiri" w:hAnsi="Amiri" w:eastAsia="Amiri" w:cs="Amiri"/>
          <w:color w:val="111111"/>
          <w:sz w:val="28"/>
          <w:sz w:val="28"/>
          <w:szCs w:val="28"/>
          <w:rtl w:val="true"/>
          <w:lang w:bidi="ar-SA"/>
        </w:rPr>
        <w:t>جدّاً، کما حقّقناها فی محلّها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أمر بسیط لا یمکن رفع ذلک إلاّ برفع التکلیف </w:t>
      </w:r>
      <w:r>
        <w:rPr>
          <w:rStyle w:val="FootnoteAnchor"/>
          <w:rtl w:val="true"/>
        </w:rPr>
        <w:footnoteReference w:id="874"/>
      </w:r>
      <w:r>
        <w:rPr>
          <w:rFonts w:ascii="IRNazanin" w:hAnsi="IRNazanin" w:eastAsia="IRNazanin"/>
          <w:color w:val="111111"/>
          <w:sz w:val="28"/>
          <w:sz w:val="28"/>
          <w:szCs w:val="28"/>
          <w:rtl w:val="true"/>
          <w:lang w:bidi="fa-IR"/>
        </w:rPr>
        <w:t>، غیر مسموعة، فإنّ الاعتباریّات أوسع من ذلک، و تفصیل هذه المسألة یطلب من محالّ اخر، فلیتدبّر</w:t>
      </w:r>
      <w:r>
        <w:rPr>
          <w:rFonts w:eastAsia="IRNazanin" w:cs="IRNazanin"/>
          <w:color w:val="111111"/>
          <w:sz w:val="28"/>
          <w:szCs w:val="28"/>
          <w:rtl w:val="true"/>
          <w:lang w:bidi="fa-IR"/>
        </w:rPr>
        <w:t>.</w:t>
      </w:r>
      <w:bookmarkStart w:id="623" w:name="pg13167_141039"/>
    </w:p>
    <w:p>
      <w:pPr>
        <w:pStyle w:val="Heading3"/>
        <w:numPr>
          <w:ilvl w:val="2"/>
          <w:numId w:val="1"/>
        </w:numPr>
        <w:rPr/>
      </w:pPr>
      <w:bookmarkStart w:id="624" w:name="__RefHeading___Toc559778_3244359995"/>
      <w:bookmarkStart w:id="625" w:name="_Toc232"/>
      <w:bookmarkEnd w:id="623"/>
      <w:bookmarkEnd w:id="624"/>
      <w:r>
        <w:rPr>
          <w:rtl w:val="true"/>
        </w:rPr>
        <w:t>المبحث السادس فی اقتران العامّ بما یصلح للقرینیّة</w:t>
      </w:r>
      <w:bookmarkEnd w:id="625"/>
    </w:p>
    <w:p>
      <w:pPr>
        <w:pStyle w:val="Heading4"/>
        <w:numPr>
          <w:ilvl w:val="3"/>
          <w:numId w:val="1"/>
        </w:numPr>
        <w:rPr/>
      </w:pPr>
      <w:bookmarkStart w:id="626" w:name="__RefHeading___Toc559780_3244359995"/>
      <w:bookmarkStart w:id="627" w:name="_Toc233"/>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لا شبهة فی حجّیة العمومات، کما لا شبهة فی عدم حجّیتها فی مورد التخصیص و مع قیام القرینة المنفصلة علی عدم الإرادة الجدّیة بالنسبة إلی تمام المضمون، و من القرائن المنفصلة الخاصّ و دلیل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الشبهة و البحث فیما إذا کان الکلام و القانون مشتملا علی ما یصلح للقرینیّة، فإنّه هل یضرّ ذلک بانعقاد العامّ و تمامیّة حجّیته بالنسبة إلی تمام مضمونه، أم لا؟</w:t>
      </w:r>
    </w:p>
    <w:p>
      <w:pPr>
        <w:pStyle w:val="BookText"/>
        <w:rPr/>
      </w:pPr>
      <w:r>
        <w:rPr>
          <w:rFonts w:ascii="IRNazanin" w:hAnsi="IRNazanin" w:eastAsia="IRNazanin"/>
          <w:color w:val="111111"/>
          <w:sz w:val="28"/>
          <w:sz w:val="28"/>
          <w:szCs w:val="28"/>
          <w:rtl w:val="true"/>
          <w:lang w:bidi="fa-IR"/>
        </w:rPr>
        <w:t>أو یفصّل بین المتّصل و المنفصل، و بین المبانی المحرّرة سابقا، فإنّه إن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حجّیة العامّ فی العموم الأفرادیّ مستندة إلی الدلالة اللفظیّة فلا یضرّ، و إن کانت مستندة إلی مقدّمات الحکمة فیضرّ؟</w:t>
      </w:r>
    </w:p>
    <w:p>
      <w:pPr>
        <w:pStyle w:val="BookText"/>
        <w:rPr/>
      </w:pPr>
      <w:r>
        <w:rPr>
          <w:rFonts w:ascii="IRNazanin" w:hAnsi="IRNazanin" w:eastAsia="IRNazanin"/>
          <w:color w:val="111111"/>
          <w:sz w:val="28"/>
          <w:sz w:val="28"/>
          <w:szCs w:val="28"/>
          <w:rtl w:val="true"/>
          <w:lang w:bidi="fa-IR"/>
        </w:rPr>
        <w:t>هذا ما أردنا بحثه فی المقام، و تصیر المسألة بناء علیه ذات جهتین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کبراها، و هی أنّ ما یصلح للقرینیّة فی العمومات هل یضرّ بانعقادها حجّة علی العموم الأفرادیّ، أم لا؟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صغراها، و هی أنّ الکلام الکذائیّ و القانون الوارد فی المسألة الکذائیّة، هل یشتمل علی ما یصلح، أم لا؟</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وَ لا یَحِلُّ لَهُنَّ أَنْ یَکْتُمْنَ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فِی ذلِکَ إِنْ أَرادُوا إِصْلاحاً</w:t>
      </w:r>
      <w:r>
        <w:rPr>
          <w:rStyle w:val="FootnoteAnchor"/>
          <w:rtl w:val="true"/>
        </w:rPr>
        <w:footnoteReference w:id="875"/>
      </w:r>
      <w:r>
        <w:rPr>
          <w:rFonts w:ascii="Amiri" w:hAnsi="Amiri" w:eastAsia="Amiri" w:cs="Amiri"/>
          <w:color w:val="111111"/>
          <w:sz w:val="28"/>
          <w:sz w:val="28"/>
          <w:szCs w:val="28"/>
          <w:rtl w:val="true"/>
          <w:lang w:bidi="ar-SA"/>
        </w:rPr>
        <w:t>هل العامّ الوارد فی صدر الآیة تتمّ حجّیته فی العموم الأفرادیّ مع وجود ما یصلح للقرینیّة فی ذیلها، فإنّ وَ بُعُولَتُهُنَّ أَحَقُّ بِرَدِّهِنَ مشتمل علی الضمیر الراجع إلی المطلّقات، مع عدم ثبوت الأحقّیة بالردّ لمطلق المطلّقات، أم لا یصلح لذلک، و لو کان صالحا لا یضرّ مثلا؟</w:t>
      </w:r>
    </w:p>
    <w:p>
      <w:pPr>
        <w:pStyle w:val="BookText"/>
        <w:rPr/>
      </w:pPr>
      <w:r>
        <w:rPr>
          <w:rFonts w:ascii="Amiri" w:hAnsi="Amiri" w:eastAsia="Amiri" w:cs="Amiri"/>
          <w:color w:val="111111"/>
          <w:sz w:val="28"/>
          <w:sz w:val="28"/>
          <w:szCs w:val="28"/>
          <w:rtl w:val="true"/>
          <w:lang w:bidi="ar-SA"/>
        </w:rPr>
        <w:t>و هکذا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 </w:t>
      </w:r>
      <w:r>
        <w:rPr>
          <w:rStyle w:val="FootnoteAnchor"/>
          <w:rtl w:val="true"/>
        </w:rPr>
        <w:footnoteReference w:id="876"/>
      </w:r>
      <w:r>
        <w:rPr>
          <w:rFonts w:ascii="IRNazanin" w:hAnsi="IRNazanin" w:eastAsia="IRNazanin"/>
          <w:color w:val="111111"/>
          <w:sz w:val="28"/>
          <w:sz w:val="28"/>
          <w:szCs w:val="28"/>
          <w:rtl w:val="true"/>
          <w:lang w:bidi="fa-IR"/>
        </w:rPr>
        <w:t>فإنّه هل الاستثناء الوارد بعد تلک العمومات إذا لم یکن یرجع إلی جمیعها، فهل یضرّ بانعقاد العموم بالنسبة إلی غیر الأخیر، أم لا؟</w:t>
      </w:r>
    </w:p>
    <w:p>
      <w:pPr>
        <w:pStyle w:val="BookText"/>
        <w:rPr/>
      </w:pPr>
      <w:r>
        <w:rPr>
          <w:rFonts w:ascii="IRNazanin" w:hAnsi="IRNazanin" w:eastAsia="IRNazanin"/>
          <w:color w:val="111111"/>
          <w:sz w:val="28"/>
          <w:sz w:val="28"/>
          <w:szCs w:val="28"/>
          <w:rtl w:val="true"/>
          <w:lang w:bidi="fa-IR"/>
        </w:rPr>
        <w:t>و هنا بحث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قلنا بعدم معلومیّة رجوعه إلی الأخیر، فهل یرجع الکلام إلی الإجمال و یؤخذ بمقتضی العلم الإجمالیّ فی مورد یکون له الأثر، و إلاّ فهو بالخیار؟ کما لا یخفی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المقصود بالبحث، یظهر ضعف ما صنعه الأعلام فی المقام من البحث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العامّ المتعقّب بالضمیر،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العمومات المتعقّبة بالاستثناء</w:t>
      </w:r>
      <w:r>
        <w:rPr>
          <w:rStyle w:val="FootnoteAnchor"/>
          <w:rtl w:val="true"/>
        </w:rPr>
        <w:footnoteReference w:id="877"/>
      </w:r>
      <w:r>
        <w:rPr>
          <w:rFonts w:ascii="Amiri" w:hAnsi="Amiri" w:eastAsia="Amiri" w:cs="Amiri"/>
          <w:color w:val="111111"/>
          <w:sz w:val="28"/>
          <w:sz w:val="28"/>
          <w:szCs w:val="28"/>
          <w:rtl w:val="true"/>
          <w:lang w:bidi="ar-SA"/>
        </w:rPr>
        <w:t>، فإنّ</w:t>
      </w:r>
    </w:p>
    <w:p>
      <w:pPr>
        <w:pStyle w:val="BookText"/>
        <w:rPr/>
      </w:pPr>
      <w:r>
        <w:rPr>
          <w:rFonts w:ascii="IRNazanin" w:hAnsi="IRNazanin" w:eastAsia="IRNazanin"/>
          <w:color w:val="111111"/>
          <w:sz w:val="28"/>
          <w:sz w:val="28"/>
          <w:szCs w:val="28"/>
          <w:rtl w:val="true"/>
          <w:lang w:bidi="fa-IR"/>
        </w:rPr>
        <w:t>تعدّد المسألة و إن کان بتعدّد الموضوع و المحمول أحیانا، أو بتعدّد الموضوع أو المحمول، و لکن إذا کان بین المسألتین مثلا الجهة الجامعة، مع وحدة المناط و البرهان، فلا بدّ و أن ترجعا إلی واحد، و إلاّ یلزم أن لا تتناهی مسائل العلم، و لأجل ذلک تکون صغریات هذه المسألة، أکثرَ من الفرضین اللّذین وقعا فی محطّ البحث فی کتبهم الأصولیّة</w:t>
      </w:r>
      <w:r>
        <w:rPr>
          <w:rStyle w:val="FootnoteAnchor"/>
          <w:rtl w:val="true"/>
        </w:rPr>
        <w:footnoteReference w:id="878"/>
      </w:r>
      <w:r>
        <w:rPr>
          <w:rFonts w:ascii="IRNazanin" w:hAnsi="IRNazanin" w:eastAsia="IRNazanin"/>
          <w:color w:val="111111"/>
          <w:sz w:val="28"/>
          <w:sz w:val="28"/>
          <w:szCs w:val="28"/>
          <w:rtl w:val="true"/>
          <w:lang w:bidi="fa-IR"/>
        </w:rPr>
        <w:t xml:space="preserve">، فإنّ منها ما إذا کانت العمومات الواردة متعقّبة بالمخصّص المتّصل، أو وردت العمومات و فاتت القرینة علی أنّ العامّ الأوّل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العهد الذکریّ، فهل ذلک یوجب قصور العمومات الاخر عن العمومیّة الاستغراقیّة أم لا، و هکذا؟</w:t>
      </w:r>
    </w:p>
    <w:p>
      <w:pPr>
        <w:pStyle w:val="BookText"/>
        <w:rPr/>
      </w:pPr>
      <w:r>
        <w:rPr>
          <w:rFonts w:ascii="IRNazanin" w:hAnsi="IRNazanin" w:eastAsia="IRNazanin"/>
          <w:color w:val="111111"/>
          <w:sz w:val="28"/>
          <w:sz w:val="28"/>
          <w:szCs w:val="28"/>
          <w:rtl w:val="true"/>
          <w:lang w:bidi="fa-IR"/>
        </w:rPr>
        <w:t xml:space="preserve">و یظهر هنا أمر آخر وقعوا فیه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ما جعلوه مورد النّظر من العامّ المتعقّب بالضمیر الراجع إلی طائفة من العامّ الأوّل، ثمّ بحثوا عن تعارض أصالة العموم فی الصدر، مع أصالة عدم الاستخدام فی الذیل، کلّه غیر تامّ، و قد أشیر فی کلماتهم إلی أنّ ذلک لیس من الاستخدام المصطلح علیه فی علم البدیع </w:t>
      </w:r>
      <w:r>
        <w:rPr>
          <w:rStyle w:val="FootnoteAnchor"/>
          <w:rtl w:val="true"/>
        </w:rPr>
        <w:footnoteReference w:id="880"/>
      </w:r>
      <w:r>
        <w:rPr>
          <w:rFonts w:ascii="IRNazanin" w:hAnsi="IRNazanin" w:eastAsia="IRNazanin"/>
          <w:color w:val="111111"/>
          <w:sz w:val="28"/>
          <w:sz w:val="28"/>
          <w:szCs w:val="28"/>
          <w:rtl w:val="true"/>
          <w:lang w:bidi="fa-IR"/>
        </w:rPr>
        <w:t>، و علیه یسقط البحث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الأمر لیس کذلک، فإنّه و لو لم یکن من الاستخدام کقول الشاعر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نزل السماء بأرض قوم رعیناه و إن کانوا غضابا</w:t>
      </w:r>
      <w:r>
        <w:rPr>
          <w:rStyle w:val="FootnoteAnchor"/>
          <w:rtl w:val="true"/>
        </w:rPr>
        <w:footnoteReference w:id="881"/>
      </w:r>
      <w:bookmarkStart w:id="628" w:name="pg13167_141042"/>
    </w:p>
    <w:p>
      <w:pPr>
        <w:pStyle w:val="BookText"/>
        <w:rPr/>
      </w:pPr>
      <w:bookmarkEnd w:id="628"/>
      <w:r>
        <w:rPr>
          <w:rFonts w:ascii="IRNazanin" w:hAnsi="IRNazanin" w:eastAsia="IRNazanin"/>
          <w:color w:val="111111"/>
          <w:sz w:val="28"/>
          <w:sz w:val="28"/>
          <w:szCs w:val="28"/>
          <w:rtl w:val="true"/>
          <w:lang w:bidi="fa-IR"/>
        </w:rPr>
        <w:t>إلاّ أنّ الجهة المبحوث عنها باقیة علی حالها، ضرورة أنّ مع قیام القرینة القطعیّة علی أنّ الأحقّیة بالردّ من أحکام المطلّقات الرجعیّات، یلزم الإشکال فی انعقاد العموم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أطراف المسألة و الجهة المبحوث عنها فی المقام، و تبیّن سقوط مسیر الأفاضل و الأعلام قدس سرُّهم، یقع الکلام فی جهتین</w:t>
      </w:r>
      <w:r>
        <w:rPr>
          <w:rFonts w:eastAsia="IRNazanin" w:cs="IRNazanin"/>
          <w:color w:val="111111"/>
          <w:sz w:val="28"/>
          <w:szCs w:val="28"/>
          <w:rtl w:val="true"/>
          <w:lang w:bidi="fa-IR"/>
        </w:rPr>
        <w:t>:</w:t>
      </w:r>
    </w:p>
    <w:p>
      <w:pPr>
        <w:pStyle w:val="Heading4"/>
        <w:numPr>
          <w:ilvl w:val="3"/>
          <w:numId w:val="1"/>
        </w:numPr>
        <w:rPr/>
      </w:pPr>
      <w:bookmarkStart w:id="629" w:name="__RefHeading___Toc559782_3244359995"/>
      <w:bookmarkStart w:id="630" w:name="_Toc234"/>
      <w:bookmarkEnd w:id="629"/>
      <w:r>
        <w:rPr>
          <w:rtl w:val="true"/>
        </w:rPr>
        <w:t>الجهة الأولی</w:t>
      </w:r>
      <w:r>
        <w:rPr>
          <w:rtl w:val="true"/>
        </w:rPr>
        <w:t xml:space="preserve">: </w:t>
      </w:r>
      <w:r>
        <w:rPr>
          <w:rtl w:val="true"/>
        </w:rPr>
        <w:t>فی کبری المسألة</w:t>
      </w:r>
      <w:bookmarkEnd w:id="630"/>
    </w:p>
    <w:p>
      <w:pPr>
        <w:pStyle w:val="BookText"/>
        <w:rPr/>
      </w:pPr>
      <w:r>
        <w:rPr>
          <w:rFonts w:ascii="IRNazanin" w:hAnsi="IRNazanin" w:eastAsia="IRNazanin"/>
          <w:color w:val="111111"/>
          <w:sz w:val="28"/>
          <w:sz w:val="28"/>
          <w:szCs w:val="28"/>
          <w:rtl w:val="true"/>
          <w:lang w:bidi="fa-IR"/>
        </w:rPr>
        <w:t>و هی أنّ وجود ما یصلح للقرینیّة، لا یضرّ بانعقاد العموم إذا کان العامّ ممّا دلّ علیه اللفظ وضعا،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أداة العموم تدلّ بالوضع علی الاستیعاب، و تقتضی بالوضع سریان الحکم إلی کافّة الأفراد، فلا یلزم من احتفاف الکلام بما یوجب الأخصّیة اختصاص الحکم، و لا تضییق مصبّ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بحسب الحکم الإنشائیّ کذلک، و أمّا بحسب الحکم الجدّی فجریان أصالة التطابق محلّ المناقشة، لإمکان الاتکال علی الصالح للقرینیّة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ممّا یصغی إلیه العقلاء، لکان الأولی المناقشة فی حجّیة الأوامر فی الوجوب، لما کثر استعمالها فی الندب إلی حدّ یصلح للاتکال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الاتصال و الانفصال بعد کثرة المجاز فی الأمر، أو کثرة الاستعمال فی الندب، لا یوجب التفصیل، فتأمّل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العموم و الاستیعاب ممّا یستفاد من مقدّمات الإطلاق، و لا تدلّ أداة العموم إلاّ علی الکثرة الإجمالیّة</w:t>
      </w:r>
      <w:r>
        <w:rPr>
          <w:rStyle w:val="FootnoteAnchor"/>
          <w:rtl w:val="true"/>
        </w:rPr>
        <w:footnoteReference w:id="883"/>
      </w:r>
      <w:r>
        <w:rPr>
          <w:rFonts w:ascii="IRNazanin" w:hAnsi="IRNazanin" w:eastAsia="IRNazanin"/>
          <w:color w:val="111111"/>
          <w:sz w:val="28"/>
          <w:sz w:val="28"/>
          <w:szCs w:val="28"/>
          <w:rtl w:val="true"/>
          <w:lang w:bidi="fa-IR"/>
        </w:rPr>
        <w:t>، فانعقاد الظهور حینئذٍ مشکل، لما</w:t>
      </w:r>
      <w:bookmarkStart w:id="631" w:name="pg13167_141043"/>
    </w:p>
    <w:p>
      <w:pPr>
        <w:pStyle w:val="BookText"/>
        <w:rPr/>
      </w:pPr>
      <w:bookmarkEnd w:id="631"/>
      <w:r>
        <w:rPr>
          <w:rFonts w:ascii="IRNazanin" w:hAnsi="IRNazanin" w:eastAsia="IRNazanin"/>
          <w:color w:val="111111"/>
          <w:sz w:val="28"/>
          <w:sz w:val="28"/>
          <w:szCs w:val="28"/>
          <w:rtl w:val="true"/>
          <w:lang w:bidi="fa-IR"/>
        </w:rPr>
        <w:t>تعارف من الاتکال علی القرینة بین العقلاء، و إذا کان الکلام حافّا بما یصلح لها یلزم منه الشکّ فی ثبوت الإطلاق و فی تمامیّة المقدّمات،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یتمّ فی المتّصل دون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فالعامّ المتعقّب بالضمیر المذکور، و العمومات المتعقّبة بالاستثناء، إذا شکّ فی حال الاستثناء مع معلومیّة رجوعه إلی الأخیر، و هکذا سائر الموارد، غیر صالحة للاحتجاج بها عندنا، بخلاف ما إذا خصّص أحدها بالمنفصل، فلا تخلط</w:t>
      </w:r>
      <w:r>
        <w:rPr>
          <w:rFonts w:eastAsia="IRNazanin" w:cs="IRNazanin"/>
          <w:color w:val="111111"/>
          <w:sz w:val="28"/>
          <w:szCs w:val="28"/>
          <w:rtl w:val="true"/>
          <w:lang w:bidi="fa-IR"/>
        </w:rPr>
        <w:t>.</w:t>
      </w:r>
    </w:p>
    <w:p>
      <w:pPr>
        <w:pStyle w:val="Heading4"/>
        <w:numPr>
          <w:ilvl w:val="3"/>
          <w:numId w:val="1"/>
        </w:numPr>
        <w:rPr/>
      </w:pPr>
      <w:bookmarkStart w:id="632" w:name="__RefHeading___Toc559784_3244359995"/>
      <w:bookmarkStart w:id="633" w:name="_Toc235"/>
      <w:bookmarkEnd w:id="632"/>
      <w:r>
        <w:rPr>
          <w:rtl w:val="true"/>
        </w:rPr>
        <w:t>الجهة الثانیة</w:t>
      </w:r>
      <w:r>
        <w:rPr>
          <w:rtl w:val="true"/>
        </w:rPr>
        <w:t xml:space="preserve">: </w:t>
      </w:r>
      <w:r>
        <w:rPr>
          <w:rtl w:val="true"/>
        </w:rPr>
        <w:t>فی صغری المسألة</w:t>
      </w:r>
      <w:bookmarkEnd w:id="633"/>
    </w:p>
    <w:p>
      <w:pPr>
        <w:pStyle w:val="Heading5"/>
        <w:numPr>
          <w:ilvl w:val="4"/>
          <w:numId w:val="1"/>
        </w:numPr>
        <w:rPr/>
      </w:pPr>
      <w:bookmarkStart w:id="634" w:name="__RefHeading___Toc559786_3244359995"/>
      <w:bookmarkStart w:id="635" w:name="_Toc236"/>
      <w:bookmarkEnd w:id="634"/>
      <w:r>
        <w:rPr>
          <w:rtl w:val="true"/>
        </w:rPr>
        <w:t>اشارة</w:t>
      </w:r>
      <w:bookmarkEnd w:id="635"/>
    </w:p>
    <w:p>
      <w:pPr>
        <w:pStyle w:val="BookText"/>
        <w:rPr/>
      </w:pPr>
      <w:r>
        <w:rPr>
          <w:rFonts w:ascii="IRNazanin" w:hAnsi="IRNazanin" w:eastAsia="IRNazanin"/>
          <w:color w:val="111111"/>
          <w:sz w:val="28"/>
          <w:sz w:val="28"/>
          <w:szCs w:val="28"/>
          <w:rtl w:val="true"/>
          <w:lang w:bidi="fa-IR"/>
        </w:rPr>
        <w:t>و هی أنّ وجود الضمیر الکذائیّ ممّا یصلح للقرینیّة، أم لا بحسب الإثبات، و هکذا الاستثناء و غیر ذلک؟ و لا بأس بالإیماء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الآیة الأولی </w:t>
      </w:r>
      <w:r>
        <w:rPr>
          <w:rStyle w:val="FootnoteAnchor"/>
          <w:rtl w:val="true"/>
        </w:rPr>
        <w:footnoteReference w:id="884"/>
      </w:r>
      <w:r>
        <w:rPr>
          <w:rFonts w:ascii="IRNazanin" w:hAnsi="IRNazanin" w:eastAsia="IRNazanin"/>
          <w:color w:val="111111"/>
          <w:sz w:val="28"/>
          <w:sz w:val="28"/>
          <w:szCs w:val="28"/>
          <w:rtl w:val="true"/>
          <w:lang w:bidi="fa-IR"/>
        </w:rPr>
        <w:t>فالاحتمالات فیها کثیرة، من التصرّف فی العامّ بأن یراد منه خصوص ما أرید من الضمیر، و علیه لا یلزم تصرّف فی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التصرّف فی الضمیر بإرجاعه إلی بعض ما فی العامّ، فیکون من باب المجاز فی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التصرّف فیه بإرجاعه إلی تمام ما أرید من المرجع، مع التوسّع فی الإسناد، فیکون من باب المجاز فی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کلّه ما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الأمر لیس کما أفاده، لأنّ الضمیر فی العامّ الثانی إذا فرضنا حذفه، یقوم مقامه المرجع، فتکون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بعولة المطلّقات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هذا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 علی نعت الحقیقة، و غیر مطابق للجدّ لأجل الأدلّة الخاصّة</w:t>
      </w:r>
      <w:r>
        <w:rPr>
          <w:rFonts w:eastAsia="IRNazanin" w:cs="IRNazanin"/>
          <w:color w:val="111111"/>
          <w:sz w:val="28"/>
          <w:szCs w:val="28"/>
          <w:rtl w:val="true"/>
          <w:lang w:bidi="fa-IR"/>
        </w:rPr>
        <w:t>.</w:t>
      </w:r>
      <w:bookmarkStart w:id="636" w:name="pg13167_141044"/>
    </w:p>
    <w:p>
      <w:pPr>
        <w:pStyle w:val="BookText"/>
        <w:rPr/>
      </w:pPr>
      <w:bookmarkEnd w:id="636"/>
      <w:r>
        <w:rPr>
          <w:rFonts w:ascii="IRNazanin" w:hAnsi="IRNazanin" w:eastAsia="IRNazanin"/>
          <w:color w:val="111111"/>
          <w:sz w:val="28"/>
          <w:sz w:val="28"/>
          <w:szCs w:val="28"/>
          <w:rtl w:val="true"/>
          <w:lang w:bidi="fa-IR"/>
        </w:rPr>
        <w:t>فیعود الضمیر حسب الظاهر إلی ما هو المراد فی المطلّقات بالإرادة الاستعمالیّة، التی علیها رحی الحقیقة و المجاز، و لا یکون فی العامّ الثانی تمام المضمون مرادا بالإرادة الجدّیة، و یسقط البحث فی المقام حول تعارض أصالة العموم و أصالة عدم الاستخدام، و عن أنّ شأن الضمائر و أسماء الإشارة واحد، و هی فی حکم الحروف، و لا تکون هی المخبر عنه، و لا موضوعا حقیقة حتّی نقول بضعف ما أفادوه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من وجود ما یصلح للقرینیّة هو الاستعمال المجازیّ و الاستخدام، أو التفکیک بین المشار إلیه و المشیر فی الإرادة، فکلّه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 وجود ما یصلح لها، أنّ العامّ الثانی إذا لم یکن مرادا جدّاً، فهو یصلح لأنّ لا یکون العامّ الأوّل أیضا کذلک، للارتباط المشاهد بینهما من رجوع الضمیر من الثانی إلی الأوّل مع وحدة الکلام، فهو محلّ منع، لأنّ ذلک فی القوانین کثیر الدور، و لا منع من تخصیص أحد العامّین الواردین فی کلام واحد دون الآخر، و لا سیّما فی الکتاب الإلهیّ الّذی هو کتاب التقنین، فعدم جریان أصالة الجدّ و التطابق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القرائن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سببا لقصور جریانها بالنسبة إلی الأوّل، فتأمّل</w:t>
      </w:r>
      <w:r>
        <w:rPr>
          <w:rFonts w:eastAsia="IRNazanin" w:cs="IRNazanin"/>
          <w:color w:val="111111"/>
          <w:sz w:val="28"/>
          <w:szCs w:val="28"/>
          <w:rtl w:val="true"/>
          <w:lang w:bidi="fa-IR"/>
        </w:rPr>
        <w:t>.</w:t>
      </w:r>
    </w:p>
    <w:p>
      <w:pPr>
        <w:pStyle w:val="Heading5"/>
        <w:numPr>
          <w:ilvl w:val="4"/>
          <w:numId w:val="1"/>
        </w:numPr>
        <w:rPr/>
      </w:pPr>
      <w:bookmarkStart w:id="637" w:name="__RefHeading___Toc559788_3244359995"/>
      <w:bookmarkStart w:id="638" w:name="_Toc237"/>
      <w:bookmarkEnd w:id="637"/>
      <w:r>
        <w:rPr>
          <w:rtl w:val="true"/>
        </w:rPr>
        <w:t>حکم الجمل المتعدّدة المتعقّبة بالاستثناء</w:t>
      </w:r>
      <w:bookmarkEnd w:id="638"/>
    </w:p>
    <w:p>
      <w:pPr>
        <w:pStyle w:val="BookText"/>
        <w:rPr/>
      </w:pPr>
      <w:r>
        <w:rPr>
          <w:rFonts w:ascii="IRNazanin" w:hAnsi="IRNazanin" w:eastAsia="IRNazanin"/>
          <w:color w:val="111111"/>
          <w:sz w:val="28"/>
          <w:sz w:val="28"/>
          <w:szCs w:val="28"/>
          <w:rtl w:val="true"/>
          <w:lang w:bidi="fa-IR"/>
        </w:rPr>
        <w:t>و أمّا الآیة الثانیة</w:t>
      </w:r>
      <w:r>
        <w:rPr>
          <w:rStyle w:val="FootnoteAnchor"/>
          <w:rtl w:val="true"/>
        </w:rPr>
        <w:footnoteReference w:id="886"/>
      </w:r>
      <w:r>
        <w:rPr>
          <w:rFonts w:ascii="IRNazanin" w:hAnsi="IRNazanin" w:eastAsia="IRNazanin"/>
          <w:color w:val="111111"/>
          <w:sz w:val="28"/>
          <w:sz w:val="28"/>
          <w:szCs w:val="28"/>
          <w:rtl w:val="true"/>
          <w:lang w:bidi="fa-IR"/>
        </w:rPr>
        <w:t>فلا بحث فی خصوصها، لظهور رجوع الاستثناء فیها إلی الأخیرة، نظرا إلی أنّ الجملة السابقة مشتملة علی الضمیر الراجع إلی الصدر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لاختلاف سیاق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الاستثناء من الجملة المتوسّطة یحتاج إلی</w:t>
      </w:r>
    </w:p>
    <w:p>
      <w:pPr>
        <w:pStyle w:val="BookText"/>
        <w:rPr/>
      </w:pPr>
      <w:r>
        <w:rPr>
          <w:rFonts w:ascii="IRNazanin" w:hAnsi="IRNazanin" w:eastAsia="IRNazanin"/>
          <w:color w:val="111111"/>
          <w:sz w:val="28"/>
          <w:sz w:val="28"/>
          <w:szCs w:val="28"/>
          <w:rtl w:val="true"/>
          <w:lang w:bidi="fa-IR"/>
        </w:rPr>
        <w:t>تأویل و حذف،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البحث هنا فیکون فی خصوص الجمل المتعدّدة الخالیة من القرینة الخاصّة، و هو مثل 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سلِّم علی المؤمنین، و وقّر السادات،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فی البین ما یکون دلیلا علی رجوعه إلی خصوص الأخیرة، أو إلی الکلّ، أو إلی خصوص إحداها، فما تری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 xml:space="preserve">و غیره </w:t>
      </w:r>
      <w:r>
        <w:rPr>
          <w:rStyle w:val="FootnoteAnchor"/>
          <w:rtl w:val="true"/>
        </w:rPr>
        <w:footnoteReference w:id="888"/>
      </w:r>
      <w:r>
        <w:rPr>
          <w:rFonts w:ascii="IRNazanin" w:hAnsi="IRNazanin" w:eastAsia="IRNazanin"/>
          <w:color w:val="111111"/>
          <w:sz w:val="28"/>
          <w:sz w:val="28"/>
          <w:szCs w:val="28"/>
          <w:rtl w:val="true"/>
          <w:lang w:bidi="fa-IR"/>
        </w:rPr>
        <w:t>من إطالة الکلام حول کیفیّة صدور الجمل، فهو لیس من البحث الأصولیّ، و لا یمکن استقصاؤها، و ما هو البحث الأصولیّ هو ما إذا لم یوجد فی نفس الجمل قرینة خاصّة، و کان المفروض رجوعه إلی الأخیرة، فإنّه حینئذٍ یتوجّه السؤال عن وجود ما یصلح للقرینیّة لصرف العمومات الاخر، و عن وجود ما یوجب عدم انعقاد العموم و عدم تمامیّة حجّیته،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فالبحث بناء علی هذا ممحّض فی أصل وجود ما یصلح للقرینیّة، فإن قلنا بإمکان رجوع الاستثناء إلی المجموع فهو، و إلاّ فیکون الکلام فارغا عنه، ضرورة أنّه مع امتناع رجوع الاستثناء إلی الکلّ لا تکون القرینة صالحة، فیؤخذ بالعمومات السابقة، سواء قلنا باحتیاجها إلی مقدّمات الإطلاق، أو لم نقل، فعلیه یتمحّض البحث حول إمکان ذلک مطلقا، و عدمه مطلقا، أو التفصیل بین الاستثناء بالأداة و بالأسماء، وجوه و أقوال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اللائق بالبحث فی المقام هو ذلک، دون مقام الإثبات و الاستظهار، حتّی یفصّل فی المسألة بین الصور و کیفیّة ورود الجمل، و أنّها إذا کانت</w:t>
      </w:r>
    </w:p>
    <w:p>
      <w:pPr>
        <w:pStyle w:val="BookText"/>
        <w:rPr/>
      </w:pPr>
      <w:r>
        <w:rPr>
          <w:rFonts w:ascii="IRNazanin" w:hAnsi="IRNazanin" w:eastAsia="IRNazanin"/>
          <w:color w:val="111111"/>
          <w:sz w:val="28"/>
          <w:sz w:val="28"/>
          <w:szCs w:val="28"/>
          <w:rtl w:val="true"/>
          <w:lang w:bidi="fa-IR"/>
        </w:rPr>
        <w:t xml:space="preserve">کذا فیرجع الاستثناء إلی الکلّ، و إذا کانت کذا فیرجع إلی الأخیرة و هکذا، فإنّه لیس شأن الأصولیّ ذلک، و لا ثمرة مهمّة فی هذا البحث، و أمثاله، فیسقط محطّ کلام القوم فی المقام </w:t>
      </w:r>
      <w:r>
        <w:rPr>
          <w:rStyle w:val="FootnoteAnchor"/>
          <w:rtl w:val="true"/>
        </w:rPr>
        <w:footnoteReference w:id="890"/>
      </w:r>
      <w:r>
        <w:rPr>
          <w:rFonts w:ascii="IRNazanin" w:hAnsi="IRNazanin" w:eastAsia="IRNazanin"/>
          <w:color w:val="111111"/>
          <w:sz w:val="28"/>
          <w:sz w:val="28"/>
          <w:szCs w:val="28"/>
          <w:rtl w:val="true"/>
          <w:lang w:bidi="fa-IR"/>
        </w:rPr>
        <w:t>، و یصحّ البحث عن وجه آخر کبرویّ أشیر إلیه، و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الموارد التی یمکن أن تکون محلّ الکلام بحسب الصغری أیضا کثیرة، إلاّ أنّ أهمّها المورد الّذی مضی تحقیقه </w:t>
      </w:r>
      <w:r>
        <w:rPr>
          <w:rStyle w:val="FootnoteAnchor"/>
          <w:rtl w:val="true"/>
        </w:rPr>
        <w:footnoteReference w:id="891"/>
      </w:r>
      <w:r>
        <w:rPr>
          <w:rFonts w:ascii="IRNazanin" w:hAnsi="IRNazanin" w:eastAsia="IRNazanin"/>
          <w:color w:val="111111"/>
          <w:sz w:val="28"/>
          <w:sz w:val="28"/>
          <w:szCs w:val="28"/>
          <w:rtl w:val="true"/>
          <w:lang w:bidi="fa-IR"/>
        </w:rPr>
        <w:t>، و هذا المورد و هو ورود الجمل المتعقّبة بالاستثناء، مع الخلوّ من القرینة المعیّنة لرجوعه إلی واحد منها معیّنا، و بعض الموارد الاخر التی لا یهمّنا البحث عنها، و أشرنا إلی أمثلتها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یکون وجها لامتناع رجوع الاستثناء فی الجملة إلی المجموع، هو أنّ الأداة الاستثنائیّة من المعانی الحرفیّة، و الموضوع له فیها خاصّ، فکیف یعقل الاستثناء من الکثیر و من مجموع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ذلک یتوقّف علی استعمال الحرف فی الإخراجات المتعدّدة، فیلزم استعماله فی الکثیر و هو ممتنع، فتعیّن رجوعه إلی الأخیرة، و لا یصلح أن یکون قرینة علی سائر الجمل، فهی باقیة علی حالها من الحجّیة، و یتمّ انعقادها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الاستثناء بالأسماء لا یلزم إشکال، لوجود الجامع المستعمل فیه اسم الاستثناء</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یمتنع ذلک فیما إذا کان المستثنی من الأعلام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إمکانه، لإمکان 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المسمّی بزید، إلاّ أنّه تلزم المجازیّة</w:t>
      </w:r>
      <w:r>
        <w:rPr>
          <w:rStyle w:val="FootnoteAnchor"/>
          <w:rtl w:val="true"/>
        </w:rPr>
        <w:footnoteReference w:id="892"/>
      </w:r>
      <w:r>
        <w:rPr>
          <w:rFonts w:ascii="IRNazanin" w:hAnsi="IRNazanin" w:eastAsia="IRNazanin"/>
          <w:color w:val="111111"/>
          <w:sz w:val="28"/>
          <w:sz w:val="28"/>
          <w:szCs w:val="28"/>
          <w:rtl w:val="true"/>
          <w:lang w:bidi="fa-IR"/>
        </w:rPr>
        <w:t>، فی غیر محلّه، لأنّه مع عدم وجود القرینة یمتنع علی المولی الحکیم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المستثنی دلیل علی أنّه القرینة علی استعمال الواحد فی الکثیر، إلاّ أنّه فی نفسه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التحفّظ علی العمومات الأوَل غیر الأخیرة، لا یتقوّم بإثبات امتناع رجوعه إلی الکلّ، بل لو کانت صلاحیة القرینة ممّا تنکر عادة، و تستبعد عرفا، و یعدّ الاتکال علیها من الأمر غیر المتعارف عند العقلاء، تکون العمومات الأوَل باقیة علی حالها، و منعقدة فی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الواحد فی الکثیر و لو کان جائزا، و لکنّه ممّا لا یتعارف فی محیط التقنین، و لا یعهد فی القواعد الفقهیّة، و مجرّد إمکانه أو تعارفه فی الخطب و الأشعار و الأُحْجِیّات و اللغز، لا یورث شیئا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یتوجّه إلی التقریبین السابقین ما قد یقال من إمکان استعمال الواحد فی الکثیر</w:t>
      </w:r>
      <w:r>
        <w:rPr>
          <w:rStyle w:val="FootnoteAnchor"/>
          <w:rtl w:val="true"/>
        </w:rPr>
        <w:footnoteReference w:id="893"/>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 التقریبین نقض بأنّا إذا راجعنا وجداننا، نجد صحّة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الفسّاق من کلّ واحدة من الطوائف المزبورة المتعاقبة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یشکّ أحد فی رجوع الاستثناء إلی الجمع، و هکذا إذا ورد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زید بن علیّ من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الفرض الأوّل یکون المعنی الحرفیّ أیضا واحدا، و اللفظة مستعملة فیه، إلاّ أنّ مدخول الحرف کثیر قابل للانحلال، کما فی الاستثناء من الجملة الواحدة، فإنّ الإخراج واحد، و الخارج کثیر، و هکذا فی المقام، فلیس هنا إخراجات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الفرض الثانی فإرادة کلّ واحد منهم و إن کانت جائزة، إلاّ أنّ هذا النحو من التکلّم خارج عن دیدن أرباب التقنین، فلا یصلح تخصیص الأخیر للقرینة</w:t>
      </w:r>
      <w:bookmarkStart w:id="639" w:name="pg13167_141048"/>
    </w:p>
    <w:p>
      <w:pPr>
        <w:pStyle w:val="BookText"/>
        <w:rPr/>
      </w:pPr>
      <w:bookmarkEnd w:id="639"/>
      <w:r>
        <w:rPr>
          <w:rFonts w:ascii="IRNazanin" w:hAnsi="IRNazanin" w:eastAsia="IRNazanin"/>
          <w:color w:val="111111"/>
          <w:sz w:val="28"/>
          <w:sz w:val="28"/>
          <w:szCs w:val="28"/>
          <w:rtl w:val="true"/>
          <w:lang w:bidi="fa-IR"/>
        </w:rPr>
        <w:t>بالنسبة إلی العمومات الأوَل من غیر فرق بین کونه مجازا، أو حقیقة، أو مشترکا بین الحقیقة و المجاز، کما لا یخفی</w:t>
      </w:r>
      <w:r>
        <w:rPr>
          <w:rFonts w:eastAsia="IRNazanin" w:cs="IRNazanin"/>
          <w:color w:val="111111"/>
          <w:sz w:val="28"/>
          <w:szCs w:val="28"/>
          <w:rtl w:val="true"/>
          <w:lang w:bidi="fa-IR"/>
        </w:rPr>
        <w:t>.</w:t>
      </w:r>
    </w:p>
    <w:p>
      <w:pPr>
        <w:pStyle w:val="Heading5"/>
        <w:numPr>
          <w:ilvl w:val="4"/>
          <w:numId w:val="1"/>
        </w:numPr>
        <w:rPr/>
      </w:pPr>
      <w:bookmarkStart w:id="640" w:name="__RefHeading___Toc559790_3244359995"/>
      <w:bookmarkStart w:id="641" w:name="_Toc238"/>
      <w:bookmarkEnd w:id="640"/>
      <w:r>
        <w:rPr>
          <w:rtl w:val="true"/>
        </w:rPr>
        <w:t>بقی شی‌ء</w:t>
      </w:r>
      <w:r>
        <w:rPr>
          <w:rtl w:val="true"/>
        </w:rPr>
        <w:t xml:space="preserve">: </w:t>
      </w:r>
      <w:r>
        <w:rPr>
          <w:rtl w:val="true"/>
        </w:rPr>
        <w:t>إرجاع الاستثناء إلی خصوص الأخیرة لا یضرّ بسائر العمومات</w:t>
      </w:r>
      <w:bookmarkEnd w:id="641"/>
    </w:p>
    <w:p>
      <w:pPr>
        <w:pStyle w:val="BookText"/>
        <w:rPr/>
      </w:pPr>
      <w:r>
        <w:rPr>
          <w:rFonts w:ascii="IRNazanin" w:hAnsi="IRNazanin" w:eastAsia="IRNazanin"/>
          <w:color w:val="111111"/>
          <w:sz w:val="28"/>
          <w:sz w:val="28"/>
          <w:szCs w:val="28"/>
          <w:rtl w:val="true"/>
          <w:lang w:bidi="fa-IR"/>
        </w:rPr>
        <w:t>و هو أنّ رجوع ضمیر الجمع فیما إذا کان المستثنی مشتملا علیه إلی المجموع، یستلزم اللحاظ الخاصّ، لاختلاف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الفسّاق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هذه الطوائف فهو صحیح، و أمّا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فرع وحدة اللحاظ و تراکم أفراد الطوائف فی التصوّر الجدید، و هذا أمر بعید جدّاً، فالرجوع إلی الأوّل خلاف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المستثنی مشتملا علی الضمیر، کما فی المتعارف منه، فإرجاع الضمیر إلی جمیع الجمل مع اختلافها فی العنوان، یتوقّف علی توحید تلک الطوائف المتنوّعة أوّلا، ثمّ الإخراج عنها، فلا بدّ أوّلا من لحاظ جمیع أفراد الشعراء و الفقهاء و الشرفاء تحت عنوان واحد و لو کان عرضیّا، ثمّ إرجاع ضمیر الجمع إلیهم، و حیث لا دلیل علی تجدید اللحاظ و توحید الکثیر فی مرحلة الإثبات، فلا یصلح رجوع الاستثناء إلی الأخیر للقرینیّة بالنسبة إلی سائر الجمل، فتکون أصالة العموم و الإطلاق فیها محفوظة و غیر محفوفة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میزان الصلاحیة لیس إلاّ بحسب مرحلة الإثبات و الفهم العرفیّ، بأن یکون الکلام و القانون فی محیط العرف محفوفا بما یصلح للاتکال علیه، و مجرّد الاحتمال الثبوتیّ غیر کافٍ بالضرورة، 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تعلّق الغرض بإلقاء الجملات کما فی المتشابهات </w:t>
      </w:r>
      <w:r>
        <w:rPr>
          <w:rStyle w:val="FootnoteAnchor"/>
          <w:rtl w:val="true"/>
        </w:rPr>
        <w:footnoteReference w:id="894"/>
      </w:r>
      <w:r>
        <w:rPr>
          <w:rFonts w:ascii="IRNazanin" w:hAnsi="IRNazanin" w:eastAsia="IRNazanin"/>
          <w:color w:val="111111"/>
          <w:sz w:val="28"/>
          <w:sz w:val="28"/>
          <w:szCs w:val="28"/>
          <w:rtl w:val="true"/>
          <w:lang w:bidi="fa-IR"/>
        </w:rPr>
        <w:t>، فهو غیر موافق لذوقه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محیط التقنین لا یحتمل ذلک، و المتشابهات فی غیر الأحکام تجری، و هی لیست من المتشابهات المشتقّة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تشتقّ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تفصیله فی محیط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حقیقة الکلام فی مرحلة الثبوت، و فیما یلیق بالباحث الأصولیّ، فلا بأس بالإیماء إلی ما هو الحقّ فی مرحلة الإثبات، و هو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تعیّن أنّ الضمیر یرجع إلی الأخیر فی موقف خلوّ الکلام عن قاطبة القرائن، و إلاّ فلا منع من رجوعه أحیانا إلی إحداها، أو إلی المجموع لأجل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لو تعدّد الاستثناء، فإنّه ربّما یکون تعدّده قرینة علی رجوعه إلی الجمیع علی اللفّ و النشر المرتّبین، أو رجوع الکلّ إلی الکلّ،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أنّه فی مقام وقوعه فالظاهر أیضا عدم قصور فی الأخذ بإطلاق الاستثناء و المستثنی، لو لا کون ظهور العامّ وضعیّا حاکما أو واردا علی الإطلاق، فیقدّم العموم علی الإطلاق المزبور، و لا یصلح مثل هذا الاستثناء للقرینیّة علی خلاف العامّ، لأنّ قرینیّته دوریّة فتستحیل، فیبقی العموم علی حجّیته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أصالة العموم إلی أصالة الظهور، لا أنّها أصل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العامّ أیضا فی دلالته إطلاقیّا، یشکل التمسّک بالإطلاق فی کلّ واحد من الاستثناء و المستثنی منه، و ذلک </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استشکل السیّد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ظنّ أنّ العمومات الأوَل غیر حجّة</w:t>
      </w:r>
      <w:r>
        <w:rPr>
          <w:rStyle w:val="FootnoteAnchor"/>
          <w:rtl w:val="true"/>
        </w:rPr>
        <w:footnoteReference w:id="896"/>
      </w:r>
      <w:r>
        <w:rPr>
          <w:rFonts w:ascii="IRNazanin" w:hAnsi="IRNazanin" w:eastAsia="IRNazanin"/>
          <w:color w:val="111111"/>
          <w:sz w:val="28"/>
          <w:sz w:val="28"/>
          <w:szCs w:val="28"/>
          <w:rtl w:val="true"/>
          <w:lang w:bidi="fa-IR"/>
        </w:rPr>
        <w:t>، مع قوله بدلالتها علی العموم وضعا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bookmarkStart w:id="642" w:name="pg13167_141050"/>
    </w:p>
    <w:p>
      <w:pPr>
        <w:pStyle w:val="BookText"/>
        <w:rPr/>
      </w:pPr>
      <w:bookmarkEnd w:id="64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w:t>
      </w:r>
      <w:r>
        <w:rPr>
          <w:rStyle w:val="FootnoteAnchor"/>
          <w:rtl w:val="true"/>
        </w:rPr>
        <w:footnoteReference w:id="898"/>
      </w:r>
      <w:r>
        <w:rPr>
          <w:rFonts w:ascii="IRNazanin" w:hAnsi="IRNazanin" w:eastAsia="IRNazanin"/>
          <w:color w:val="111111"/>
          <w:sz w:val="28"/>
          <w:sz w:val="28"/>
          <w:szCs w:val="28"/>
          <w:rtl w:val="true"/>
          <w:lang w:bidi="fa-IR"/>
        </w:rPr>
        <w:t>مواقع للنظر، و الّذی یهمّنا الإیماء إلیه هو أنّ إطلاق الاستثناء و المستثنی فی الکلام مختلطان، فإنّه لیس من قبیل الإطلاق المصطلح علیه فی باب المطلق و المقیّد، و هو الإطلاق اللفظیّ، ضرورة أنّه لم توضع أداة الاستثناء أوّلا للمستثنی للرجوع إلی الجمیع، حتّی یصحّ التمسّک المزبور و الإطلاق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فالإطلاق الّذی یصحّ التمسّک به هنا هو الإطلاق المصطلح علیه فی باب الأوامر و النواهی، و هو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إطلاق الأمر یقتضی النفسیّة، و العینیّة، و التعیینیّة، و غیر ذلک</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و لا شبهة فی أنّه مع وجود العامّ و الإطلاق اللفظیّ لا تصل النوبة إلی هذا الإطلاق، و لا یمکن أن یکون الإطلاق فی الذیل بناء علیه صالحا للقرینیّة،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ذلک فکون الإطلاق فی الذیل بلا قرینة، و الإلقاء بلا شاهد، دلیلا علی رجوع الاستثناء إلی الکلّ، ممنوع جدّاً، فإنّ ذلک فرع الاستعمال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الأمر یقتضی الوجوب و النفسیّة و هکذا، فإنّه لکثرة إفادة الوجوب و النفسیّة بلا قرینة، صارت اللاقرینیّة دلیلا علی إرادة الوجوب و النفسیّة، و هذا المعنی فیما نحن فیه محرز العدم، فلا تخلط</w:t>
      </w:r>
      <w:r>
        <w:rPr>
          <w:rFonts w:eastAsia="IRNazanin" w:cs="IRNazanin"/>
          <w:color w:val="111111"/>
          <w:sz w:val="28"/>
          <w:szCs w:val="28"/>
          <w:rtl w:val="true"/>
          <w:lang w:bidi="fa-IR"/>
        </w:rPr>
        <w:t>.</w:t>
      </w:r>
    </w:p>
    <w:p>
      <w:pPr>
        <w:pStyle w:val="Heading5"/>
        <w:numPr>
          <w:ilvl w:val="4"/>
          <w:numId w:val="1"/>
        </w:numPr>
        <w:rPr/>
      </w:pPr>
      <w:bookmarkStart w:id="643" w:name="__RefHeading___Toc559792_3244359995"/>
      <w:bookmarkStart w:id="644" w:name="_Toc239"/>
      <w:bookmarkEnd w:id="643"/>
      <w:r>
        <w:rPr>
          <w:rtl w:val="true"/>
        </w:rPr>
        <w:t>تذنیب</w:t>
      </w:r>
      <w:r>
        <w:rPr>
          <w:rtl w:val="true"/>
        </w:rPr>
        <w:t xml:space="preserve">: </w:t>
      </w:r>
      <w:r>
        <w:rPr>
          <w:rtl w:val="true"/>
        </w:rPr>
        <w:t>فی حکم الشکّ فی رجوع الاستثناء إلی الأخیرة</w:t>
      </w:r>
      <w:bookmarkEnd w:id="64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رجوع الاستثناء إلی الأخیرة أمر مفروغ منه عندهم </w:t>
      </w:r>
      <w:r>
        <w:rPr>
          <w:rStyle w:val="FootnoteAnchor"/>
          <w:rtl w:val="true"/>
        </w:rPr>
        <w:footnoteReference w:id="901"/>
      </w:r>
      <w:r>
        <w:rPr>
          <w:rFonts w:ascii="IRNazanin" w:hAnsi="IRNazanin" w:eastAsia="IRNazanin"/>
          <w:color w:val="111111"/>
          <w:sz w:val="28"/>
          <w:sz w:val="28"/>
          <w:szCs w:val="28"/>
          <w:rtl w:val="true"/>
          <w:lang w:bidi="fa-IR"/>
        </w:rPr>
        <w:t>، و لو</w:t>
      </w:r>
      <w:bookmarkStart w:id="645" w:name="pg13167_141051"/>
    </w:p>
    <w:p>
      <w:pPr>
        <w:pStyle w:val="BookText"/>
        <w:rPr/>
      </w:pPr>
      <w:bookmarkEnd w:id="645"/>
      <w:r>
        <w:rPr>
          <w:rFonts w:ascii="IRNazanin" w:hAnsi="IRNazanin" w:eastAsia="IRNazanin"/>
          <w:color w:val="111111"/>
          <w:sz w:val="28"/>
          <w:sz w:val="28"/>
          <w:szCs w:val="28"/>
          <w:rtl w:val="true"/>
          <w:lang w:bidi="fa-IR"/>
        </w:rPr>
        <w:t>کان فی الکلام ما یوجب الشکّ فیه، أو فرضنا أنّ البحث فی الأعمّ من الکلام الواحد، و فرضنا أنّ المخصّص المنفصل ناظر إلی واحد من العمومات الواردة المتعاقبة، فإنّه یصحّ الشکّ، و تنعقد الشبهة فی رجوعه إلی الأخیرة، و عندئذٍ إن أمکن تصدیقا تعیین المستثنی منه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فقضیّة العلم الإجمالیّ مختلفة بحسب الموارد، فربّما یلزم الاحتیاط بالعمل بمجموع العمومات، و ربّما لا یمکن الاحتیاط، کما إذا کان الفاسق الخارج منها محرّم الإکرام، فیدور الأمر بین المحذورین، و فی المسألة بعض صور و بحوث اخر لا یهمّنا التعرّض لها، و اللَّه هو الولیّ المنعم</w:t>
      </w:r>
      <w:r>
        <w:rPr>
          <w:rFonts w:eastAsia="IRNazanin" w:cs="IRNazanin"/>
          <w:color w:val="111111"/>
          <w:sz w:val="28"/>
          <w:szCs w:val="28"/>
          <w:rtl w:val="true"/>
          <w:lang w:bidi="fa-IR"/>
        </w:rPr>
        <w:t>.</w:t>
      </w:r>
    </w:p>
    <w:p>
      <w:pPr>
        <w:pStyle w:val="Heading5"/>
        <w:numPr>
          <w:ilvl w:val="4"/>
          <w:numId w:val="1"/>
        </w:numPr>
        <w:rPr/>
      </w:pPr>
      <w:bookmarkStart w:id="646" w:name="__RefHeading___Toc559794_3244359995"/>
      <w:bookmarkStart w:id="647" w:name="_Toc240"/>
      <w:bookmarkEnd w:id="646"/>
      <w:r>
        <w:rPr>
          <w:rtl w:val="true"/>
        </w:rPr>
        <w:t>تنبیه</w:t>
      </w:r>
      <w:r>
        <w:rPr>
          <w:rtl w:val="true"/>
        </w:rPr>
        <w:t xml:space="preserve">: </w:t>
      </w:r>
      <w:r>
        <w:rPr>
          <w:rtl w:val="true"/>
        </w:rPr>
        <w:t>فی أنّ النزاع أعمّ من التعقّب بالاستثناء</w:t>
      </w:r>
      <w:bookmarkEnd w:id="64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لا یخصّ بما إذا کانت الجمل متعقّبة بالاستثناء، بل الجهة المبحوث عنها أعمّ منه، و من کونها متعقّبة بقید مردّد بین رجوعه إلی الکلّ، أو البعض، أو کان الکلام المنفصل مشتملا علی قید یرجع إلی إحدی الجمل المتعاقبة و لو لم یکن من قبیل الاستثناء</w:t>
      </w:r>
      <w:r>
        <w:rPr>
          <w:rFonts w:eastAsia="IRNazanin" w:cs="IRNazanin"/>
          <w:color w:val="111111"/>
          <w:sz w:val="28"/>
          <w:szCs w:val="28"/>
          <w:rtl w:val="true"/>
          <w:lang w:bidi="fa-IR"/>
        </w:rPr>
        <w:t>.</w:t>
      </w:r>
      <w:bookmarkStart w:id="648" w:name="pg13167_141053"/>
    </w:p>
    <w:p>
      <w:pPr>
        <w:pStyle w:val="Heading3"/>
        <w:numPr>
          <w:ilvl w:val="2"/>
          <w:numId w:val="1"/>
        </w:numPr>
        <w:rPr/>
      </w:pPr>
      <w:bookmarkStart w:id="649" w:name="__RefHeading___Toc559796_3244359995"/>
      <w:bookmarkStart w:id="650" w:name="_Toc241"/>
      <w:bookmarkEnd w:id="648"/>
      <w:bookmarkEnd w:id="649"/>
      <w:r>
        <w:rPr>
          <w:rtl w:val="true"/>
        </w:rPr>
        <w:t>المبحث السابع فی أقسام العامّ و الخاصّ و کیفیّة الجمع بینهما</w:t>
      </w:r>
      <w:bookmarkEnd w:id="650"/>
    </w:p>
    <w:p>
      <w:pPr>
        <w:pStyle w:val="Heading4"/>
        <w:numPr>
          <w:ilvl w:val="3"/>
          <w:numId w:val="1"/>
        </w:numPr>
        <w:rPr/>
      </w:pPr>
      <w:bookmarkStart w:id="651" w:name="__RefHeading___Toc559798_3244359995"/>
      <w:bookmarkStart w:id="652" w:name="_Toc242"/>
      <w:bookmarkEnd w:id="651"/>
      <w:r>
        <w:rPr>
          <w:rtl w:val="true"/>
        </w:rPr>
        <w:t>حکم تعارض العامّ مع منطوق الخاصّ</w:t>
      </w:r>
      <w:bookmarkEnd w:id="652"/>
    </w:p>
    <w:p>
      <w:pPr>
        <w:pStyle w:val="Heading5"/>
        <w:numPr>
          <w:ilvl w:val="4"/>
          <w:numId w:val="1"/>
        </w:numPr>
        <w:rPr/>
      </w:pPr>
      <w:bookmarkStart w:id="653" w:name="__RefHeading___Toc559800_3244359995"/>
      <w:bookmarkStart w:id="654" w:name="_Toc243"/>
      <w:bookmarkEnd w:id="653"/>
      <w:r>
        <w:rPr>
          <w:rtl w:val="true"/>
        </w:rPr>
        <w:t>اشارة</w:t>
      </w:r>
      <w:bookmarkEnd w:id="654"/>
    </w:p>
    <w:p>
      <w:pPr>
        <w:pStyle w:val="BookText"/>
        <w:rPr/>
      </w:pPr>
      <w:r>
        <w:rPr>
          <w:rFonts w:ascii="IRNazanin" w:hAnsi="IRNazanin" w:eastAsia="IRNazanin"/>
          <w:color w:val="111111"/>
          <w:sz w:val="28"/>
          <w:sz w:val="28"/>
          <w:szCs w:val="28"/>
          <w:rtl w:val="true"/>
          <w:lang w:bidi="fa-IR"/>
        </w:rPr>
        <w:t xml:space="preserve">لا شبهة فی جواز تخصیص العامّ بالمنطوق الأخصّ فی المختلفین بالسلب و الإیجاب، و هکذا فی المتّفقین فی الجملة، و إنّما الاختلاف فی وجه تقدّم الخاصّ علی العامّ، و قد تعرّضوا له بتفصیل فی التعادل و التراجیح </w:t>
      </w:r>
      <w:r>
        <w:rPr>
          <w:rStyle w:val="FootnoteAnchor"/>
          <w:rtl w:val="true"/>
        </w:rPr>
        <w:footnoteReference w:id="902"/>
      </w:r>
      <w:r>
        <w:rPr>
          <w:rFonts w:ascii="IRNazanin" w:hAnsi="IRNazanin" w:eastAsia="IRNazanin"/>
          <w:color w:val="111111"/>
          <w:sz w:val="28"/>
          <w:sz w:val="28"/>
          <w:szCs w:val="28"/>
          <w:rtl w:val="true"/>
          <w:lang w:bidi="fa-IR"/>
        </w:rPr>
        <w:t>، مع أنّ الأولی البحث عنه هنا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التحقیق عندنا، هو أنّ مبنی التقنین علی ذکر العمومات، ثمّ إردافها بالخصوصات، و أمّا إذا کان الخاصّ مقدّما فاحتمال ناسخیّة العامّ و إن کان فی حدّ ذاته غیر بعید، إلاّ أنّ ما یوجب تقدیم العامّ علی الخاصّ فی طول الأزمان هو الموجب للعکس، و ذلک یمکن أن یکون أمورا کثیرة من المصالح النّفس الأمریّة، أو السیاسیّة و الاعتباریّة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تعارف تقدیم الخاصّ علی العامّ فی محیط التقنین 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جعل العامّ ناسخاً، یستلزم اقتضاء الخاصّ مصلحةً موقّتة إلی وقت صدور العامّ، و هذا فی مثل الخاصّ الّذی یکون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و أمّا فی غیر ذلک من التخصیصات الکلّیة فهو بعید جدّاً، فیبقی الخاصّ علی قوّته و یخصّص به العامّ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التفصیل بین الخاصّ الوارد بعد زمان العمل بالعامّ، و الوارد قبله، و هکذا فی ناحیة العامّ المقدّم </w:t>
      </w:r>
      <w:r>
        <w:rPr>
          <w:rStyle w:val="FootnoteAnchor"/>
          <w:rtl w:val="true"/>
        </w:rPr>
        <w:footnoteReference w:id="903"/>
      </w:r>
      <w:r>
        <w:rPr>
          <w:rFonts w:ascii="IRNazanin" w:hAnsi="IRNazanin" w:eastAsia="IRNazanin"/>
          <w:color w:val="111111"/>
          <w:sz w:val="28"/>
          <w:sz w:val="28"/>
          <w:szCs w:val="28"/>
          <w:rtl w:val="true"/>
          <w:lang w:bidi="fa-IR"/>
        </w:rPr>
        <w:t>، فهو أیضا غیر مرضیّ فی محیط التقنین و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المتّفقین فالجمع بینهما یحتمل وجوها، و الّذی هو الحقّ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 العلم بوحدة الحکم کما یمکن الأخذ بالعامّ، و حمل الخاصّ علی الفرد الأکمل، یمکن الأخذ بالخاصّ و حمل العامّ علیه، فلا یکفی مجرّد العلم بوحدة الحکم للأخذ بالخاصّ، خلافا لما یستظهر منهم قدس سرهم </w:t>
      </w:r>
      <w:r>
        <w:rPr>
          <w:rStyle w:val="FootnoteAnchor"/>
          <w:rtl w:val="true"/>
        </w:rPr>
        <w:footnoteReference w:id="904"/>
      </w:r>
    </w:p>
    <w:p>
      <w:pPr>
        <w:pStyle w:val="BookText"/>
        <w:rPr/>
      </w:pP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محاضرات فی أصول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کان تاریخ العامّ مقدّما، فالخاصّ محمول علی الأکمل، و فی عکسه لا یحمل العامّ علیه، بل یؤخذ بهما، و لا یلزم منه النسخ، و لا تعدّد الحکم، بل العامّ دلیل علی أوسعیّة موضوع الحکم، فلا یتعدّد الحکم حتّی یقال بالتداخل و التأکید، أو علی أحد مصادیقه، کما فی الوضعیّات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مطلق العامّ و الخاصّ الموجبین یجری ذلک، سواء</w:t>
      </w:r>
    </w:p>
    <w:p>
      <w:pPr>
        <w:pStyle w:val="BookText"/>
        <w:rPr/>
      </w:pPr>
      <w:r>
        <w:rPr>
          <w:rFonts w:ascii="IRNazanin" w:hAnsi="IRNazanin" w:eastAsia="IRNazanin"/>
          <w:color w:val="111111"/>
          <w:sz w:val="28"/>
          <w:sz w:val="28"/>
          <w:szCs w:val="28"/>
          <w:rtl w:val="true"/>
          <w:lang w:bidi="fa-IR"/>
        </w:rPr>
        <w:t xml:space="preserve">علمنا وحدة الحکم من الخارج، أم لا، و ذلک لأنّ مع کونهما من الأعمّ و الأخصّ لا یمکن المحافظة علی هیئتیهما الظاهرتین فی التأسیس، لما لا یعقل تعدّد الحکم التأسیسیّ مع وحدة المتعلّق، و لا مع کون النسبة بین المتعلّقین عموما و خصوصا مطلقا، و علی هذا یلزم التصرّف إمّا بحمل العامّ علی الخاصّ، أو بحمل الخاصّ علی الفرد الأکمل، أو التفصیل بحسب زمان الصدور تقدیما و تأخیرا، کما عرفت، و علمت أنّ الأظهر هو الأخذ بهما فی صورة تأخیر العامّ </w:t>
      </w:r>
      <w:r>
        <w:rPr>
          <w:rStyle w:val="FootnoteAnchor"/>
          <w:rtl w:val="true"/>
        </w:rPr>
        <w:footnoteReference w:id="905"/>
      </w:r>
      <w:r>
        <w:rPr>
          <w:rFonts w:ascii="Amiri" w:hAnsi="Amiri" w:eastAsia="Amiri" w:cs="Amiri"/>
          <w:color w:val="111111"/>
          <w:sz w:val="28"/>
          <w:sz w:val="28"/>
          <w:szCs w:val="28"/>
          <w:rtl w:val="true"/>
          <w:lang w:bidi="ar-SA"/>
        </w:rPr>
        <w:t>، فتأمّل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هو الحقّ فی تعارض العامّ و الخاصّ فی المنطوق، مع کون النسبة بینهما العموم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اشتهر من حدیث أظهریّة الخاصّ من العامّ، أو أظهریّة دلیل من دلیل </w:t>
      </w:r>
      <w:r>
        <w:rPr>
          <w:rStyle w:val="FootnoteAnchor"/>
          <w:rtl w:val="true"/>
        </w:rPr>
        <w:footnoteReference w:id="906"/>
      </w:r>
      <w:r>
        <w:rPr>
          <w:rFonts w:ascii="IRNazanin" w:hAnsi="IRNazanin" w:eastAsia="IRNazanin"/>
          <w:color w:val="111111"/>
          <w:sz w:val="28"/>
          <w:sz w:val="28"/>
          <w:szCs w:val="28"/>
          <w:rtl w:val="true"/>
          <w:lang w:bidi="fa-IR"/>
        </w:rPr>
        <w:t xml:space="preserve">، فهو ممّا لا أصل له، لأنّ دلالة الألفاظ علی معانیها متساویة بالضرورة، و أمّا حدیث أظهریّة الخاصّ لأجل أظهریّة القید، فقد مرّ إنکار المفهوم له فی محلّه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تمّ المفهوم له فهو فی صورة عدم وجود القرینة، فلو کان العامّ صادرا قبله مثلا، فیکفی هو للقرینیّة علی أنّ القید المأخوذ فی الخاصّ لا مفهوم له، و لا سیّما إذا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دلالة العامّ وضعیّة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النسبة بین العامّین عموما من وجه، فتفصیله فی بحوث التعادل و الترجیح، و هکذا تعارض العامّ و المطلق، و سیمرّ علیک فی المطلق و المقیّد بحوث کیفیّة الجمع بینهما، و صور المسألة</w:t>
      </w:r>
      <w:r>
        <w:rPr>
          <w:rStyle w:val="FootnoteAnchor"/>
          <w:rtl w:val="true"/>
        </w:rPr>
        <w:footnoteReference w:id="908"/>
      </w:r>
      <w:r>
        <w:rPr>
          <w:rFonts w:ascii="IRNazanin" w:hAnsi="IRNazanin" w:eastAsia="IRNazanin"/>
          <w:color w:val="111111"/>
          <w:sz w:val="28"/>
          <w:sz w:val="28"/>
          <w:szCs w:val="28"/>
          <w:rtl w:val="true"/>
          <w:lang w:bidi="fa-IR"/>
        </w:rPr>
        <w:t>، و هذا أیضا یشهد علی أنّ البحث عن کیفیّة الجمع بین العامّ و الخاصّ و صورهما، کان یناسب العامّ و الخاصّ</w:t>
      </w:r>
      <w:r>
        <w:rPr>
          <w:rFonts w:eastAsia="IRNazanin" w:cs="IRNazanin"/>
          <w:color w:val="111111"/>
          <w:sz w:val="28"/>
          <w:szCs w:val="28"/>
          <w:rtl w:val="true"/>
          <w:lang w:bidi="fa-IR"/>
        </w:rPr>
        <w:t>.</w:t>
      </w:r>
      <w:bookmarkStart w:id="655" w:name="pg13167_141056"/>
    </w:p>
    <w:p>
      <w:pPr>
        <w:pStyle w:val="Heading5"/>
        <w:numPr>
          <w:ilvl w:val="4"/>
          <w:numId w:val="1"/>
        </w:numPr>
        <w:rPr/>
      </w:pPr>
      <w:bookmarkStart w:id="656" w:name="__RefHeading___Toc559802_3244359995"/>
      <w:bookmarkStart w:id="657" w:name="_Toc244"/>
      <w:bookmarkEnd w:id="655"/>
      <w:bookmarkEnd w:id="656"/>
      <w:r>
        <w:rPr>
          <w:rtl w:val="true"/>
        </w:rPr>
        <w:t>فذلکة الکلام</w:t>
      </w:r>
      <w:r>
        <w:rPr>
          <w:rtl w:val="true"/>
        </w:rPr>
        <w:t xml:space="preserve">: </w:t>
      </w:r>
      <w:r>
        <w:rPr>
          <w:rtl w:val="true"/>
        </w:rPr>
        <w:t>فی العموم و الخصوص</w:t>
      </w:r>
      <w:bookmarkEnd w:id="657"/>
    </w:p>
    <w:p>
      <w:pPr>
        <w:pStyle w:val="BookText"/>
        <w:rPr/>
      </w:pPr>
      <w:r>
        <w:rPr>
          <w:rFonts w:ascii="IRNazanin" w:hAnsi="IRNazanin" w:eastAsia="IRNazanin"/>
          <w:color w:val="111111"/>
          <w:sz w:val="28"/>
          <w:sz w:val="28"/>
          <w:szCs w:val="28"/>
          <w:rtl w:val="true"/>
          <w:lang w:bidi="fa-IR"/>
        </w:rPr>
        <w:t>و هی أنّهما إن کانا متخالفین بالسلب و الإیجاب، فیقدّم الخاصّ، و یخصّص به العامّ فی جمیع الصور، حتّی فی صورة تقدّم الخاصّ، و ورود العامّ بعد وقت العمل بالخاصّ، فضلا عمّا إذا کانا متقارنین و فی الکلام الواحد، إلاّ إذا کان الخاصّ المتقدّم فیه قرینة صالحة علی صرف العامّ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متوافقین فی السلب و الإیجاب، فإن کانا فی الکلام الواحد فالأخذ بالعامّ مشکل، لأجل احتیاجه إلی مقدّمات الإطلاق، کما فی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بعدم الحاجة إلیها</w:t>
      </w:r>
      <w:r>
        <w:rPr>
          <w:rStyle w:val="FootnoteAnchor"/>
          <w:rtl w:val="true"/>
        </w:rPr>
        <w:footnoteReference w:id="909"/>
      </w:r>
      <w:r>
        <w:rPr>
          <w:rFonts w:ascii="IRNazanin" w:hAnsi="IRNazanin" w:eastAsia="IRNazanin"/>
          <w:color w:val="111111"/>
          <w:sz w:val="28"/>
          <w:sz w:val="28"/>
          <w:szCs w:val="28"/>
          <w:rtl w:val="true"/>
          <w:lang w:bidi="fa-IR"/>
        </w:rPr>
        <w:t>، فجریان أصالة التطابق مع وجود ما یصلح للقرینیّة فی الکلام الواحد، محلّ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صرف النّظر عنها فالمتعیّن هو التخصیص فی صورة تقدّم العامّ و صدوره فی صدر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العامّ فی ذیله، فإن کان من الجمع المحلّی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فقوّة کونه حینئذ من العهد الذکریّ أیضا یمنع عن انعقاد العموم، و أمّا لو کان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فالتخصیص غیر بعید،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فی الکلامین المستقلّین، و لم یکن بینهما أداة الربط و النّظر الخاصّ، فالتخصیص ممنوع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کان العامّ مقدّما یحمل الخاصّ إمّا علی الفرد الأکمل، أو علی بیان أحد مصادیق العام، و لا قوّة لظهور القید، کما أشیر إلیه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مؤخّرا یؤخذ بالعامّ، و یطرح ظهور قید الخاصّ فی القیدیّة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لا یحتاج إلی طرح القید، لعدم تعنون الموضوع فی الخاصّ بالقید، بل</w:t>
      </w:r>
    </w:p>
    <w:p>
      <w:pPr>
        <w:pStyle w:val="BookText"/>
        <w:rPr/>
      </w:pPr>
      <w:r>
        <w:rPr>
          <w:rFonts w:ascii="IRNazanin" w:hAnsi="IRNazanin" w:eastAsia="IRNazanin"/>
          <w:color w:val="111111"/>
          <w:sz w:val="28"/>
          <w:sz w:val="28"/>
          <w:szCs w:val="28"/>
          <w:rtl w:val="true"/>
          <w:lang w:bidi="fa-IR"/>
        </w:rPr>
        <w:t xml:space="preserve">تکون الأخصّیة لأجل ذات الموضوع،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فإنّه بلا شبهة یؤخذ بالعموم إن انعقد العموم فی الفرض المزبور، و لم نقل بانصرافه إلی العهد المذکور، کما إذا ورد بعد الأمر بالخاصّ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یؤخذ بالعامّ قطعا و لو کان تاریخ صدوره قبل مضیّ وقت العمل بالخاصّ، ضرورة أنّ ضرب القانون المزبور، لا بدّ و أن یکون لأجل جهة من الجهات، و لو حمل علی الخاصّ السابق لما کان فیه أثر ظاهر عند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هیئة العامّ المتأخّر علی الندب، بدعوی ظهور القید و الخصوصیّة ذلک، فهی غیر صحیحة فی محیط التقنین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حمل کلّ واحد من العامّ و الخاصّ علی التأسیس، معناه أنّ اللازم فی مقام الامتثال تعدّد الفرد الممتثل به، مثلا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کلّ عالم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کلّ عالم عادل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قضیّة الهیئة وجوب إعطاء الدرهمین إلی العالم العادل، لانطباق العنوانین علیه، و اقتضاء کلّ هیئة تأسیسیّة أثرها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فرضنا أنّ واحدا منهما لیس تأسیسیّا، فیکون الحکم واحدا، فتعیین ذلک الواحد فی الخاصّ یحتاج إلی مئونة خاصّة، و إلاّ فالمتعیّن هو العامّ أخذا بهیئته، و حمل الخاصّ علی بیان الفرد الأکمل أو أحد مصادیقه کما عرفت، و لا سیّما إذا کان العامّ متأخّرا عن وقت العمل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مواضع الضعف فی کلمات القوم </w:t>
      </w:r>
      <w:r>
        <w:rPr>
          <w:rStyle w:val="FootnoteAnchor"/>
          <w:rtl w:val="true"/>
        </w:rPr>
        <w:footnoteReference w:id="911"/>
      </w:r>
      <w:r>
        <w:rPr>
          <w:rFonts w:ascii="Amiri" w:hAnsi="Amiri" w:eastAsia="Amiri" w:cs="Amiri"/>
          <w:color w:val="111111"/>
          <w:sz w:val="28"/>
          <w:sz w:val="28"/>
          <w:szCs w:val="28"/>
          <w:rtl w:val="true"/>
          <w:lang w:bidi="ar-SA"/>
        </w:rPr>
        <w:t xml:space="preserve">، و فی کلام جدّ أولادی العلاّمة الحائریّ قدس سرُّه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تصل النوبة بناء علی ما قرّبناه، إلی الأصول العملیّة عند</w:t>
      </w:r>
      <w:bookmarkStart w:id="658" w:name="pg13167_141058"/>
    </w:p>
    <w:p>
      <w:pPr>
        <w:pStyle w:val="BookText"/>
        <w:rPr/>
      </w:pPr>
      <w:bookmarkEnd w:id="658"/>
      <w:r>
        <w:rPr>
          <w:rFonts w:ascii="IRNazanin" w:hAnsi="IRNazanin" w:eastAsia="IRNazanin"/>
          <w:color w:val="111111"/>
          <w:sz w:val="28"/>
          <w:sz w:val="28"/>
          <w:szCs w:val="28"/>
          <w:rtl w:val="true"/>
          <w:lang w:bidi="fa-IR"/>
        </w:rPr>
        <w:t>الشکّ فی تاریخهما، لما لا أثر فی التقدّم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القول بأنّ العامّ المتأخّر ناسخ، و الخاصّ المتأخّر مخصّص، و هکذا علی بعض الوجوه الاخر، فإن أمکن الإحراز فهو، و إلاّ فتصل النوبة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إمکان إحراز ذلک بالاستصحاب </w:t>
      </w:r>
      <w:r>
        <w:rPr>
          <w:rStyle w:val="FootnoteAnchor"/>
          <w:rtl w:val="true"/>
        </w:rPr>
        <w:footnoteReference w:id="913"/>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المناقشات فی أصل جریانه، أو فی معارضته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کفایة ذلک الإحراز فی محیط الأصول اللفظیّة قابلة للمنع، کما یمکن دعوی انصراف أدلّة حجّیة الاستصحاب عن هذه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 نتیجة المرام فی أساس الجمع بین الخاصّ و العامّ، من غیر النّظر إلی مسألة السند و قطعیّته و ظنّیته، و کیفیّة تعارض الأدلّة، و أدلّة حجّیة الأسانید، فإنّ الظاهر أنّ کلّ ذلک ممّا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محصّل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تقدیم الخاصّ علی العامّ من قبیل الحکومة، أو الورود، أو التفصیل بین الخاصّ القطعیّ و الظنّی </w:t>
      </w:r>
      <w:r>
        <w:rPr>
          <w:rStyle w:val="FootnoteAnchor"/>
          <w:rtl w:val="true"/>
        </w:rPr>
        <w:footnoteReference w:id="914"/>
      </w:r>
      <w:r>
        <w:rPr>
          <w:rFonts w:ascii="IRNazanin" w:hAnsi="IRNazanin" w:eastAsia="IRNazanin"/>
          <w:color w:val="111111"/>
          <w:sz w:val="28"/>
          <w:sz w:val="28"/>
          <w:szCs w:val="28"/>
          <w:rtl w:val="true"/>
          <w:lang w:bidi="fa-IR"/>
        </w:rPr>
        <w:t>، و تفصیل المسألة من هذه الجهة یطلب من بحوث التعادل و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تعارض العامّ و الخاصّ منطوقا</w:t>
      </w:r>
      <w:r>
        <w:rPr>
          <w:rFonts w:eastAsia="IRNazanin" w:cs="IRNazanin"/>
          <w:color w:val="111111"/>
          <w:sz w:val="28"/>
          <w:szCs w:val="28"/>
          <w:rtl w:val="true"/>
          <w:lang w:bidi="fa-IR"/>
        </w:rPr>
        <w:t>.</w:t>
      </w:r>
    </w:p>
    <w:p>
      <w:pPr>
        <w:pStyle w:val="Heading4"/>
        <w:numPr>
          <w:ilvl w:val="3"/>
          <w:numId w:val="1"/>
        </w:numPr>
        <w:rPr/>
      </w:pPr>
      <w:bookmarkStart w:id="659" w:name="__RefHeading___Toc559804_3244359995"/>
      <w:bookmarkStart w:id="660" w:name="_Toc245"/>
      <w:bookmarkEnd w:id="659"/>
      <w:r>
        <w:rPr>
          <w:rtl w:val="true"/>
        </w:rPr>
        <w:t>حکم تعارض العامّ مع مفهوم الخاصّ</w:t>
      </w:r>
      <w:bookmarkEnd w:id="660"/>
    </w:p>
    <w:p>
      <w:pPr>
        <w:pStyle w:val="Heading5"/>
        <w:numPr>
          <w:ilvl w:val="4"/>
          <w:numId w:val="1"/>
        </w:numPr>
        <w:rPr/>
      </w:pPr>
      <w:bookmarkStart w:id="661" w:name="__RefHeading___Toc559806_3244359995"/>
      <w:bookmarkStart w:id="662" w:name="_Toc246"/>
      <w:bookmarkEnd w:id="661"/>
      <w:r>
        <w:rPr>
          <w:rtl w:val="true"/>
        </w:rPr>
        <w:t>اشارة</w:t>
      </w:r>
      <w:bookmarkEnd w:id="66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وقعت المعارضة بین العامّ و مفهوم الخاصّ، فالبحث فیه یقع فی جانبین</w:t>
      </w:r>
      <w:r>
        <w:rPr>
          <w:rFonts w:eastAsia="IRNazanin" w:cs="IRNazanin"/>
          <w:color w:val="111111"/>
          <w:sz w:val="28"/>
          <w:szCs w:val="28"/>
          <w:rtl w:val="true"/>
          <w:lang w:bidi="fa-IR"/>
        </w:rPr>
        <w:t>:</w:t>
      </w:r>
      <w:bookmarkStart w:id="663" w:name="pg13167_141059"/>
    </w:p>
    <w:p>
      <w:pPr>
        <w:pStyle w:val="Heading5"/>
        <w:numPr>
          <w:ilvl w:val="4"/>
          <w:numId w:val="1"/>
        </w:numPr>
        <w:rPr/>
      </w:pPr>
      <w:bookmarkStart w:id="664" w:name="__RefHeading___Toc559808_3244359995"/>
      <w:bookmarkStart w:id="665" w:name="_Toc247"/>
      <w:bookmarkEnd w:id="663"/>
      <w:bookmarkEnd w:id="664"/>
      <w:r>
        <w:rPr>
          <w:rtl w:val="true"/>
        </w:rPr>
        <w:t>الجانب الأوّل</w:t>
      </w:r>
      <w:r>
        <w:rPr>
          <w:rtl w:val="true"/>
        </w:rPr>
        <w:t xml:space="preserve">: </w:t>
      </w:r>
      <w:r>
        <w:rPr>
          <w:rtl w:val="true"/>
        </w:rPr>
        <w:t>فی المفهوم الموافق</w:t>
      </w:r>
      <w:bookmarkEnd w:id="665"/>
    </w:p>
    <w:p>
      <w:pPr>
        <w:pStyle w:val="BookText"/>
        <w:rPr/>
      </w:pPr>
      <w:r>
        <w:rPr>
          <w:rFonts w:ascii="IRNazanin" w:hAnsi="IRNazanin" w:eastAsia="IRNazanin"/>
          <w:color w:val="111111"/>
          <w:sz w:val="28"/>
          <w:sz w:val="28"/>
          <w:szCs w:val="28"/>
          <w:rtl w:val="true"/>
          <w:lang w:bidi="fa-IR"/>
        </w:rPr>
        <w:t>فقد اشتهر</w:t>
      </w:r>
      <w:r>
        <w:rPr>
          <w:rStyle w:val="FootnoteAnchor"/>
          <w:rtl w:val="true"/>
        </w:rPr>
        <w:footnoteReference w:id="915"/>
      </w:r>
      <w:r>
        <w:rPr>
          <w:rFonts w:ascii="IRNazanin" w:hAnsi="IRNazanin" w:eastAsia="IRNazanin"/>
          <w:color w:val="111111"/>
          <w:sz w:val="28"/>
          <w:sz w:val="28"/>
          <w:szCs w:val="28"/>
          <w:rtl w:val="true"/>
          <w:lang w:bidi="fa-IR"/>
        </w:rPr>
        <w:t xml:space="preserve">و ادعی الاتفاق </w:t>
      </w:r>
      <w:r>
        <w:rPr>
          <w:rStyle w:val="FootnoteAnchor"/>
          <w:rtl w:val="true"/>
        </w:rPr>
        <w:footnoteReference w:id="916"/>
      </w:r>
      <w:r>
        <w:rPr>
          <w:rFonts w:ascii="IRNazanin" w:hAnsi="IRNazanin" w:eastAsia="IRNazanin"/>
          <w:color w:val="111111"/>
          <w:sz w:val="28"/>
          <w:sz w:val="28"/>
          <w:szCs w:val="28"/>
          <w:rtl w:val="true"/>
          <w:lang w:bidi="fa-IR"/>
        </w:rPr>
        <w:t>علی تقدّمه علی العامّ و لو کانت النسبة بینه و بین العامّ عموما من وجه، و ذلک لأقوائیّة المفهوم فی محلّ التعارض من العامّ 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المفاهیم الموافقة لا بدّ و أنّ تکون مستندة إلی الدلالة اللفظیّة، بحیث تقع المعارضة و المکاذبة بینهما و بین المنطوق المخالف معها بالتباین، کما فی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w:t>
      </w:r>
      <w:r>
        <w:rPr>
          <w:rStyle w:val="FootnoteAnchor"/>
          <w:rtl w:val="true"/>
        </w:rPr>
        <w:footnoteReference w:id="917"/>
      </w:r>
      <w:r>
        <w:rPr>
          <w:rFonts w:ascii="IRNazanin" w:hAnsi="IRNazanin" w:eastAsia="IRNazanin"/>
          <w:color w:val="111111"/>
          <w:sz w:val="28"/>
          <w:sz w:val="28"/>
          <w:szCs w:val="28"/>
          <w:rtl w:val="true"/>
          <w:lang w:bidi="fa-IR"/>
        </w:rPr>
        <w:t xml:space="preserve">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بضربهما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یتفاهم عرفا منهما و لا یجمع بالالتزام بهما بدعوی إمکان حرمة القول بالأفّ، و جواز الضرب، فإنّه و إن أمکن عقلا، و لکنّه غیر مقبول عرفا، فإذا کان کذلک ففی صورة المخالفة بالعموم و الخصوص المطلق یجمع بینهما بالتخصیص، و فی صورة کون النسبة بینهما العموم من وجه، فإن کانت النسبة بین المنطوق و العامّ أیضا عموما من وجه، فلیعامل معهما معاملة تلک المسألة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أظهریّة المفهوم من العامّ بعد کونه مستندا إلی اللفظ</w:t>
      </w:r>
      <w:r>
        <w:rPr>
          <w:rStyle w:val="FootnoteAnchor"/>
          <w:rtl w:val="true"/>
        </w:rPr>
        <w:footnoteReference w:id="918"/>
      </w:r>
      <w:r>
        <w:rPr>
          <w:rFonts w:ascii="IRNazanin" w:hAnsi="IRNazanin" w:eastAsia="IRNazanin"/>
          <w:color w:val="111111"/>
          <w:sz w:val="28"/>
          <w:sz w:val="28"/>
          <w:szCs w:val="28"/>
          <w:rtl w:val="true"/>
          <w:lang w:bidi="fa-IR"/>
        </w:rPr>
        <w:t>، لا أساس له، لما تحرّر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یعقل الأظهریّة فی محیط الدلالات الوضعیّة بما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وقوع التعارض أوّلا و بالذات بین المنطوق و العامّ، و ثانیا بین العامّ و المفهوم </w:t>
      </w:r>
      <w:r>
        <w:rPr>
          <w:rStyle w:val="FootnoteAnchor"/>
          <w:rtl w:val="true"/>
        </w:rPr>
        <w:footnoteReference w:id="919"/>
      </w:r>
      <w:r>
        <w:rPr>
          <w:rFonts w:ascii="IRNazanin" w:hAnsi="IRNazanin" w:eastAsia="IRNazanin"/>
          <w:color w:val="111111"/>
          <w:sz w:val="28"/>
          <w:sz w:val="28"/>
          <w:szCs w:val="28"/>
          <w:rtl w:val="true"/>
          <w:lang w:bidi="fa-IR"/>
        </w:rPr>
        <w:t xml:space="preserve">، فهو ممّا لا یرجع إلی محصّل أیضا، و حرّرناه فی المفاهیم </w:t>
      </w:r>
      <w:r>
        <w:rPr>
          <w:rStyle w:val="FootnoteAnchor"/>
          <w:rtl w:val="true"/>
        </w:rPr>
        <w:footnoteReference w:id="920"/>
      </w:r>
      <w:r>
        <w:rPr>
          <w:rFonts w:ascii="IRNazanin" w:hAnsi="IRNazanin" w:eastAsia="IRNazanin"/>
          <w:color w:val="111111"/>
          <w:sz w:val="28"/>
          <w:sz w:val="28"/>
          <w:szCs w:val="28"/>
          <w:rtl w:val="true"/>
          <w:lang w:bidi="fa-IR"/>
        </w:rPr>
        <w:t>، فإنّ مصبّ التعارض نفس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یلزم من التدخّل فی حدود المفهوم تصرّف لبّا فی المنطوق، و لا ینبغی الخلط بین محطّ المعارضة و الدعوی، و بین لوازمها العقلیّة و اللبّیة، کما خلطوا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کانت النسبة بین العامّ و المنطوق عموما مطلقا، مع أنّ النسبة بین العامّ و المفهوم عموم من وجه بناء علی تصوّره، کما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فسّاق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لمکان المعارضة المستقلّة بین العامّ و المنطوق و تقدّم المنطوق ترتفع المعارضة بین العامّ و المفهوم بالطبع و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فی أنّ المفهوم الموافق فی أمثال هذه الأمثلة غیر تامّ، لما لا یستند إلی الوضع، و حدیث الأولویّة القطعیّة ممّا لا شأن له فی فقهنا، و لا یجوز إطالة البحث حوله، و لا تضییع العمر بتکثیر الأمثلة فی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میزان تشخیص المفهوم الموافق عن غیره هو العرف، و ذلک یحصل فی صورة فرض الدلیل المخالف له فی تمام المضمون، فإنّه إذا کان التکاذب بینهما غیر قابل للجمع عرفا فهو، و إلاّ فلا یعدّ من المفهوم الموافق، و لا یکون حجّة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کیفیّة حدوث هذا المفهوم فربّما تختلف باختلاف القرائن و الآفاق، لأنّ المسألة لغویّة وضعیّة، لا عقلیّة و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 بعض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کإلغاء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المفهوم الموافق </w:t>
      </w:r>
      <w:r>
        <w:rPr>
          <w:rStyle w:val="FootnoteAnchor"/>
          <w:rtl w:val="true"/>
        </w:rPr>
        <w:footnoteReference w:id="921"/>
      </w:r>
      <w:r>
        <w:rPr>
          <w:rFonts w:ascii="IRNazanin" w:hAnsi="IRNazanin" w:eastAsia="IRNazanin"/>
          <w:color w:val="111111"/>
          <w:sz w:val="28"/>
          <w:sz w:val="28"/>
          <w:szCs w:val="28"/>
          <w:rtl w:val="true"/>
          <w:lang w:bidi="fa-IR"/>
        </w:rPr>
        <w:t>، لا یخلو من تسامح،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مسألة إثبات الحرمة لأجل العلّة المنصوصة، لیست عند کثیر منهم من المفهوم الموافق </w:t>
      </w:r>
      <w:r>
        <w:rPr>
          <w:rStyle w:val="FootnoteAnchor"/>
          <w:rtl w:val="true"/>
        </w:rPr>
        <w:footnoteReference w:id="922"/>
      </w:r>
      <w:r>
        <w:rPr>
          <w:rFonts w:ascii="IRNazanin" w:hAnsi="IRNazanin" w:eastAsia="IRNazanin"/>
          <w:color w:val="111111"/>
          <w:sz w:val="28"/>
          <w:sz w:val="28"/>
          <w:szCs w:val="28"/>
          <w:rtl w:val="true"/>
          <w:lang w:bidi="fa-IR"/>
        </w:rPr>
        <w:t xml:space="preserve">، لأنّ العرف یجد منه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فی المفهوم لا بدّ من إثبات الحکم لموضوع آخر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اخترناه فی باب منصوص العلّة، من أنّ المحرّم هو الخمر، و أمّا الفقّاع و نحوه فهو بعنوانه أیضا محرّم لأجل الإسکار، و لا یکون الحکم موضوعه المسکر</w:t>
      </w:r>
      <w:r>
        <w:rPr>
          <w:rStyle w:val="FootnoteAnchor"/>
          <w:rtl w:val="true"/>
        </w:rPr>
        <w:footnoteReference w:id="923"/>
      </w:r>
      <w:r>
        <w:rPr>
          <w:rFonts w:ascii="IRNazanin" w:hAnsi="IRNazanin" w:eastAsia="IRNazanin"/>
          <w:color w:val="111111"/>
          <w:sz w:val="28"/>
          <w:sz w:val="28"/>
          <w:szCs w:val="28"/>
          <w:rtl w:val="true"/>
          <w:lang w:bidi="fa-IR"/>
        </w:rPr>
        <w:t>، فهو حینئذ یعدّ من المفهوم الموافق المستند إلی الدلالة الوضعیّة، و لذلک لو قام دلیل علی حلّیة المسکر مطلقا، تقع المعارضة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العلّیة ظهور إطلاقیّ و تعلیقیّ، فیخرج هذا أیضا من باب المفهوم الموافق، و لذلک یتعیّن الأخذ بالمعارض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فذلکة البحث أنّه لا بدّ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تشخیص المفهوم الموافق، و قد عرفت أنّ القضیّة المستفادة من القضیّة المذکورة مسانخة معها، و مماثلة لها فی المحمول، و مخالفة معها فی الموضوع، و بذلک یخرج مثل إلغاء الخصوصیّة و مسألة العلّة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فهم منها المشهور</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المفهوم الموافق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تشخیص کونه مستندا إلی الوضع و الدلالات الوضعیّة، سواء کانت لأجل الوضع التعیّنی، أو الوضع التعیینیّ، و طریق تشخیص ذلک فرض الدلیل المخالف معه فی المفاد علی نحو التباین، فإنّه لا یمکن الجمع بینهما عرفا، فهو</w:t>
      </w:r>
      <w:bookmarkStart w:id="666" w:name="pg13167_141062"/>
    </w:p>
    <w:p>
      <w:pPr>
        <w:pStyle w:val="BookText"/>
        <w:rPr/>
      </w:pPr>
      <w:bookmarkEnd w:id="666"/>
      <w:r>
        <w:rPr>
          <w:rFonts w:ascii="IRNazanin" w:hAnsi="IRNazanin" w:eastAsia="IRNazanin"/>
          <w:color w:val="111111"/>
          <w:sz w:val="28"/>
          <w:sz w:val="28"/>
          <w:szCs w:val="28"/>
          <w:rtl w:val="true"/>
          <w:lang w:bidi="fa-IR"/>
        </w:rPr>
        <w:t>مستند إلی الوضع، و إلاّ فهو مستند إلی الأمور الاخر، فیکون خارجا عن المفهوم الموافق الحجّة شرعا، و بذلک تخرج الأولویّة القطعیّة عن أقسام المفهوم الموافق، بل و العلّة المنصوصة علی رأینا أیضا، ضرورة أنّه لو صرّح المولی بعدم وجوب إکرام العدول من الفقهاء، و صرّح بإیجاب إکرام الفسّاق منهم، یجوز الأخذ بهما من غیر تناف عرفیّ بینهما، لإمکان المصالح الواضحة کما تری،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العدول لمکان وجهاتهم فی الاجتماع لا یحتاجون إلی الإیجاب فی أمر معاشهم، بخلاف الفسّاق منهم،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ما عرفت هاتین الجهتین و لاحظتهما، لا بدّ من الجمع بینهما إن أمکن عرفا، و إلاّ فیعالج بینهما علاج باب التعارض أو التزاحم، و فی المسألة بعض صور اخر یظهر حالها من هذه الصور، و یکفیک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استفادة المفهوم الموافق من مقدّمات الإطلاق، فیختلف حکم الکلام الواحد و الکلامین، کما تختلف المسألة باختلاف المبانی فی احتیاج العامّ إلی المقدّمات المزبورة و عدمها، و الأمر واضح، و قد عرفت المسألة بحدودها فی تعارض العامّ و الخاصّ منطوقا</w:t>
      </w:r>
      <w:r>
        <w:rPr>
          <w:rStyle w:val="FootnoteAnchor"/>
          <w:rtl w:val="true"/>
        </w:rPr>
        <w:footnoteReference w:id="925"/>
      </w:r>
      <w:r>
        <w:rPr>
          <w:rFonts w:ascii="IRNazanin" w:hAnsi="IRNazanin" w:eastAsia="IRNazanin"/>
          <w:color w:val="111111"/>
          <w:sz w:val="28"/>
          <w:sz w:val="28"/>
          <w:szCs w:val="28"/>
          <w:rtl w:val="true"/>
          <w:lang w:bidi="fa-IR"/>
        </w:rPr>
        <w:t>، فلا حاجة إلی إعادتها</w:t>
      </w:r>
      <w:r>
        <w:rPr>
          <w:rFonts w:eastAsia="IRNazanin" w:cs="IRNazanin"/>
          <w:color w:val="111111"/>
          <w:sz w:val="28"/>
          <w:szCs w:val="28"/>
          <w:rtl w:val="true"/>
          <w:lang w:bidi="fa-IR"/>
        </w:rPr>
        <w:t>.</w:t>
      </w:r>
    </w:p>
    <w:p>
      <w:pPr>
        <w:pStyle w:val="Heading5"/>
        <w:numPr>
          <w:ilvl w:val="4"/>
          <w:numId w:val="1"/>
        </w:numPr>
        <w:rPr/>
      </w:pPr>
      <w:bookmarkStart w:id="667" w:name="__RefHeading___Toc559810_3244359995"/>
      <w:bookmarkStart w:id="668" w:name="_Toc248"/>
      <w:bookmarkEnd w:id="667"/>
      <w:r>
        <w:rPr>
          <w:rtl w:val="true"/>
        </w:rPr>
        <w:t>الجانب الثانی</w:t>
      </w:r>
      <w:r>
        <w:rPr>
          <w:rtl w:val="true"/>
        </w:rPr>
        <w:t xml:space="preserve">: </w:t>
      </w:r>
      <w:r>
        <w:rPr>
          <w:rtl w:val="true"/>
        </w:rPr>
        <w:t>فی تخصیص العامّ بالمفهوم المخالف</w:t>
      </w:r>
      <w:bookmarkEnd w:id="668"/>
    </w:p>
    <w:p>
      <w:pPr>
        <w:pStyle w:val="Heading6"/>
        <w:numPr>
          <w:ilvl w:val="5"/>
          <w:numId w:val="1"/>
        </w:numPr>
        <w:rPr/>
      </w:pPr>
      <w:bookmarkStart w:id="669" w:name="__RefHeading___Toc559812_3244359995"/>
      <w:bookmarkStart w:id="670" w:name="_Toc249"/>
      <w:bookmarkEnd w:id="669"/>
      <w:r>
        <w:rPr>
          <w:rtl w:val="true"/>
        </w:rPr>
        <w:t>اشارة</w:t>
      </w:r>
      <w:bookmarkEnd w:id="67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المقصود بالبحث هو ما إذا فرغنا عن حجّیة المفاهیم، و لیس النّظر هنا إلی صور معارضة العامّ و المفهوم، فإنّه بحث مرّ إجمال منه فی باب المفاهیم </w:t>
      </w:r>
      <w:r>
        <w:rPr>
          <w:rStyle w:val="FootnoteAnchor"/>
          <w:rtl w:val="true"/>
        </w:rPr>
        <w:footnoteReference w:id="926"/>
      </w:r>
      <w:r>
        <w:rPr>
          <w:rFonts w:ascii="IRNazanin" w:hAnsi="IRNazanin" w:eastAsia="IRNazanin"/>
          <w:color w:val="111111"/>
          <w:sz w:val="28"/>
          <w:sz w:val="28"/>
          <w:szCs w:val="28"/>
          <w:rtl w:val="true"/>
          <w:lang w:bidi="fa-IR"/>
        </w:rPr>
        <w:t xml:space="preserve">، و یأتی بعض الکلام فی التعادل و الترجیح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المنظور إلیه هنا هو تخصیص العامّ بالمفهوم</w:t>
      </w:r>
    </w:p>
    <w:p>
      <w:pPr>
        <w:pStyle w:val="BookText"/>
        <w:rPr/>
      </w:pPr>
      <w:r>
        <w:rPr>
          <w:rFonts w:ascii="IRNazanin" w:hAnsi="IRNazanin" w:eastAsia="IRNazanin"/>
          <w:color w:val="111111"/>
          <w:sz w:val="28"/>
          <w:sz w:val="28"/>
          <w:szCs w:val="28"/>
          <w:rtl w:val="true"/>
          <w:lang w:bidi="fa-IR"/>
        </w:rPr>
        <w:t xml:space="preserve">و عدمه، فلا یجوز الخلط بین تقیید المطلق بالمفهوم کما خلطوا،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xml:space="preserve">و الأستاذ البروجردیّ </w:t>
      </w:r>
      <w:r>
        <w:rPr>
          <w:rStyle w:val="FootnoteAnchor"/>
          <w:rtl w:val="true"/>
        </w:rPr>
        <w:footnoteReference w:id="929"/>
      </w:r>
      <w:r>
        <w:rPr>
          <w:rFonts w:ascii="IRNazanin" w:hAnsi="IRNazanin" w:eastAsia="IRNazanin"/>
          <w:color w:val="111111"/>
          <w:sz w:val="28"/>
          <w:sz w:val="28"/>
          <w:szCs w:val="28"/>
          <w:rtl w:val="true"/>
          <w:lang w:bidi="fa-IR"/>
        </w:rPr>
        <w:t>ظنّا أنّ هذه المسألة ترجع إلی التقیید، و مثّلوا لذلک بدلیل طهوریّة الماء</w:t>
      </w:r>
      <w:r>
        <w:rPr>
          <w:rStyle w:val="FootnoteAnchor"/>
          <w:rtl w:val="true"/>
        </w:rPr>
        <w:footnoteReference w:id="930"/>
      </w:r>
      <w:r>
        <w:rPr>
          <w:rFonts w:ascii="IRNazanin" w:hAnsi="IRNazanin" w:eastAsia="IRNazanin"/>
          <w:color w:val="111111"/>
          <w:sz w:val="28"/>
          <w:sz w:val="28"/>
          <w:szCs w:val="28"/>
          <w:rtl w:val="true"/>
          <w:lang w:bidi="fa-IR"/>
        </w:rPr>
        <w:t>، و دلیل الکرّ</w:t>
      </w:r>
      <w:r>
        <w:rPr>
          <w:rStyle w:val="FootnoteAnchor"/>
          <w:rtl w:val="true"/>
        </w:rPr>
        <w:footnoteReference w:id="931"/>
      </w:r>
      <w:r>
        <w:rPr>
          <w:rFonts w:ascii="IRNazanin" w:hAnsi="IRNazanin" w:eastAsia="IRNazanin"/>
          <w:color w:val="111111"/>
          <w:sz w:val="28"/>
          <w:sz w:val="28"/>
          <w:szCs w:val="28"/>
          <w:rtl w:val="true"/>
          <w:lang w:bidi="fa-IR"/>
        </w:rPr>
        <w:t>، فإنّه بحث آخر فی المطلق و المقیّد، و ربّما تنحلّ مسألة المطلق و المقیّد ببحث العامّ و الخاصّ، لاتحاد المناط،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هنا حول تخصیص العامّ بالخاصّ الّذی هو المفهوم المخالف، و یکون بینه و بین العامّ اختلاف السلب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لا معنی لتکثیر الصور بکونهما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واحد،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کلامین </w:t>
      </w:r>
      <w:r>
        <w:rPr>
          <w:rStyle w:val="FootnoteAnchor"/>
          <w:rtl w:val="true"/>
        </w:rPr>
        <w:footnoteReference w:id="932"/>
      </w:r>
      <w:r>
        <w:rPr>
          <w:rFonts w:ascii="IRNazanin" w:hAnsi="IRNazanin" w:eastAsia="IRNazanin"/>
          <w:color w:val="111111"/>
          <w:sz w:val="28"/>
          <w:sz w:val="28"/>
          <w:szCs w:val="28"/>
          <w:rtl w:val="true"/>
          <w:lang w:bidi="fa-IR"/>
        </w:rPr>
        <w:t>، لأنّ فی فرض وحدة الکلام لا یبقی لاستفادة المفهوم أثر، إمّا لأجل أنّ دلالة العامّ وضعیّة، فتکون مانعة عن حدوث المفهوم المخالف، أو لأجل أنّها إطلاقیّة، فیکون کلّ واحد منهما مجملا، سواء فیه الصدر و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قیل من تقدّم أصالة الإطلاق فی الصدر علی الذیل </w:t>
      </w:r>
      <w:r>
        <w:rPr>
          <w:rStyle w:val="FootnoteAnchor"/>
          <w:rtl w:val="true"/>
        </w:rPr>
        <w:footnoteReference w:id="933"/>
      </w:r>
      <w:r>
        <w:rPr>
          <w:rFonts w:ascii="IRNazanin" w:hAnsi="IRNazanin" w:eastAsia="IRNazanin"/>
          <w:color w:val="111111"/>
          <w:sz w:val="28"/>
          <w:sz w:val="28"/>
          <w:szCs w:val="28"/>
          <w:rtl w:val="true"/>
          <w:lang w:bidi="fa-IR"/>
        </w:rPr>
        <w:t>، غیر محرز وجهه عند العرف و العقلاء، و لا بقضیّة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لأجل أنّ دلالة المفهوم التزامیّة کالوضعیّة، فهو أیضا یستلزم عدم انعقاد ظهور لهما، کما لا یخفی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فقضیّة العنوان هو البحث عن تخصیصه بالمفهوم، بعد الفراغ من أصالة</w:t>
      </w:r>
    </w:p>
    <w:p>
      <w:pPr>
        <w:pStyle w:val="BookText"/>
        <w:rPr/>
      </w:pPr>
      <w:r>
        <w:rPr>
          <w:rFonts w:ascii="IRNazanin" w:hAnsi="IRNazanin" w:eastAsia="IRNazanin"/>
          <w:color w:val="111111"/>
          <w:sz w:val="28"/>
          <w:sz w:val="28"/>
          <w:szCs w:val="28"/>
          <w:rtl w:val="true"/>
          <w:lang w:bidi="fa-IR"/>
        </w:rPr>
        <w:t xml:space="preserve">العموم فی ذاتها و المفهوم فی ذاته، فالتمثیل بآیة النبأ و عموم التعلیل </w:t>
      </w:r>
      <w:r>
        <w:rPr>
          <w:rStyle w:val="FootnoteAnchor"/>
          <w:rtl w:val="true"/>
        </w:rPr>
        <w:footnoteReference w:id="934"/>
      </w:r>
      <w:r>
        <w:rPr>
          <w:rFonts w:ascii="IRNazanin" w:hAnsi="IRNazanin" w:eastAsia="IRNazanin"/>
          <w:color w:val="111111"/>
          <w:sz w:val="28"/>
          <w:sz w:val="28"/>
          <w:szCs w:val="28"/>
          <w:rtl w:val="true"/>
          <w:lang w:bidi="fa-IR"/>
        </w:rPr>
        <w:t>، مخدوش من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أنّها من باب المطلق، لا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أنّها فی الکلام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أنّ آیة النبأ لا مفهوم لها بعد تنصیص المتکلّم علی علّة الحکم، کما تحرّر فی محلّه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الکلام فی تخصیص العامّ بالخاصّ المفهومیّ، فیکون مفروض البحث أنّ النسبة بینهما العموم المطلق،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النّظر کان إلی أنّ الجمع بین العامّ و الخاصّ المنطوقیّ، واضح لا مفرّ منه فی الجملة، و علیه بناء الفقهاء، و أهل الحلّ و العقد، بل و علیه بناء الأخباریّین الطاعنین علی الأصولیّین، و هو بناء العرف و العقلاء فی قوانینهم العرفیّة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بینه و بین الخاصّ المفهومیّ، فربّما 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یتعارضان، أو یقدّم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تقدیم العامّ، فلأنّه مستند إلی المنطوق، فیقدّم علی المفهوم الأخصّ، للأظهریّة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 أصالة الإطلاق دلیل المفهوم، و هی أصل تعلیقیّ لا یعارض الأصل التنجیزیّ اللفظیّ فی جانب العامّ، من غیر فرق بین کون المفهوم فی کلام منفصل متقدّم، أو متأخّر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المعارضة، فلما تقرّر فی محلّه عند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 انفصال</w:t>
      </w:r>
    </w:p>
    <w:p>
      <w:pPr>
        <w:pStyle w:val="BookText"/>
        <w:rPr/>
      </w:pPr>
      <w:r>
        <w:rPr>
          <w:rFonts w:ascii="IRNazanin" w:hAnsi="IRNazanin" w:eastAsia="IRNazanin"/>
          <w:color w:val="111111"/>
          <w:sz w:val="28"/>
          <w:sz w:val="28"/>
          <w:szCs w:val="28"/>
          <w:rtl w:val="true"/>
          <w:lang w:bidi="fa-IR"/>
        </w:rPr>
        <w:t xml:space="preserve">الکلام تتمّ حجّیة الإطلاق </w:t>
      </w:r>
      <w:r>
        <w:rPr>
          <w:rStyle w:val="FootnoteAnchor"/>
          <w:rtl w:val="true"/>
        </w:rPr>
        <w:footnoteReference w:id="936"/>
      </w:r>
      <w:r>
        <w:rPr>
          <w:rFonts w:ascii="IRNazanin" w:hAnsi="IRNazanin" w:eastAsia="IRNazanin"/>
          <w:color w:val="111111"/>
          <w:sz w:val="28"/>
          <w:sz w:val="28"/>
          <w:szCs w:val="28"/>
          <w:rtl w:val="true"/>
          <w:lang w:bidi="fa-IR"/>
        </w:rPr>
        <w:t xml:space="preserve">، لا من جهة أنّ مقدّمات الإطلاق تنوب مناب أدوات العموم کما قیل </w:t>
      </w:r>
      <w:r>
        <w:rPr>
          <w:rStyle w:val="FootnoteAnchor"/>
          <w:rtl w:val="true"/>
        </w:rPr>
        <w:footnoteReference w:id="937"/>
      </w:r>
      <w:r>
        <w:rPr>
          <w:rFonts w:ascii="IRNazanin" w:hAnsi="IRNazanin" w:eastAsia="IRNazanin"/>
          <w:color w:val="111111"/>
          <w:sz w:val="28"/>
          <w:sz w:val="28"/>
          <w:szCs w:val="28"/>
          <w:rtl w:val="true"/>
          <w:lang w:bidi="fa-IR"/>
        </w:rPr>
        <w:t xml:space="preserve">، بل لأجل أنّ حجّیة العموم موقوفة علی جریان أصالة الجدّ، و هی أصل عقلائیّ، فکما أنّه لا یکون مرهونا بالکلام و القید المنفصل، بل یتمسّک به و ینعقد الظهور، و یخرج بمقدار یقتضیه القید عن مضمون العامّ، کذلک فی ناحیة المطلقات حسبما تحرّر فی محلّه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إطلاق کلام النبیّ صلی اللَّه علیه و آله و سلم یتمسّک به قبل مضیّ زمان صدور القید، و إذا صدر القید فیقیّد بمقداره، فلا وجه لتقدیم العامّ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الأظهریّة فهو باطل، لما عرفت من الحاجة إلی الأصل العقلائیّ فی حجّیة العامّ، فتصیر النتیجة تابعة للأخسّ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الحقّ احتیاج العمومات أیضا إلی مقدّمات الحکمة، فالقول بتقدیم العامّ فی نهایة السخافة، و لا سیّما فی صورة تقدّم المفهوم الأخصّ تاریخا علی العامّ، فإنّ المعارضة هنا أقوی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هو التحقیق ما أشیر إلیه لبیان المعارضة دفعا عن توهّم تقدیم العامّ علی المفهوم، و أمّا أصل التعارض فهو نظر بدویّ، فإنّ المفهوم المخالف إذا ثبت فی محیط التقنین، فالتخصیص به متعیّن، لعین ما مرّ فی المنطوق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حال المطلق مع المفهوم المخالف الأخصّ، و هکذا الموافق، و یتبیّن أنّ البحث عن سائر الصور یدفع هنا و هناک، و قد عرفت فی الجانب الأوّل </w:t>
      </w:r>
      <w:r>
        <w:rPr>
          <w:rStyle w:val="FootnoteAnchor"/>
          <w:rtl w:val="true"/>
        </w:rPr>
        <w:footnoteReference w:id="940"/>
      </w:r>
      <w:r>
        <w:rPr>
          <w:rFonts w:ascii="IRNazanin" w:hAnsi="IRNazanin" w:eastAsia="IRNazanin"/>
          <w:color w:val="111111"/>
          <w:sz w:val="28"/>
          <w:sz w:val="28"/>
          <w:szCs w:val="28"/>
          <w:rtl w:val="true"/>
          <w:lang w:bidi="fa-IR"/>
        </w:rPr>
        <w:t>حکم بعض الصور الأخری للمسألة، و لا بأس بالإشارة إلیها هنا أیضا</w:t>
      </w:r>
      <w:r>
        <w:rPr>
          <w:rFonts w:eastAsia="IRNazanin" w:cs="IRNazanin"/>
          <w:color w:val="111111"/>
          <w:sz w:val="28"/>
          <w:szCs w:val="28"/>
          <w:rtl w:val="true"/>
          <w:lang w:bidi="fa-IR"/>
        </w:rPr>
        <w:t>:</w:t>
      </w:r>
      <w:bookmarkStart w:id="671" w:name="pg13167_141066"/>
    </w:p>
    <w:p>
      <w:pPr>
        <w:pStyle w:val="Heading6"/>
        <w:numPr>
          <w:ilvl w:val="5"/>
          <w:numId w:val="1"/>
        </w:numPr>
        <w:rPr/>
      </w:pPr>
      <w:bookmarkStart w:id="672" w:name="__RefHeading___Toc559814_3244359995"/>
      <w:bookmarkStart w:id="673" w:name="_Toc250"/>
      <w:bookmarkEnd w:id="671"/>
      <w:bookmarkEnd w:id="672"/>
      <w:r>
        <w:rPr>
          <w:rtl w:val="true"/>
        </w:rPr>
        <w:t>صور تعارض العامّ مع مفهوم المخالفة</w:t>
      </w:r>
      <w:bookmarkEnd w:id="673"/>
    </w:p>
    <w:p>
      <w:pPr>
        <w:pStyle w:val="Heading6"/>
        <w:numPr>
          <w:ilvl w:val="5"/>
          <w:numId w:val="1"/>
        </w:numPr>
        <w:rPr/>
      </w:pPr>
      <w:bookmarkStart w:id="674" w:name="__RefHeading___Toc559816_3244359995"/>
      <w:bookmarkStart w:id="675" w:name="_Toc251"/>
      <w:bookmarkEnd w:id="674"/>
      <w:r>
        <w:rPr>
          <w:rtl w:val="true"/>
        </w:rPr>
        <w:t>الصورة الأولی</w:t>
      </w:r>
      <w:r>
        <w:rPr>
          <w:rtl w:val="true"/>
        </w:rPr>
        <w:t>:</w:t>
      </w:r>
      <w:bookmarkEnd w:id="675"/>
    </w:p>
    <w:p>
      <w:pPr>
        <w:pStyle w:val="BookText"/>
        <w:rPr/>
      </w:pPr>
      <w:r>
        <w:rPr>
          <w:rFonts w:ascii="IRNazanin" w:hAnsi="IRNazanin" w:eastAsia="IRNazanin"/>
          <w:color w:val="111111"/>
          <w:sz w:val="28"/>
          <w:sz w:val="28"/>
          <w:szCs w:val="28"/>
          <w:rtl w:val="true"/>
          <w:lang w:bidi="fa-IR"/>
        </w:rPr>
        <w:t xml:space="preserve">إذا کان المفهوم المخالف أعمّ، و المنطوق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و المفروض وقوعهما فی الکلامین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البحث فی الکلام الواحد واضح الجهات، و قد تکرّر الجوانب المبحوث عنها فی صورة اتحاد الکلام واقعا، أو اتحادهما حکما فی المباحث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 هذه الصورة یتعیّن تقیید المفهوم، کما هو النّظر المستقرّ علیه عند المحصّلین </w:t>
      </w:r>
      <w:r>
        <w:rPr>
          <w:rStyle w:val="FootnoteAnchor"/>
          <w:rtl w:val="true"/>
        </w:rPr>
        <w:footnoteReference w:id="941"/>
      </w:r>
      <w:r>
        <w:rPr>
          <w:rFonts w:ascii="IRNazanin" w:hAnsi="IRNazanin" w:eastAsia="IRNazanin"/>
          <w:color w:val="111111"/>
          <w:sz w:val="28"/>
          <w:sz w:val="28"/>
          <w:szCs w:val="28"/>
          <w:rtl w:val="true"/>
          <w:lang w:bidi="fa-IR"/>
        </w:rPr>
        <w:t>؟ و إنّما اختلافهم فی أنّ مصبّ المعارضة هو المنطوق، أم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 القضیّة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لم یجئک زید فلا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النسبة بین المفهوم و العامّ عموما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هو الحقّ کما مرّ</w:t>
      </w:r>
      <w:r>
        <w:rPr>
          <w:rStyle w:val="FootnoteAnchor"/>
          <w:rtl w:val="true"/>
        </w:rPr>
        <w:footnoteReference w:id="942"/>
      </w:r>
      <w:r>
        <w:rPr>
          <w:rFonts w:ascii="IRNazanin" w:hAnsi="IRNazanin" w:eastAsia="IRNazanin"/>
          <w:color w:val="111111"/>
          <w:sz w:val="28"/>
          <w:sz w:val="28"/>
          <w:szCs w:val="28"/>
          <w:rtl w:val="true"/>
          <w:lang w:bidi="fa-IR"/>
        </w:rPr>
        <w:t>، وقوع المعارضة فی مرحلة الإثبات بین المفهوم و المنطوق الأخصّ، و إن لزم من تخصیص المفهوم تصرّف فی المنطوق و تقیید فیه 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الکلام فی أصل جواز تخصیص المفهوم، لأنّ بنیان المفهوم علی العلّة التامّة المنحصرة الحقیقیّة، و التخصیص و التقیید یدلّ علی هدم الأساس المزبور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الانحصار إضافیّ، لا حقیقیّ، فلا بأس بالتخصیص،</w:t>
      </w:r>
    </w:p>
    <w:p>
      <w:pPr>
        <w:pStyle w:val="BookText"/>
        <w:rPr/>
      </w:pPr>
      <w:r>
        <w:rPr>
          <w:rFonts w:ascii="IRNazanin" w:hAnsi="IRNazanin" w:eastAsia="IRNazanin"/>
          <w:color w:val="111111"/>
          <w:sz w:val="28"/>
          <w:sz w:val="28"/>
          <w:szCs w:val="28"/>
          <w:rtl w:val="true"/>
          <w:lang w:bidi="fa-IR"/>
        </w:rPr>
        <w:t>فیبقی عموم المفهوم باقیا و إن وردت علیه المخصّصات الاخر، فما یظهر من بعضهم من المناقشة فی التخصیص الزائد</w:t>
      </w:r>
      <w:r>
        <w:rPr>
          <w:rStyle w:val="FootnoteAnchor"/>
          <w:rtl w:val="true"/>
        </w:rPr>
        <w:footnoteReference w:id="943"/>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بحث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فرض المفهوم المخالف مع العامّ، مبتن علی کون المنطوق و العامّ متوافقین، و لا یعقل غیر ذلک کما هو الواضح، و قد مرّ منّا أنّ فی الموافقین یؤخذ بالأعمّ المطلق مطلقا</w:t>
      </w:r>
      <w:r>
        <w:rPr>
          <w:rStyle w:val="FootnoteAnchor"/>
          <w:rtl w:val="true"/>
        </w:rPr>
        <w:footnoteReference w:id="944"/>
      </w:r>
      <w:r>
        <w:rPr>
          <w:rFonts w:ascii="IRNazanin" w:hAnsi="IRNazanin" w:eastAsia="IRNazanin"/>
          <w:color w:val="111111"/>
          <w:sz w:val="28"/>
          <w:sz w:val="28"/>
          <w:szCs w:val="28"/>
          <w:rtl w:val="true"/>
          <w:lang w:bidi="fa-IR"/>
        </w:rPr>
        <w:t>، و یحمل الأخصّ علی الفرد الأکمل، و عندئذ یتعیّن فی المثال المزبور الأخذ بالأعمّ، فلا تعارض بین المفهوم 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 المنطوق الأعمّ و العامّ بالأخذ بالأعمّ، و تطرح هیئة العامّ فی التأسیسیّة کما لا یخفی، فتکون کنایة عن الأکملیّة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المتّفقین المنجّزین یتعیّن حمل الأخصّ علی توضیح أحد مصادیق العامّ عرفا، و تصیر النتیجة طرح هیئة الخاصّ فی التأسیس، و ذلک لامتناع اجتماع التأسیسیّین علی واحد شخصیّ و عنوانیّ، علی ما تحرّر فی بحث الضدّ</w:t>
      </w:r>
      <w:r>
        <w:rPr>
          <w:rStyle w:val="FootnoteAnchor"/>
          <w:rtl w:val="true"/>
        </w:rPr>
        <w:footnoteReference w:id="945"/>
      </w:r>
      <w:r>
        <w:rPr>
          <w:rFonts w:ascii="IRNazanin" w:hAnsi="IRNazanin" w:eastAsia="IRNazanin"/>
          <w:color w:val="111111"/>
          <w:sz w:val="28"/>
          <w:sz w:val="28"/>
          <w:szCs w:val="28"/>
          <w:rtl w:val="true"/>
          <w:lang w:bidi="fa-IR"/>
        </w:rPr>
        <w:t>، و أمّا فیما نحن فیه فلا منع من ذلک، لأنّ القضیّة الشرطیّة أبدیّة، و لا تنقلب بعد تحقّق الشرط بتّیة و منجّزة، فلا یلزم اجتماع الإرادتین الفعلیّتین علی واحد، و هو إکرام الفقهاء فی المثال المذکور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مفاد عقد الحمل فی القضیّة الشرطیّة، هو الحکم الإنشائیّ الّذی لا اقتضاء له فی ذاته، و إذا تحقّق الشرط یعدّ من الأحکام التی لها الاقتضاء عقلا و بالضرورة، و یتعیّن بحکم العقل وجوب مقدّمته، هذا و لکن مع ذلک لا شبهة فی أنّ فی التقنین العرفیّ بعد ضرب القانون بنحو القضیّة الشرطیّة،</w:t>
      </w:r>
    </w:p>
    <w:p>
      <w:pPr>
        <w:pStyle w:val="BookText"/>
        <w:rPr/>
      </w:pPr>
      <w:r>
        <w:rPr>
          <w:rFonts w:ascii="IRNazanin" w:hAnsi="IRNazanin" w:eastAsia="IRNazanin"/>
          <w:color w:val="111111"/>
          <w:sz w:val="28"/>
          <w:sz w:val="28"/>
          <w:szCs w:val="28"/>
          <w:rtl w:val="true"/>
          <w:lang w:bidi="fa-IR"/>
        </w:rPr>
        <w:t>لا یتبدّل فیهم الإرادة باختلاف حال وجود الشرط و عدمه، و ربّما یکون غافلا و نائما، و مجنونا أدواریّا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الشرع الإسلامیّ أیضا لا یقع التبادل و التصرّف حسب الأفراد و أشخاص المکلّفین فی إرادته بالضرورة، فلا بدّ من الجمع بین هاتین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تحرّر منّا فی القضایا الشرطیّة من التفکیک بین اللّب و الإثبات، و مقام الثبوت و الدلالات، فإنّ جمیع الواجبات المشروطة واجبات منجّزة معلّقة ثبوتا و لبّا، و أنّ المولی یرید إکرام العلماء عند المجی‌ء، و لکن لمکان إفهام التوسعة فی ناحیة وجوب المقدّمة، أفاد مطلوبة بنحو القضیّة الشرطیّة مثلا، فعلیه کما لا یعقل الجمع بین الإرادتین التأسیسیّتین المنجّزتین، لا یمکن الجمع هنا، لرجوع تلک الإرادة إلی تنجیزیّة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قبل تحقّق الشرط یراعی أحکام القضیّة الشرطیّة إثباتا، و بعد تحقّق الشرط یراعی جانبها الثبوتیّ، ففی المثال المزبور إذا تحقّق المجی‌ء، فلا یعقل وجوب إکرام الفقهاء مرّتین تأسیسا، من غیر فرق بین هذا المثال الّذی تکون فیه حیثیّة العلم و الفقاهة واحدة، و بین غیره، فلیتدبّر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بناء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صورة أخصّیة العامّ من المفهوم تلزم أخصّیته من المنطوق، و مقتضی الجمع بین المنطوق و العامّ بقاء المفهوم علی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بجواز الأخذ بالمتّفقین فی صورة عدم العلم باتحاد الحکم، یلزم المناقضة بالسلب و الإیجاب بین المفهوم و العامّ، و یخصّص به العامّ إلاّ فی صورة کونهما فی کلام واحد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فی مورد التخصیص یکون دلیل سند الخاصّ حاکما</w:t>
      </w:r>
      <w:bookmarkStart w:id="676" w:name="pg13167_141069"/>
    </w:p>
    <w:p>
      <w:pPr>
        <w:pStyle w:val="BookText"/>
        <w:rPr/>
      </w:pPr>
      <w:bookmarkEnd w:id="676"/>
      <w:r>
        <w:rPr>
          <w:rFonts w:ascii="IRNazanin" w:hAnsi="IRNazanin" w:eastAsia="IRNazanin"/>
          <w:color w:val="111111"/>
          <w:sz w:val="28"/>
          <w:sz w:val="28"/>
          <w:szCs w:val="28"/>
          <w:rtl w:val="true"/>
          <w:lang w:bidi="fa-IR"/>
        </w:rPr>
        <w:t xml:space="preserve">علی أصالة العموم، و فی موارد الحکومة لا تختلف وحدة الکلام و تعدّده </w:t>
      </w:r>
      <w:r>
        <w:rPr>
          <w:rStyle w:val="FootnoteAnchor"/>
          <w:rtl w:val="true"/>
        </w:rPr>
        <w:footnoteReference w:id="946"/>
      </w:r>
      <w:r>
        <w:rPr>
          <w:rFonts w:ascii="IRNazanin" w:hAnsi="IRNazanin" w:eastAsia="IRNazanin"/>
          <w:color w:val="111111"/>
          <w:sz w:val="28"/>
          <w:sz w:val="28"/>
          <w:szCs w:val="28"/>
          <w:rtl w:val="true"/>
          <w:lang w:bidi="fa-IR"/>
        </w:rPr>
        <w:t>، غیر صحیح، لأنّ میزان الجمع بین الأدلّة هو العرف، و السند عندهم ملغی و مغفول عنه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الحکومة متقوّمة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توهّم ورود دلیل الخاصّ علی أصالة العموم، و سیظهر تفصیله فی محلّه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7" w:name="__RefHeading___Toc559818_3244359995"/>
      <w:bookmarkStart w:id="678" w:name="_Toc252"/>
      <w:bookmarkEnd w:id="677"/>
      <w:r>
        <w:rPr>
          <w:rtl w:val="true"/>
        </w:rPr>
        <w:t>الصورة الثانیة</w:t>
      </w:r>
      <w:r>
        <w:rPr>
          <w:rtl w:val="true"/>
        </w:rPr>
        <w:t>:</w:t>
      </w:r>
      <w:bookmarkEnd w:id="678"/>
    </w:p>
    <w:p>
      <w:pPr>
        <w:pStyle w:val="BookText"/>
        <w:rPr/>
      </w:pPr>
      <w:r>
        <w:rPr>
          <w:rFonts w:ascii="IRNazanin" w:hAnsi="IRNazanin" w:eastAsia="IRNazanin"/>
          <w:color w:val="111111"/>
          <w:sz w:val="28"/>
          <w:sz w:val="28"/>
          <w:szCs w:val="28"/>
          <w:rtl w:val="true"/>
          <w:lang w:bidi="fa-IR"/>
        </w:rPr>
        <w:t xml:space="preserve">لو کان المفهوم أعمّ مطلقا من العامّ، و کان العامّ بلسان الحکومة، کما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أکرم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الأخباریّون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العامّ یورث توسعة جانب المنطوق و المفهوم بلسان الحکومة، و یجب الأخذ بالمنطوق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یؤیّد ما ذکرناه فی صورة ورود العامّ الأخصّ بلسان التخصیص، و لا یوجب وحدة الکلام و تعدّده فی الدلیلین، إجمالا و إبهاما علی مختلف الآراء و المبانی</w:t>
      </w:r>
      <w:r>
        <w:rPr>
          <w:rFonts w:eastAsia="IRNazanin" w:cs="IRNazanin"/>
          <w:color w:val="111111"/>
          <w:sz w:val="28"/>
          <w:szCs w:val="28"/>
          <w:rtl w:val="true"/>
          <w:lang w:bidi="fa-IR"/>
        </w:rPr>
        <w:t>.</w:t>
      </w:r>
    </w:p>
    <w:p>
      <w:pPr>
        <w:pStyle w:val="Heading6"/>
        <w:numPr>
          <w:ilvl w:val="5"/>
          <w:numId w:val="1"/>
        </w:numPr>
        <w:rPr/>
      </w:pPr>
      <w:bookmarkStart w:id="679" w:name="__RefHeading___Toc559820_3244359995"/>
      <w:bookmarkStart w:id="680" w:name="_Toc253"/>
      <w:bookmarkEnd w:id="679"/>
      <w:r>
        <w:rPr>
          <w:rtl w:val="true"/>
        </w:rPr>
        <w:t>الصورة الثالثة</w:t>
      </w:r>
      <w:r>
        <w:rPr>
          <w:rtl w:val="true"/>
        </w:rPr>
        <w:t>:</w:t>
      </w:r>
      <w:bookmarkEnd w:id="680"/>
    </w:p>
    <w:p>
      <w:pPr>
        <w:pStyle w:val="BookText"/>
        <w:rPr/>
      </w:pPr>
      <w:r>
        <w:rPr>
          <w:rFonts w:ascii="IRNazanin" w:hAnsi="IRNazanin" w:eastAsia="IRNazanin"/>
          <w:color w:val="111111"/>
          <w:sz w:val="28"/>
          <w:sz w:val="28"/>
          <w:szCs w:val="28"/>
          <w:rtl w:val="true"/>
          <w:lang w:bidi="fa-IR"/>
        </w:rPr>
        <w:t>لو کانت النسبة بین المفهوم و العامّ عموما من وجه، فإنّ مقتضی ذلک کون النسبة بین المنطوق و بینه أیضا عموما من وجه، و الکلام فیهما علی نهج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بتقدیم العامّ علی المفهوم، لأقوائیّة العامّ المنطوقیّ من المفهوم، أو لأنّ العامّ مستند إلی الوضع دون المفهوم، فلا یلزم تصرّف فی المنطوق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لو قلنا بتقدیم المفهوم علی العامّ، لأنّه مستند إلی العلّة التامّة</w:t>
      </w:r>
    </w:p>
    <w:p>
      <w:pPr>
        <w:pStyle w:val="BookText"/>
        <w:rPr/>
      </w:pPr>
      <w:r>
        <w:rPr>
          <w:rFonts w:ascii="IRNazanin" w:hAnsi="IRNazanin" w:eastAsia="IRNazanin"/>
          <w:color w:val="111111"/>
          <w:sz w:val="28"/>
          <w:sz w:val="28"/>
          <w:szCs w:val="28"/>
          <w:rtl w:val="true"/>
          <w:lang w:bidi="fa-IR"/>
        </w:rPr>
        <w:t>المنحصرة الحقیقیّة، و لو تقدّم العامّ علیه یلزم انتفاء المفهوم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دار فی العامّین من وجه بین الدلیلین، و کان یلزم من تقدیم أحدهما طرح الآخر لا العکس، یتعیّن الأخذ بالآخر، فإنّه أیضا لا یلزم تصرّف فی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إلی هنا یظهر حکم الصور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تقدّم العامّ علی المفهوم و لا العکس إلاّ ببعض المرجّحات الخاصّة، و لیس عندی منها کون العامّ دلیلا وضعیّا، و المفهوم دلیلا إطلاقیّا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منهم من یقول بأنّ المفهوم وضعیّ التزامیّ، و العامَّ إطلاقیّ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إذا کان العامّان من وجه فی مورد التصادق غیرَ مرادین جمعا، و کان أحدهما جائز الطرح، للعلم الخارجیّ بوحدة الحکم، مثلا فیما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أکرم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محطّ التصادق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الفقیه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الحکم واحدا، فإنّ من تقدیم الأوّل علی الثانی تنقلب نسبة المفهوم و العامّ، فإذا قدّمنا فی المثال المزبور المنطوق علی العامّ، فتصیر نتیجة التقدیم وجوبَ إکرام الفقهاء و النحویّین إذا جاء زید، و مفهومه لا یعارض العامّ کما تری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العامّین من وجه المتوافقین، إذا علمنا فی الجمیع بکذب أحدهما، لا یلزم إلاّ الأخذ بالآخر، و ترک العمل بأحدهما المعیّن، من دون تعنونه بعنوان زائد فی مقام الإثبات حتّی یؤخذ بظهور القید، ففی المثال المزبور بعد تقدیم المنطوق علی العامّ، لا یلزم کون موضوع العامّ النحویّین غیر المتفقّهین حتّی یعارض المنطوق أیضا، و هذا من الشواهد علی عدم تعنون العامّ أو عدم ظهور للقید، فتدبّر</w:t>
      </w:r>
      <w:r>
        <w:rPr>
          <w:rFonts w:eastAsia="IRNazanin" w:cs="IRNazanin"/>
          <w:color w:val="111111"/>
          <w:sz w:val="28"/>
          <w:szCs w:val="28"/>
          <w:rtl w:val="true"/>
          <w:lang w:bidi="fa-IR"/>
        </w:rPr>
        <w:t>.</w:t>
      </w:r>
      <w:bookmarkStart w:id="681" w:name="pg13167_141071"/>
    </w:p>
    <w:p>
      <w:pPr>
        <w:pStyle w:val="Heading3"/>
        <w:numPr>
          <w:ilvl w:val="2"/>
          <w:numId w:val="1"/>
        </w:numPr>
        <w:rPr/>
      </w:pPr>
      <w:bookmarkStart w:id="682" w:name="__RefHeading___Toc559822_3244359995"/>
      <w:bookmarkStart w:id="683" w:name="_Toc254"/>
      <w:bookmarkEnd w:id="681"/>
      <w:bookmarkEnd w:id="682"/>
      <w:r>
        <w:rPr>
          <w:rtl w:val="true"/>
        </w:rPr>
        <w:t>المبحث الثامن فی جواز تخصیص العامّ الکتابیّ بالخبر الواحد</w:t>
      </w:r>
      <w:bookmarkEnd w:id="683"/>
    </w:p>
    <w:p>
      <w:pPr>
        <w:pStyle w:val="Heading4"/>
        <w:numPr>
          <w:ilvl w:val="3"/>
          <w:numId w:val="1"/>
        </w:numPr>
        <w:rPr/>
      </w:pPr>
      <w:bookmarkStart w:id="684" w:name="__RefHeading___Toc559824_3244359995"/>
      <w:bookmarkStart w:id="685" w:name="_Toc255"/>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و لو صحّ ذلک لجاز تقیید المطلق الکتابیّ به أیضا، و بمثله السنّة القطعیّة،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هنا لیس حول أصل التصرّف فی الکتاب بالحدیث، فإنّه ممّا لا یکون مورد النّظر، ضرورة جواز التصرّف فیه إذا کان الخبر قویّ السند متواترا، أو محفوفا بالقرینة القطعیّة، أو ما یکون قریبا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فی أمر آخر، و هو أنّ قوّة الکتاب و قوّة القوانین المودعة فیه، ربّما توجب کون الأخصّ غیر قابل لکونه قرینة علی ما فیه، و غیر قابل لکونه مخصّصا له و متصرّفا فیه، ضرورة جواز تخصیص العامّ الکتابیّ بنفس المخصّص الکتابیّ و مقیّده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أوجب تعنون البحث حول هذه المسألة، أنّ القوانین المضروبة فی الکتاب، تکون فی نفس المتشرّعة بمثابة لا یمکن التصرّف فیها و لو بالتخصیص أو التقیید، إلاّ بالخبر القویّ الکذائیّ</w:t>
      </w:r>
      <w:r>
        <w:rPr>
          <w:rFonts w:eastAsia="IRNazanin" w:cs="IRNazanin"/>
          <w:color w:val="111111"/>
          <w:sz w:val="28"/>
          <w:szCs w:val="28"/>
          <w:rtl w:val="true"/>
          <w:lang w:bidi="fa-IR"/>
        </w:rPr>
        <w:t>.</w:t>
      </w:r>
      <w:bookmarkStart w:id="686" w:name="pg13167_141072"/>
    </w:p>
    <w:p>
      <w:pPr>
        <w:pStyle w:val="Heading4"/>
        <w:numPr>
          <w:ilvl w:val="3"/>
          <w:numId w:val="1"/>
        </w:numPr>
        <w:rPr/>
      </w:pPr>
      <w:bookmarkStart w:id="687" w:name="__RefHeading___Toc559826_3244359995"/>
      <w:bookmarkStart w:id="688" w:name="_Toc256"/>
      <w:bookmarkEnd w:id="686"/>
      <w:bookmarkEnd w:id="687"/>
      <w:r>
        <w:rPr>
          <w:rtl w:val="true"/>
        </w:rPr>
        <w:t>الأمور التی یمکن الاستناد إلیها لمنع التخصیص بالخبر الواحد</w:t>
      </w:r>
      <w:bookmarkEnd w:id="688"/>
    </w:p>
    <w:p>
      <w:pPr>
        <w:pStyle w:val="Heading5"/>
        <w:numPr>
          <w:ilvl w:val="4"/>
          <w:numId w:val="1"/>
        </w:numPr>
        <w:rPr/>
      </w:pPr>
      <w:bookmarkStart w:id="689" w:name="__RefHeading___Toc559828_3244359995"/>
      <w:bookmarkStart w:id="690" w:name="_Toc257"/>
      <w:bookmarkEnd w:id="689"/>
      <w:r>
        <w:rPr>
          <w:rtl w:val="true"/>
        </w:rPr>
        <w:t>اشارة</w:t>
      </w:r>
      <w:bookmarkEnd w:id="690"/>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یستند إلیه فی تقریب ممنوعیّة تخصیص الکتاب بالخبر الواحد أمور</w:t>
      </w:r>
      <w:r>
        <w:rPr>
          <w:rFonts w:eastAsia="IRNazanin" w:cs="IRNazanin"/>
          <w:color w:val="111111"/>
          <w:sz w:val="28"/>
          <w:szCs w:val="28"/>
          <w:rtl w:val="true"/>
          <w:lang w:bidi="fa-IR"/>
        </w:rPr>
        <w:t>:</w:t>
      </w:r>
    </w:p>
    <w:p>
      <w:pPr>
        <w:pStyle w:val="Heading5"/>
        <w:numPr>
          <w:ilvl w:val="4"/>
          <w:numId w:val="1"/>
        </w:numPr>
        <w:rPr/>
      </w:pPr>
      <w:bookmarkStart w:id="691" w:name="__RefHeading___Toc559830_3244359995"/>
      <w:bookmarkStart w:id="692" w:name="_Toc258"/>
      <w:bookmarkEnd w:id="691"/>
      <w:r>
        <w:rPr>
          <w:rtl w:val="true"/>
        </w:rPr>
        <w:t>الأمر الأوّل</w:t>
      </w:r>
      <w:bookmarkEnd w:id="6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أشیر إلیه، من أنّ مجرّد الالتزام بحجّیة الخبر الواحد لو کفی لذلک، و مجرّد کون الخبر أخصّ، لا یورث جواز التخصیص، ضرورة أنّه ربّما یکون العامّ فی القوّة إلی حدّ یشکل التصرّف فیه، کما لا یجوز تخصیصه فی بعض الأحیان، لما یلزم منه الاستهجان، فمجرّد الأخصّیة غیر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لأحد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بالبناء العقلائیّ فی هذه المسألة، لا ینفع، لأنّ ما هو المشاهد من بنائهم هو ما یکون العامّ و الخاصّ فی القوّة واحدة، و إذا صحّت المقایسة بین ما عندنا و ما عند العرف، فهو فی مثل ما إذا کان العامّ مثلا فی کتاب دستور الدولة الّذی هو أساس القوانین العرفیّة فی الدولة الکذائیّة، ثمّ بعد ذلک سمع أحد العارفین بالقوانین العامّة من بعض ثقاتهم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العامّ الکذائیّ المدوّن فی الدستور، تصرّفوا بضرب قانون علی خلافه، و یکون هو الأخصّ، فهل تجد من العرف و العقلاء أن یترتّب الأثر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یقوم بالفحص، لقوّة ما فی ذلک الدستور، و للاطلاع القطعیّ علی مفاد المخصّص البالغ إلیه، و یصیر محفوفا بالقرینة و فی حکم التواتر؟</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کذلک فیما إذا لم یعهد التصرّف فی العمومات و المطلقات الکتابیّة، و أمّا إذا لم یکن فی الکتاب عامّ إلاّ و قد تصرّفوا فیه، فإنّه یوجب انحطاط العمومات، و یورث کونها فی معرض ذلک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لنا تخصیص الکتاب بالخبر الواحد غیر المحفوف بالقرینة، فإنّه کثیرا ما تکون المسألة ذات أخبار، و تکون عند العاملین بها فی الصدر</w:t>
      </w:r>
    </w:p>
    <w:p>
      <w:pPr>
        <w:pStyle w:val="BookText"/>
        <w:rPr/>
      </w:pPr>
      <w:r>
        <w:rPr>
          <w:rFonts w:ascii="IRNazanin" w:hAnsi="IRNazanin" w:eastAsia="IRNazanin"/>
          <w:color w:val="111111"/>
          <w:sz w:val="28"/>
          <w:sz w:val="28"/>
          <w:szCs w:val="28"/>
          <w:rtl w:val="true"/>
          <w:lang w:bidi="fa-IR"/>
        </w:rPr>
        <w:t>الأوّل محفوفة بالقرائن، فهو لا یوجب تجویز التخصیص بالخبر الواحد الّذی هو محطّ البحث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التصرّفات ربّما لا یعدّ من التخصیص و التقیید، لعدم ثبوت العموم و الإطلاق فی الکتاب الإلهیّ، ضرورة أنّ جماعة من القوانین فی موقف التشریع، من غیر کونها فی مقام بیان تمام المراد، و لا سیّما فی مثل الصلاة و الصوم و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یمکن دعوی العموم الکتابیّ مثلا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949"/>
      </w:r>
      <w:r>
        <w:rPr>
          <w:rFonts w:ascii="IRNazanin" w:hAnsi="IRNazanin" w:eastAsia="IRNazanin"/>
          <w:color w:val="111111"/>
          <w:sz w:val="28"/>
          <w:sz w:val="28"/>
          <w:szCs w:val="28"/>
          <w:rtl w:val="true"/>
          <w:lang w:bidi="fa-IR"/>
        </w:rPr>
        <w:t>علی إشکال منّا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الإطلاق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950"/>
      </w:r>
      <w:r>
        <w:rPr>
          <w:rFonts w:ascii="IRNazanin" w:hAnsi="IRNazanin" w:eastAsia="IRNazanin"/>
          <w:color w:val="111111"/>
          <w:sz w:val="28"/>
          <w:sz w:val="28"/>
          <w:szCs w:val="28"/>
          <w:rtl w:val="true"/>
          <w:lang w:bidi="fa-IR"/>
        </w:rPr>
        <w:t>علی تأمّل أیضا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خَیْراً </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و غیر ذلک ممّا یعدّ کثیرا غیر بالغ إلی الکثرة الموجبة للوهن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من تخیّل أنّ الکتاب فاقد العموم و الإطلاق أصلا، بمعزل عن التحقیق</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وجه ضعف مسیر المتأخّرین فی تجویز التخصیص، تمسّکا بالبناء العقلائیّ </w:t>
      </w:r>
      <w:r>
        <w:rPr>
          <w:rStyle w:val="FootnoteAnchor"/>
          <w:rtl w:val="true"/>
        </w:rPr>
        <w:footnoteReference w:id="953"/>
      </w:r>
      <w:r>
        <w:rPr>
          <w:rFonts w:ascii="Amiri" w:hAnsi="Amiri" w:eastAsia="Amiri" w:cs="Amiri"/>
          <w:color w:val="111111"/>
          <w:sz w:val="28"/>
          <w:sz w:val="28"/>
          <w:szCs w:val="28"/>
          <w:rtl w:val="true"/>
          <w:lang w:bidi="ar-SA"/>
        </w:rPr>
        <w:t>، کما عن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954"/>
      </w:r>
      <w:r>
        <w:rPr>
          <w:rFonts w:ascii="IRNazanin" w:hAnsi="IRNazanin" w:eastAsia="IRNazanin"/>
          <w:color w:val="111111"/>
          <w:sz w:val="28"/>
          <w:sz w:val="28"/>
          <w:szCs w:val="28"/>
          <w:rtl w:val="true"/>
          <w:lang w:bidi="fa-IR"/>
        </w:rPr>
        <w:t>أو تمسّکا بأنّ عمومات الکتاب فی</w:t>
      </w:r>
      <w:bookmarkStart w:id="693" w:name="pg13167_141074"/>
    </w:p>
    <w:p>
      <w:pPr>
        <w:pStyle w:val="BookText"/>
        <w:rPr/>
      </w:pPr>
      <w:bookmarkEnd w:id="693"/>
      <w:r>
        <w:rPr>
          <w:rFonts w:ascii="IRNazanin" w:hAnsi="IRNazanin" w:eastAsia="IRNazanin"/>
          <w:color w:val="111111"/>
          <w:sz w:val="28"/>
          <w:sz w:val="28"/>
          <w:szCs w:val="28"/>
          <w:rtl w:val="true"/>
          <w:lang w:bidi="fa-IR"/>
        </w:rPr>
        <w:t xml:space="preserve">معرضه،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 xml:space="preserve">و غیره </w:t>
      </w:r>
      <w:r>
        <w:rPr>
          <w:rStyle w:val="FootnoteAnchor"/>
          <w:rtl w:val="true"/>
        </w:rPr>
        <w:footnoteReference w:id="956"/>
      </w:r>
      <w:r>
        <w:rPr>
          <w:rFonts w:ascii="Amiri" w:hAnsi="Amiri" w:eastAsia="Amiri" w:cs="Amiri"/>
          <w:color w:val="111111"/>
          <w:sz w:val="28"/>
          <w:sz w:val="28"/>
          <w:szCs w:val="28"/>
          <w:rtl w:val="true"/>
          <w:lang w:bidi="ar-SA"/>
        </w:rPr>
        <w:t>، فإنّ کلّ ذلک فی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ینبغی أن یقال فی المقام، و به یختتم الکلام و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المسألة لا یتّفق موضوع، و لا یستثمر منها الثمرة الواضحة، و ذلک لأنّ بعد مضیّ القرون المتمادیة تکون الأخبار الواحدة محفوفة بالقرائن، فإنّ عمل الأصحاب بها، و الإفتاءَ علی طبقها، و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نهایة اهتمامهم بالتحرّز من المدسوسات فی المآثیر، و مع غایة توجّههم إلی تشخیص الصحیح من السقیم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قوّة الخبر، و یورث احتفافه بقرینة ما مثلها قرینة، فلا یوجد فی عصرنا خبر واحد واصل إلینا غیر معمول به، و غیر مقرون بأمارات الصدق، فإذا احتفت الأسانید بما یلحقها بالتواتر، أو یلحقها بالقویّ المعتمد، فالتصرّف بحسب مقام الدلالة جائز، لأنّ باب الظهورات فی الکتاب و السنّة واحد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عثرنا علی خبر لا یکون کذلک فهو موهون جدّاً، فافهم و اغتنم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القول بعدم موهنیّة الإعراض </w:t>
      </w:r>
      <w:r>
        <w:rPr>
          <w:rStyle w:val="FootnoteAnchor"/>
          <w:rtl w:val="true"/>
        </w:rPr>
        <w:footnoteReference w:id="957"/>
      </w:r>
      <w:r>
        <w:rPr>
          <w:rFonts w:ascii="IRNazanin" w:hAnsi="IRNazanin" w:eastAsia="IRNazanin"/>
          <w:color w:val="111111"/>
          <w:sz w:val="28"/>
          <w:sz w:val="28"/>
          <w:szCs w:val="28"/>
          <w:rtl w:val="true"/>
          <w:lang w:bidi="fa-IR"/>
        </w:rPr>
        <w:t>، یمکن الاستنتاج من هذه المسألة، کما لا یخفی</w:t>
      </w:r>
      <w:r>
        <w:rPr>
          <w:rFonts w:eastAsia="IRNazanin" w:cs="IRNazanin"/>
          <w:color w:val="111111"/>
          <w:sz w:val="28"/>
          <w:szCs w:val="28"/>
          <w:rtl w:val="true"/>
          <w:lang w:bidi="fa-IR"/>
        </w:rPr>
        <w:t>.</w:t>
      </w:r>
    </w:p>
    <w:p>
      <w:pPr>
        <w:pStyle w:val="Heading5"/>
        <w:numPr>
          <w:ilvl w:val="4"/>
          <w:numId w:val="1"/>
        </w:numPr>
        <w:rPr/>
      </w:pPr>
      <w:bookmarkStart w:id="694" w:name="__RefHeading___Toc559832_3244359995"/>
      <w:bookmarkStart w:id="695" w:name="_Toc259"/>
      <w:bookmarkEnd w:id="694"/>
      <w:r>
        <w:rPr>
          <w:rtl w:val="true"/>
        </w:rPr>
        <w:t>الأمر الثانی</w:t>
      </w:r>
      <w:bookmarkEnd w:id="69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حجّیة الخبر الواحد سواء کان إجماع مثل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أو کان بناء علی العرف و العقلاء، یکون دلیلا لبّیا لا إطلاق له علی نعت الوضوح، و القدر المتیقّن منه ما إذا کان الخبر غیر مخالف للکتاب و السنّة القطعیّة، و لو بنحو المخالفة الخاصّة کالأعمّ و الأخصّ، فضلا عن التباین</w:t>
      </w:r>
      <w:r>
        <w:rPr>
          <w:rFonts w:eastAsia="IRNazanin" w:cs="IRNazanin"/>
          <w:color w:val="111111"/>
          <w:sz w:val="28"/>
          <w:szCs w:val="28"/>
          <w:rtl w:val="true"/>
          <w:lang w:bidi="fa-IR"/>
        </w:rPr>
        <w:t>.</w:t>
      </w:r>
      <w:bookmarkStart w:id="696" w:name="pg13167_141075"/>
    </w:p>
    <w:p>
      <w:pPr>
        <w:pStyle w:val="BookText"/>
        <w:rPr/>
      </w:pPr>
      <w:bookmarkEnd w:id="696"/>
      <w:r>
        <w:rPr>
          <w:rFonts w:ascii="IRNazanin" w:hAnsi="IRNazanin" w:eastAsia="IRNazanin"/>
          <w:color w:val="111111"/>
          <w:sz w:val="28"/>
          <w:sz w:val="28"/>
          <w:szCs w:val="28"/>
          <w:rtl w:val="true"/>
          <w:lang w:bidi="fa-IR"/>
        </w:rPr>
        <w:t>و مجرّد کون الدلیل هی السیرة غیر المردوعة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 xml:space="preserve">و غیره </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 لحلّ المشکلة فی المقام، و قد أشیر إلی أنّ لما نحن فیه خصوصیّة لا تکون هی شائعة بین العقلاء</w:t>
      </w:r>
      <w:r>
        <w:rPr>
          <w:rStyle w:val="FootnoteAnchor"/>
          <w:rtl w:val="true"/>
        </w:rPr>
        <w:footnoteReference w:id="961"/>
      </w:r>
      <w:r>
        <w:rPr>
          <w:rFonts w:ascii="IRNazanin" w:hAnsi="IRNazanin" w:eastAsia="IRNazanin"/>
          <w:color w:val="111111"/>
          <w:sz w:val="28"/>
          <w:sz w:val="28"/>
          <w:szCs w:val="28"/>
          <w:rtl w:val="true"/>
          <w:lang w:bidi="fa-IR"/>
        </w:rPr>
        <w:t>، حتّی تکفی سیرتهم لکشف حالها، فعلی هذا یشکل حجّیة خبر الثقة هنا، کما استشکلوا فی الإخبار مع الوسائط الکثیرة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أنّه ربّما یتّفق من الأخذ بخبر الواحد التصرّف فی العامّین من الکتاب أو أکثر، کما إذا ورد مثلا النهی عن بیع المصحف </w:t>
      </w:r>
      <w:r>
        <w:rPr>
          <w:rStyle w:val="FootnoteAnchor"/>
          <w:rtl w:val="true"/>
        </w:rPr>
        <w:footnoteReference w:id="963"/>
      </w:r>
      <w:r>
        <w:rPr>
          <w:rFonts w:ascii="IRNazanin" w:hAnsi="IRNazanin" w:eastAsia="IRNazanin"/>
          <w:color w:val="111111"/>
          <w:sz w:val="28"/>
          <w:sz w:val="28"/>
          <w:szCs w:val="28"/>
          <w:rtl w:val="true"/>
          <w:lang w:bidi="fa-IR"/>
        </w:rPr>
        <w:t>، فإنّه یوجب التصرّف فی عموم آیة الوفاء، و إطلاق آیة حلّیة البیع، و آیة التجارة</w:t>
      </w:r>
      <w:r>
        <w:rPr>
          <w:rStyle w:val="FootnoteAnchor"/>
          <w:rtl w:val="true"/>
        </w:rPr>
        <w:footnoteReference w:id="964"/>
      </w:r>
      <w:r>
        <w:rPr>
          <w:rFonts w:ascii="IRNazanin" w:hAnsi="IRNazanin" w:eastAsia="IRNazanin"/>
          <w:color w:val="111111"/>
          <w:sz w:val="28"/>
          <w:sz w:val="28"/>
          <w:szCs w:val="28"/>
          <w:rtl w:val="true"/>
          <w:lang w:bidi="fa-IR"/>
        </w:rPr>
        <w:t xml:space="preserve">و غیر ذلک </w:t>
      </w:r>
      <w:r>
        <w:rPr>
          <w:rStyle w:val="FootnoteAnchor"/>
          <w:rtl w:val="true"/>
        </w:rPr>
        <w:footnoteReference w:id="96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 علیک فی ذیل الوجه الآتی المناقشة فی حجّیة أخبار الآحاد غیر المحفوفة بالقرینة</w:t>
      </w:r>
      <w:r>
        <w:rPr>
          <w:rStyle w:val="FootnoteAnchor"/>
          <w:rtl w:val="true"/>
        </w:rPr>
        <w:footnoteReference w:id="966"/>
      </w:r>
      <w:r>
        <w:rPr>
          <w:rFonts w:ascii="IRNazanin" w:hAnsi="IRNazanin" w:eastAsia="IRNazanin"/>
          <w:color w:val="111111"/>
          <w:sz w:val="28"/>
          <w:sz w:val="28"/>
          <w:szCs w:val="28"/>
          <w:rtl w:val="true"/>
          <w:lang w:bidi="fa-IR"/>
        </w:rPr>
        <w:t>، و ذلک لتلوّث عصر الصدور بالأخبار الکاذبة، و قد کانوا یدسّون کثیرا فیها بوضع رسائل مسندة منسوبة إلی أمثال ابن أبی عمیر، و عندئذ یصحّ الشکّ فی حجّیتها، لأجل الطوارئ الخاصّة، بعد عدم قیام دلیل لفظیّ یقتضی إطلاقه أو عمومه حجّیتها، کما لا یخفی، و لیتدبّر جیّدا</w:t>
      </w:r>
      <w:r>
        <w:rPr>
          <w:rFonts w:eastAsia="IRNazanin" w:cs="IRNazanin"/>
          <w:color w:val="111111"/>
          <w:sz w:val="28"/>
          <w:szCs w:val="28"/>
          <w:rtl w:val="true"/>
          <w:lang w:bidi="fa-IR"/>
        </w:rPr>
        <w:t>.</w:t>
      </w:r>
    </w:p>
    <w:p>
      <w:pPr>
        <w:pStyle w:val="Heading5"/>
        <w:numPr>
          <w:ilvl w:val="4"/>
          <w:numId w:val="1"/>
        </w:numPr>
        <w:rPr/>
      </w:pPr>
      <w:bookmarkStart w:id="697" w:name="__RefHeading___Toc559834_3244359995"/>
      <w:bookmarkStart w:id="698" w:name="_Toc260"/>
      <w:bookmarkEnd w:id="697"/>
      <w:r>
        <w:rPr>
          <w:rtl w:val="true"/>
        </w:rPr>
        <w:t>الأمر الثالث</w:t>
      </w:r>
      <w:bookmarkEnd w:id="69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الأخبار الکثیرة البالغة حدّ الاستفاضة أو التواتر،</w:t>
      </w:r>
    </w:p>
    <w:p>
      <w:pPr>
        <w:pStyle w:val="BookText"/>
        <w:rPr/>
      </w:pPr>
      <w:r>
        <w:rPr>
          <w:rFonts w:ascii="IRNazanin" w:hAnsi="IRNazanin" w:eastAsia="IRNazanin"/>
          <w:color w:val="111111"/>
          <w:sz w:val="28"/>
          <w:sz w:val="28"/>
          <w:szCs w:val="28"/>
          <w:rtl w:val="true"/>
          <w:lang w:bidi="fa-IR"/>
        </w:rPr>
        <w:t xml:space="preserve">ممنوعیّة العمل بالخبر المخالف للکتاب، و لزوم طرحه،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نقله</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الواردة فی شرط العمل بالخبر بین ما هی مطروحة، کالأخبار الدالّة علی شرط وجود شاهد أو شاهدین فی کتاب اللَّه </w:t>
      </w:r>
      <w:r>
        <w:rPr>
          <w:rStyle w:val="FootnoteAnchor"/>
          <w:rtl w:val="true"/>
        </w:rPr>
        <w:footnoteReference w:id="968"/>
      </w:r>
      <w:r>
        <w:rPr>
          <w:rFonts w:ascii="IRNazanin" w:hAnsi="IRNazanin" w:eastAsia="IRNazanin"/>
          <w:color w:val="111111"/>
          <w:sz w:val="28"/>
          <w:sz w:val="28"/>
          <w:szCs w:val="28"/>
          <w:rtl w:val="true"/>
          <w:lang w:bidi="fa-IR"/>
        </w:rPr>
        <w:t>،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تواترها، فیلزم سقوطها لأجل مضمونها أیضا فی حدّ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معمول بها، و معرض عنها بالاتفاق و الإجماع و السیرة، ضرورة عدم اشتراط حجّیة الخبر بوجود شاهد أو شاهدین من کتاب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ذلک طرح الحجّیة، لأنّ الکتاب یصیر حینئذ حجّة و موجّها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منع من حملها علی المسائل الاعتقادیّة، أو علی کون الکتاب مرجّحا، فیکون مصبّها مقام المعارضة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ما هی ناظرة إلی مقام العلاج </w:t>
      </w:r>
      <w:r>
        <w:rPr>
          <w:rStyle w:val="FootnoteAnchor"/>
          <w:rtl w:val="true"/>
        </w:rPr>
        <w:footnoteReference w:id="969"/>
      </w:r>
      <w:r>
        <w:rPr>
          <w:rFonts w:ascii="IRNazanin" w:hAnsi="IRNazanin" w:eastAsia="IRNazanin"/>
          <w:color w:val="111111"/>
          <w:sz w:val="28"/>
          <w:sz w:val="28"/>
          <w:szCs w:val="28"/>
          <w:rtl w:val="true"/>
          <w:lang w:bidi="fa-IR"/>
        </w:rPr>
        <w:t>، فتکون دلیلا علی اشتراط الحجّیة الفعلیّة بموافقة الکتاب و عدم مخالفته، لا أصل الحجّیة، و ربّما یرجع ذلک أیضا إلی مرجعیّة الکتاب فی هذه الصورة، اللهمّ إلاّ من جهة الإطلاق و العموم، فإنّ الخبرین المتعارضین إذا رجّح أحدهما بموافقة الکتاب، و کان الکتاب یوافقه فی الجملة، و الخبر عامّ أو مطلق، یکون المرجع الخبر، و الکتاب یصیر مرجّحا، فلا تخلط</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ما تدلّ علی اشتراط حجّیة الخبر بکونه موافقا للکتاب </w:t>
      </w:r>
      <w:r>
        <w:rPr>
          <w:rStyle w:val="FootnoteAnchor"/>
          <w:rtl w:val="true"/>
        </w:rPr>
        <w:footnoteReference w:id="970"/>
      </w:r>
      <w:r>
        <w:rPr>
          <w:rFonts w:ascii="Amiri" w:hAnsi="Amiri" w:eastAsia="Amiri" w:cs="Amiri"/>
          <w:color w:val="111111"/>
          <w:sz w:val="28"/>
          <w:sz w:val="28"/>
          <w:szCs w:val="28"/>
          <w:rtl w:val="true"/>
          <w:lang w:bidi="ar-SA"/>
        </w:rPr>
        <w:t>، و بالجملة</w:t>
      </w:r>
    </w:p>
    <w:p>
      <w:pPr>
        <w:pStyle w:val="BookText"/>
        <w:rPr/>
      </w:pPr>
      <w:r>
        <w:rPr>
          <w:rFonts w:ascii="IRNazanin" w:hAnsi="IRNazanin" w:eastAsia="IRNazanin"/>
          <w:color w:val="111111"/>
          <w:sz w:val="28"/>
          <w:sz w:val="28"/>
          <w:szCs w:val="28"/>
          <w:rtl w:val="true"/>
          <w:lang w:bidi="fa-IR"/>
        </w:rPr>
        <w:t>یجب عرضه علیه، ثمّ یؤخذ بالموافق، و یطرح المخالف أو غیر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الطائفة إمّا ترجع إلی الأولی، أو الثانیة، أو یحمل الموافقة و المخالفة فیها علی الموافق و المخالف فی محیط التقنین و التشریع، لا فی محیط التألیف و التصنیف، فیکون الخاصّ و المقیّد موافقا و غیر مخالف، و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وفقا و یوافق الکتاب و قابلا لذلک، أو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هذه الطوائف الثلاث لا یلزم طرح الطائفة الرابعة بالمرّة، و هی ما تدلّ علی أنّ الخبر المخالف زخرف </w:t>
      </w:r>
      <w:r>
        <w:rPr>
          <w:rStyle w:val="FootnoteAnchor"/>
          <w:rtl w:val="true"/>
        </w:rPr>
        <w:footnoteReference w:id="971"/>
      </w:r>
      <w:r>
        <w:rPr>
          <w:rFonts w:ascii="IRNazanin" w:hAnsi="IRNazanin" w:eastAsia="IRNazanin"/>
          <w:color w:val="111111"/>
          <w:sz w:val="28"/>
          <w:sz w:val="28"/>
          <w:szCs w:val="28"/>
          <w:rtl w:val="true"/>
          <w:lang w:bidi="fa-IR"/>
        </w:rPr>
        <w:t>، فإنّ هذه الأخبار قابلة للمنع عن حجّیة الخبر الواحد غیر المحفوف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هنا إلاّ طائفة واحدة، و الثالثة و الرابعة ترجعان إلیها فی الحقیقة، و یصیر مضمون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الخبر مرهونة بالاحتفاف بالقرینة و بالتواتر و ما بحکمه کالاستفاضة، ضرورة أنّ هذه الأخبار لو سیقت للمنع عن خبر الواحد، فلا بدّ و أنّ لا تشمل نفسها، و یکون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انصرافها عن المحفوف بالقرینة و المتواتر و ما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یتوجّه إلیها ما وجّهه الأصولیّون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إباءها عن التخصیص، دلیل علی اختصاصها بغیر هذه المواقف، فتکون محمولة علی الأخبار فی الأصول الاعتقادیّة، أو غیر ذلک من المحامل الممکنة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 علی المخالفة بالتباین </w:t>
      </w:r>
      <w:r>
        <w:rPr>
          <w:rStyle w:val="FootnoteAnchor"/>
          <w:rtl w:val="true"/>
        </w:rPr>
        <w:footnoteReference w:id="973"/>
      </w:r>
      <w:r>
        <w:rPr>
          <w:rFonts w:ascii="IRNazanin" w:hAnsi="IRNazanin" w:eastAsia="IRNazanin"/>
          <w:color w:val="111111"/>
          <w:sz w:val="28"/>
          <w:sz w:val="28"/>
          <w:szCs w:val="28"/>
          <w:rtl w:val="true"/>
          <w:lang w:bidi="fa-IR"/>
        </w:rPr>
        <w:t>خلاف إطلاقها، و حملها علی الأصول الاعتقادیّة</w:t>
      </w:r>
      <w:r>
        <w:rPr>
          <w:rStyle w:val="FootnoteAnchor"/>
          <w:rtl w:val="true"/>
        </w:rPr>
        <w:footnoteReference w:id="974"/>
      </w:r>
      <w:r>
        <w:rPr>
          <w:rFonts w:ascii="IRNazanin" w:hAnsi="IRNazanin" w:eastAsia="IRNazanin"/>
          <w:color w:val="111111"/>
          <w:sz w:val="28"/>
          <w:sz w:val="28"/>
          <w:szCs w:val="28"/>
          <w:rtl w:val="true"/>
          <w:lang w:bidi="fa-IR"/>
        </w:rPr>
        <w:t>أیضا خلاف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الاعتقادیّات لا تنال من الأخبار و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هذا یتمّ الاستدلال بها علی منع حجّیة الخبر الواحد غیر المحفوف بالقرینة إذا کان مخالفا للکتاب، أو کان غیر موافق له، ضرورة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المخالف، لا إلی الطائفة الأولی،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لإمکان منع تخصیص الکتاب بالخبر الواحد غیر المحفوف بالقرینة، وجها قویّا جدّاً، و سرّ ذلک انصرافها عن المتواتر و عن المحفوف بالقرینة، و ذلک لسبق تخصیص الکتاب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کانوا یخصّصونه بالخبر الواحد، و لکن هذه المآثیر بصدد توجیه المحدّثین إلی صرف الوقت فی تشخیص المدسوس من غیره، فإنّ المتواتر و المحفوف بالقرینة بعید عن الدسّ، بخلاف الواحد غیر المحفوف، فلاحظ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الشأن فی عدم إمکان العثور علی مثله فی هذه العصور، لاحتفافه بالقرائن کما أشیر إلیه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یؤیّد ذلک ما فی حواشی جدّی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الکذّابین علی الأئمّة علیهم السلام بالأخبار الموضوعة، لم یکذبوا علیهم بما یخالف الکتاب و السنّة صریحا، إذ لا یصدّقهم أحد فی ذلک، بل کانوا یکذبون علیهم بما یخالف الکتاب و السنّة مخالفة العامّ و الخاصّ، و المطلق و المقیّد، و أمثال ذلک ممّا یصدر عنهم أحیانا، حتّی یکون قابلا للقبول</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حمل هذه الأخبار علی المخالف بالبینونة، و أنّه المخالف فی محیط التشریع و التقنین، لا العامّ و الخاصّ و أمثالهما</w:t>
      </w:r>
      <w:r>
        <w:rPr>
          <w:rStyle w:val="FootnoteAnchor"/>
          <w:rtl w:val="true"/>
        </w:rPr>
        <w:footnoteReference w:id="977"/>
      </w:r>
      <w:r>
        <w:rPr>
          <w:rFonts w:ascii="IRNazanin" w:hAnsi="IRNazanin" w:eastAsia="IRNazanin"/>
          <w:color w:val="111111"/>
          <w:sz w:val="28"/>
          <w:sz w:val="28"/>
          <w:szCs w:val="28"/>
          <w:rtl w:val="true"/>
          <w:lang w:bidi="fa-IR"/>
        </w:rPr>
        <w:t xml:space="preserve">، کما أشیر إلیه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bookmarkStart w:id="699" w:name="pg13167_141079"/>
    </w:p>
    <w:p>
      <w:pPr>
        <w:pStyle w:val="BookText"/>
        <w:rPr/>
      </w:pPr>
      <w:bookmarkEnd w:id="69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مجرّد استحسان و ذوق، و هل یجوز الاتکاء علیه علی وجه یعدّ حجّة بینک و بین المولی، بعد ورود الأخبار بطرح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صدقه علی الأخصّ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أحرز بناء المعاندین علی الدّس و الخلط، فما وجه تخصیص الکتاب بالمخالف المتواتر، أو المخالف المحفوف؟</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لما مرّ من أنّ أصل صدور هذه الأخبار، دلیل علی انصرافها عن مطلق المخالف </w:t>
      </w:r>
      <w:r>
        <w:rPr>
          <w:rStyle w:val="FootnoteAnchor"/>
          <w:rtl w:val="true"/>
        </w:rPr>
        <w:footnoteReference w:id="979"/>
      </w:r>
      <w:r>
        <w:rPr>
          <w:rFonts w:ascii="IRNazanin" w:hAnsi="IRNazanin" w:eastAsia="IRNazanin"/>
          <w:color w:val="111111"/>
          <w:sz w:val="28"/>
          <w:sz w:val="28"/>
          <w:szCs w:val="28"/>
          <w:rtl w:val="true"/>
          <w:lang w:bidi="fa-IR"/>
        </w:rPr>
        <w:t>، لقطعیّة التخصیص و التقیید بالآحاد فی الجملة قبل صدورها، فکأنّها تسوق الناس و الفقهاء إلی المحافظة، و إلی تشخیص الصحیح من السقیم، بإعمال الجدّ و الاجتهاد، و بالتفتیش عن حال الخبر، و عن قرائن خاصّة توجب أنّها صادرة عنهم علیهم السلام فإنّ الدسّ فی الأخبار کان کثیرا، و فی هذا المحیط لا یجوز عند النقل و العقل الاتکاء علی الخبر الواحد المجرّد عن کلّ قرینة، فلا یجوز قیاس محیط العرف و العقلاء بمحیط الشرع فی تلک الأعصار، لأجل هذه المآثیر الحاکیة لنا اغتشاش الأخبار بید عمّال السلطان الجبّار لعنه اللَّه تعالی</w:t>
      </w:r>
      <w:r>
        <w:rPr>
          <w:rFonts w:eastAsia="IRNazanin" w:cs="IRNazanin"/>
          <w:color w:val="111111"/>
          <w:sz w:val="28"/>
          <w:szCs w:val="28"/>
          <w:rtl w:val="true"/>
          <w:lang w:bidi="fa-IR"/>
        </w:rPr>
        <w:t>.</w:t>
      </w:r>
    </w:p>
    <w:p>
      <w:pPr>
        <w:pStyle w:val="Heading4"/>
        <w:numPr>
          <w:ilvl w:val="3"/>
          <w:numId w:val="1"/>
        </w:numPr>
        <w:rPr/>
      </w:pPr>
      <w:bookmarkStart w:id="700" w:name="__RefHeading___Toc559836_3244359995"/>
      <w:bookmarkStart w:id="701" w:name="_Toc261"/>
      <w:bookmarkEnd w:id="700"/>
      <w:r>
        <w:rPr>
          <w:rtl w:val="true"/>
        </w:rPr>
        <w:t>تذنیب</w:t>
      </w:r>
      <w:r>
        <w:rPr>
          <w:rtl w:val="true"/>
        </w:rPr>
        <w:t xml:space="preserve">: </w:t>
      </w:r>
      <w:r>
        <w:rPr>
          <w:rtl w:val="true"/>
        </w:rPr>
        <w:t>و فیه فذلکة وجوه منع التخصیص</w:t>
      </w:r>
      <w:bookmarkEnd w:id="701"/>
    </w:p>
    <w:p>
      <w:pPr>
        <w:pStyle w:val="BookText"/>
        <w:rPr/>
      </w:pPr>
      <w:r>
        <w:rPr>
          <w:rFonts w:ascii="IRNazanin" w:hAnsi="IRNazanin" w:eastAsia="IRNazanin"/>
          <w:color w:val="111111"/>
          <w:sz w:val="28"/>
          <w:sz w:val="28"/>
          <w:szCs w:val="28"/>
          <w:rtl w:val="true"/>
          <w:lang w:bidi="fa-IR"/>
        </w:rPr>
        <w:t>قد 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للمناقشة فی أصل هذه المسألة و أساسها،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وجود العامّ و المطلق فی الکتاب الإلهیّ، و قد مرّ ما فیه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أبدعناه، و هو إنکار وجود الخبر الواحد غیر المحفوف بالقرینة فی</w:t>
      </w:r>
    </w:p>
    <w:p>
      <w:pPr>
        <w:pStyle w:val="BookText"/>
        <w:rPr/>
      </w:pPr>
      <w:r>
        <w:rPr>
          <w:rFonts w:ascii="IRNazanin" w:hAnsi="IRNazanin" w:eastAsia="IRNazanin"/>
          <w:color w:val="111111"/>
          <w:sz w:val="28"/>
          <w:sz w:val="28"/>
          <w:szCs w:val="28"/>
          <w:rtl w:val="true"/>
          <w:lang w:bidi="fa-IR"/>
        </w:rPr>
        <w:t>هذه الأعصار، و عدم ثبوت السیرة السالفة علی التخصیص بغیر المحفوف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کون الخاصّ مقدّما علی العامّ بالتخصیص، فإنّه یقدّم علیه بالحکومة، و ذلک لأنّ دلیل سند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التصرّف فی أصالة العامّ، و لا عکس، فلا موقف لتخصیص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الحکومة علیه فلا بأس بها قطعا</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ما مرّ فی البحث السابق </w:t>
      </w:r>
      <w:r>
        <w:rPr>
          <w:rStyle w:val="FootnoteAnchor"/>
          <w:rtl w:val="true"/>
        </w:rPr>
        <w:footnoteReference w:id="982"/>
      </w:r>
      <w:r>
        <w:rPr>
          <w:rFonts w:ascii="IRNazanin" w:hAnsi="IRNazanin" w:eastAsia="IRNazanin"/>
          <w:color w:val="111111"/>
          <w:sz w:val="28"/>
          <w:sz w:val="28"/>
          <w:szCs w:val="28"/>
          <w:rtl w:val="true"/>
          <w:lang w:bidi="fa-IR"/>
        </w:rPr>
        <w:t>، و تفصیله فی التعادل و الترجیح، و إجماله أنّ الحکومة متقوّمة باللسان، و لا لسان لأدلّة حجّیة السند إلاّ بناء العقلاء عملا و السیرة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المعارضة هی المدالیل و المتون عرفا، و لا یجوز صرف مصبّ التخالف و التکاذب إلی ما یحلّله العقل، و لذلک تری أنّ فی محیط القوانین العرفیّة، لا یلاحظ إلاّ متون القوانین،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أن یکون دلیل سند الخاصّ قرینة علی أصالة العموم، فعکسه ربّما یعدّ أولی لأخصّیته، فلیتدبّر جیّدا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للمناقشة فیما اشتهر من جواز تخصیص الکتاب بالواحد المجرّد</w:t>
      </w:r>
      <w:r>
        <w:rPr>
          <w:rStyle w:val="FootnoteAnchor"/>
          <w:rtl w:val="true"/>
        </w:rPr>
        <w:footnoteReference w:id="983"/>
      </w:r>
      <w:r>
        <w:rPr>
          <w:rFonts w:ascii="IRNazanin" w:hAnsi="IRNazanin" w:eastAsia="IRNazanin"/>
          <w:color w:val="111111"/>
          <w:sz w:val="28"/>
          <w:sz w:val="28"/>
          <w:szCs w:val="28"/>
          <w:rtl w:val="true"/>
          <w:lang w:bidi="fa-IR"/>
        </w:rPr>
        <w:t>، وجها أو وجوها قویّة جدّاً، فلا یغرّک الأمر، فإنّه نهی عن الغرر، و تبیّن فی خلال البحث إمکان المناقشة بالنسبة إلی السنّة القطعیّة أیضا</w:t>
      </w:r>
      <w:r>
        <w:rPr>
          <w:rStyle w:val="FootnoteAnchor"/>
          <w:rtl w:val="true"/>
        </w:rPr>
        <w:footnoteReference w:id="984"/>
      </w:r>
      <w:r>
        <w:rPr>
          <w:rFonts w:ascii="IRNazanin" w:hAnsi="IRNazanin" w:eastAsia="IRNazanin"/>
          <w:color w:val="111111"/>
          <w:sz w:val="28"/>
          <w:sz w:val="28"/>
          <w:szCs w:val="28"/>
          <w:rtl w:val="true"/>
          <w:lang w:bidi="fa-IR"/>
        </w:rPr>
        <w:t>، إلاّ أنّ لدعوی الفصل بینها و بین الکتاب وجها وجیها</w:t>
      </w:r>
      <w:r>
        <w:rPr>
          <w:rFonts w:eastAsia="IRNazanin" w:cs="IRNazanin"/>
          <w:color w:val="111111"/>
          <w:sz w:val="28"/>
          <w:szCs w:val="28"/>
          <w:rtl w:val="true"/>
          <w:lang w:bidi="fa-IR"/>
        </w:rPr>
        <w:t>.</w:t>
      </w:r>
      <w:bookmarkStart w:id="702" w:name="pg13167_141081"/>
    </w:p>
    <w:p>
      <w:pPr>
        <w:pStyle w:val="Heading4"/>
        <w:numPr>
          <w:ilvl w:val="3"/>
          <w:numId w:val="1"/>
        </w:numPr>
        <w:rPr/>
      </w:pPr>
      <w:bookmarkStart w:id="703" w:name="__RefHeading___Toc559838_3244359995"/>
      <w:bookmarkStart w:id="704" w:name="_Toc262"/>
      <w:bookmarkEnd w:id="702"/>
      <w:bookmarkEnd w:id="703"/>
      <w:r>
        <w:rPr>
          <w:rtl w:val="true"/>
        </w:rPr>
        <w:t>إیقاظ</w:t>
      </w:r>
      <w:r>
        <w:rPr>
          <w:rtl w:val="true"/>
        </w:rPr>
        <w:t xml:space="preserve">: </w:t>
      </w:r>
      <w:r>
        <w:rPr>
          <w:rtl w:val="true"/>
        </w:rPr>
        <w:t>حول حکومة الخبر المجرّد من القرینة علی العامّ الکتابیّ</w:t>
      </w:r>
      <w:bookmarkEnd w:id="704"/>
    </w:p>
    <w:p>
      <w:pPr>
        <w:pStyle w:val="BookText"/>
        <w:rPr/>
      </w:pPr>
      <w:r>
        <w:rPr>
          <w:rFonts w:ascii="IRNazanin" w:hAnsi="IRNazanin" w:eastAsia="IRNazanin"/>
          <w:color w:val="111111"/>
          <w:sz w:val="28"/>
          <w:sz w:val="28"/>
          <w:szCs w:val="28"/>
          <w:rtl w:val="true"/>
          <w:lang w:bidi="fa-IR"/>
        </w:rPr>
        <w:t>تحکیم الخبر الواحد علی العامّ الکتابیّ ممّا لا بأس به، کحکومة دلیل نفی الرّبا فی موارد کثیرة</w:t>
      </w:r>
      <w:r>
        <w:rPr>
          <w:rStyle w:val="FootnoteAnchor"/>
          <w:rtl w:val="true"/>
        </w:rPr>
        <w:footnoteReference w:id="985"/>
      </w:r>
      <w:r>
        <w:rPr>
          <w:rFonts w:ascii="IRNazanin" w:hAnsi="IRNazanin" w:eastAsia="IRNazanin"/>
          <w:color w:val="111111"/>
          <w:sz w:val="28"/>
          <w:sz w:val="28"/>
          <w:szCs w:val="28"/>
          <w:rtl w:val="true"/>
          <w:lang w:bidi="fa-IR"/>
        </w:rPr>
        <w:t xml:space="preserve">بالنسبة إلی العامّ الکتابیّ </w:t>
      </w:r>
      <w:r>
        <w:rPr>
          <w:rStyle w:val="FootnoteAnchor"/>
          <w:rtl w:val="true"/>
        </w:rPr>
        <w:footnoteReference w:id="986"/>
      </w:r>
      <w:r>
        <w:rPr>
          <w:rFonts w:ascii="Amiri" w:hAnsi="Amiri" w:eastAsia="Amiri" w:cs="Amiri"/>
          <w:color w:val="111111"/>
          <w:sz w:val="28"/>
          <w:sz w:val="28"/>
          <w:szCs w:val="28"/>
          <w:rtl w:val="true"/>
          <w:lang w:bidi="ar-SA"/>
        </w:rPr>
        <w:t>الآبی عن التخصیص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الإشکال فیما إذا کان دلیل الحاکم غیر محفوف بالقرینة، فإنّه أیضا کالتخصیص و إن لم یکن یبلغ إلی حدّه، فإنّ ما فی ذیل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وجها رابعا فی الحقیقة</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بینهما، فإنّ الحکومة و إن لم تعدّ تصرّفا فی محیط العرف، و لا یعدّ دلیل الحاکم مخالفا حتّی یشکل حجّیته للوجهین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الثالث، و لکن لکونه فی وجه آخر یعدّ من التصرّف یشکل الأمر أیضا، فإنّ ظلمة محیط الأخبار لأجل الدسّ فی الآثار، یوجب الشکّ فی جواز الاتکاء علی المآثیر المجرّدة عن القرائن الخاصّة جدّاً، و اللَّه هو المحیط و الموفّق</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تمّ یوم السبت آخر ذی القعدة الحرام شرعا، عام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bookmarkStart w:id="705" w:name="pg13167_141083"/>
    </w:p>
    <w:p>
      <w:pPr>
        <w:pStyle w:val="Heading2"/>
        <w:numPr>
          <w:ilvl w:val="1"/>
          <w:numId w:val="1"/>
        </w:numPr>
        <w:rPr/>
      </w:pPr>
      <w:bookmarkStart w:id="706" w:name="__RefHeading___Toc559840_3244359995"/>
      <w:bookmarkStart w:id="707" w:name="_Toc263"/>
      <w:bookmarkEnd w:id="705"/>
      <w:bookmarkEnd w:id="706"/>
      <w:r>
        <w:rPr>
          <w:rtl w:val="true"/>
        </w:rPr>
        <w:t>المقصد السادس فی المطلق و المقیّد</w:t>
      </w:r>
      <w:bookmarkEnd w:id="70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8" w:name="__RefHeading___Toc559842_3244359995"/>
      <w:bookmarkStart w:id="709" w:name="_Toc264"/>
      <w:bookmarkEnd w:id="708"/>
      <w:r>
        <w:rPr>
          <w:rtl w:val="true"/>
        </w:rPr>
        <w:t>اشارة</w:t>
      </w:r>
      <w:bookmarkStart w:id="710" w:name="pg13167_141085"/>
      <w:bookmarkEnd w:id="709"/>
    </w:p>
    <w:p>
      <w:pPr>
        <w:pStyle w:val="Heading3"/>
        <w:numPr>
          <w:ilvl w:val="2"/>
          <w:numId w:val="1"/>
        </w:numPr>
        <w:rPr/>
      </w:pPr>
      <w:bookmarkStart w:id="711" w:name="__RefHeading___Toc559844_3244359995"/>
      <w:bookmarkStart w:id="712" w:name="_Toc265"/>
      <w:bookmarkEnd w:id="710"/>
      <w:bookmarkEnd w:id="711"/>
      <w:r>
        <w:rPr>
          <w:rtl w:val="true"/>
        </w:rPr>
        <w:t>تمهید</w:t>
      </w:r>
      <w:bookmarkEnd w:id="712"/>
    </w:p>
    <w:p>
      <w:pPr>
        <w:pStyle w:val="Heading4"/>
        <w:numPr>
          <w:ilvl w:val="3"/>
          <w:numId w:val="1"/>
        </w:numPr>
        <w:rPr/>
      </w:pPr>
      <w:bookmarkStart w:id="713" w:name="__RefHeading___Toc559846_3244359995"/>
      <w:bookmarkStart w:id="714" w:name="_Toc266"/>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قبل الخوض فی أصول البحوث لا بأس بتقدیم جهات</w:t>
      </w:r>
      <w:r>
        <w:rPr>
          <w:rFonts w:eastAsia="IRNazanin" w:cs="IRNazanin"/>
          <w:color w:val="111111"/>
          <w:sz w:val="28"/>
          <w:szCs w:val="28"/>
          <w:rtl w:val="true"/>
          <w:lang w:bidi="fa-IR"/>
        </w:rPr>
        <w:t>:</w:t>
      </w:r>
    </w:p>
    <w:p>
      <w:pPr>
        <w:pStyle w:val="Heading4"/>
        <w:numPr>
          <w:ilvl w:val="3"/>
          <w:numId w:val="1"/>
        </w:numPr>
        <w:rPr/>
      </w:pPr>
      <w:bookmarkStart w:id="715" w:name="__RefHeading___Toc559848_3244359995"/>
      <w:bookmarkStart w:id="716" w:name="_Toc267"/>
      <w:bookmarkEnd w:id="715"/>
      <w:r>
        <w:rPr>
          <w:rtl w:val="true"/>
        </w:rPr>
        <w:t>الجهة الأولی</w:t>
      </w:r>
      <w:r>
        <w:rPr>
          <w:rtl w:val="true"/>
        </w:rPr>
        <w:t xml:space="preserve">: </w:t>
      </w:r>
      <w:r>
        <w:rPr>
          <w:rtl w:val="true"/>
        </w:rPr>
        <w:t>فی بیان ما ینبغی أن یبحث عنه فی المقام</w:t>
      </w:r>
      <w:bookmarkEnd w:id="716"/>
    </w:p>
    <w:p>
      <w:pPr>
        <w:pStyle w:val="BookText"/>
        <w:rPr/>
      </w:pPr>
      <w:r>
        <w:rPr>
          <w:rFonts w:ascii="IRNazanin" w:hAnsi="IRNazanin" w:eastAsia="IRNazanin"/>
          <w:color w:val="111111"/>
          <w:sz w:val="28"/>
          <w:sz w:val="28"/>
          <w:szCs w:val="28"/>
          <w:rtl w:val="true"/>
          <w:lang w:bidi="fa-IR"/>
        </w:rPr>
        <w:t>قد تعارف بینهم تعریف المطلق و المقیّد أوّلا، ثمّ توضیح النسبة بینهما و تقابلهما ثانیا، ثمّ البحث عن أنّهما هل یکونان واقعیّین أم إضافیّین ثالثا، ثمّ البحث عن أسماء الأجناس و أعلامها، و عن معنی النکرة، و عن المفرد المعرّف،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عن تقاسیم الماهیّة و أقسامها الثلاثة، و عمّا هو المقسم، و أنّه هل هو اللابشرط المقسمیّ، أو القسمیّ، أو المجرّد عنهما، و قد تعارف ذلک و بلغ غایته و نهایته، و اختلفوا فی هذه المسائل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ربّما یخطر بالبال أنّ هذه المباحث ممّا لا فائدة فیها، و تکون إلی جنب المطلق و المقیّد کالحجر فی جنب الإنسان، و ذلک لما لا ثمرة أوّلا فی الاطلاع علی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معلومیّة تقابلهما، و لا غیر ذلک من البحوث الطویل ذیلها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البحوث الأوائل الثلاثة، فلعدم وقوعهما فی موضوع الأدلّة الشرعیّة حتّی یترتّب علی ذلک لزوم تعریفهما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البحوث الاخر اللفظیّة و اللغویّة و العقلیّة، فلأنّ صفة الإطلاق و التقیید، و بحثَ المطلق و المقیّد، من البحوث العقلیّة العقلائیّة، و من الانتزاعیّات عن الأفعال الاختیاریّة، کما یأتی تفصیله عند ذکر مقدّمات الحکمة</w:t>
      </w:r>
      <w:r>
        <w:rPr>
          <w:rStyle w:val="FootnoteAnchor"/>
          <w:rtl w:val="true"/>
        </w:rPr>
        <w:footnoteReference w:id="988"/>
      </w:r>
      <w:r>
        <w:rPr>
          <w:rFonts w:ascii="IRNazanin" w:hAnsi="IRNazanin" w:eastAsia="IRNazanin"/>
          <w:color w:val="111111"/>
          <w:sz w:val="28"/>
          <w:sz w:val="28"/>
          <w:szCs w:val="28"/>
          <w:rtl w:val="true"/>
          <w:lang w:bidi="fa-IR"/>
        </w:rPr>
        <w:t>، ضرورة أنّ الإطلاق ینتزع من جعل المقنّن شیئا موضوعا لحکمه، و بما أنّه فعله الاختیاریّ یکون هو موضوع حکمه، و لا شی‌ء آخر دخیل فیه، و إلاّ فبما أنّه مختار و مرید و ذو غرض، فعلیه جعل قید له من القیود الراجعة إلی التنویع، أو التصنیف، أو کان یرجع إلی التوصیف، کتقیید الأعلام الشخصیّة، فإنّ الکلّ مشترک فی الاندراج تحت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من أوصاف الألفاظ حتّی یصحّ البحث اللّغویّ، و لا من الاعتبارات العقلیّة، کاللابشرطیّة، و البشرط لائیّة، حتّی ینفع تلک المباحث العقلیّة، فعلیه یسقط جمیع ما صنعوه فی هذه المباحث، و یتبیّن أجنبیّتها عن بحوث المطلق و المقیّد، و أنّه لا ثمرة فی ذلک، و تبیّن أیضا أنّ عدّ مباحث المطلق و المقیّد من مقاصد البحوث اللفظیّة، فی غیر مقامه، فإنّه أشبه بالبحوث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ثمرات المباحث الأصولیّة تقدیم العامّ علی المطلق عند المعارضة، و علی هذا لا بدّ من تعریف المطلق حتّی یعلم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بعدم تقدیمه علیه، و هو القول الفصل و الرّأی الجزل، و لا ینافیه ذهاب جمع إلی التقدیم المذکور</w:t>
      </w:r>
      <w:r>
        <w:rPr>
          <w:rStyle w:val="FootnoteAnchor"/>
          <w:rtl w:val="true"/>
        </w:rPr>
        <w:footnoteReference w:id="989"/>
      </w:r>
      <w:r>
        <w:rPr>
          <w:rFonts w:ascii="IRNazanin" w:hAnsi="IRNazanin" w:eastAsia="IRNazanin"/>
          <w:color w:val="111111"/>
          <w:sz w:val="28"/>
          <w:sz w:val="28"/>
          <w:szCs w:val="28"/>
          <w:rtl w:val="true"/>
          <w:lang w:bidi="fa-IR"/>
        </w:rPr>
        <w:t>، و یکفی ذلک ثمرة للبحث کما لا یخفی، فلا ینبغی الخلط</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ثمرات البحوث الأصولیّة القاعدة المعروفة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کلّما امتنع</w:t>
      </w:r>
    </w:p>
    <w:p>
      <w:pPr>
        <w:pStyle w:val="BookText"/>
        <w:rPr/>
      </w:pPr>
      <w:r>
        <w:rPr>
          <w:rFonts w:ascii="IRNazanin" w:hAnsi="IRNazanin" w:eastAsia="IRNazanin"/>
          <w:color w:val="111111"/>
          <w:sz w:val="28"/>
          <w:sz w:val="28"/>
          <w:szCs w:val="28"/>
          <w:rtl w:val="true"/>
          <w:lang w:bidi="fa-IR"/>
        </w:rPr>
        <w:t>التقیید امتنع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قرّرها جمع منهم مبنیّا علی أنّ تقابل الإطلاق و التقیید تقابل العدم و الملکة</w:t>
      </w:r>
      <w:r>
        <w:rPr>
          <w:rStyle w:val="FootnoteAnchor"/>
          <w:rtl w:val="true"/>
        </w:rPr>
        <w:footnoteReference w:id="990"/>
      </w:r>
      <w:r>
        <w:rPr>
          <w:rFonts w:ascii="IRNazanin" w:hAnsi="IRNazanin" w:eastAsia="IRNazanin"/>
          <w:color w:val="111111"/>
          <w:sz w:val="28"/>
          <w:sz w:val="28"/>
          <w:szCs w:val="28"/>
          <w:rtl w:val="true"/>
          <w:lang w:bidi="fa-IR"/>
        </w:rPr>
        <w:t>، فلا بد من تشخیص التقابل بینهما حتّی تترتّب علیه القاعدة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القاعدة المزبورة غیر تامّة، أو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القاعدة تتمّ و لو کان بینهما تقابل آخر، کالتضادّ، و السلب و الإیجاب، لا یضرّ بإمکان ترتّب الثمرة عند جمع آخر، و هذا و أمثاله یکفی للخروج عن لغویّة البحث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الإطلاق و التقیید من المفاهیم الثابتة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کمفهوم الاسم و الفعل و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تصویر الإطلاق لدلیل المقیّد ممکنا، فلا بدّ من التنبیه علی أنّهما من قبیل مفاهیم الفوقیّة و التحتیّة اللّذین یمکن اجتماعهما فی الواحد الشخصیّ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إلی المشهور إلی عصر سلطان المحشّین قدس سره أنّ الإطلاق من أوصاف الألفاظ، و أنّ الدّال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کالدالّ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بالوضع </w:t>
      </w:r>
      <w:r>
        <w:rPr>
          <w:rStyle w:val="FootnoteAnchor"/>
          <w:rtl w:val="true"/>
        </w:rPr>
        <w:footnoteReference w:id="991"/>
      </w:r>
      <w:r>
        <w:rPr>
          <w:rFonts w:ascii="IRNazanin" w:hAnsi="IRNazanin" w:eastAsia="IRNazanin"/>
          <w:color w:val="111111"/>
          <w:sz w:val="28"/>
          <w:sz w:val="28"/>
          <w:szCs w:val="28"/>
          <w:rtl w:val="true"/>
          <w:lang w:bidi="fa-IR"/>
        </w:rPr>
        <w:t xml:space="preserve">، و قد اختاروا لذلک أمثالا کأسماء الأجناس و أعلامها، بل و النکرة فی بعض الصور و هکذا، فلا بدّ من التعرّض لهذه المفاهیم حتّی تتبیّن صحّة هذه المقالة و عدمها، و یتّضح أنّ الإطلاق واقعا ممّا یدلّ علیه اللفظ بالوضع، أم لا کما علیه المشهور المتأخّرون قدس سرهم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لمّا کان الاطلاع علی هذه المسألة بحدودها الوافیة، موقوفا علی فهم اعتبارات الماهیّة و العناوین العامّة الکلّیة، انجرّ البحث إلی الفحص عنها و عن</w:t>
      </w:r>
    </w:p>
    <w:p>
      <w:pPr>
        <w:pStyle w:val="BookText"/>
        <w:rPr/>
      </w:pPr>
      <w:r>
        <w:rPr>
          <w:rFonts w:ascii="IRNazanin" w:hAnsi="IRNazanin" w:eastAsia="IRNazanin"/>
          <w:color w:val="111111"/>
          <w:sz w:val="28"/>
          <w:sz w:val="28"/>
          <w:szCs w:val="28"/>
          <w:rtl w:val="true"/>
          <w:lang w:bidi="fa-IR"/>
        </w:rPr>
        <w:t>أقسامها، و کان النّظر فی ذلک إلی بیان ما یمکن أن یکون موضوعا له بهذه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نسأل عن ثمرة هذا الاختلاف المنسوب إلی المشهورین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القدماء، و الجدد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 علیک أنّ من ثمراته لزوم المجازیّة بعد التقیید</w:t>
      </w:r>
      <w:r>
        <w:rPr>
          <w:rStyle w:val="FootnoteAnchor"/>
          <w:rtl w:val="true"/>
        </w:rPr>
        <w:footnoteReference w:id="993"/>
      </w:r>
      <w:r>
        <w:rPr>
          <w:rFonts w:ascii="IRNazanin" w:hAnsi="IRNazanin" w:eastAsia="IRNazanin"/>
          <w:color w:val="111111"/>
          <w:sz w:val="28"/>
          <w:sz w:val="28"/>
          <w:szCs w:val="28"/>
          <w:rtl w:val="true"/>
          <w:lang w:bidi="fa-IR"/>
        </w:rPr>
        <w:t>، و سقوط الحجّیة بعد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أنکرنا لزوم المجازیّة مطلقا، أو أثبتنا الحجّیة و لو لزمت المجازیّة، کما ذکرناه فی العامّ و الخاصّ </w:t>
      </w:r>
      <w:r>
        <w:rPr>
          <w:rStyle w:val="FootnoteAnchor"/>
          <w:rtl w:val="true"/>
        </w:rPr>
        <w:footnoteReference w:id="994"/>
      </w:r>
      <w:r>
        <w:rPr>
          <w:rFonts w:ascii="IRNazanin" w:hAnsi="IRNazanin" w:eastAsia="IRNazanin"/>
          <w:color w:val="111111"/>
          <w:sz w:val="28"/>
          <w:sz w:val="28"/>
          <w:szCs w:val="28"/>
          <w:rtl w:val="true"/>
          <w:lang w:bidi="fa-IR"/>
        </w:rPr>
        <w:t>، و لکنّه لا یستلزم سقوط البحث، لإمکان ذهاب جمع من الأصولیّین إلی الملازمة الأولی، أو کلتا الملازمتین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مقتضی ما نسب إلی الثمرة الأولی هو أنّ الألفاظ موضوعة للمعانی المطلقة، فلا نحتاج لإثبات الإطلاق إلی مقدّمات الحکمة،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عقد البحث لکلّ واحد من هذه البحوث المشار إلیها حقیق، لما یترتّب علیها من الفوائد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للتفصیل وجها وجیها، و هو أنّ ما کان من الألفاظ موضوعا للمعانی الکلّیة، فهو مطلق لا یحتاج إلی مقدّمات الإطلاق مثلا، و ما کان منها موضوعا للمعانی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الوضع فیها عامّا، أو خاصّا کالمعانی الحرفیّة و الأعلام الشخصیّة علی المشهور</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مطلقة، و لا منع من الاحتیاج فی إثبات الإطلاق إلی مقدّمات الحکمة، ضرورة أنّ الإطلاق و التقیید فی المعانی الکلّیة هو التوسّع و التضییق، و فی المعانی الجزئیّة هو اللاتوصیف و التوصیف</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لست أقول باختلافهما مفهوما حسب اختلاف موردهما، بل المقصود</w:t>
      </w:r>
      <w:bookmarkStart w:id="717" w:name="pg13167_141089"/>
    </w:p>
    <w:p>
      <w:pPr>
        <w:pStyle w:val="BookText"/>
        <w:rPr/>
      </w:pPr>
      <w:bookmarkEnd w:id="717"/>
      <w:r>
        <w:rPr>
          <w:rFonts w:ascii="IRNazanin" w:hAnsi="IRNazanin" w:eastAsia="IRNazanin"/>
          <w:color w:val="111111"/>
          <w:sz w:val="28"/>
          <w:sz w:val="28"/>
          <w:szCs w:val="28"/>
          <w:rtl w:val="true"/>
          <w:lang w:bidi="fa-IR"/>
        </w:rPr>
        <w:t>اختلاف آثارهما باختلاف المواضیع</w:t>
      </w:r>
      <w:r>
        <w:rPr>
          <w:rFonts w:eastAsia="IRNazanin" w:cs="IRNazanin"/>
          <w:color w:val="111111"/>
          <w:sz w:val="28"/>
          <w:szCs w:val="28"/>
          <w:rtl w:val="true"/>
          <w:lang w:bidi="fa-IR"/>
        </w:rPr>
        <w:t>.</w:t>
      </w:r>
    </w:p>
    <w:p>
      <w:pPr>
        <w:pStyle w:val="Heading4"/>
        <w:numPr>
          <w:ilvl w:val="3"/>
          <w:numId w:val="1"/>
        </w:numPr>
        <w:rPr/>
      </w:pPr>
      <w:bookmarkStart w:id="718" w:name="__RefHeading___Toc559850_3244359995"/>
      <w:bookmarkStart w:id="719" w:name="_Toc268"/>
      <w:bookmarkEnd w:id="718"/>
      <w:r>
        <w:rPr>
          <w:rtl w:val="true"/>
        </w:rPr>
        <w:t>الجهة الثانیة</w:t>
      </w:r>
      <w:r>
        <w:rPr>
          <w:rtl w:val="true"/>
        </w:rPr>
        <w:t xml:space="preserve">: </w:t>
      </w:r>
      <w:r>
        <w:rPr>
          <w:rtl w:val="true"/>
        </w:rPr>
        <w:t>الفرق بین الإطلاق هنا و ما فی أبواب الأوامر و النواهی</w:t>
      </w:r>
      <w:bookmarkEnd w:id="719"/>
    </w:p>
    <w:p>
      <w:pPr>
        <w:pStyle w:val="Heading5"/>
        <w:numPr>
          <w:ilvl w:val="4"/>
          <w:numId w:val="1"/>
        </w:numPr>
        <w:rPr/>
      </w:pPr>
      <w:bookmarkStart w:id="720" w:name="__RefHeading___Toc559852_3244359995"/>
      <w:bookmarkStart w:id="721" w:name="_Toc269"/>
      <w:bookmarkEnd w:id="720"/>
      <w:r>
        <w:rPr>
          <w:rtl w:val="true"/>
        </w:rPr>
        <w:t>اشارة</w:t>
      </w:r>
      <w:bookmarkEnd w:id="721"/>
    </w:p>
    <w:p>
      <w:pPr>
        <w:pStyle w:val="BookText"/>
        <w:rPr/>
      </w:pPr>
      <w:r>
        <w:rPr>
          <w:rFonts w:ascii="IRNazanin" w:hAnsi="IRNazanin" w:eastAsia="IRNazanin"/>
          <w:color w:val="111111"/>
          <w:sz w:val="28"/>
          <w:sz w:val="28"/>
          <w:szCs w:val="28"/>
          <w:rtl w:val="true"/>
          <w:lang w:bidi="fa-IR"/>
        </w:rPr>
        <w:t xml:space="preserve">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المقصد، ما هو المراد من الإطلاق المتمسّک به فی أبواب الأوامر و النواهی، و یقال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الأمر یقتضی النفسیّة و العینیّة و التعینیّة، و إطلاقه یقتضی الوجوب الفعلیّ المنجّز و غیر ذلک، و هکذا فی ناحیة النهی، و قد مرّ منّا مرارا الفرق بینهما فی مواقف الخلط بین الإطلاقین، و ذکرنا أنّ الإطلاق المقصود فی تلک المقاصد و المباحث، یشبه الإطلاق المتمسّک به لتعیین أحد المعانی فی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إذا کان لفظ ذا معان کثیرة، و کان إذا یستعمل و یراد منه واحد من تلک المعانی، یؤتی بقرینة خاصّة، و إذا یراد منه معناه الشائع فلا تقام قرینة وجودیّة علیه، بل یکتفی حینئذ بالقرینة العدمیّة، فإنّه فی هذا الموقف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أطلق المولی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یقتضی کونها الباصرة، و ذلک لما استکشف من حاله بناؤه علی الاعتماد علی القرینة العدمیّة فیما أراد منها هذا المعنی، و تلک القرینة العدمیّة هی عدم الإتیان بالقرینة الوجودیّة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فهکذا الأمر هنا أی فی الأوامر و النواهی، ضرورة أنّ المولی و العرف اتخذوا فی إفادة الوجوب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الهیئات موضوعة لمعنی یشترک فیه الندب و الوجوب و النفسیّة و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خاصّة، و هی إفادة هذه الحصّة بعدم ذکر قرینة علی الحصّة الأخری، و قد مرّ تفصیله فی مباحث الأمر و النهی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الإطلاق فی تلک المباحث، باب الإلقاء و الاستعمال</w:t>
      </w:r>
      <w:bookmarkStart w:id="722" w:name="pg13167_141090"/>
    </w:p>
    <w:p>
      <w:pPr>
        <w:pStyle w:val="BookText"/>
        <w:rPr/>
      </w:pPr>
      <w:bookmarkEnd w:id="722"/>
      <w:r>
        <w:rPr>
          <w:rFonts w:ascii="IRNazanin" w:hAnsi="IRNazanin" w:eastAsia="IRNazanin"/>
          <w:color w:val="111111"/>
          <w:sz w:val="28"/>
          <w:sz w:val="28"/>
          <w:szCs w:val="28"/>
          <w:rtl w:val="true"/>
          <w:lang w:bidi="fa-IR"/>
        </w:rPr>
        <w:t xml:space="preserve">و الاتکاء علی القرینة العدمیّة، و لا یشبه بوجه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المقصد أصلا، ضرورة أنّ ذلک الإطلاق یرجع إلی تعیین القسم، لا المقسم و الجامع المحفوظ فی الأطوار و الحالات، و الإطلاق هناک یرجع إلی التضییق، لامتناع إرادة الجامع ثبوتا، لما أنّ المعانی الحرفیّة لا جامع بینهما، أو للقطع بأنّ المولی و المتکلّم المقنّن لا یرید الجامع، أو لا یمکن أن تتعلّق به الإرادة التشریعیّة، کما لا تتعلّق به الإرادة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یظهر من العلاّمة النائینیّ فی المقام </w:t>
      </w:r>
      <w:r>
        <w:rPr>
          <w:rStyle w:val="FootnoteAnchor"/>
          <w:rtl w:val="true"/>
        </w:rPr>
        <w:footnoteReference w:id="997"/>
      </w:r>
      <w:r>
        <w:rPr>
          <w:rFonts w:ascii="Amiri" w:hAnsi="Amiri" w:eastAsia="Amiri" w:cs="Amiri"/>
          <w:color w:val="111111"/>
          <w:sz w:val="28"/>
          <w:sz w:val="28"/>
          <w:szCs w:val="28"/>
          <w:rtl w:val="true"/>
          <w:lang w:bidi="ar-SA"/>
        </w:rPr>
        <w:t>لیس 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یظهر ممّا ذکرناه ما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العقد یقتضی نقد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الباب أیضا التمسّک بالإطلاق فی باب المفاهیم لإثبات العلّیة التامّة المنحصرة، مع أنّ الألفاظ موضوعة فیها للمعنی الأعمّ، و هکذا هیئة الجملة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مراعاة هذا المعنی فی تعریف المطلق فی المقام، و أنّه لا یکون یشمل المطلق فی تلک البحوث، فلیغتنم</w:t>
      </w:r>
      <w:r>
        <w:rPr>
          <w:rFonts w:eastAsia="IRNazanin" w:cs="IRNazanin"/>
          <w:color w:val="111111"/>
          <w:sz w:val="28"/>
          <w:szCs w:val="28"/>
          <w:rtl w:val="true"/>
          <w:lang w:bidi="fa-IR"/>
        </w:rPr>
        <w:t>.</w:t>
      </w:r>
    </w:p>
    <w:p>
      <w:pPr>
        <w:pStyle w:val="Heading5"/>
        <w:numPr>
          <w:ilvl w:val="4"/>
          <w:numId w:val="1"/>
        </w:numPr>
        <w:rPr/>
      </w:pPr>
      <w:bookmarkStart w:id="723" w:name="__RefHeading___Toc559854_3244359995"/>
      <w:bookmarkStart w:id="724" w:name="_Toc270"/>
      <w:bookmarkEnd w:id="723"/>
      <w:r>
        <w:rPr>
          <w:rtl w:val="true"/>
        </w:rPr>
        <w:t>تذنیب</w:t>
      </w:r>
      <w:r>
        <w:rPr>
          <w:rtl w:val="true"/>
        </w:rPr>
        <w:t xml:space="preserve">: </w:t>
      </w:r>
      <w:r>
        <w:rPr>
          <w:rtl w:val="true"/>
        </w:rPr>
        <w:t>حول الإطلاق فی المعانی الحرفیّة</w:t>
      </w:r>
      <w:bookmarkEnd w:id="72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کون الحروف کالمعانی الاسمیّة فی الکلّیة</w:t>
      </w:r>
      <w:r>
        <w:rPr>
          <w:rStyle w:val="FootnoteAnchor"/>
          <w:rtl w:val="true"/>
        </w:rPr>
        <w:footnoteReference w:id="999"/>
      </w:r>
      <w:r>
        <w:rPr>
          <w:rFonts w:ascii="IRNazanin" w:hAnsi="IRNazanin" w:eastAsia="IRNazanin"/>
          <w:color w:val="111111"/>
          <w:sz w:val="28"/>
          <w:sz w:val="28"/>
          <w:szCs w:val="28"/>
          <w:rtl w:val="true"/>
          <w:lang w:bidi="fa-IR"/>
        </w:rPr>
        <w:t>، فالإطلاق فیها مثل الإطلاق فی الأسماء، إلاّ فیما ذکر فی الأمر و شبهه، ممّا لا یکون الجامع مورد الإرادة، أو لا یمکن أن تتعلّق به الإرادة، لاحتیاج الإرادة إلی المراد، و لاحتیاج</w:t>
      </w:r>
    </w:p>
    <w:p>
      <w:pPr>
        <w:pStyle w:val="BookText"/>
        <w:rPr/>
      </w:pPr>
      <w:r>
        <w:rPr>
          <w:rFonts w:ascii="IRNazanin" w:hAnsi="IRNazanin" w:eastAsia="IRNazanin"/>
          <w:color w:val="111111"/>
          <w:sz w:val="28"/>
          <w:sz w:val="28"/>
          <w:szCs w:val="28"/>
          <w:rtl w:val="true"/>
          <w:lang w:bidi="fa-IR"/>
        </w:rPr>
        <w:t>المراد إلی الفصل المتحصّل به، فلا یکون معنی الهیئة فی الأمر و النهی قابلا لتعلّق الإرادة به کما لا یخفی، فمتعلّقها حصّة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علی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معان خاصّة جزئیّة</w:t>
      </w:r>
      <w:r>
        <w:rPr>
          <w:rStyle w:val="FootnoteAnchor"/>
          <w:rtl w:val="true"/>
        </w:rPr>
        <w:footnoteReference w:id="1000"/>
      </w:r>
      <w:r>
        <w:rPr>
          <w:rFonts w:ascii="IRNazanin" w:hAnsi="IRNazanin" w:eastAsia="IRNazanin"/>
          <w:color w:val="111111"/>
          <w:sz w:val="28"/>
          <w:sz w:val="28"/>
          <w:szCs w:val="28"/>
          <w:rtl w:val="true"/>
          <w:lang w:bidi="fa-IR"/>
        </w:rPr>
        <w:t>فالإطلاق و التقیید الواردان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إمکان تقیید المعانی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بحسب المعنی عین الإطلاق و التقیید الواردین علی المعانی الکلّیة، فإنّ من التقیید یحصل الضیق، و من الإطلاق تحصل التوسعة، و یکون الجامع المحفوظ فی الأطوار و الحالات مرادا و قابلا للإرادة، فالواجب المطلق المشروط و المقیّد، کالرقبة المطلقة و الرقبة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یختلف أثرهما، فإنّ الواجب المطلق إذا صار مقیّدا فلا ینقسم إلی حصّتین و قسمین، بل یرجع إلی التضیق الذاتیّ، و أمّا الرقبة المطلقة فتنقسم بالتقیید إلی حصّتین و رقبتین خارجیّتین،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الحکم، 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و لیست موضوعا للحکم، و هذا الاختلاف لا یورث اختلافا فی محلّ الکلام و محطّ البحث فی المقام، فلا بدّ فی تعریف المطلق من مراعاة هذا الأمر، حتّی یکون منطبقا علی هذا القسم الجاری فی الأعلام الشخصیّة و الجزئیّات الخارجیّة، ضرورة أنّ من مواقف التمسّک بالإطلاق التمسّک بالأخبار التی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 و الکعبة المعظّمة، و منی، و المشعر،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من مواقف إمکان طروّ التقیید أیضا هذه المواضیع بالضرورة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التقیید فی الکلّیات یوجب تقسیمها، و فی الجزئیّات یعدّ من التوصیف الّذی یعدّ أحیانا من القرینة المعیّنة، و أخری من القرینة الصارفة، من غیر حاجة إلی إرجاع زید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المسمّی بزید حتّی یکون من تقیید الکلّی، کما لا یخفی</w:t>
      </w:r>
      <w:r>
        <w:rPr>
          <w:rFonts w:eastAsia="IRNazanin" w:cs="IRNazanin"/>
          <w:color w:val="111111"/>
          <w:sz w:val="28"/>
          <w:szCs w:val="28"/>
          <w:rtl w:val="true"/>
          <w:lang w:bidi="fa-IR"/>
        </w:rPr>
        <w:t>.</w:t>
      </w:r>
      <w:bookmarkStart w:id="725" w:name="pg13167_141092"/>
    </w:p>
    <w:p>
      <w:pPr>
        <w:pStyle w:val="Heading4"/>
        <w:numPr>
          <w:ilvl w:val="3"/>
          <w:numId w:val="1"/>
        </w:numPr>
        <w:rPr/>
      </w:pPr>
      <w:bookmarkStart w:id="726" w:name="__RefHeading___Toc559856_3244359995"/>
      <w:bookmarkStart w:id="727" w:name="_Toc271"/>
      <w:bookmarkEnd w:id="725"/>
      <w:bookmarkEnd w:id="726"/>
      <w:r>
        <w:rPr>
          <w:rtl w:val="true"/>
        </w:rPr>
        <w:t>الجهة الثالثة</w:t>
      </w:r>
      <w:r>
        <w:rPr>
          <w:rtl w:val="true"/>
        </w:rPr>
        <w:t xml:space="preserve">: </w:t>
      </w:r>
      <w:r>
        <w:rPr>
          <w:rtl w:val="true"/>
        </w:rPr>
        <w:t>فی موارد إطلاق المطلق و المقیّد</w:t>
      </w:r>
      <w:bookmarkEnd w:id="727"/>
    </w:p>
    <w:p>
      <w:pPr>
        <w:pStyle w:val="Heading5"/>
        <w:numPr>
          <w:ilvl w:val="4"/>
          <w:numId w:val="1"/>
        </w:numPr>
        <w:rPr/>
      </w:pPr>
      <w:bookmarkStart w:id="728" w:name="__RefHeading___Toc559858_3244359995"/>
      <w:bookmarkStart w:id="729" w:name="_Toc272"/>
      <w:bookmarkEnd w:id="728"/>
      <w:r>
        <w:rPr>
          <w:rtl w:val="true"/>
        </w:rPr>
        <w:t>اشارة</w:t>
      </w:r>
      <w:bookmarkEnd w:id="729"/>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تارة،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الوجود و بالنسبة إلی حقیقته الخارجیّة، فالمطلق هنا بمعنی سعة الوجود و بسطة، و المقیّد هو الوجود المحدود، و هذان الأمران متقابلان بتقابل واقعیّ علی وجه، لا مفهومیّ، و لا یندرجان تحت أحکام المفاهیم، و البحث حول ذلک خارج عن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 أنّهما واقعیّان حینئذ، لا إضافیّان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یطلقان فی بحوثه بالنسبة إلی مفهوم الوجود، فهما أیضا متقابلان، إلاّ أنّهما یشبهان تقابل التضادّ، و لا معنی لاعتبار تقابل العدم و الملکة فی باب المفاهیم، کما لا یخفی، و هما من النعوت الواقعیّة هنا أیضا، و یعدّ الإطلاق خارج المحمول لذلک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یطلقان فی مباحث الماهیّة 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الماهیّة إلی أقسام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مخلوطة، مطلقة، مجرّدة</w:t>
      </w:r>
      <w:r>
        <w:rPr>
          <w:rFonts w:eastAsia="Amiri" w:cs="Amiri" w:ascii="Amiri" w:hAnsi="Amiri"/>
          <w:color w:val="111111"/>
          <w:sz w:val="28"/>
          <w:szCs w:val="28"/>
          <w:rtl w:val="true"/>
          <w:lang w:bidi="ar-SA"/>
        </w:rPr>
        <w:t>»</w:t>
      </w:r>
      <w:r>
        <w:rPr>
          <w:rStyle w:val="FootnoteAnchor"/>
          <w:rtl w:val="true"/>
        </w:rPr>
        <w:footnoteReference w:id="1001"/>
      </w:r>
      <w:r>
        <w:rPr>
          <w:rFonts w:ascii="IRNazanin" w:hAnsi="IRNazanin" w:eastAsia="IRNazanin"/>
          <w:color w:val="111111"/>
          <w:sz w:val="28"/>
          <w:sz w:val="28"/>
          <w:szCs w:val="28"/>
          <w:rtl w:val="true"/>
          <w:lang w:bidi="fa-IR"/>
        </w:rPr>
        <w:t>و مقتضی هذا التقسیم کون الماهیّة ذات اعتبار آخر المجامع مع کونها مقسما، غافلین عن عروض المقسمیّة، و عن اعتوار هذا الطارئ، فإنّه به یلزم الخلف، و تصیر مخلوطة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من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المقسمیّة، و اعتبارَ الفراغ عن القسمیّة و المقسمیّة متخالفان </w:t>
      </w:r>
      <w:r>
        <w:rPr>
          <w:rStyle w:val="FootnoteAnchor"/>
          <w:rtl w:val="true"/>
        </w:rPr>
        <w:footnoteReference w:id="1002"/>
      </w:r>
      <w:r>
        <w:rPr>
          <w:rFonts w:ascii="IRNazanin" w:hAnsi="IRNazanin" w:eastAsia="IRNazanin"/>
          <w:color w:val="111111"/>
          <w:sz w:val="28"/>
          <w:sz w:val="28"/>
          <w:szCs w:val="28"/>
          <w:rtl w:val="true"/>
          <w:lang w:bidi="fa-IR"/>
        </w:rPr>
        <w:t>، فقد اشتبه علیه الأمر، لأنّ اعتبار الفراغ عنهما أیضا خلط بهما، فیکون هذا دائرا مدار اللحاظ</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المقسم هنا مثل ما هو المقسم فی تقسیم الکلمة، فکما لا یکون المقسم اسما و لا فعلا و لا حرفا فی ذاتها بذاتها، کذلک المقسم فی هذه الأقسام،</w:t>
      </w:r>
    </w:p>
    <w:p>
      <w:pPr>
        <w:pStyle w:val="BookText"/>
        <w:rPr/>
      </w:pPr>
      <w:r>
        <w:rPr>
          <w:rFonts w:ascii="IRNazanin" w:hAnsi="IRNazanin" w:eastAsia="IRNazanin"/>
          <w:color w:val="111111"/>
          <w:sz w:val="28"/>
          <w:sz w:val="28"/>
          <w:szCs w:val="28"/>
          <w:rtl w:val="true"/>
          <w:lang w:bidi="fa-IR"/>
        </w:rPr>
        <w:t>و کما یعتبر التغافل عن المقسمیّة حین الاقتسام، کذلک الأمر هنا، للزوم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هذان إن لوحظا فی عالم المفهومیّة، فیکونان متقابلین تقابل التضادّ علی الأشبهة، و إذا نظرنا إلی خارجیّتهما و ما فی الحرکة المتدرّجة، فالنسبة من تقابل العدم و الملکة، و البحث عن هذا أیضا خروج عن طور الکتاب، و قد فصّلنا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هو مورد النّظر هنا توضیح أنّ الإطلاق الثابت فی التقاسیم، بین ما هو الإطلاق الواقعیّ غیر الملحوظ، کالإطلاق الثابت لطبیعة الإنسان، و لطبیعة الحیوان و هکذا، و هذا الإطلاق ینتزع من مقام ذات الماهیّة، و یکون من خارج المحمول، و من ذاتیّ باب البرهان، بخلاف الإطلاق الموصوفة به الماهیّة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المحمول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تمام الفرق و الامتیاز بین اللابشرط المقسمیّ و الإطلاق المقسمیّ، و اللابشرط و الإطلاق القسمیّ، و هذا الإطلاق من الأوصاف الواقعیّة غیر المختلفة باختلاف الموضوعات و اللحاظات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هو الإطلاق الإضافیّ و النسبیّ، و یکون أیضا من المحمول بالضمیمة، و هو کإطلاق الرومیّ و الزنجیّ، فإنّه أیضا ینقسم إلی أقسام و أصناف، و لکن مجرّد طروّ التقسیم لا یشهد علی الإطلاق الذاتیّ،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إطلاق الرقبة المؤمنة، و إطلاق البیع الربویّ و الغرریّ و هکذا، فإنّ کلّ مقیّد مطلق بالإضافة إلی ما یزید علیه و یمکن أن یلحقه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النسبة بین الإطلاق الذاتیّ الواقعیّ و التقیید العرضیّ، تشبه تقابل التضادّ، و لیسا متضادّین فی الاصطلاح، و النسبة بین الإطلاق العرضیّ و التقیید الإضافیّین، تشبّه بتقابل العدم و الملکة، و لیسا منه حسب الواقع حتّی یترتّب علیه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تلک الآثار المتوهّمة القاعدة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امتنع التقیید امتنع</w:t>
      </w:r>
      <w:bookmarkStart w:id="730" w:name="pg13167_141094"/>
    </w:p>
    <w:p>
      <w:pPr>
        <w:pStyle w:val="BookText"/>
        <w:rPr/>
      </w:pPr>
      <w:bookmarkEnd w:id="730"/>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منّا فسادها فی مباحث التعبّدی و التوصّلی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القاعدة تتمّ إذا کان التقابل بینهما من العدم و الملکة واقعا، کما فی المتدرّجات الخارجیّة و المتمکّنات بالإمکان الاستعدادیّ، و أمّا فی الأمور الاعتباریّة و الأوصاف الإضافیّة فلا متحرّک، و لا مادّة حاملة للإمکان الاستعدادیّ، کما هو غیر خفیّ علی أهله</w:t>
      </w:r>
      <w:r>
        <w:rPr>
          <w:rFonts w:eastAsia="IRNazanin" w:cs="IRNazanin"/>
          <w:color w:val="111111"/>
          <w:sz w:val="28"/>
          <w:szCs w:val="28"/>
          <w:rtl w:val="true"/>
          <w:lang w:bidi="fa-IR"/>
        </w:rPr>
        <w:t>.</w:t>
      </w:r>
    </w:p>
    <w:p>
      <w:pPr>
        <w:pStyle w:val="Heading5"/>
        <w:numPr>
          <w:ilvl w:val="4"/>
          <w:numId w:val="1"/>
        </w:numPr>
        <w:rPr/>
      </w:pPr>
      <w:bookmarkStart w:id="731" w:name="__RefHeading___Toc559860_3244359995"/>
      <w:bookmarkStart w:id="732" w:name="_Toc273"/>
      <w:bookmarkEnd w:id="731"/>
      <w:r>
        <w:rPr>
          <w:rtl w:val="true"/>
        </w:rPr>
        <w:t>أحکام المطلق و المقیّد و النسبة بینهما</w:t>
      </w:r>
      <w:bookmarkEnd w:id="732"/>
    </w:p>
    <w:p>
      <w:pPr>
        <w:pStyle w:val="BookText"/>
        <w:rPr/>
      </w:pPr>
      <w:r>
        <w:rPr>
          <w:rFonts w:ascii="IRNazanin" w:hAnsi="IRNazanin" w:eastAsia="IRNazanin"/>
          <w:color w:val="111111"/>
          <w:sz w:val="28"/>
          <w:sz w:val="28"/>
          <w:szCs w:val="28"/>
          <w:rtl w:val="true"/>
          <w:lang w:bidi="fa-IR"/>
        </w:rPr>
        <w:t>و من هنا یظهر مواضع الخلط فی کلمات القوم، و مواقف الخلط بین موارد إطلاق المطلق و المقیّد، و لا بأس بالإشارة إلیها بتفصیل حتّی لا یقع الباحث فی القلق و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الوجود الخارجیّ هی سعته الواقعیّة المبسوطة علی رءوس الماهیّات الإمکانیّة، کسعة النور الحسّی فی وجه تقریبیّ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هذا الإطلاق و التقیید الّذی هو تحدید الوجود واقعا، لیس تقابل بالضرورة إلاّ فی وجه غیر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الإطلاق واقعیّ لا إضافیّ، کما أنّ الوجود المقیّد المحدود أیضا تقیید واقعیّ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مفهوم الوجود واقعیّ، کما أنّ تقییده واقعیّ، و أنّ إطلاقه لیس بمعنی سعته المحتویة للأشیاء الکثیرة، بل سعته بمعنی صحّة حمله علی جمیع الأشیاء، قضّها و قضیضها، و بمعنی عدم تقییده بشی‌ء خارج عن ذاته، و بمعنی انتزاع</w:t>
      </w:r>
    </w:p>
    <w:p>
      <w:pPr>
        <w:pStyle w:val="BookText"/>
        <w:rPr/>
      </w:pPr>
      <w:r>
        <w:rPr>
          <w:rFonts w:ascii="IRNazanin" w:hAnsi="IRNazanin" w:eastAsia="IRNazanin"/>
          <w:color w:val="111111"/>
          <w:sz w:val="28"/>
          <w:sz w:val="28"/>
          <w:szCs w:val="28"/>
          <w:rtl w:val="true"/>
          <w:lang w:bidi="fa-IR"/>
        </w:rPr>
        <w:t>مفهوم الإطلاق من ذاته بذاته، و یکون خارج المحمول له، و کلّ ذلک عبارات مختلفة تشیر إلی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تقابلهما یشبه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المطلقة المنقسمة إلی الأقسام الثلاثة أو الأکثر، لیست موضوعة بالإطلاق، و لا ملحوظا فیها عدم الإطلاق، بل الإطلاق ذاتیّ لها، و هی لا تخرج بما هی الجامع لها إلی الأقسام الثلاثة فی موقف تحلیل العقل، و لیست فارغة عن الإطلاق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لأن یکون اللابشرط المقسمیّ ملحوظا فیه المقسمیّة، و لا ملحوظا فیه الفراغ عن القسمیّة و المقسمیّة، فإنّ الکلّ من المخلوطة، فما ظنّه العلاّمة المحشّی هنا و نسبه إلی بعض أرباب الفنّ الأعلی </w:t>
      </w:r>
      <w:r>
        <w:rPr>
          <w:rStyle w:val="FootnoteAnchor"/>
          <w:rtl w:val="true"/>
        </w:rPr>
        <w:footnoteReference w:id="1004"/>
      </w:r>
      <w:r>
        <w:rPr>
          <w:rFonts w:ascii="IRNazanin" w:hAnsi="IRNazanin" w:eastAsia="IRNazanin"/>
          <w:color w:val="111111"/>
          <w:sz w:val="28"/>
          <w:sz w:val="28"/>
          <w:szCs w:val="28"/>
          <w:rtl w:val="true"/>
          <w:lang w:bidi="fa-IR"/>
        </w:rPr>
        <w:t>، غیر راجع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التقابل بین هذا الإطلاق الذاتیّ الواقعیّ، و بین التقیید العارض علیه المجامع مع إطلاقها الذاتیّ الواقعیّ، یشبه تقابل التضادّ، و هذا الإطلاق أیضا واقعیّ، لا إضافیّ، ضرورة أنّ الماهیّة الإنسانیّة مثلا، کما لا تنقلب عن إمکانها الذاتیّ بالوجود و تبعاته إلی الوجوب الذاتیّ، و تکون مع وجوبها الغیریّ الإضافیّ العرضیّ ممکنة بذاتها، فأشمّت رائحة الوجود، و لم تشمّ، کذلک لا تنقلب عن إطلاقها الذاتیّ بعروض الرومیّة و الزنجیّة، فإنّهما أعراض و عوارض تلحقها، و ضمائم تطرؤها، و معنی الإطلاق هنا أیضا لیس السعة الخارجیّة، أو السریان و الشیوع</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شی‌ء إطلاقا عرضیّا إضافیّا یزول بعروض القید، من غیر فرق بین الماهیّات الأصلیّة و الاعتباریّة، و هذا الإطلاق لیس معناه التوسعة الواقعیّة الجامعة للشتات، و لا معناه السریان، فإنّ الإطلاق السریانیّ یصحّ فی القسم الأوّل</w:t>
      </w:r>
    </w:p>
    <w:p>
      <w:pPr>
        <w:pStyle w:val="BookText"/>
        <w:rPr/>
      </w:pPr>
      <w:r>
        <w:rPr>
          <w:rFonts w:ascii="IRNazanin" w:hAnsi="IRNazanin" w:eastAsia="IRNazanin"/>
          <w:color w:val="111111"/>
          <w:sz w:val="28"/>
          <w:sz w:val="28"/>
          <w:szCs w:val="28"/>
          <w:rtl w:val="true"/>
          <w:lang w:bidi="fa-IR"/>
        </w:rPr>
        <w:t>من الإطلاق، و أمّا سائر أقسام الإطلاق، فمعنی سریانه و سعته صحّة صدقه علی کلّ ما کان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القسم من الإطلاق أی الفرض الأخیر، هو الإطلاق المنتزع من الشی‌ء فی الکلام الإخباریّ، أو الإنشائیّ، فإذا کان فی الإخباریّات فیسمّی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المطلقة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تقاسیم القضایا فی المنطق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کان فی الإنشائیّات فیسمّی الکلام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بلا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هذا الإطلاق لا من مقام ذات الشی‌ء، فیکون من المحمول بالضمیمة، ضرورة أنّ وصف الإطلاق هنا، یرجع إلی أنّه صفة عرضت للکلام من ناحیة عمل المقنّن و المتکلّم، کما یأتی بتفصیل کیفیّة دخالة عمله فی طروّ هذا القسم من الإطلاق علی الجمل الإنشائیّة</w:t>
      </w:r>
      <w:r>
        <w:rPr>
          <w:rStyle w:val="FootnoteAnchor"/>
          <w:rtl w:val="true"/>
        </w:rPr>
        <w:footnoteReference w:id="1006"/>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الإطلاق و التقیید إضافیّان، و تقابلهما یشبه العدم و الملکة، و فی اعتبار آخر یشبه التضادّ، ضرورة أنّه وصف ینتزع من اللاتقیید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الخلط بین التقابل الواقعیّ، و التقابل الشبیه بالواقع، فإنّ من الخلط بینهما یقع بعض الأعلام فی الاشتباه، و یظنّ صحّة قاعدة معروفة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کلّما امتنع التقیید امتنع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أنّها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امتنع اتصاف الشی‌ء بالبصیرة یمتنع اتصافه بالعمی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الثانی صحیح فالأوّل مثله، نظرا إلی أنّ تقابلهما من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فذلکة الکلام، أنّ للإطلاق إطلاقات فی المفردات و المرکّبات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المفردات، فهو ما تعارف فی الفنّ الأعلی و بعض العلوم الاخر</w:t>
      </w:r>
      <w:r>
        <w:rPr>
          <w:rFonts w:eastAsia="IRNazanin" w:cs="IRNazanin"/>
          <w:color w:val="111111"/>
          <w:sz w:val="28"/>
          <w:szCs w:val="28"/>
          <w:rtl w:val="true"/>
          <w:lang w:bidi="fa-IR"/>
        </w:rPr>
        <w:t>.</w:t>
      </w:r>
      <w:bookmarkStart w:id="733" w:name="pg13167_141097"/>
    </w:p>
    <w:p>
      <w:pPr>
        <w:pStyle w:val="BookText"/>
        <w:rPr/>
      </w:pPr>
      <w:bookmarkEnd w:id="733"/>
      <w:r>
        <w:rPr>
          <w:rFonts w:ascii="IRNazanin" w:hAnsi="IRNazanin" w:eastAsia="IRNazanin"/>
          <w:color w:val="111111"/>
          <w:sz w:val="28"/>
          <w:sz w:val="28"/>
          <w:szCs w:val="28"/>
          <w:rtl w:val="true"/>
          <w:lang w:bidi="fa-IR"/>
        </w:rPr>
        <w:t>و أمّا فی المرکّبات و القضایا، فهو ما تعارف فی المنطق و فی الفقه 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اختلف الأصولیّون فی أنّ توصیف الکلام بالإطلاق لأجل اتصاف الکلمة به حقیقة، أم لأجل الأمر الآخر من غیر اتصاف الرقبة بالإطلاق واقعا أو إضافیّا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بین المشهورین القدیم و الجدید، و نزاع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النزاع الأوّل، فهو فی أنّ الإطلاق الثابت للکلام یرجع إلی الإطلاق الثابت للکلمة، سواء کانت فی الکلام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النزاع الثانی، فهو فی أنّ الإطلاق الثابت للکلام لیس للکلمة سواء کانت فی الکلام، أم لم تکن، بل هی لها حال کونها فی الکلام، و لکن هل نتیجة مقدّمات الحکمة ثبوت الإطلاق للکلمة علی نحو ما أثبته المشهور لها، أم هو أیضا غیر ذلک، و هذا النزاع هو التشاحّ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هل هو جمع القیود، أو هو رفض القیود؟ فلیکن علی ذکر حتّی لا یختلط الأمر فی محطّ الأقوال</w:t>
      </w:r>
      <w:r>
        <w:rPr>
          <w:rFonts w:eastAsia="IRNazanin" w:cs="IRNazanin"/>
          <w:color w:val="111111"/>
          <w:sz w:val="28"/>
          <w:szCs w:val="28"/>
          <w:rtl w:val="true"/>
          <w:lang w:bidi="fa-IR"/>
        </w:rPr>
        <w:t>.</w:t>
      </w:r>
    </w:p>
    <w:p>
      <w:pPr>
        <w:pStyle w:val="Heading5"/>
        <w:numPr>
          <w:ilvl w:val="4"/>
          <w:numId w:val="1"/>
        </w:numPr>
        <w:rPr/>
      </w:pPr>
      <w:bookmarkStart w:id="734" w:name="__RefHeading___Toc559862_3244359995"/>
      <w:bookmarkStart w:id="735" w:name="_Toc274"/>
      <w:bookmarkEnd w:id="734"/>
      <w:r>
        <w:rPr>
          <w:rtl w:val="true"/>
        </w:rPr>
        <w:t>وهم و دفع</w:t>
      </w:r>
      <w:bookmarkEnd w:id="735"/>
    </w:p>
    <w:p>
      <w:pPr>
        <w:pStyle w:val="BookText"/>
        <w:rPr/>
      </w:pPr>
      <w:r>
        <w:rPr>
          <w:rFonts w:ascii="IRNazanin" w:hAnsi="IRNazanin" w:eastAsia="IRNazanin"/>
          <w:color w:val="111111"/>
          <w:sz w:val="28"/>
          <w:sz w:val="28"/>
          <w:szCs w:val="28"/>
          <w:rtl w:val="true"/>
          <w:lang w:bidi="fa-IR"/>
        </w:rPr>
        <w:t>لا یمکن أن یکون مفهوم الإطلاق ذاتیّا و خارج المحمول، لأنّه مفهوم واحد لا یمکن انتزاعه من الکثیر بما هو الکثیر، فلو کان للطبائع بما هی هی إطلاق ذاتیّ، فلا بدّ من الجهة المشترکة التی هی حقیقة المنشأ، فیلزم کون اتصافها به من الاتصاف بالمحمول بالضمیمة، لا بالصمیمة، کما لا یخفی علی أهله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الذاتیّ فی باب البرهان و عرضیّة لیس إلاّ فی ناحیة واحدة، و هی أنّ انتزاع المفهوم من الشی‌ء إمّا یحتاج إلی حیثیّة خارجیّة زائدة علی ذات الشی‌ء، أو لا یحتاج إلیها، فالأوّل هو العرضیّ، کانتزاع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زید، و الثانی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لحاظ أمر حین الانتزاع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کلحاظ انکشاف</w:t>
      </w:r>
      <w:bookmarkStart w:id="736" w:name="pg13167_141098"/>
    </w:p>
    <w:p>
      <w:pPr>
        <w:pStyle w:val="BookText"/>
        <w:rPr/>
      </w:pPr>
      <w:bookmarkEnd w:id="736"/>
      <w:r>
        <w:rPr>
          <w:rFonts w:ascii="IRNazanin" w:hAnsi="IRNazanin" w:eastAsia="IRNazanin"/>
          <w:color w:val="111111"/>
          <w:sz w:val="28"/>
          <w:sz w:val="28"/>
          <w:szCs w:val="28"/>
          <w:rtl w:val="true"/>
          <w:lang w:bidi="fa-IR"/>
        </w:rPr>
        <w:t xml:space="preserve">الأشیاء له تعالی حین 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سائر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لا بدّ منه، و لا یضرّ بالذاتیّة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نحن فیه إذا وصفت الماهیّة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بلحاظ اللاتقیید الواقعیّ، أو الشیوع الصدقیّ و السریان الحملیّ، من غیر کون هذه الأمور زائدة علی ذات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معنی کلام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اللابشرط المقسمیّ تنقسم إلی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کون المخلوطة و البشرط شی‌ء مقسما، لأنّ وصف المقسمیّة زائد أیضا علی ذاتها، فتدبّر جیّدا</w:t>
      </w:r>
      <w:r>
        <w:rPr>
          <w:rFonts w:eastAsia="IRNazanin" w:cs="IRNazanin"/>
          <w:color w:val="111111"/>
          <w:sz w:val="28"/>
          <w:szCs w:val="28"/>
          <w:rtl w:val="true"/>
          <w:lang w:bidi="fa-IR"/>
        </w:rPr>
        <w:t>.</w:t>
      </w:r>
    </w:p>
    <w:p>
      <w:pPr>
        <w:pStyle w:val="Heading5"/>
        <w:numPr>
          <w:ilvl w:val="4"/>
          <w:numId w:val="1"/>
        </w:numPr>
        <w:rPr/>
      </w:pPr>
      <w:bookmarkStart w:id="737" w:name="__RefHeading___Toc559864_3244359995"/>
      <w:bookmarkStart w:id="738" w:name="_Toc275"/>
      <w:bookmarkEnd w:id="737"/>
      <w:r>
        <w:rPr>
          <w:rtl w:val="true"/>
        </w:rPr>
        <w:t>تنبیه</w:t>
      </w:r>
      <w:r>
        <w:rPr>
          <w:rtl w:val="true"/>
        </w:rPr>
        <w:t xml:space="preserve">: </w:t>
      </w:r>
      <w:r>
        <w:rPr>
          <w:rtl w:val="true"/>
        </w:rPr>
        <w:t xml:space="preserve">فی الفرق بین </w:t>
      </w:r>
      <w:r>
        <w:rPr>
          <w:rtl w:val="true"/>
        </w:rPr>
        <w:t>«</w:t>
      </w:r>
      <w:r>
        <w:rPr>
          <w:rtl w:val="true"/>
        </w:rPr>
        <w:t>الاعتبار</w:t>
      </w:r>
      <w:r>
        <w:rPr>
          <w:rtl w:val="true"/>
        </w:rPr>
        <w:t xml:space="preserve">» </w:t>
      </w:r>
      <w:r>
        <w:rPr>
          <w:rtl w:val="true"/>
        </w:rPr>
        <w:t>فی المعقول و الأصول</w:t>
      </w:r>
      <w:bookmarkEnd w:id="738"/>
    </w:p>
    <w:p>
      <w:pPr>
        <w:pStyle w:val="BookText"/>
        <w:rPr/>
      </w:pPr>
      <w:r>
        <w:rPr>
          <w:rFonts w:ascii="IRNazanin" w:hAnsi="IRNazanin" w:eastAsia="IRNazanin"/>
          <w:color w:val="111111"/>
          <w:sz w:val="28"/>
          <w:sz w:val="28"/>
          <w:szCs w:val="28"/>
          <w:rtl w:val="true"/>
          <w:lang w:bidi="fa-IR"/>
        </w:rPr>
        <w:t>لا حاجة إلی البحث عن سرّ تقسیم الماهیّة إلی الأقسام، و أنّ النّظر فی ذلک هل یعدّ من الأنظار الاعتباریّة، أم یکون مسلکا فلسفیّا تطبیقیّا، فتکون الأقسام مرایا الحیثیّات الخارجیّة؟ و قد تعرّض له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 xml:space="preserve">بما لا یخلو من بعض إشکالات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فیها أنّ هذه الأمور کلّها نقوش الخارجیّات، کما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 xml:space="preserve">و لیست اعتباریّة کما ظنّه الأصولیّون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المعقول غیر ما هو المصطلح علیه فی فنّ الأصول، فإنّ الاعتبار فی الأصول یزول أحیانا، و الاعتبار فی المعقول یدوم، مثلا الإمکان و الوجوب اعتباریّان فی الموادّ الثلاث، بمعنی أنّها لا خارجیّة لأنفسهما، للزوم التسلسل و نحوه </w:t>
      </w:r>
      <w:r>
        <w:rPr>
          <w:rStyle w:val="FootnoteAnchor"/>
          <w:rtl w:val="true"/>
        </w:rPr>
        <w:footnoteReference w:id="1010"/>
      </w:r>
      <w:r>
        <w:rPr>
          <w:rFonts w:ascii="IRNazanin" w:hAnsi="IRNazanin" w:eastAsia="IRNazanin"/>
          <w:color w:val="111111"/>
          <w:sz w:val="28"/>
          <w:sz w:val="28"/>
          <w:szCs w:val="28"/>
          <w:rtl w:val="true"/>
          <w:lang w:bidi="fa-IR"/>
        </w:rPr>
        <w:t xml:space="preserve">، و لذلک ربّما یسمّیان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تغترّ بما فی</w:t>
      </w:r>
      <w:bookmarkStart w:id="739" w:name="pg13167_141099"/>
    </w:p>
    <w:p>
      <w:pPr>
        <w:pStyle w:val="BookText"/>
        <w:rPr/>
      </w:pPr>
      <w:bookmarkEnd w:id="739"/>
      <w:r>
        <w:rPr>
          <w:rFonts w:ascii="IRNazanin" w:hAnsi="IRNazanin" w:eastAsia="IRNazanin"/>
          <w:color w:val="111111"/>
          <w:sz w:val="28"/>
          <w:sz w:val="28"/>
          <w:szCs w:val="28"/>
          <w:rtl w:val="true"/>
          <w:lang w:bidi="fa-IR"/>
        </w:rPr>
        <w:t xml:space="preserve">ظواهر کلماتهم من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غیر الاعتبار فی الفنون الاعتباریّة فلیلاحظ جیّدا</w:t>
      </w:r>
      <w:r>
        <w:rPr>
          <w:rFonts w:eastAsia="IRNazanin" w:cs="IRNazanin"/>
          <w:color w:val="111111"/>
          <w:sz w:val="28"/>
          <w:szCs w:val="28"/>
          <w:rtl w:val="true"/>
          <w:lang w:bidi="fa-IR"/>
        </w:rPr>
        <w:t>.</w:t>
      </w:r>
    </w:p>
    <w:p>
      <w:pPr>
        <w:pStyle w:val="Heading5"/>
        <w:numPr>
          <w:ilvl w:val="4"/>
          <w:numId w:val="1"/>
        </w:numPr>
        <w:rPr/>
      </w:pPr>
      <w:bookmarkStart w:id="740" w:name="__RefHeading___Toc559866_3244359995"/>
      <w:bookmarkStart w:id="741" w:name="_Toc276"/>
      <w:bookmarkEnd w:id="740"/>
      <w:r>
        <w:rPr>
          <w:rtl w:val="true"/>
        </w:rPr>
        <w:t>إیقاظ</w:t>
      </w:r>
      <w:r>
        <w:rPr>
          <w:rtl w:val="true"/>
        </w:rPr>
        <w:t xml:space="preserve">: </w:t>
      </w:r>
      <w:r>
        <w:rPr>
          <w:rtl w:val="true"/>
        </w:rPr>
        <w:t>حول کیفیّة نیل مفهوم المطلق و المقیّد</w:t>
      </w:r>
      <w:bookmarkEnd w:id="741"/>
    </w:p>
    <w:p>
      <w:pPr>
        <w:pStyle w:val="BookText"/>
        <w:rPr/>
      </w:pPr>
      <w:r>
        <w:rPr>
          <w:rFonts w:ascii="IRNazanin" w:hAnsi="IRNazanin" w:eastAsia="IRNazanin"/>
          <w:color w:val="111111"/>
          <w:sz w:val="28"/>
          <w:sz w:val="28"/>
          <w:szCs w:val="28"/>
          <w:rtl w:val="true"/>
          <w:lang w:bidi="fa-IR"/>
        </w:rPr>
        <w:t>ممّا ذکرنا بطوله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بحسب المفهوم لیس عبارة أخری عن اللاتقیید، ضرورة أنّه فی مثل حقیقة الوجود عین الخارجیّة، و إذا یوصف النور المنبسط علی سطوح الأشیاء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معنی واقعیّ و عین الخارجیّة، فهو ربّما ینتزع لأجل ضیق الخناق من لحاظ اللاتقیید، و إلاّ فهو عنوان مشیر إلی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أخذ مفهوم المطلق و المقیّد؟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المفهومان کسائر المفاهیم، لا بدّ لهما من منشأ و مبدأ ینال العقل من ذلک المنشأ هذین المفهومین، و الّذی یقرب من الذهن أنّ هذین المفهومین لهما المصادیق الواقعیّة الخارجیّة، کما فی سائر المفاهیم الاعتباریّة، ثمّ انتقل منهما إلی المحیطات الاعتباریّة و إلی الفنون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القید الّذی یقع علی رِجل الإنسان، فیمنعه عن الحریّة و الإطلاق و الإرسال، و یمنعه عن إعمال إرادته فی کلّ ما یریده و یشتهیه، فالمطلق وصف یؤخذ من الحالة المقابلة لحال التقیید و القید الحدیدیّ المانع تکوینا، ثمّ بعد ذلک استعیر لأجل المشابهة و الادعاء فیما یسانخه فی الحریّة و الإرسال، فکما أنّ الحرّیة و الحالة المقابلة لحال التقیید لیست عدمیّة صِرْفة، و لکنّها فی مقام التعریف تحدّ بعدم القید، کذلک المطلق فی مواضع الاستعارة و الادعاء و الإلحاق و التوسّع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لا بدّ من کونه مندرجا تحت إحدی المقولات</w:t>
      </w:r>
      <w:r>
        <w:rPr>
          <w:rFonts w:eastAsia="IRNazanin" w:cs="IRNazanin"/>
          <w:color w:val="111111"/>
          <w:sz w:val="28"/>
          <w:szCs w:val="28"/>
          <w:rtl w:val="true"/>
          <w:lang w:bidi="fa-IR"/>
        </w:rPr>
        <w:t>.</w:t>
      </w:r>
      <w:bookmarkStart w:id="742" w:name="pg13167_141100"/>
    </w:p>
    <w:p>
      <w:pPr>
        <w:pStyle w:val="BookText"/>
        <w:rPr/>
      </w:pPr>
      <w:bookmarkEnd w:id="74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أن یکون من تبعات القدرة، و لذلک لا یوصف منهما غیر الحیوان و الإنسان أو المبادئ العالیة التی تنفذ قدرتهم بالنسبة إلی کلّ شی‌ء یشتهون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تعالی مطلق القدرة و الإرادة، و له القدرة المطلقة، و الغایة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بناء علیه تکون خارجة عن حدّ المقولات فی وجه، و تعد من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آخر، ثمّ من هذا المعنی استعیر المعانی الاخر، و الأمر سهل، و من هنا یقال للمرأة بعد الخروج عن قید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عن الإطلاق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تخلط</w:t>
      </w:r>
      <w:r>
        <w:rPr>
          <w:rFonts w:eastAsia="IRNazanin" w:cs="IRNazanin"/>
          <w:color w:val="111111"/>
          <w:sz w:val="28"/>
          <w:szCs w:val="28"/>
          <w:rtl w:val="true"/>
          <w:lang w:bidi="fa-IR"/>
        </w:rPr>
        <w:t>.</w:t>
      </w:r>
    </w:p>
    <w:p>
      <w:pPr>
        <w:pStyle w:val="Heading4"/>
        <w:numPr>
          <w:ilvl w:val="3"/>
          <w:numId w:val="1"/>
        </w:numPr>
        <w:rPr/>
      </w:pPr>
      <w:bookmarkStart w:id="743" w:name="__RefHeading___Toc559868_3244359995"/>
      <w:bookmarkStart w:id="744" w:name="_Toc277"/>
      <w:bookmarkEnd w:id="743"/>
      <w:r>
        <w:rPr>
          <w:rtl w:val="true"/>
        </w:rPr>
        <w:t>الجهة الرابعة</w:t>
      </w:r>
      <w:r>
        <w:rPr>
          <w:rtl w:val="true"/>
        </w:rPr>
        <w:t xml:space="preserve">: </w:t>
      </w:r>
      <w:r>
        <w:rPr>
          <w:rtl w:val="true"/>
        </w:rPr>
        <w:t>فی بیان ما وضعت له أسماء الأجناس و أعلامها</w:t>
      </w:r>
      <w:bookmarkEnd w:id="744"/>
    </w:p>
    <w:p>
      <w:pPr>
        <w:pStyle w:val="Heading5"/>
        <w:numPr>
          <w:ilvl w:val="4"/>
          <w:numId w:val="1"/>
        </w:numPr>
        <w:rPr/>
      </w:pPr>
      <w:bookmarkStart w:id="745" w:name="__RefHeading___Toc559870_3244359995"/>
      <w:bookmarkStart w:id="746" w:name="_Toc278"/>
      <w:bookmarkEnd w:id="745"/>
      <w:r>
        <w:rPr>
          <w:rtl w:val="true"/>
        </w:rPr>
        <w:t>اشارة</w:t>
      </w:r>
      <w:bookmarkEnd w:id="746"/>
    </w:p>
    <w:p>
      <w:pPr>
        <w:pStyle w:val="BookText"/>
        <w:rPr/>
      </w:pPr>
      <w:r>
        <w:rPr>
          <w:rFonts w:ascii="IRNazanin" w:hAnsi="IRNazanin" w:eastAsia="IRNazanin"/>
          <w:color w:val="111111"/>
          <w:sz w:val="28"/>
          <w:sz w:val="28"/>
          <w:szCs w:val="28"/>
          <w:rtl w:val="true"/>
          <w:lang w:bidi="fa-IR"/>
        </w:rPr>
        <w:t>نسب إلی الشهرة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ألفاظ الأجناس موضوعة للمعانی المطلقة، من غیر فرق بین المعانی الأصلیّة الجوهریّة و العرضیّة، و بین المعانی الاعتباریّة و الاختراعیّة، و بین العناوین الاشتقاقیّة و العوارض الخارجیّة و هکذا</w:t>
      </w:r>
      <w:r>
        <w:rPr>
          <w:rStyle w:val="FootnoteAnchor"/>
          <w:rtl w:val="true"/>
        </w:rPr>
        <w:footnoteReference w:id="1011"/>
      </w:r>
      <w:r>
        <w:rPr>
          <w:rFonts w:ascii="IRNazanin" w:hAnsi="IRNazanin" w:eastAsia="IRNazanin"/>
          <w:color w:val="111111"/>
          <w:sz w:val="28"/>
          <w:sz w:val="28"/>
          <w:szCs w:val="28"/>
          <w:rtl w:val="true"/>
          <w:lang w:bidi="fa-IR"/>
        </w:rPr>
        <w:t>، و لأجل ذلک نسب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علی هذه المقالة، لا حاجة إلی مقدّمات الإطلاق فی إثبات إطلاق الکلام الوارد فی الشریعة المشتمل علی هذه الألفاظ الحاکیة عن تلک المعانی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إلی الشهرة بین أهل العربیّة</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أعلام الأجناس فی وجه کأعلام الأشخاص، فتکون معرفة، و فی وجه کأسماء الأجناس، فتکون کلّیة، فالموضوع له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الثعلب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الأسد، لیس المعنی المطلق، بل هو المعنی الملحوظ فیه التعیّن الخاصّ القابل للصدق علی کثیرین، و هذا النحو من التعیّن هو الإطلاق القسمیّ و لحاظ اللابشرط، فی مقابل اللاتعیّن فی أسماء</w:t>
      </w:r>
    </w:p>
    <w:p>
      <w:pPr>
        <w:pStyle w:val="BookText"/>
        <w:rPr/>
      </w:pPr>
      <w:r>
        <w:rPr>
          <w:rFonts w:ascii="IRNazanin" w:hAnsi="IRNazanin" w:eastAsia="IRNazanin"/>
          <w:color w:val="111111"/>
          <w:sz w:val="28"/>
          <w:sz w:val="28"/>
          <w:szCs w:val="28"/>
          <w:rtl w:val="true"/>
          <w:lang w:bidi="fa-IR"/>
        </w:rPr>
        <w:t xml:space="preserve">الأجناس الّذی هو الإطلاق المقسمیّ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یترتّب علیه أیضا عدم الاحتیاج إلی مقدّمات الإطلاق فی سریان الحکم إلی الأفراد و إلی کلّ ما یصدق علیه الطبیعة و العنوان، بل عدم الحاجة إلیها هنا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الألفاظ بما لها من المعانی المفردة حال کونها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کان من قبیل المفرد المعرّف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النکرة الواقعین فی الکلام، فهو یدور مدار الجهة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التنوین،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إلی أقسام، و التنوین یتصوّر علی أنحاء، و تکون خصوصیّة المعنی و إطلاقه تابعة لما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التعیّن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التنوین ما یوجب التشخّص، کتنوین التنکیر فی الجملة الإخباریّة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الجنس و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یفید الإطلاق، و یؤکّد إطلاق المدخول، و ما کان من قبیل تنوین التمکّن و الإعراب، أو کان من قبیل تنوین التنکیر فی الجملة الإنشائیّة، فهو أیضا یورث الإطلاق، و تصیر النتیجة عدم الاحتیاج إلی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عدم ذهابهم إلی عدم الاحتیاج إلیها فی باب المطلق و المقیّد، عدم معهودیّة الإشکال منهم علی دلیل، بالإهمال و عدم تمامیّة الإطلاق و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موجز ما عندهم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أوضحناه فی غایة إجماله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بعض ما نسب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ألفاظ الأجناس موضوعة للمعانی المطلقة باللابشرط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 بل منعا، ضرورة أنّه لو لا ما أفدناه لما یمکن الجمع بین اسم الجنس و علمه، کما لم یجمع بینهما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أنّهما من باب واحد، و أنّ التعریف</w:t>
      </w:r>
      <w:bookmarkStart w:id="747" w:name="pg13167_141102"/>
    </w:p>
    <w:p>
      <w:pPr>
        <w:pStyle w:val="BookText"/>
        <w:rPr/>
      </w:pPr>
      <w:bookmarkEnd w:id="747"/>
      <w:r>
        <w:rPr>
          <w:rFonts w:ascii="IRNazanin" w:hAnsi="IRNazanin" w:eastAsia="IRNazanin"/>
          <w:color w:val="111111"/>
          <w:sz w:val="28"/>
          <w:sz w:val="28"/>
          <w:szCs w:val="28"/>
          <w:rtl w:val="true"/>
          <w:lang w:bidi="fa-IR"/>
        </w:rPr>
        <w:t xml:space="preserve">لفظیّ، قیاسا بالتأنیث اللفظیّ </w:t>
      </w:r>
      <w:r>
        <w:rPr>
          <w:rStyle w:val="FootnoteAnchor"/>
          <w:rtl w:val="true"/>
        </w:rPr>
        <w:footnoteReference w:id="1015"/>
      </w:r>
      <w:r>
        <w:rPr>
          <w:rFonts w:ascii="IRNazanin" w:hAnsi="IRNazanin" w:eastAsia="IRNazanin"/>
          <w:color w:val="111111"/>
          <w:sz w:val="28"/>
          <w:sz w:val="28"/>
          <w:szCs w:val="28"/>
          <w:rtl w:val="true"/>
          <w:lang w:bidi="fa-IR"/>
        </w:rPr>
        <w:t>، مع أنّه لا معنی للتعریف اللفظیّ إلاّ تجویز الابتداء بالنکرة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باللابشرطیّة فی مقام الوضع، یوجب عدم صحّة الحمل و الصدق علی الأفراد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أنّ المعنی اللابشرط لیس أمرا خارجیّا، 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الإشکال </w:t>
      </w:r>
      <w:r>
        <w:rPr>
          <w:rStyle w:val="FootnoteAnchor"/>
          <w:rtl w:val="true"/>
        </w:rPr>
        <w:footnoteReference w:id="1016"/>
      </w:r>
      <w:r>
        <w:rPr>
          <w:rFonts w:ascii="IRNazanin" w:hAnsi="IRNazanin" w:eastAsia="IRNazanin"/>
          <w:color w:val="111111"/>
          <w:sz w:val="28"/>
          <w:sz w:val="28"/>
          <w:szCs w:val="28"/>
          <w:rtl w:val="true"/>
          <w:lang w:bidi="fa-IR"/>
        </w:rPr>
        <w:t>، مع أنّ اللابشرط أمر خارجیّ، حسبما هو التحقیق فی الماهیّة اللابشرطیّة، کما 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یظهر وجه جواز الابتداء بأعلام الأجناس، حیث إنّها خارجة عن حدّ الطبیعة المطلقة إلی الطبیعة المخصوصة، و قد صرّح النحاة بجواز الابتداء بالنکرة المخصوصة</w:t>
      </w:r>
      <w:r>
        <w:rPr>
          <w:rStyle w:val="FootnoteAnchor"/>
          <w:rtl w:val="true"/>
        </w:rPr>
        <w:footnoteReference w:id="1018"/>
      </w:r>
      <w:r>
        <w:rPr>
          <w:rFonts w:ascii="IRNazanin" w:hAnsi="IRNazanin" w:eastAsia="IRNazanin"/>
          <w:color w:val="111111"/>
          <w:sz w:val="28"/>
          <w:sz w:val="28"/>
          <w:szCs w:val="28"/>
          <w:rtl w:val="true"/>
          <w:lang w:bidi="fa-IR"/>
        </w:rPr>
        <w:t>، فما هی النکرة المطلقة هی اللفظة الموضوعة للمعنی المطلق بالإطلاق المقسمیّ المعنون فی الکلام، و ما هی النکرة المخصوصة هی الطبیعة المتخصّصة بخصوصیّة ما، و هی اللابشرطیّة، فتکون بحسب الحکم مثل المطلقة، و مثل الأعلام الشخصیّة، فلاحظ و اغتنم جیّدا</w:t>
      </w:r>
      <w:r>
        <w:rPr>
          <w:rFonts w:eastAsia="IRNazanin" w:cs="IRNazanin"/>
          <w:color w:val="111111"/>
          <w:sz w:val="28"/>
          <w:szCs w:val="28"/>
          <w:rtl w:val="true"/>
          <w:lang w:bidi="fa-IR"/>
        </w:rPr>
        <w:t>.</w:t>
      </w:r>
    </w:p>
    <w:p>
      <w:pPr>
        <w:pStyle w:val="Heading5"/>
        <w:numPr>
          <w:ilvl w:val="4"/>
          <w:numId w:val="1"/>
        </w:numPr>
        <w:rPr/>
      </w:pPr>
      <w:bookmarkStart w:id="748" w:name="__RefHeading___Toc559872_3244359995"/>
      <w:bookmarkStart w:id="749" w:name="_Toc279"/>
      <w:bookmarkEnd w:id="748"/>
      <w:r>
        <w:rPr>
          <w:rtl w:val="true"/>
        </w:rPr>
        <w:t>تذنیب</w:t>
      </w:r>
      <w:r>
        <w:rPr>
          <w:rtl w:val="true"/>
        </w:rPr>
        <w:t xml:space="preserve">: </w:t>
      </w:r>
      <w:r>
        <w:rPr>
          <w:rtl w:val="true"/>
        </w:rPr>
        <w:t>حول نزاع سلطان العلماء مع سابقیه</w:t>
      </w:r>
      <w:bookmarkEnd w:id="74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فی الجهة الثالثة إلی أنّ فی باب المطلق و المقیّد، نزاعا بین المشهور إلی عصر سلطان العلماء، و بینهم المشهور بین المتأخّرین، و أیضا نزاعا</w:t>
      </w:r>
    </w:p>
    <w:p>
      <w:pPr>
        <w:pStyle w:val="BookText"/>
        <w:rPr/>
      </w:pPr>
      <w:r>
        <w:rPr>
          <w:rFonts w:ascii="IRNazanin" w:hAnsi="IRNazanin" w:eastAsia="IRNazanin"/>
          <w:color w:val="111111"/>
          <w:sz w:val="28"/>
          <w:sz w:val="28"/>
          <w:szCs w:val="28"/>
          <w:rtl w:val="true"/>
          <w:lang w:bidi="fa-IR"/>
        </w:rPr>
        <w:t xml:space="preserve">بین المتأخّرین </w:t>
      </w:r>
      <w:r>
        <w:rPr>
          <w:rStyle w:val="FootnoteAnchor"/>
          <w:rtl w:val="true"/>
        </w:rPr>
        <w:footnoteReference w:id="1019"/>
      </w:r>
      <w:r>
        <w:rPr>
          <w:rFonts w:ascii="IRNazanin" w:hAnsi="IRNazanin" w:eastAsia="IRNazanin"/>
          <w:color w:val="111111"/>
          <w:sz w:val="28"/>
          <w:sz w:val="28"/>
          <w:szCs w:val="28"/>
          <w:rtl w:val="true"/>
          <w:lang w:bidi="fa-IR"/>
        </w:rPr>
        <w:t>، فهناک نزاعان، و الّذی هو مورد النّظر هنا هو النزاع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المأخوذ فی الموضوع له و المنسوب إلی المشهور، لیس هو الإطلاق المتمسّک به فی الفقه و الأصول، و قد ذکرنا أنّ اتصاف الکلام بالإطلاق، لیس من قبیل اتصاف الکلام بالصدق و الکذب، فإنّهما من أوصاف الکلام بما هو کلام، و الإطلاق من أوصاف الکلمة إلاّ أنّ المنسوب إلی الشهرة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الکلمة بالوضع ذات إطلاق مقسمیّ، کألفاظ الأجناس، أو قسمیّ کأعلام الأجناس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أنکر علیهم المتأخّرون، بأنّ الألفاظ لیست موضوعة إلاّ للمعانی المهملة المجرّدة من جمیع اللحاظات الزائدة علی ذوات الطبائع، بحکم التبادر و الوجدان </w:t>
      </w:r>
      <w:r>
        <w:rPr>
          <w:rStyle w:val="FootnoteAnchor"/>
          <w:rtl w:val="true"/>
        </w:rPr>
        <w:footnoteReference w:id="1021"/>
      </w:r>
      <w:r>
        <w:rPr>
          <w:rFonts w:ascii="IRNazanin" w:hAnsi="IRNazanin" w:eastAsia="IRNazanin"/>
          <w:color w:val="111111"/>
          <w:sz w:val="28"/>
          <w:sz w:val="28"/>
          <w:szCs w:val="28"/>
          <w:rtl w:val="true"/>
          <w:lang w:bidi="fa-IR"/>
        </w:rPr>
        <w:t>، فلا معنی للتمسّک بالإطلاق، لما أنّ الکلمة لیست ذات معنی إطلاقیّ، بل الإطلاق أمر یطرؤها لأجل الأمور الاخر، کمقدّمات الحکمة، أو بعض الدوالّ الاخر، و أمّا الألفاظ الموضوعة للمعانی الکلّیة الاسمیّة، فکلّها مجرّدة من هذین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المشهور من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 عن مقدّمات الإطلاق فی الاستدلال به فی المحاورات العرفیّة و فی القوانین الإلهیّة، فهو أمر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المشهور المتأخّر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الألفاظ للمعانی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فی دلالتها علی معانیها مهملة و قاصرة، و لا تکون قابلة للصدق و الحمل علی کلّ الأفراد و المصادیق، فهو أیضا باطل و غیر جیّد بالضرورة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أراد المشهور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الأجناس فی مقام الوضع موضوعة لذات المعانی، علی وجه لا قصور فی دلالتها علیها، فیکون الموضوع له ذا إطلاق</w:t>
      </w:r>
    </w:p>
    <w:p>
      <w:pPr>
        <w:pStyle w:val="BookText"/>
        <w:rPr/>
      </w:pPr>
      <w:r>
        <w:rPr>
          <w:rFonts w:ascii="IRNazanin" w:hAnsi="IRNazanin" w:eastAsia="IRNazanin"/>
          <w:color w:val="111111"/>
          <w:sz w:val="28"/>
          <w:sz w:val="28"/>
          <w:szCs w:val="28"/>
          <w:rtl w:val="true"/>
          <w:lang w:bidi="fa-IR"/>
        </w:rPr>
        <w:t>ذاتیّ خارج المحمول، و هو الإطلاق المقسمیّ، فهو حقّ صِرْف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المتأخّرون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التمسّک بإطلاق الکلام، غیر جائز بمجرّد کون الکلمة فی مقام الوضع ذات إطلاق ذاتیّ فی مرحلة الوضع، لأجل الإطلاق الذاتیّ للطبیعة علی الوجه المحرّر فیما سبق </w:t>
      </w:r>
      <w:r>
        <w:rPr>
          <w:rStyle w:val="FootnoteAnchor"/>
          <w:rtl w:val="true"/>
        </w:rPr>
        <w:footnoteReference w:id="1022"/>
      </w:r>
      <w:r>
        <w:rPr>
          <w:rFonts w:ascii="Amiri" w:hAnsi="Amiri" w:eastAsia="Amiri" w:cs="Amiri"/>
          <w:color w:val="111111"/>
          <w:sz w:val="28"/>
          <w:sz w:val="28"/>
          <w:szCs w:val="28"/>
          <w:rtl w:val="true"/>
          <w:lang w:bidi="ar-SA"/>
        </w:rPr>
        <w:t>، فهو أیضا متین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لعمری، إنّ مقالة المشهور کانت تدور حول ذلک، و تکون النسبة المذکورة إلیهم فی غیر محلّها، و بذلک ینحلّ النزاع، و تصیر المقالة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أنّ المشهور کانوا یتمسّکون بإطلاق الکلام من غیر انتظار الأمر الآخر، فهو فی غیر مقامه، ضرورة أنّ جعل الطبیعة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الإخباریّات أو الإنشائیّات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علی وجهین، و یمکن أن یکون بلحاظین،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تمام الموضوع للحکم من غیر دخالة شی‌ء آخر،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جزء الموضوع، و علی هذا إذا کان الأمر بحسب مقام الإثبات و الحکم، ذا حالتین، لا بدّ من إحراز الحالة الأولی حتّی یکون للکلام إطلاق بهذا المعنی، و للکلمة إطلاق أیضا بهذا المعنی،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کذلک، إلاّ أنّه بعد دلالة اللفظ علی المعنی الساری، و بعد کون المعنی هو الطبیعة المطلقة بالإطلاق الذاتیّ، فإن أخذ معها قید فالموضوع مرکّب، و الدلیل مقیّد فی مرحلة الجعل و الإنشاء، و إن لم یؤخذ معها قید فالکلام یتمسّک به و بإطلاقه، لصدق ألفاظه علی جمیع معانیه من غیر قصور</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 القید مع هذه الطبیعة المطلقة، و أمّا بدون ذکر القید فی مرحلة الإثبات، فیتمسّک بالکلام من غیر الحاجة إلی أمر آخر، و من غیر</w:t>
      </w:r>
    </w:p>
    <w:p>
      <w:pPr>
        <w:pStyle w:val="BookText"/>
        <w:rPr/>
      </w:pPr>
      <w:r>
        <w:rPr>
          <w:rFonts w:ascii="IRNazanin" w:hAnsi="IRNazanin" w:eastAsia="IRNazanin"/>
          <w:color w:val="111111"/>
          <w:sz w:val="28"/>
          <w:sz w:val="28"/>
          <w:szCs w:val="28"/>
          <w:rtl w:val="true"/>
          <w:lang w:bidi="fa-IR"/>
        </w:rPr>
        <w:t>تصویر الإهمال فی مرحلة الإثبات، کما لا معنی له فی مرحلة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المقالتین ینشأ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المتأخّرین تخیّلوا الحالة الثالثة، و هی حالة الإهمال فی مرحلة الإثبات، و القدماء ینکرون علیهم تلک الحالة، و لا ینکرون علیهم إمکان ورود القید علی الموضوع المأخوذ فی الدلیل، کما هو الواقع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یقولون بأنّ مقدّمات الإطلاق إمّا غیر محتاج إلیها رأسا، أو حاصلة دائما و مطلقا، نظیر ما ذکرناه فی النکرة فی سیاق النفی، فإنّها لا تدلّ علی العموم کدلالة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و لکنّها لا تحتاج إلی مقدّمات الإطلاق، لأنّ سیاق الکلام یکون علی وجه تکون هی حاصلة دائما</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یتوجّه إلیه نقض بأنّ کثیرا ما نجد عدم جواز التمسّک بإطلاق الدلیل، من غیر کون الموضوع مقیّدا، مثلا لا یجوز التمسّک بإطلاق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لَکُمْ بَهِیمَةُ الْأَنْعامِ </w:t>
      </w:r>
      <w:r>
        <w:rPr>
          <w:rStyle w:val="FootnoteAnchor"/>
          <w:rtl w:val="true"/>
        </w:rPr>
        <w:footnoteReference w:id="1025"/>
      </w:r>
      <w:r>
        <w:rPr>
          <w:rFonts w:ascii="IRNazanin" w:hAnsi="IRNazanin" w:eastAsia="IRNazanin"/>
          <w:color w:val="111111"/>
          <w:sz w:val="28"/>
          <w:sz w:val="28"/>
          <w:szCs w:val="28"/>
          <w:rtl w:val="true"/>
          <w:lang w:bidi="fa-IR"/>
        </w:rPr>
        <w:t>لتحلیل البهیمة التی تکون مال الغیر، و لا یجوز التمسّک بإطلاق الدلیل المتکفّل لأصل التشریع، فیعلم من هنا وجود الحالة الثالثة، و هی حالة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الموضوع له و إطلاق الوضع، ینفع إذا شکّ مثلا فی صدق اللفظ فی مورد، و لا یصحّ ما یظهر من مشهور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الألفاظ موضوعة للمعانی المهملة</w:t>
      </w:r>
      <w:r>
        <w:rPr>
          <w:rStyle w:val="FootnoteAnchor"/>
          <w:rtl w:val="true"/>
        </w:rPr>
        <w:footnoteReference w:id="1026"/>
      </w:r>
      <w:r>
        <w:rPr>
          <w:rFonts w:ascii="IRNazanin" w:hAnsi="IRNazanin" w:eastAsia="IRNazanin"/>
          <w:color w:val="111111"/>
          <w:sz w:val="28"/>
          <w:sz w:val="28"/>
          <w:szCs w:val="28"/>
          <w:rtl w:val="true"/>
          <w:lang w:bidi="fa-IR"/>
        </w:rPr>
        <w:t>، إذا رجع إلی الإهمال فی مرحلة الوضع</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شکّ فی حدود الحکم فی القضیّة الإنشائیّة أو الإخباریّة، فلا بدّ من إثبات الإطلاق الآخر، و لا یعقل کفایة الإطلاق المزبور عن الإطلاق الأخیر، لما أنّ</w:t>
      </w:r>
      <w:bookmarkStart w:id="750" w:name="pg13167_141106"/>
    </w:p>
    <w:p>
      <w:pPr>
        <w:pStyle w:val="BookText"/>
        <w:rPr/>
      </w:pPr>
      <w:bookmarkEnd w:id="750"/>
      <w:r>
        <w:rPr>
          <w:rFonts w:ascii="IRNazanin" w:hAnsi="IRNazanin" w:eastAsia="IRNazanin"/>
          <w:color w:val="111111"/>
          <w:sz w:val="28"/>
          <w:sz w:val="28"/>
          <w:szCs w:val="28"/>
          <w:rtl w:val="true"/>
          <w:lang w:bidi="fa-IR"/>
        </w:rPr>
        <w:t>مفاد الکلمة بحسب الوضع، یأبی أن یکون جزء أو تمام الموضوع فی القضیّة، فکونها جزء الموضوع أو تمام الموضوع، أمر یعرض علیها من ناحیة فعل المتکلّم و أغراضه، فعندئذ لا بدّ من إحراز ذلک، و هذا یستلزم کون الکلام ذا حالة ثالثة، و هی الإهمال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الاحتیاج إلی المقدّمات العقلیّة لإثبات أنّ المأخوذ فی الدلیل تمام الموضوع للحکم، لا جزؤه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عدم تمامیّة القیاس بین الجمل کلّها، و بین النکرة فی سیاق النفی أو النهی، فإنّ سیاق الکلام ربّما یدلّ علی أنّ المتکلّم، لیس فی مقام إفادة الحکم علی الإجمال و الإهمال، أو یفید أنّه فی مقام إفادة الحکم من جمیع النواهی، دون ناحیة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ذی قبل توضیح المقدّمات العقلیّة المثبتة لإطلاق إن شاء اللَّه تعالی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ظهر ممّا ذکرناه فساد ما فی الحواشی للعلاّمة الإیروانیّ من إنکار الحاجة إلیها، فراجع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559874_3244359995"/>
      <w:bookmarkStart w:id="752" w:name="_Toc280"/>
      <w:bookmarkEnd w:id="751"/>
      <w:r>
        <w:rPr>
          <w:rtl w:val="true"/>
        </w:rPr>
        <w:t xml:space="preserve">المراد من </w:t>
      </w:r>
      <w:r>
        <w:rPr>
          <w:rtl w:val="true"/>
        </w:rPr>
        <w:t>«</w:t>
      </w:r>
      <w:r>
        <w:rPr>
          <w:rtl w:val="true"/>
        </w:rPr>
        <w:t>المطلق</w:t>
      </w:r>
      <w:r>
        <w:rPr>
          <w:rtl w:val="true"/>
        </w:rPr>
        <w:t>»</w:t>
      </w:r>
      <w:bookmarkEnd w:id="75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تبیّنت هذه الجهات، تصل النوبة إلی توضیح تعریف المطلق الّذی هو المقصود فی هذا المقصد من علم الأصول، بعد ما تبیّن أنّ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دلّ علی معنی شائع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التفتازانیّ </w:t>
      </w:r>
      <w:r>
        <w:rPr>
          <w:rStyle w:val="FootnoteAnchor"/>
          <w:rtl w:val="true"/>
        </w:rPr>
        <w:footnoteReference w:id="1029"/>
      </w:r>
      <w:r>
        <w:rPr>
          <w:rFonts w:ascii="IRNazanin" w:hAnsi="IRNazanin" w:eastAsia="IRNazanin"/>
          <w:color w:val="111111"/>
          <w:sz w:val="28"/>
          <w:sz w:val="28"/>
          <w:szCs w:val="28"/>
          <w:rtl w:val="true"/>
          <w:lang w:bidi="fa-IR"/>
        </w:rPr>
        <w:t>، فی غایة الفساد، فإنّ أخذ الدلالة یشعر</w:t>
      </w:r>
    </w:p>
    <w:p>
      <w:pPr>
        <w:pStyle w:val="BookText"/>
        <w:rPr/>
      </w:pPr>
      <w:r>
        <w:rPr>
          <w:rFonts w:ascii="IRNazanin" w:hAnsi="IRNazanin" w:eastAsia="IRNazanin"/>
          <w:color w:val="111111"/>
          <w:sz w:val="28"/>
          <w:sz w:val="28"/>
          <w:szCs w:val="28"/>
          <w:rtl w:val="true"/>
          <w:lang w:bidi="fa-IR"/>
        </w:rPr>
        <w:t xml:space="preserve">بالوضع، و قد مرّ فساده </w:t>
      </w:r>
      <w:r>
        <w:rPr>
          <w:rStyle w:val="FootnoteAnchor"/>
          <w:rtl w:val="true"/>
        </w:rPr>
        <w:footnoteReference w:id="1030"/>
      </w:r>
      <w:r>
        <w:rPr>
          <w:rFonts w:ascii="IRNazanin" w:hAnsi="IRNazanin" w:eastAsia="IRNazanin"/>
          <w:color w:val="111111"/>
          <w:sz w:val="28"/>
          <w:sz w:val="28"/>
          <w:szCs w:val="28"/>
          <w:rtl w:val="true"/>
          <w:lang w:bidi="fa-IR"/>
        </w:rPr>
        <w:t xml:space="preserve">، و أخذ معنی الشیوع یشعر بالسریان الواقعیّ، و قد مرّ فساده </w:t>
      </w:r>
      <w:r>
        <w:rPr>
          <w:rStyle w:val="FootnoteAnchor"/>
          <w:rtl w:val="true"/>
        </w:rPr>
        <w:footnoteReference w:id="1031"/>
      </w:r>
      <w:r>
        <w:rPr>
          <w:rFonts w:ascii="IRNazanin" w:hAnsi="IRNazanin" w:eastAsia="IRNazanin"/>
          <w:color w:val="111111"/>
          <w:sz w:val="28"/>
          <w:sz w:val="28"/>
          <w:szCs w:val="28"/>
          <w:rtl w:val="true"/>
          <w:lang w:bidi="fa-IR"/>
        </w:rPr>
        <w:t>، أو السریان الاعتباریّ و الوهمیّ،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یتمّ فی المعانی الحرفیّة و الأعلام الشخصیّة</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حاجة إلی تفسیر الجنس بما یشمل 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الأراکیّ قدس سره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مقابل المطلق هو المهمل لا المقیّد، لأنّه معنی واضح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المقیّد أیضا مطلق من جهة أخری، فما فی کلامهم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المقیّد خلافه، واضح المنع، لأنّ المطلق و المقیّد هنا کما مرّ من الأوصاف الإضافیّة، لا الواقعیّة</w:t>
      </w:r>
      <w:r>
        <w:rPr>
          <w:rStyle w:val="FootnoteAnchor"/>
          <w:rtl w:val="true"/>
        </w:rPr>
        <w:footnoteReference w:id="1034"/>
      </w:r>
      <w:r>
        <w:rPr>
          <w:rFonts w:ascii="IRNazanin" w:hAnsi="IRNazanin" w:eastAsia="IRNazanin"/>
          <w:color w:val="111111"/>
          <w:sz w:val="28"/>
          <w:sz w:val="28"/>
          <w:szCs w:val="28"/>
          <w:rtl w:val="true"/>
          <w:lang w:bidi="fa-IR"/>
        </w:rPr>
        <w:t>، و هکذا المطلق و المهمل، إلاّ أنّ النّظر إلی تعریف المطلق المجامع مع القید المرکّب و الموضوع ذی أجزاء کثیرة، فلا تخلط، و تدبّر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یشمل العمومات أیضا، لدلالتها علی المعنی الشائع فی جنسه، بل هی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المطلق یظهر من ملاحظة معنی الإهمال، و معنی أنّ للکلام إطلاقا یظهر من مقایسة أنّه ذو إهمال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المطلق ما یدلّ عقلا علی مرادیّة مدلول اللفظ وضعا، أو ما یشبه الوضع، فإذا کان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فی ناحیة الهیئة و المادّة و المتعلّق، فیکون مفاد المادّة و المتعلّق وضعا مرادا، و مفاد الهیئة أیضا مرادا لا بالوضع، إلاّ أنّه یشبه الوضع کما لا یخفی</w:t>
      </w:r>
      <w:r>
        <w:rPr>
          <w:rFonts w:eastAsia="IRNazanin" w:cs="IRNazanin"/>
          <w:color w:val="111111"/>
          <w:sz w:val="28"/>
          <w:szCs w:val="28"/>
          <w:rtl w:val="true"/>
          <w:lang w:bidi="fa-IR"/>
        </w:rPr>
        <w:t>.</w:t>
      </w:r>
      <w:bookmarkStart w:id="753" w:name="pg13167_141108"/>
    </w:p>
    <w:p>
      <w:pPr>
        <w:pStyle w:val="BookText"/>
        <w:rPr/>
      </w:pPr>
      <w:bookmarkEnd w:id="753"/>
      <w:r>
        <w:rPr>
          <w:rFonts w:ascii="IRNazanin" w:hAnsi="IRNazanin" w:eastAsia="IRNazanin"/>
          <w:color w:val="111111"/>
          <w:sz w:val="28"/>
          <w:sz w:val="28"/>
          <w:szCs w:val="28"/>
          <w:rtl w:val="true"/>
          <w:lang w:bidi="fa-IR"/>
        </w:rPr>
        <w:t>فما فی تقریر سیّدنا الأستاذ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المطلق ما هو الطبیعة فیه تمام الموضوع للحکم </w:t>
      </w:r>
      <w:r>
        <w:rPr>
          <w:rStyle w:val="FootnoteAnchor"/>
          <w:rtl w:val="true"/>
        </w:rPr>
        <w:footnoteReference w:id="1035"/>
      </w:r>
      <w:r>
        <w:rPr>
          <w:rFonts w:ascii="IRNazanin" w:hAnsi="IRNazanin" w:eastAsia="IRNazanin"/>
          <w:color w:val="111111"/>
          <w:sz w:val="28"/>
          <w:sz w:val="28"/>
          <w:szCs w:val="28"/>
          <w:rtl w:val="true"/>
          <w:lang w:bidi="fa-IR"/>
        </w:rPr>
        <w:t>، فی غیر محلّه، لأنّ من المطلق نفس الحکم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انتقاضه بالعموم </w:t>
      </w:r>
      <w:r>
        <w:rPr>
          <w:rStyle w:val="FootnoteAnchor"/>
          <w:rtl w:val="true"/>
        </w:rPr>
        <w:footnoteReference w:id="1036"/>
      </w:r>
      <w:r>
        <w:rPr>
          <w:rFonts w:ascii="IRNazanin" w:hAnsi="IRNazanin" w:eastAsia="IRNazanin"/>
          <w:color w:val="111111"/>
          <w:sz w:val="28"/>
          <w:sz w:val="28"/>
          <w:szCs w:val="28"/>
          <w:rtl w:val="true"/>
          <w:lang w:bidi="fa-IR"/>
        </w:rPr>
        <w:t>ممنوع، لدلالته علیه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دلالته علی الاستیعاب یحتاج إلی المقدّمات العقلیّة، فهو من هذه الجهة داخل فی المطلق، فلا بدّ و أن یشمله التعریف</w:t>
      </w:r>
      <w:r>
        <w:rPr>
          <w:rFonts w:eastAsia="IRNazanin" w:cs="IRNazanin"/>
          <w:color w:val="111111"/>
          <w:sz w:val="28"/>
          <w:szCs w:val="28"/>
          <w:rtl w:val="true"/>
          <w:lang w:bidi="fa-IR"/>
        </w:rPr>
        <w:t>.</w:t>
      </w:r>
    </w:p>
    <w:p>
      <w:pPr>
        <w:pStyle w:val="Heading4"/>
        <w:numPr>
          <w:ilvl w:val="3"/>
          <w:numId w:val="1"/>
        </w:numPr>
        <w:rPr/>
      </w:pPr>
      <w:bookmarkStart w:id="754" w:name="__RefHeading___Toc559876_3244359995"/>
      <w:bookmarkStart w:id="755" w:name="_Toc281"/>
      <w:bookmarkEnd w:id="754"/>
      <w:r>
        <w:rPr>
          <w:rtl w:val="true"/>
        </w:rPr>
        <w:t>الجهة الخامسة</w:t>
      </w:r>
      <w:r>
        <w:rPr>
          <w:rtl w:val="true"/>
        </w:rPr>
        <w:t xml:space="preserve">: </w:t>
      </w:r>
      <w:r>
        <w:rPr>
          <w:rtl w:val="true"/>
        </w:rPr>
        <w:t>حول استلزام التقیید للمجازیّة</w:t>
      </w:r>
      <w:bookmarkEnd w:id="755"/>
    </w:p>
    <w:p>
      <w:pPr>
        <w:pStyle w:val="Heading5"/>
        <w:numPr>
          <w:ilvl w:val="4"/>
          <w:numId w:val="1"/>
        </w:numPr>
        <w:rPr/>
      </w:pPr>
      <w:bookmarkStart w:id="756" w:name="__RefHeading___Toc559878_3244359995"/>
      <w:bookmarkStart w:id="757" w:name="_Toc282"/>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لا شبهة فی وقوع التقیید بالمتّصل و المنفصل، و إنّما الشبهة فی أنّ ذلک هل یوجب المجازیّة، أم لا؟</w:t>
      </w:r>
    </w:p>
    <w:p>
      <w:pPr>
        <w:pStyle w:val="BookText"/>
        <w:rPr/>
      </w:pPr>
      <w:r>
        <w:rPr>
          <w:rFonts w:ascii="IRNazanin" w:hAnsi="IRNazanin" w:eastAsia="IRNazanin"/>
          <w:color w:val="111111"/>
          <w:sz w:val="28"/>
          <w:sz w:val="28"/>
          <w:szCs w:val="28"/>
          <w:rtl w:val="true"/>
          <w:lang w:bidi="fa-IR"/>
        </w:rPr>
        <w:t>و اختلفوا فیه علی أقوال ربّما تنتهی إلی خمسة أو أکثر</w:t>
      </w:r>
      <w:r>
        <w:rPr>
          <w:rStyle w:val="FootnoteAnchor"/>
          <w:rtl w:val="true"/>
        </w:rPr>
        <w:footnoteReference w:id="1037"/>
      </w:r>
      <w:r>
        <w:rPr>
          <w:rFonts w:ascii="IRNazanin" w:hAnsi="IRNazanin" w:eastAsia="IRNazanin"/>
          <w:color w:val="111111"/>
          <w:sz w:val="28"/>
          <w:sz w:val="28"/>
          <w:szCs w:val="28"/>
          <w:rtl w:val="true"/>
          <w:lang w:bidi="fa-IR"/>
        </w:rPr>
        <w:t>، و قد مرّ شطر من الکلام فی مسألة أنّ التخصیص هل یستلزم المجازیّة، أم لا</w:t>
      </w:r>
      <w:r>
        <w:rPr>
          <w:rStyle w:val="FootnoteAnchor"/>
          <w:rtl w:val="true"/>
        </w:rPr>
        <w:footnoteReference w:id="10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البحث عنه إجمالا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المجازیّة تلزم من تقیید المطلق،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المجازیّة تضرّ بصحّة التمسّک بالإطلاق بعد التقیید، أم لا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لزوم المجازیّة یلازم صحّة الاستناد و الاحتجاج بالمطلقات بعد التقیید، أم لا</w:t>
      </w:r>
      <w:r>
        <w:rPr>
          <w:rFonts w:eastAsia="IRNazanin" w:cs="IRNazanin"/>
          <w:color w:val="111111"/>
          <w:sz w:val="28"/>
          <w:szCs w:val="28"/>
          <w:rtl w:val="true"/>
          <w:lang w:bidi="fa-IR"/>
        </w:rPr>
        <w:t>.</w:t>
      </w:r>
      <w:bookmarkStart w:id="758" w:name="pg13167_141109"/>
    </w:p>
    <w:p>
      <w:pPr>
        <w:pStyle w:val="Heading5"/>
        <w:numPr>
          <w:ilvl w:val="4"/>
          <w:numId w:val="1"/>
        </w:numPr>
        <w:rPr/>
      </w:pPr>
      <w:bookmarkStart w:id="759" w:name="__RefHeading___Toc559880_3244359995"/>
      <w:bookmarkStart w:id="760" w:name="_Toc283"/>
      <w:bookmarkEnd w:id="758"/>
      <w:bookmarkEnd w:id="759"/>
      <w:r>
        <w:rPr>
          <w:rtl w:val="true"/>
        </w:rPr>
        <w:t>الأمر الأوّل</w:t>
      </w:r>
      <w:r>
        <w:rPr>
          <w:rtl w:val="true"/>
        </w:rPr>
        <w:t xml:space="preserve">: </w:t>
      </w:r>
      <w:r>
        <w:rPr>
          <w:rtl w:val="true"/>
        </w:rPr>
        <w:t>عدم استلزام التقیید للمجازیّة</w:t>
      </w:r>
      <w:bookmarkEnd w:id="760"/>
    </w:p>
    <w:p>
      <w:pPr>
        <w:pStyle w:val="Heading6"/>
        <w:numPr>
          <w:ilvl w:val="5"/>
          <w:numId w:val="1"/>
        </w:numPr>
        <w:rPr/>
      </w:pPr>
      <w:bookmarkStart w:id="761" w:name="__RefHeading___Toc559882_3244359995"/>
      <w:bookmarkStart w:id="762" w:name="_Toc284"/>
      <w:bookmarkEnd w:id="761"/>
      <w:r>
        <w:rPr>
          <w:rtl w:val="true"/>
        </w:rPr>
        <w:t>اشارة</w:t>
      </w:r>
      <w:bookmarkEnd w:id="762"/>
    </w:p>
    <w:p>
      <w:pPr>
        <w:pStyle w:val="BookText"/>
        <w:rPr/>
      </w:pPr>
      <w:r>
        <w:rPr>
          <w:rFonts w:ascii="IRNazanin" w:hAnsi="IRNazanin" w:eastAsia="IRNazanin"/>
          <w:color w:val="111111"/>
          <w:sz w:val="28"/>
          <w:sz w:val="28"/>
          <w:szCs w:val="28"/>
          <w:rtl w:val="true"/>
          <w:lang w:bidi="fa-IR"/>
        </w:rPr>
        <w:t xml:space="preserve">إنّ المجازیّة کما لیست لازمة لمقالة المتأخّرین، لا تلزم علی مقالة القدماء، ضرورة أنّهم إن أرادوا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فی مرحلة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نلتزم به، کما أبدعناه و شرحناه، فالأمر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منه أنّ اللفظ موضوع لحالة السریان و الشمول و الشیوع، فهو أیضا لا یلازم المجازیّة، لأنّ المراد الاستعمالیّ غیر المراد الجدّی، کما تحرّر فی العمومات اللفظیّة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یلزم المجازیّة لا بمعنی استعمال اللفظ فی غیر ما وضع له، بل بمعنی استعمال اللفظ فی الموضوع له و عدم کونه مرادا جدّیا و مقصودا واقعیّا، فما فی کلمات المتأخّرین من استلزام المجازیّة</w:t>
      </w:r>
      <w:r>
        <w:rPr>
          <w:rStyle w:val="FootnoteAnchor"/>
          <w:rtl w:val="true"/>
        </w:rPr>
        <w:footnoteReference w:id="1040"/>
      </w:r>
      <w:r>
        <w:rPr>
          <w:rFonts w:ascii="Amiri" w:hAnsi="Amiri" w:eastAsia="Amiri" w:cs="Amiri"/>
          <w:color w:val="111111"/>
          <w:sz w:val="28"/>
          <w:sz w:val="28"/>
          <w:szCs w:val="28"/>
          <w:rtl w:val="true"/>
          <w:lang w:bidi="ar-SA"/>
        </w:rPr>
        <w:t xml:space="preserve">تارة، و عدم الاستلزام </w:t>
      </w:r>
      <w:r>
        <w:rPr>
          <w:rStyle w:val="FootnoteAnchor"/>
          <w:rtl w:val="true"/>
        </w:rPr>
        <w:footnoteReference w:id="1041"/>
      </w:r>
      <w:r>
        <w:rPr>
          <w:rFonts w:ascii="IRNazanin" w:hAnsi="IRNazanin" w:eastAsia="IRNazanin"/>
          <w:color w:val="111111"/>
          <w:sz w:val="28"/>
          <w:sz w:val="28"/>
          <w:szCs w:val="28"/>
          <w:rtl w:val="true"/>
          <w:lang w:bidi="fa-IR"/>
        </w:rPr>
        <w:t>أخری، غیر واقع فی محلّه، أو محمول علی 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العلاّمة النهاوندیّ إنکار المجازیّة و لو أرید من المطلق المقیّد بخصوصیّته، توهّما أنّ المطلق عین المقیّد</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فیه من الخلط بین مقام الوضع و الحمل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تصویره علی وجه یکون الموضوع له خاصّا فی أسماء الأجناس</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تلزم المجازیّة فی تقیید الأعلام الشخصیّة و المعانی الحرفیّة، لأنّ</w:t>
      </w:r>
      <w:bookmarkStart w:id="763" w:name="pg13167_141110"/>
    </w:p>
    <w:p>
      <w:pPr>
        <w:pStyle w:val="BookText"/>
        <w:rPr/>
      </w:pPr>
      <w:bookmarkEnd w:id="763"/>
      <w:r>
        <w:rPr>
          <w:rFonts w:ascii="IRNazanin" w:hAnsi="IRNazanin" w:eastAsia="IRNazanin"/>
          <w:color w:val="111111"/>
          <w:sz w:val="28"/>
          <w:sz w:val="28"/>
          <w:szCs w:val="28"/>
          <w:rtl w:val="true"/>
          <w:lang w:bidi="fa-IR"/>
        </w:rPr>
        <w:t>الموضوع له فی ناحیة المطلق، لا إطلاق له علی وجه یستلزم تقییده المجازیّة</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الأعلام الشخصیّة فلأحد دعوی، أنّ الموضوع له ذو حالة ساریة، و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لمعنی أعمّ من طروّ العلم و الجهل، فاستعمال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الشخص العالم یلازم المجازیّة إذا کان المراد من الأعمّ هو اللابشرط القسمیّ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المعانی الحرفیّة، فبناء علی کون الموضوع له فیها العامّ فالأمر واضح، و علی أنّه الخاصّ فالتقیید خلاف الوضع، إلاّ أنّ معنی ذلک هو أنّ الموضوع له فی مثل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الإطلاق، فاستعماله فی الواجب المشروط و المقیّد نوع من المجاز، فما قیل من خروج هذه الأمور عن حریم البحث فی المقام </w:t>
      </w:r>
      <w:r>
        <w:rPr>
          <w:rStyle w:val="FootnoteAnchor"/>
          <w:rtl w:val="true"/>
        </w:rPr>
        <w:footnoteReference w:id="1044"/>
      </w:r>
      <w:r>
        <w:rPr>
          <w:rFonts w:ascii="Amiri" w:hAnsi="Amiri" w:eastAsia="Amiri" w:cs="Amiri"/>
          <w:color w:val="111111"/>
          <w:sz w:val="28"/>
          <w:sz w:val="28"/>
          <w:szCs w:val="28"/>
          <w:rtl w:val="true"/>
          <w:lang w:bidi="ar-SA"/>
        </w:rPr>
        <w:t>، 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یدّعی فی المعانی الحرفیّة أنّ الموضوع له مطلق، و التقیید مجاز، لا یرید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باب المطلق و المقیّد، بل یرید مصطلح الأوامر و النواهی و المفاهیم کما مرّ</w:t>
      </w:r>
      <w:r>
        <w:rPr>
          <w:rStyle w:val="FootnoteAnchor"/>
          <w:rtl w:val="true"/>
        </w:rPr>
        <w:footnoteReference w:id="1045"/>
      </w:r>
      <w:r>
        <w:rPr>
          <w:rFonts w:ascii="IRNazanin" w:hAnsi="IRNazanin" w:eastAsia="IRNazanin"/>
          <w:color w:val="111111"/>
          <w:sz w:val="28"/>
          <w:sz w:val="28"/>
          <w:szCs w:val="28"/>
          <w:rtl w:val="true"/>
          <w:lang w:bidi="fa-IR"/>
        </w:rPr>
        <w:t>، و عندئذ یکون التقیید و الاستعمال فی الوجوب المشروط من المجاز عنده، فلیتدبّر جیّدا</w:t>
      </w:r>
      <w:r>
        <w:rPr>
          <w:rFonts w:eastAsia="IRNazanin" w:cs="IRNazanin"/>
          <w:color w:val="111111"/>
          <w:sz w:val="28"/>
          <w:szCs w:val="28"/>
          <w:rtl w:val="true"/>
          <w:lang w:bidi="fa-IR"/>
        </w:rPr>
        <w:t>.</w:t>
      </w:r>
    </w:p>
    <w:p>
      <w:pPr>
        <w:pStyle w:val="Heading6"/>
        <w:numPr>
          <w:ilvl w:val="5"/>
          <w:numId w:val="1"/>
        </w:numPr>
        <w:rPr/>
      </w:pPr>
      <w:bookmarkStart w:id="764" w:name="__RefHeading___Toc559884_3244359995"/>
      <w:bookmarkStart w:id="765" w:name="_Toc285"/>
      <w:bookmarkEnd w:id="764"/>
      <w:r>
        <w:rPr>
          <w:rtl w:val="true"/>
        </w:rPr>
        <w:t>تنبیه</w:t>
      </w:r>
      <w:r>
        <w:rPr>
          <w:rtl w:val="true"/>
        </w:rPr>
        <w:t xml:space="preserve">: </w:t>
      </w:r>
      <w:r>
        <w:rPr>
          <w:rtl w:val="true"/>
        </w:rPr>
        <w:t>حول التفصیل فی المجازیّة بین المقیّد المتصل و المنفصل</w:t>
      </w:r>
      <w:bookmarkEnd w:id="765"/>
    </w:p>
    <w:p>
      <w:pPr>
        <w:pStyle w:val="BookText"/>
        <w:rPr/>
      </w:pPr>
      <w:r>
        <w:rPr>
          <w:rFonts w:ascii="IRNazanin" w:hAnsi="IRNazanin" w:eastAsia="IRNazanin"/>
          <w:color w:val="111111"/>
          <w:sz w:val="28"/>
          <w:sz w:val="28"/>
          <w:szCs w:val="28"/>
          <w:rtl w:val="true"/>
          <w:lang w:bidi="fa-IR"/>
        </w:rPr>
        <w:t xml:space="preserve">ربّما یتوهّم التفصیل فی المجازیّة بین التقیید بالمتّصل و المنفصل </w:t>
      </w:r>
      <w:r>
        <w:rPr>
          <w:rStyle w:val="FootnoteAnchor"/>
          <w:rtl w:val="true"/>
        </w:rPr>
        <w:footnoteReference w:id="1046"/>
      </w:r>
      <w:r>
        <w:rPr>
          <w:rFonts w:ascii="Amiri" w:hAnsi="Amiri" w:eastAsia="Amiri" w:cs="Amiri"/>
          <w:color w:val="111111"/>
          <w:sz w:val="28"/>
          <w:sz w:val="28"/>
          <w:szCs w:val="28"/>
          <w:rtl w:val="true"/>
          <w:lang w:bidi="ar-SA"/>
        </w:rPr>
        <w:t>، و لمّا یتبیّن بعد قائله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الألفاظ لا معنی لها إلاّ فی الجمل التصدیقیّة، فعلیه</w:t>
      </w:r>
      <w:bookmarkStart w:id="766" w:name="pg13167_141111"/>
    </w:p>
    <w:p>
      <w:pPr>
        <w:pStyle w:val="BookText"/>
        <w:rPr/>
      </w:pPr>
      <w:bookmarkEnd w:id="766"/>
      <w:r>
        <w:rPr>
          <w:rFonts w:ascii="IRNazanin" w:hAnsi="IRNazanin" w:eastAsia="IRNazanin"/>
          <w:color w:val="111111"/>
          <w:sz w:val="28"/>
          <w:sz w:val="28"/>
          <w:szCs w:val="28"/>
          <w:rtl w:val="true"/>
          <w:lang w:bidi="fa-IR"/>
        </w:rPr>
        <w:t>یکون التقیید بالمتّصل غیر مناف لمعنی اللفظ، بخلاف التقیید بالمنفصل، ضرورة أنّ حصول التصدیق یستلزم المجازیّة إذا ورد التقیید المنافی له، فتأمّل</w:t>
      </w:r>
      <w:r>
        <w:rPr>
          <w:rFonts w:eastAsia="IRNazanin" w:cs="IRNazanin"/>
          <w:color w:val="111111"/>
          <w:sz w:val="28"/>
          <w:szCs w:val="28"/>
          <w:rtl w:val="true"/>
          <w:lang w:bidi="fa-IR"/>
        </w:rPr>
        <w:t>.</w:t>
      </w:r>
    </w:p>
    <w:p>
      <w:pPr>
        <w:pStyle w:val="Heading5"/>
        <w:numPr>
          <w:ilvl w:val="4"/>
          <w:numId w:val="1"/>
        </w:numPr>
        <w:rPr/>
      </w:pPr>
      <w:bookmarkStart w:id="767" w:name="__RefHeading___Toc559886_3244359995"/>
      <w:bookmarkStart w:id="768" w:name="_Toc286"/>
      <w:bookmarkEnd w:id="767"/>
      <w:r>
        <w:rPr>
          <w:rtl w:val="true"/>
        </w:rPr>
        <w:t>الأمر الثانی</w:t>
      </w:r>
      <w:r>
        <w:rPr>
          <w:rtl w:val="true"/>
        </w:rPr>
        <w:t xml:space="preserve">: </w:t>
      </w:r>
      <w:r>
        <w:rPr>
          <w:rtl w:val="true"/>
        </w:rPr>
        <w:t>صحّة التمسّک بالمطلق علی القول بالمجازیّة</w:t>
      </w:r>
      <w:bookmarkEnd w:id="768"/>
    </w:p>
    <w:p>
      <w:pPr>
        <w:pStyle w:val="BookText"/>
        <w:rPr/>
      </w:pPr>
      <w:r>
        <w:rPr>
          <w:rFonts w:ascii="IRNazanin" w:hAnsi="IRNazanin" w:eastAsia="IRNazanin"/>
          <w:color w:val="111111"/>
          <w:sz w:val="28"/>
          <w:sz w:val="28"/>
          <w:szCs w:val="28"/>
          <w:rtl w:val="true"/>
          <w:lang w:bidi="fa-IR"/>
        </w:rPr>
        <w:t xml:space="preserve">لو سلّمنا أنّ التقیید یستلزم المجازیّة، فالحقّ بقاء صحّة الاحتجاج و الاستناد لرفع الشکّ و الشبهة بعد التقیید، لبناء العرف و العقلاء فی المحاورات علیه بالضرورة، فإنّ العقلاء لا یعتنون بکیفیّات الاستعمال، من المجازیّة و الحقیقیّة و الکنایة و الاستعارة، بل هم بعد فهم المراد یحتجّون بالکلام ما دام لم تقم القرینة الخاصّة علی خلاف المراد، و علی ضدّ أصالة الجدّ، و قد مرّ تحقیقه بتفصیل فی مباحث العامّ و الخاصّ </w:t>
      </w:r>
      <w:r>
        <w:rPr>
          <w:rStyle w:val="FootnoteAnchor"/>
          <w:rtl w:val="true"/>
        </w:rPr>
        <w:footnoteReference w:id="1047"/>
      </w:r>
      <w:r>
        <w:rPr>
          <w:rFonts w:ascii="IRNazanin" w:hAnsi="IRNazanin" w:eastAsia="IRNazanin"/>
          <w:color w:val="111111"/>
          <w:sz w:val="28"/>
          <w:sz w:val="28"/>
          <w:szCs w:val="28"/>
          <w:rtl w:val="true"/>
          <w:lang w:bidi="fa-IR"/>
        </w:rPr>
        <w:t>، فعلی هذا لا ثمرة فی البحث السابق و فی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یستظهر من القوم من سقوط الحجّیة بالتقیید، غیر قابل للتصدیق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إنکار الحجّیة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یحتجّون بعد التقیید، لما لا یرون المجازیّة فی الاستعمال بعد التقیید، فی محلّها إلاّ أنّ إنکارها لا یلازم الإنکار المذکور، فلا تخلط، و کن علی بصیرة</w:t>
      </w:r>
      <w:r>
        <w:rPr>
          <w:rFonts w:eastAsia="IRNazanin" w:cs="IRNazanin"/>
          <w:color w:val="111111"/>
          <w:sz w:val="28"/>
          <w:szCs w:val="28"/>
          <w:rtl w:val="true"/>
          <w:lang w:bidi="fa-IR"/>
        </w:rPr>
        <w:t>.</w:t>
      </w:r>
    </w:p>
    <w:p>
      <w:pPr>
        <w:pStyle w:val="Heading5"/>
        <w:numPr>
          <w:ilvl w:val="4"/>
          <w:numId w:val="1"/>
        </w:numPr>
        <w:rPr/>
      </w:pPr>
      <w:bookmarkStart w:id="769" w:name="__RefHeading___Toc559888_3244359995"/>
      <w:bookmarkStart w:id="770" w:name="_Toc287"/>
      <w:bookmarkEnd w:id="769"/>
      <w:r>
        <w:rPr>
          <w:rtl w:val="true"/>
        </w:rPr>
        <w:t>الأمر الثالث</w:t>
      </w:r>
      <w:r>
        <w:rPr>
          <w:rtl w:val="true"/>
        </w:rPr>
        <w:t xml:space="preserve">: </w:t>
      </w:r>
      <w:r>
        <w:rPr>
          <w:rtl w:val="true"/>
        </w:rPr>
        <w:t>نفی الملازمة بین عدم المجازیّة و صحّة التمسّک بالمطلق</w:t>
      </w:r>
      <w:bookmarkEnd w:id="77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سلّمنا أنّ التقیید لا یستلزم المجازیّة، و لکن لإنکار حجّیة المطلق بعد ورود التقیید وجه، و هو أنّ من مقدّمات الإطلاق کون المولی فی مقام البیان و لم</w:t>
      </w:r>
    </w:p>
    <w:p>
      <w:pPr>
        <w:pStyle w:val="BookText"/>
        <w:rPr/>
      </w:pPr>
      <w:r>
        <w:rPr>
          <w:rFonts w:ascii="IRNazanin" w:hAnsi="IRNazanin" w:eastAsia="IRNazanin"/>
          <w:color w:val="111111"/>
          <w:sz w:val="28"/>
          <w:sz w:val="28"/>
          <w:szCs w:val="28"/>
          <w:rtl w:val="true"/>
          <w:lang w:bidi="fa-IR"/>
        </w:rPr>
        <w:t>یذکر القید، فإن بقیت هذه المقدّمة علی قوّتها یتمّ الإطلاق، و یصلح للمرجعیّة عند الشکّ و الشبهة، و إلاّ فبورود دلیل القید یستکشف أنّه کان فی موقف أصل التشریع و الجعل، و یتبیّن من ذلک إمکان ورود التقیید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العمومات لا یستلزم التخصیص مناقشة فی حجّیة العامّ، لعدم تعنون العامّ بضدّ الخاصّ، فلا یکون فی الکلام ما یصلح للقرینیّة علی عدم کون المولی فی مقام البیان، لعدم الحاجة إلی مقدّمات الإطلاق هناک مثلا، و أمّا فی باب المطلق و المقیّد فالمطلق یعنون بضدّ المقیّد، و یصیر جزء الموضوع، و عندئذ یصحّ الشکّ فی کونه فی مقام البیان من غیر إمکان رفعه بأصالة الإطلاق، لأنّه من الشکّ فی أصل وجوده شکّا مستقرّا ذا منشأ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یمکن أن یحرّر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بمعزل عن التحقیق من جهات عدیدة أشیر إلیها فی البحوث السابقة، و ما هو الحجر الأساسیّ أنّ تقیید المطلقات لا یورث تعنونها بعنوان ضدّ المقیّد، و لو کان یعنون به فلا وجه لکونه قرینة علی عدم کونه فی مقام البیان من النواحی الاخر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راجعنا البناءات العرفیّة و العقلائیّة، نجد أنّهم یحکمون بأنّ قوله تعالی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1048"/>
      </w:r>
      <w:r>
        <w:rPr>
          <w:rFonts w:ascii="IRNazanin" w:hAnsi="IRNazanin" w:eastAsia="IRNazanin"/>
          <w:color w:val="111111"/>
          <w:sz w:val="28"/>
          <w:sz w:val="28"/>
          <w:szCs w:val="28"/>
          <w:rtl w:val="true"/>
          <w:lang w:bidi="fa-IR"/>
        </w:rPr>
        <w:t xml:space="preserve">مقیّد بما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و مع ذلک یتمسّکون به عند الشکّ و الشبهة بعد التقیید، معلّلین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القیود الاخر لو کانت دخیلة لبیّنها، و حیث لم یبیّنها الشرع، فما هو تمام الموضوع للحکم هو البیع مع القید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و سیمرّ علیک بعض الکلام حوله إن شاء اللَّه تعالی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تبیّنت هذه الجهات الکافلة لمهمّات الأمور اللازمة المتعرّض لها، تصل النوبة إلی مباحث المطلق و المقیّد علی ما سلکه المتأخّرون، حیث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إثبات الإطلاق العَرْضیّ للکلام، و إثبات الإطلاق المتمسّک به عند الشکّ و الشبهة حول القضایا التصدیقیّة و الإنشاءات الشرعیّة، یحتاج إلی المقدّمات الخارجیّة العقلیّة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الحکمة</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 نوبة البحث عن النزاع الآخر بین المتأخّرین، و هو أنّ توصیف الکلام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یحتاج إلی المقدّمات العدیدة، أم تکفی مقدّمة واحدة؟</w:t>
      </w:r>
    </w:p>
    <w:p>
      <w:pPr>
        <w:pStyle w:val="BookText"/>
        <w:rPr/>
      </w:pPr>
      <w:r>
        <w:rPr>
          <w:rFonts w:ascii="IRNazanin" w:hAnsi="IRNazanin" w:eastAsia="IRNazanin"/>
          <w:color w:val="111111"/>
          <w:sz w:val="28"/>
          <w:sz w:val="28"/>
          <w:szCs w:val="28"/>
          <w:rtl w:val="true"/>
          <w:lang w:bidi="fa-IR"/>
        </w:rPr>
        <w:t>ثمّ النزاع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نتیجة هذه المقدّمات هل هی السریان و الشیوع فی بعض المواضع، أم نتیجتها أنّ الطبیعة تمام الموضوع للحکم، و لا یکون الشی‌ء الآخر دخیلا فیه؟</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یحصل من تلک المقدّمات رفض القیود، أم جمع القیود، و یترتّب علی النزاع الأخیر صحّة تقسیم الإطلاق إلی البدلیّ و الشمولیّ، و عدم صحّته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مباحث</w:t>
      </w:r>
      <w:r>
        <w:rPr>
          <w:rFonts w:eastAsia="IRNazanin" w:cs="IRNazanin"/>
          <w:color w:val="111111"/>
          <w:sz w:val="28"/>
          <w:szCs w:val="28"/>
          <w:rtl w:val="true"/>
          <w:lang w:bidi="fa-IR"/>
        </w:rPr>
        <w:t>:</w:t>
      </w:r>
      <w:bookmarkStart w:id="771" w:name="pg13167_141115"/>
    </w:p>
    <w:p>
      <w:pPr>
        <w:pStyle w:val="Heading3"/>
        <w:numPr>
          <w:ilvl w:val="2"/>
          <w:numId w:val="1"/>
        </w:numPr>
        <w:rPr/>
      </w:pPr>
      <w:bookmarkStart w:id="772" w:name="__RefHeading___Toc559890_3244359995"/>
      <w:bookmarkStart w:id="773" w:name="_Toc288"/>
      <w:bookmarkEnd w:id="771"/>
      <w:bookmarkEnd w:id="772"/>
      <w:r>
        <w:rPr>
          <w:rtl w:val="true"/>
        </w:rPr>
        <w:t>المبحث الأوّل حول مقدّمات الحکمة</w:t>
      </w:r>
      <w:bookmarkEnd w:id="773"/>
    </w:p>
    <w:p>
      <w:pPr>
        <w:pStyle w:val="Heading4"/>
        <w:numPr>
          <w:ilvl w:val="3"/>
          <w:numId w:val="1"/>
        </w:numPr>
        <w:rPr/>
      </w:pPr>
      <w:bookmarkStart w:id="774" w:name="__RefHeading___Toc559892_3244359995"/>
      <w:bookmarkStart w:id="775" w:name="_Toc289"/>
      <w:bookmarkEnd w:id="774"/>
      <w:r>
        <w:rPr>
          <w:rtl w:val="true"/>
        </w:rPr>
        <w:t>اشارة</w:t>
      </w:r>
      <w:bookmarkEnd w:id="775"/>
    </w:p>
    <w:p>
      <w:pPr>
        <w:pStyle w:val="BookText"/>
        <w:rPr/>
      </w:pPr>
      <w:r>
        <w:rPr>
          <w:rFonts w:ascii="IRNazanin" w:hAnsi="IRNazanin" w:eastAsia="IRNazanin"/>
          <w:color w:val="111111"/>
          <w:sz w:val="28"/>
          <w:sz w:val="28"/>
          <w:szCs w:val="28"/>
          <w:rtl w:val="true"/>
          <w:lang w:bidi="fa-IR"/>
        </w:rPr>
        <w:t>و هذا المبحث یتکفّل النزاع الأوّل، و أنّ المقدّمات اللازمة 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فمن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تبلغ إلی أربع</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اثنتان</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و یظهر من بعضهم أنّها واحدة</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الفحص عن ذلک کلّه، لما یترتّب علیه من الأثر الکبیر فی الفقه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یظهر من العلاّمة المحشّی الإیروانیّ قدس سره من إنکار الحاجة إلی المقدّمات کلّها</w:t>
      </w:r>
      <w:r>
        <w:rPr>
          <w:rStyle w:val="FootnoteAnchor"/>
          <w:rtl w:val="true"/>
        </w:rPr>
        <w:footnoteReference w:id="1056"/>
      </w:r>
      <w:r>
        <w:rPr>
          <w:rFonts w:ascii="IRNazanin" w:hAnsi="IRNazanin" w:eastAsia="IRNazanin"/>
          <w:color w:val="111111"/>
          <w:sz w:val="28"/>
          <w:sz w:val="28"/>
          <w:szCs w:val="28"/>
          <w:rtl w:val="true"/>
          <w:lang w:bidi="fa-IR"/>
        </w:rPr>
        <w:t>، فهو فی غیر محلّه، لما عرفت سابقا و أشرنا إلی وجه الإنکار مع جوابه، و ذکرنا أنّ من القوانین ما لا یکون المتکلّم فیها فی مقام البیان إلاّ من جهة دون جهة، و أنّ المقامات و المواقف توجب الاختلاف فی جواز التمسّک و عدمه</w:t>
      </w:r>
      <w:r>
        <w:rPr>
          <w:rFonts w:eastAsia="IRNazanin" w:cs="IRNazanin"/>
          <w:color w:val="111111"/>
          <w:sz w:val="28"/>
          <w:szCs w:val="28"/>
          <w:rtl w:val="true"/>
          <w:lang w:bidi="fa-IR"/>
        </w:rPr>
        <w:t>.</w:t>
      </w:r>
      <w:bookmarkStart w:id="776" w:name="pg13167_141116"/>
    </w:p>
    <w:p>
      <w:pPr>
        <w:pStyle w:val="BookText"/>
        <w:rPr/>
      </w:pPr>
      <w:bookmarkEnd w:id="776"/>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التمسّک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لَکُمْ بَهِیمَةُ الْأَنْعامِ </w:t>
      </w:r>
      <w:r>
        <w:rPr>
          <w:rStyle w:val="FootnoteAnchor"/>
          <w:rtl w:val="true"/>
        </w:rPr>
        <w:footnoteReference w:id="1057"/>
      </w:r>
      <w:r>
        <w:rPr>
          <w:rFonts w:ascii="IRNazanin" w:hAnsi="IRNazanin" w:eastAsia="IRNazanin"/>
          <w:color w:val="111111"/>
          <w:sz w:val="28"/>
          <w:sz w:val="28"/>
          <w:szCs w:val="28"/>
          <w:rtl w:val="true"/>
          <w:lang w:bidi="fa-IR"/>
        </w:rPr>
        <w:t>لرفع الشکّ فی حلّیة الذبیحة، أو الموطوءة، أو بهیمة الغیر</w:t>
      </w:r>
      <w:r>
        <w:rPr>
          <w:rStyle w:val="FootnoteAnchor"/>
          <w:rtl w:val="true"/>
        </w:rPr>
        <w:footnoteReference w:id="1058"/>
      </w:r>
      <w:r>
        <w:rPr>
          <w:rFonts w:ascii="Amiri" w:hAnsi="Amiri" w:eastAsia="Amiri" w:cs="Amiri"/>
          <w:color w:val="111111"/>
          <w:sz w:val="28"/>
          <w:sz w:val="28"/>
          <w:szCs w:val="28"/>
          <w:rtl w:val="true"/>
          <w:lang w:bidi="ar-SA"/>
        </w:rPr>
        <w:t>، و لا یجوز التمسّک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أَمْسَکْنَ </w:t>
      </w:r>
      <w:r>
        <w:rPr>
          <w:rStyle w:val="FootnoteAnchor"/>
          <w:rtl w:val="true"/>
        </w:rPr>
        <w:footnoteReference w:id="1059"/>
      </w:r>
      <w:r>
        <w:rPr>
          <w:rFonts w:ascii="IRNazanin" w:hAnsi="IRNazanin" w:eastAsia="IRNazanin"/>
          <w:color w:val="111111"/>
          <w:sz w:val="28"/>
          <w:sz w:val="28"/>
          <w:szCs w:val="28"/>
          <w:rtl w:val="true"/>
          <w:lang w:bidi="fa-IR"/>
        </w:rPr>
        <w:t>لرفع الشکّ فی حلّیته لأجل نجاسة الصید بملاقاة الکلب، و ما ذلک إلاّ لأجل أنّ المولی لیس فی مقام بیان الحکم إلاّ من ناحیة معلومة، لا مطلق النواحی،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الکلام بالإطلاق المزبور یحتاج إلی الجهات الخارجیّة، و لا یکون الإطلاق المتمسّک به فی الجمل التصدیقیّة من الخارج المحمول و الذاتیّ، فإذا کان لطریانه علی الکلام علّة خارجیّة قطعیّة، فقد اختلفوا فی تلک العلّة، هل هی أمر واحد، أم مرکّب من أمور ثلاثة، أم أربعة؟</w:t>
      </w:r>
    </w:p>
    <w:p>
      <w:pPr>
        <w:pStyle w:val="Heading4"/>
        <w:numPr>
          <w:ilvl w:val="3"/>
          <w:numId w:val="1"/>
        </w:numPr>
        <w:rPr/>
      </w:pPr>
      <w:bookmarkStart w:id="777" w:name="__RefHeading___Toc559894_3244359995"/>
      <w:bookmarkStart w:id="778" w:name="_Toc290"/>
      <w:bookmarkEnd w:id="777"/>
      <w:r>
        <w:rPr>
          <w:rtl w:val="true"/>
        </w:rPr>
        <w:t>المقدّمة الأولی</w:t>
      </w:r>
      <w:r>
        <w:rPr>
          <w:rtl w:val="true"/>
        </w:rPr>
        <w:t>:</w:t>
      </w:r>
      <w:bookmarkEnd w:id="778"/>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المقدّمات التی ربّما تذکر فی المقام، هی أن یکون الموضوع ممّا یمکن فیه الإطلاق و التقیید، و قابلا لهما، کالانقسامات السابقة علی لحوق الحکم و وروده، و أمّا الانقسامات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کقصد القربة، و اعتبار العلم و الجهل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ممّا لا یمکن فیها الإطلاق و التقیید، فلا مجال فیها للتمسّک بالإطلاق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عن ذلک فیما سبق، و تحرّر منّا أنّ منشأ هذا التوهّم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الإطلاق و التقیید تقابل العدم و الملکة، و علمت أنّ علی فرض تمامیّة التقابل</w:t>
      </w:r>
      <w:bookmarkStart w:id="779" w:name="pg13167_141117"/>
    </w:p>
    <w:p>
      <w:pPr>
        <w:pStyle w:val="BookText"/>
        <w:rPr/>
      </w:pPr>
      <w:bookmarkEnd w:id="779"/>
      <w:r>
        <w:rPr>
          <w:rFonts w:ascii="IRNazanin" w:hAnsi="IRNazanin" w:eastAsia="IRNazanin"/>
          <w:color w:val="111111"/>
          <w:sz w:val="28"/>
          <w:sz w:val="28"/>
          <w:szCs w:val="28"/>
          <w:rtl w:val="true"/>
          <w:lang w:bidi="fa-IR"/>
        </w:rPr>
        <w:t>المزبور لا یتمّ الوجه المذکور، فإنّ امتناع التقیید لا یستلزم امتناع الإطلاق ثبوتا، و بحسب نفس الواقع، و أمّا بحسب مقام الاحتجاج فلو أمکن إفادة القید بالبیان المنفصل و بنحو آخر من الکلام، فیتمّ الإطلاق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فرضنا امتناع إفادة القید فی جمیع الأحیان و الأزمان، و بأیّة کیفیّة من البیان، لا یتمّ الإطلاق، و لکنّه مجرّد فرض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المناقشة فی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من شرائط مصبّ الإطلاق، أو هی مقوّمة لموضوع الإطلاق و التقیید، کما فی تقریرات العلاّمة النائینیّ </w:t>
      </w:r>
      <w:r>
        <w:rPr>
          <w:rStyle w:val="FootnoteAnchor"/>
          <w:rtl w:val="true"/>
        </w:rPr>
        <w:footnoteReference w:id="1062"/>
      </w:r>
      <w:r>
        <w:rPr>
          <w:rFonts w:ascii="IRNazanin" w:hAnsi="IRNazanin" w:eastAsia="IRNazanin"/>
          <w:color w:val="111111"/>
          <w:sz w:val="28"/>
          <w:sz w:val="28"/>
          <w:szCs w:val="28"/>
          <w:rtl w:val="true"/>
          <w:lang w:bidi="fa-IR"/>
        </w:rPr>
        <w:t>، فهی غریبة، ضرورة أنّ ذات الطبیعة لیست معروض الإطلاق و التقیید، بل الإطلاق و التقیید من ملاحظة الحکم المتعلّق بها، فلا تخلط</w:t>
      </w:r>
      <w:r>
        <w:rPr>
          <w:rFonts w:eastAsia="IRNazanin" w:cs="IRNazanin"/>
          <w:color w:val="111111"/>
          <w:sz w:val="28"/>
          <w:szCs w:val="28"/>
          <w:rtl w:val="true"/>
          <w:lang w:bidi="fa-IR"/>
        </w:rPr>
        <w:t>.</w:t>
      </w:r>
    </w:p>
    <w:p>
      <w:pPr>
        <w:pStyle w:val="Heading4"/>
        <w:numPr>
          <w:ilvl w:val="3"/>
          <w:numId w:val="1"/>
        </w:numPr>
        <w:rPr/>
      </w:pPr>
      <w:bookmarkStart w:id="780" w:name="__RefHeading___Toc559896_3244359995"/>
      <w:bookmarkStart w:id="781" w:name="_Toc291"/>
      <w:bookmarkEnd w:id="780"/>
      <w:r>
        <w:rPr>
          <w:rtl w:val="true"/>
        </w:rPr>
        <w:t>المقدّمة الثانیة و الثالثة</w:t>
      </w:r>
      <w:r>
        <w:rPr>
          <w:rtl w:val="true"/>
        </w:rPr>
        <w:t>:</w:t>
      </w:r>
      <w:bookmarkEnd w:id="781"/>
    </w:p>
    <w:p>
      <w:pPr>
        <w:pStyle w:val="Heading5"/>
        <w:numPr>
          <w:ilvl w:val="4"/>
          <w:numId w:val="1"/>
        </w:numPr>
        <w:rPr/>
      </w:pPr>
      <w:bookmarkStart w:id="782" w:name="__RefHeading___Toc559898_3244359995"/>
      <w:bookmarkStart w:id="783" w:name="_Toc292"/>
      <w:bookmarkEnd w:id="782"/>
      <w:r>
        <w:rPr>
          <w:rtl w:val="true"/>
        </w:rPr>
        <w:t>اشارة</w:t>
      </w:r>
      <w:bookmarkEnd w:id="78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المقنّن و الآمر فی موقف توضیح المرام، و فی مقام بیان الحکم، فلو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الأغراض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إفادة أصل التشریع، أو فی مقام إفادة الحکم من جهة خاصّة دون جهة، فلا یتمّ الإطلاق، و عندئذ یوصف الکلام فی مرحلة الإثبات بالإهمال و الإجمال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الأوامر و القوانین المختلفة الصادرة عنه صلی اللَّه علیه و آله و سلم متعاقبة فی مجلس واحد، فإنّه 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سلم فی موقف تشریع الحکم و إفادة أصل مشروعیّة طبیعة کذا، و لیس فی مقام إفادة المرام، نظیر الآیتین السابقتین المتعرّضة إحداهما لتحلیل بهیمة الأنعام، و الأخری لتحلیل ما اصطاده الکلب المعلّم، فإنّهما لیستا فی</w:t>
      </w:r>
    </w:p>
    <w:p>
      <w:pPr>
        <w:pStyle w:val="BookText"/>
        <w:rPr/>
      </w:pPr>
      <w:r>
        <w:rPr>
          <w:rFonts w:ascii="IRNazanin" w:hAnsi="IRNazanin" w:eastAsia="IRNazanin"/>
          <w:color w:val="111111"/>
          <w:sz w:val="28"/>
          <w:sz w:val="28"/>
          <w:szCs w:val="28"/>
          <w:rtl w:val="true"/>
          <w:lang w:bidi="fa-IR"/>
        </w:rPr>
        <w:t>مقام توضیح الحکم من جمیع النواحی و الجهات، بل هما فی موقف إفادة حلّیة بهیمة الأنعام، فی مقابل حرمة مثل الکلب و الخنزیر و المسوخ، لا فی مقابل حرمة الموطوءة و غیر المذکّاة و مال الغیر، و فی مقام إفادة حلّیة الصید بالکلب المعلّم، و أمّا طهارة محلّ الملاقاة معه فلیست محطّ نظر المتکلّم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منهم قدس سرهم کفایة کون المتکلّم فی مقام البیان، و فی موقف توضیح المرام </w:t>
      </w:r>
      <w:r>
        <w:rPr>
          <w:rStyle w:val="FootnoteAnchor"/>
          <w:rtl w:val="true"/>
        </w:rPr>
        <w:footnoteReference w:id="1063"/>
      </w:r>
      <w:r>
        <w:rPr>
          <w:rFonts w:ascii="IRNazanin" w:hAnsi="IRNazanin" w:eastAsia="IRNazanin"/>
          <w:color w:val="111111"/>
          <w:sz w:val="28"/>
          <w:sz w:val="28"/>
          <w:szCs w:val="28"/>
          <w:rtl w:val="true"/>
          <w:lang w:bidi="fa-IR"/>
        </w:rPr>
        <w:t>، و هذا غیر صحیح، ضرورة أنّ من کان فی مقام التشریع مثلا و إفادة أصل مشروعیّة الحکم، أیضا هو یکون فی مقام إفادة مرامه، و فی مقام إفادة تمام مرامه، و هو أصل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من تتمیم هذه المقدّمة حتّی تکون نافعة، و هو أن یکون المولی مثلا فی مقام إفادة أنّ ما هو الموضوع للحکم تمام الموضوع،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المتعلّق، و متعلّق المتعلّق، و الموضوع، و المکلّف،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ما هو الحقّ فی باب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فی مقام إفادة أنّ الحکم سار إلی جمیع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علی ما سلکه جمع من المتأخّرین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مجرّد کون المتکلّم فی مقام بیان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تحلیل هذه المقدّمة من هذه الجهة إلی مقدّمتین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المتکلّم فی مقام بیان المرام، فی مقابل المتکلّم الهازل اللاغی</w:t>
      </w:r>
      <w:r>
        <w:rPr>
          <w:rFonts w:eastAsia="IRNazanin" w:cs="IRNazanin"/>
          <w:color w:val="111111"/>
          <w:sz w:val="28"/>
          <w:szCs w:val="28"/>
          <w:rtl w:val="true"/>
          <w:lang w:bidi="fa-IR"/>
        </w:rPr>
        <w:t>.</w:t>
      </w:r>
      <w:bookmarkStart w:id="784" w:name="pg13167_141119"/>
    </w:p>
    <w:p>
      <w:pPr>
        <w:pStyle w:val="BookText"/>
        <w:rPr/>
      </w:pPr>
      <w:bookmarkEnd w:id="784"/>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مقام إفادة أنّ ما هو المأخوذ موضوعا فی الکلام تمام الموضوع، أو أنّ ما هو المأخوذ فی الکلام مرآة لجمیع الحالات و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یظهر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مع فرض کونه فی مقام إفادة أنّ الموضوع المأخوذ تمام الموضوع، تسقط المقدّمة الثالثة المتوهّمة المذکورة، و هی أن لا یذکر القرینة المتّصلة، أو کالمتّصلة</w:t>
      </w:r>
      <w:r>
        <w:rPr>
          <w:rStyle w:val="FootnoteAnchor"/>
          <w:rtl w:val="true"/>
        </w:rPr>
        <w:footnoteReference w:id="1065"/>
      </w:r>
      <w:r>
        <w:rPr>
          <w:rFonts w:ascii="IRNazanin" w:hAnsi="IRNazanin" w:eastAsia="IRNazanin"/>
          <w:color w:val="111111"/>
          <w:sz w:val="28"/>
          <w:sz w:val="28"/>
          <w:szCs w:val="28"/>
          <w:rtl w:val="true"/>
          <w:lang w:bidi="fa-IR"/>
        </w:rPr>
        <w:t>، ضرورة أنّ مع الفرض المزبور لا بدّ و أن لا یکون فی کلامه قید حتّی یدلّ علی أنّ الموضوع المذکور جزء موضوع حکمه، لا تمام الموضوع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إلی هنا إمکان إرجاع هذه المقدّمة إلی المقدّمتین المشار إلیهما، و هذا ممّا لا بأس به، و تحصّل سقوط المقدّمة الثالثة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المناقشة فی المقدّمة الثالثة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أنّها محقّقة لمحلّ البحث</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فهی لیست من دأب المحصّلین، لأنّ المقصود بیان ما یحتاج إلیه فی اتصاف الکلام بالإطلاق حتّی یتمسّک به عند الشکّ و الشبهة، سواء عدّ من الشرائط الاصطلاحیّة، أو المقدّمات و المحقّقات</w:t>
      </w:r>
      <w:r>
        <w:rPr>
          <w:rFonts w:eastAsia="IRNazanin" w:cs="IRNazanin"/>
          <w:color w:val="111111"/>
          <w:sz w:val="28"/>
          <w:szCs w:val="28"/>
          <w:rtl w:val="true"/>
          <w:lang w:bidi="fa-IR"/>
        </w:rPr>
        <w:t>.</w:t>
      </w:r>
    </w:p>
    <w:p>
      <w:pPr>
        <w:pStyle w:val="Heading5"/>
        <w:numPr>
          <w:ilvl w:val="4"/>
          <w:numId w:val="1"/>
        </w:numPr>
        <w:rPr/>
      </w:pPr>
      <w:bookmarkStart w:id="785" w:name="__RefHeading___Toc559900_3244359995"/>
      <w:bookmarkStart w:id="786" w:name="_Toc293"/>
      <w:bookmarkEnd w:id="785"/>
      <w:r>
        <w:rPr>
          <w:rtl w:val="true"/>
        </w:rPr>
        <w:t>تنبیه</w:t>
      </w:r>
      <w:r>
        <w:rPr>
          <w:rtl w:val="true"/>
        </w:rPr>
        <w:t xml:space="preserve">: </w:t>
      </w:r>
      <w:r>
        <w:rPr>
          <w:rtl w:val="true"/>
        </w:rPr>
        <w:t>فی أنّ ذکر القید المنفصل لا یضرّ بالإطلاق</w:t>
      </w:r>
      <w:bookmarkEnd w:id="78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العلاّمة النائینیّ قدس سره فی توضیح المقدّمة الثالثة، أنّه لا بدّ و أن لا یذکر القید من المتّصل و المنفصل </w:t>
      </w:r>
      <w:r>
        <w:rPr>
          <w:rStyle w:val="FootnoteAnchor"/>
          <w:rtl w:val="true"/>
        </w:rPr>
        <w:footnoteReference w:id="106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الفساد، فإنّ عدم ذکر المنفصل لو کان شرطا، یلزم عدم انعقاد الإطلاق، فإنّه لا یمکن إحراز عدم ذکر القید المنفصل إلاّ بمضیّ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 کلامه علی ما ینسب أحیانا إلی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ذکر القید فی عصر التشریع، فلا یجوز التمسّک بمطلقات عصر النبوّة، للزوم انتظار عصر القید و صدور القرینة، و لا دلیل علی عدم ذکر القید عقلا، و لا شرعا، بل قضیّة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القیود المتأخّرة جزما، و مع ذلک کانوا یتمسّکون بإطلاق کلمات السلف، من غیر أنّ تتضرّر المطلقات بعد ورود المقیّدات، کما أشرنا إلیه سابقا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فیعلم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شرائط الإطلاق، کون المولی فی مقام إفادة أنّ ما هو المأخوذ موضوعا للحکم، هو تمام الموضوع، و هذا ممّا لا یمکن نیله إلاّ بعدم ذکر قید حین ضرب القانون و جعل الحکم، فإذا استقرّ الظهور العقلیّ، و تمّ الکشف العقلائیّ، و صار الکلام تامّا، یکون له الإطلاق الّذی هو المرجع عند الشکّ، و لا ینسلب وصف الإطلاق عنه إلاّ بالنسبة إلی مقدار القرینة المنفصلة القائمة علی خلاف الإرادة الجدیّة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یتبیّن فساد المقالة المنسوبة إلی الشیخ قدس سره و یظهر أنّ وصف الإطلاق لا یزول بطروّ القید، خلافا لما یظهر من السیّد الأستاذ البروجردیّ قدس سره حیث إنّه ظنّ الفرق بین مقالة سلطان العلماء</w:t>
      </w:r>
      <w:r>
        <w:rPr>
          <w:rStyle w:val="FootnoteAnchor"/>
          <w:rtl w:val="true"/>
        </w:rPr>
        <w:footnoteReference w:id="1069"/>
      </w:r>
      <w:r>
        <w:rPr>
          <w:rFonts w:ascii="IRNazanin" w:hAnsi="IRNazanin" w:eastAsia="IRNazanin"/>
          <w:color w:val="111111"/>
          <w:sz w:val="28"/>
          <w:sz w:val="28"/>
          <w:szCs w:val="28"/>
          <w:rtl w:val="true"/>
          <w:lang w:bidi="fa-IR"/>
        </w:rPr>
        <w:t>و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الطبیعة بعد التقیید تبقی علی وصف الإطلاق علی مسلکه، و لا تبقی علی مسلکنا</w:t>
      </w:r>
      <w:r>
        <w:rPr>
          <w:rStyle w:val="FootnoteAnchor"/>
          <w:rtl w:val="true"/>
        </w:rPr>
        <w:footnoteReference w:id="1070"/>
      </w:r>
      <w:r>
        <w:rPr>
          <w:rFonts w:ascii="IRNazanin" w:hAnsi="IRNazanin" w:eastAsia="IRNazanin"/>
          <w:color w:val="111111"/>
          <w:sz w:val="28"/>
          <w:sz w:val="28"/>
          <w:szCs w:val="28"/>
          <w:rtl w:val="true"/>
          <w:lang w:bidi="fa-IR"/>
        </w:rPr>
        <w:t>، و هذا واضح المنع، و الأمر سهل، فتأمّل</w:t>
      </w:r>
      <w:r>
        <w:rPr>
          <w:rFonts w:eastAsia="IRNazanin" w:cs="IRNazanin"/>
          <w:color w:val="111111"/>
          <w:sz w:val="28"/>
          <w:szCs w:val="28"/>
          <w:rtl w:val="true"/>
          <w:lang w:bidi="fa-IR"/>
        </w:rPr>
        <w:t>.</w:t>
      </w:r>
      <w:bookmarkStart w:id="787" w:name="pg13167_141121"/>
    </w:p>
    <w:p>
      <w:pPr>
        <w:pStyle w:val="Heading5"/>
        <w:numPr>
          <w:ilvl w:val="4"/>
          <w:numId w:val="1"/>
        </w:numPr>
        <w:rPr/>
      </w:pPr>
      <w:bookmarkStart w:id="788" w:name="__RefHeading___Toc559902_3244359995"/>
      <w:bookmarkStart w:id="789" w:name="_Toc294"/>
      <w:bookmarkEnd w:id="787"/>
      <w:bookmarkEnd w:id="788"/>
      <w:r>
        <w:rPr>
          <w:rtl w:val="true"/>
        </w:rPr>
        <w:t>توضیح و استئناف</w:t>
      </w:r>
      <w:r>
        <w:rPr>
          <w:rtl w:val="true"/>
        </w:rPr>
        <w:t xml:space="preserve">: </w:t>
      </w:r>
      <w:r>
        <w:rPr>
          <w:rtl w:val="true"/>
        </w:rPr>
        <w:t>حول شبهة علی جواز التمسّک بالمطلقات و العمومات</w:t>
      </w:r>
      <w:bookmarkEnd w:id="789"/>
    </w:p>
    <w:p>
      <w:pPr>
        <w:pStyle w:val="BookText"/>
        <w:rPr/>
      </w:pPr>
      <w:r>
        <w:rPr>
          <w:rFonts w:ascii="IRNazanin" w:hAnsi="IRNazanin" w:eastAsia="IRNazanin"/>
          <w:color w:val="111111"/>
          <w:sz w:val="28"/>
          <w:sz w:val="28"/>
          <w:szCs w:val="28"/>
          <w:rtl w:val="true"/>
          <w:lang w:bidi="fa-IR"/>
        </w:rPr>
        <w:t xml:space="preserve">إذا عرف من عادة المقنّن ذکر القیود متأخّرة عن عصر ضرب القانون، و شوهد ذلک مرارا، و قلّما یتّفق أن یذکر القانون المطلق إلاّ و یتعرّض لقید أو قیود له فی الأزمنة اللاّحقة، حتّی صار من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و إلاّ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هذه الصورة لا یجوز التمسّک إلاّ بعد مضیّ عصر صدور القید، و هذا ممّا علیه العقل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الکلام بالإطلاق فی المحیط المذکور و فی منطقة التشریع التدریجیّ، إلاّ بعد انقضاء عصر الوحی و ظهور الأوامر و النواهی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غیر فرق بین العمومات و المطلقات، و بین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المطلقات تدلّ بالوضع علی الإطلاق، أم بالعقل، فإنّه و لو کانت العمومات دالّة بالوضع، أو المطلقات دالّة بالوضع علی السریان و الشیوع، و لکن بعد فهم الاعتیاد المزبور من صاحب الشریعة، و بعد ورود المخصّصات بالوجدان، لا یکون للکلام تصدیق جزمیّ، و لا یمکن أن یوصف بالتمامیّة و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الشبهة لا تفید و لا تضرّ بالنسبة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عصر الغیبة أیضا یشکل التمسّک، لما یکون عنده عجّل اللَّه تعالی فرجه الشریف أحکام مودعة حسب بعض الأخبار، و لو کانت الغیبة مستندة إلی الأمّة فلا یلزم تقبیح علی المولی الحقیقیّ حتّی یلزم منه جواز التمسّک، کما لا یخفی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اللتیّا و التی، و بعد تصدیق الشبهة فی الجملة، مع عدم کفایة استصحاب عدم ورود القیود و المخصّصات متأخّرة من جهات، نجد أنّ الأئمّة علیهم السلام</w:t>
      </w:r>
    </w:p>
    <w:p>
      <w:pPr>
        <w:pStyle w:val="BookText"/>
        <w:rPr/>
      </w:pPr>
      <w:r>
        <w:rPr>
          <w:rFonts w:ascii="IRNazanin" w:hAnsi="IRNazanin" w:eastAsia="IRNazanin"/>
          <w:color w:val="111111"/>
          <w:sz w:val="28"/>
          <w:sz w:val="28"/>
          <w:szCs w:val="28"/>
          <w:rtl w:val="true"/>
          <w:lang w:bidi="fa-IR"/>
        </w:rPr>
        <w:t>رخّصوا فی الإفتاء، و حثّوا علیه، و کان بناء القدماء من الصحابة علی الاجتهاد بالأخذ بالعمومات و الإطلاقات، و أنّه لو کان یلزم الاحتیاط علی المعاصرین لوقعوا فی الشدّة و الحرج و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الضرورة قاضیة بورود المطلق فی جواب المسائل عن الأحکام الشخصیّ، و کان یعمل به، مع أنّ القید ورد فی جواب المسائل الشخصیّ الآخر المحتاج إلی المسألة فی معیشته، فإنّه من أمثال هذه الأمور یستکشف صحّة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تمامیّة الشبهة بالنسبة إلی العصر الأوّل، و هو عصر التشریع، فلا نسلّم بالنسبة إلی العصور المتأخّرة و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استناد الغیبة إلی الأمّة العاصیة، فیکون قصور البیان و عدم إیصال الأحکام، معلول القبائح و الأفعال الأسواء، فلا یصحّ التمسّک بالعمومات و المطلقات بعد الدیدن المشاهد، غیر جائز، و یطلب من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اشتهر بین أبناء التکلّم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عدمه منّا</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مأخوذ أحیانا من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أنّ المسألة من المسائل الإلهیّة العقلیّة المحرّر تفصیلها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و لا تصل إلیها أفهام أرباب العلوم الظاهریّة، فإیکالها إلی أهلها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الأخبار الصحیحة صریحة فی ذلک فهی مؤوّلة علی أنّهم یتکلّمون حسب اختلاف العقول، و لا منع من دخالة ذلک علی نحو الجزئیّة المبهمة، فلا تکن من الجاهلین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الاحتیاط، و إسقاط التمسّک بالعمومات و الإطلاقات لأجل أمثال هذه الشبهات، غیر تامّ جدا</w:t>
      </w:r>
      <w:r>
        <w:rPr>
          <w:rFonts w:eastAsia="IRNazanin" w:cs="IRNazanin"/>
          <w:color w:val="111111"/>
          <w:sz w:val="28"/>
          <w:szCs w:val="28"/>
          <w:rtl w:val="true"/>
          <w:lang w:bidi="fa-IR"/>
        </w:rPr>
        <w:t>.</w:t>
      </w:r>
      <w:bookmarkStart w:id="790" w:name="pg13167_141123"/>
    </w:p>
    <w:p>
      <w:pPr>
        <w:pStyle w:val="BookText"/>
        <w:rPr/>
      </w:pPr>
      <w:bookmarkEnd w:id="790"/>
      <w:r>
        <w:rPr>
          <w:rFonts w:ascii="IRNazanin" w:hAnsi="IRNazanin" w:eastAsia="IRNazanin"/>
          <w:color w:val="111111"/>
          <w:sz w:val="28"/>
          <w:sz w:val="28"/>
          <w:szCs w:val="28"/>
          <w:rtl w:val="true"/>
          <w:lang w:bidi="fa-IR"/>
        </w:rPr>
        <w:t>نعم، لمکان أنّ الشبهة عقلائیّة بالنسبة إلی عصر التشریع، فهی لا تندفع بما مرّ دفعا لها، فلا 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العمومات و المطلقات حجّة ظاهریّة، و لا یمکن کشف المراد بها، و لعلّ إلی هذا یرجع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073"/>
      </w:r>
      <w:r>
        <w:rPr>
          <w:rFonts w:ascii="Amiri" w:hAnsi="Amiri" w:eastAsia="Amiri" w:cs="Amiri"/>
          <w:color w:val="111111"/>
          <w:sz w:val="28"/>
          <w:sz w:val="28"/>
          <w:szCs w:val="28"/>
          <w:rtl w:val="true"/>
          <w:lang w:bidi="ar-SA"/>
        </w:rPr>
        <w:t>فتأمّل تعرف</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559904_3244359995"/>
      <w:bookmarkStart w:id="792" w:name="_Toc295"/>
      <w:bookmarkEnd w:id="791"/>
      <w:r>
        <w:rPr>
          <w:rtl w:val="true"/>
        </w:rPr>
        <w:t>تتمیم</w:t>
      </w:r>
      <w:r>
        <w:rPr>
          <w:rtl w:val="true"/>
        </w:rPr>
        <w:t xml:space="preserve">: </w:t>
      </w:r>
      <w:r>
        <w:rPr>
          <w:rtl w:val="true"/>
        </w:rPr>
        <w:t>فی بیان شرائط اتصاف الکلام بالإطلاق علی المختار</w:t>
      </w:r>
      <w:bookmarkEnd w:id="792"/>
    </w:p>
    <w:p>
      <w:pPr>
        <w:pStyle w:val="BookText"/>
        <w:rPr/>
      </w:pPr>
      <w:r>
        <w:rPr>
          <w:rFonts w:ascii="IRNazanin" w:hAnsi="IRNazanin" w:eastAsia="IRNazanin"/>
          <w:color w:val="111111"/>
          <w:sz w:val="28"/>
          <w:sz w:val="28"/>
          <w:szCs w:val="28"/>
          <w:rtl w:val="true"/>
          <w:lang w:bidi="fa-IR"/>
        </w:rPr>
        <w:t>قد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شرائط اتصاف الکلام بالإطلاق، کون المتکلّم فی مقام بیان المرام، فی مقابل اللاغی و الهازل و المتّقی تقیّة مهاباتیّة، لا مداراتیّة</w:t>
      </w:r>
      <w:r>
        <w:rPr>
          <w:rStyle w:val="FootnoteAnchor"/>
          <w:rtl w:val="true"/>
        </w:rPr>
        <w:footnoteReference w:id="1074"/>
      </w:r>
      <w:r>
        <w:rPr>
          <w:rFonts w:ascii="IRNazanin" w:hAnsi="IRNazanin" w:eastAsia="IRNazanin"/>
          <w:color w:val="111111"/>
          <w:sz w:val="28"/>
          <w:sz w:val="28"/>
          <w:szCs w:val="28"/>
          <w:rtl w:val="true"/>
          <w:lang w:bidi="fa-IR"/>
        </w:rPr>
        <w:t xml:space="preserve">، و لأجل هذا سمّیت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یتبیّن المراد من الحکم المتکلّم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شرائطه أن یکون فی مقام إفادة أنّ ما هو الموضوع، هو تمام الموضوع، أو إفادة أنّ ما هو الموضوع مرآة لجمیع الخصوصیّات و الأحوال، و أنّ الحکم سار إلی جمیع الأفراد، فإذا کان هو کذلک فإن ذکر قیدا، فلا معنی للإطلاق بالنسبة إلی مورد القید، و لکنّ الموضوع عندئذ یصیر مرکّبا، و یصیر ما هو تمام الموضوع معنی مرکّبا من البیع الکذائیّ، أو العالم الکذائیّ، و یکون حینئذ له الإطلاق أیضا بالنسبة إلی رفع سائر القیود المحتملة، کما هو الواضح</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ما کان هو فی مقام إفادة أنّ ما هو المأخوذ فی القانون تمام الموضوع، و لا مدخلیّة لشی‌ء آخر فی الموضوعیّة، لا ینافیه أن لا یکون فی مقام إفادة تمامیّة الموضوع من جهات کثیرة، و من جمیع النواحی الممکنة، و عند ذلک یصیر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اتصافه بالإطلاق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متّصفا بالإهمال من جهات</w:t>
      </w:r>
      <w:bookmarkStart w:id="793" w:name="pg13167_141124"/>
    </w:p>
    <w:p>
      <w:pPr>
        <w:pStyle w:val="BookText"/>
        <w:rPr/>
      </w:pPr>
      <w:bookmarkEnd w:id="793"/>
      <w:r>
        <w:rPr>
          <w:rFonts w:ascii="IRNazanin" w:hAnsi="IRNazanin" w:eastAsia="IRNazanin"/>
          <w:color w:val="111111"/>
          <w:sz w:val="28"/>
          <w:sz w:val="28"/>
          <w:szCs w:val="28"/>
          <w:rtl w:val="true"/>
          <w:lang w:bidi="fa-IR"/>
        </w:rPr>
        <w:t xml:space="preserve">اخر، کما أشیر إلیه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ذلک قسّموا الإطلاق إلی الأفرادیّ، و الأزمانیّ، و الأحوالیّ، و سیأتی إن شاء اللَّه تعالی فساد القسمة المزبورة</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الالتزام بالإطلاق من کلّ 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دعوی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077"/>
      </w:r>
      <w:r>
        <w:rPr>
          <w:rFonts w:ascii="IRNazanin" w:hAnsi="IRNazanin" w:eastAsia="IRNazanin"/>
          <w:color w:val="111111"/>
          <w:sz w:val="28"/>
          <w:sz w:val="28"/>
          <w:szCs w:val="28"/>
          <w:rtl w:val="true"/>
          <w:lang w:bidi="fa-IR"/>
        </w:rPr>
        <w:t>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العموم الأفرادیّ و الإطلاق الأزمانیّ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أحوالیّ، فإنّ البیع حال بقاء المتعاملین فی مجلسه لیس واجب الوفاء، من غیر حاجة إلی التقیید</w:t>
      </w:r>
      <w:r>
        <w:rPr>
          <w:rFonts w:eastAsia="IRNazanin" w:cs="IRNazanin"/>
          <w:color w:val="111111"/>
          <w:sz w:val="28"/>
          <w:szCs w:val="28"/>
          <w:rtl w:val="true"/>
          <w:lang w:bidi="fa-IR"/>
        </w:rPr>
        <w:t>.</w:t>
      </w:r>
    </w:p>
    <w:p>
      <w:pPr>
        <w:pStyle w:val="Heading4"/>
        <w:numPr>
          <w:ilvl w:val="3"/>
          <w:numId w:val="1"/>
        </w:numPr>
        <w:rPr/>
      </w:pPr>
      <w:bookmarkStart w:id="794" w:name="__RefHeading___Toc559906_3244359995"/>
      <w:bookmarkStart w:id="795" w:name="_Toc296"/>
      <w:bookmarkEnd w:id="794"/>
      <w:r>
        <w:rPr>
          <w:rtl w:val="true"/>
        </w:rPr>
        <w:t>المقدّمة الرابعة</w:t>
      </w:r>
      <w:r>
        <w:rPr>
          <w:rtl w:val="true"/>
        </w:rPr>
        <w:t xml:space="preserve">: </w:t>
      </w:r>
      <w:r>
        <w:rPr>
          <w:rtl w:val="true"/>
        </w:rPr>
        <w:t>حول انتفاء القدر المتیقن فی مقام التخاطب</w:t>
      </w:r>
      <w:bookmarkEnd w:id="795"/>
    </w:p>
    <w:p>
      <w:pPr>
        <w:pStyle w:val="Heading5"/>
        <w:numPr>
          <w:ilvl w:val="4"/>
          <w:numId w:val="1"/>
        </w:numPr>
        <w:rPr/>
      </w:pPr>
      <w:bookmarkStart w:id="796" w:name="__RefHeading___Toc559908_3244359995"/>
      <w:bookmarkStart w:id="797" w:name="_Toc297"/>
      <w:bookmarkEnd w:id="796"/>
      <w:r>
        <w:rPr>
          <w:rtl w:val="true"/>
        </w:rPr>
        <w:t>اشارة</w:t>
      </w:r>
      <w:bookmarkEnd w:id="79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من المقدّمات التی ذکرها بعضهم </w:t>
      </w:r>
      <w:r>
        <w:rPr>
          <w:rStyle w:val="FootnoteAnchor"/>
          <w:rtl w:val="true"/>
        </w:rPr>
        <w:footnoteReference w:id="1078"/>
      </w:r>
      <w:r>
        <w:rPr>
          <w:rFonts w:ascii="IRNazanin" w:hAnsi="IRNazanin" w:eastAsia="IRNazanin"/>
          <w:color w:val="111111"/>
          <w:sz w:val="28"/>
          <w:sz w:val="28"/>
          <w:szCs w:val="28"/>
          <w:rtl w:val="true"/>
          <w:lang w:bidi="fa-IR"/>
        </w:rPr>
        <w:t>، انتفاء القدر المتیقّن فی مقام التخاطب، و هذا الشرط یحتمل احتمالات نشیر إلیها إجمالا، و ربّما تختلف المبانی باختلاف المحتملات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اللفظ الموضوع فی القانون، قاصرا عن الدلالة قصورا مستندا إلی الانصراف، و عدم أنس الذهن فی محیط التکلّم و التشریع</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صحیح، إلاّ أنّه لیس من الشرائط کما هو الواضح، ضرورة عدم جواز التمسّک بإطلاق دلیل البیع لحکم الإجارة،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دالّة علی معنی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حمل هذا الشرط علی الانصراف اللفظیّ الراجع إلی صحّة سلب</w:t>
      </w:r>
    </w:p>
    <w:p>
      <w:pPr>
        <w:pStyle w:val="BookText"/>
        <w:rPr/>
      </w:pPr>
      <w:r>
        <w:rPr>
          <w:rFonts w:ascii="IRNazanin" w:hAnsi="IRNazanin" w:eastAsia="IRNazanin"/>
          <w:color w:val="111111"/>
          <w:sz w:val="28"/>
          <w:sz w:val="28"/>
          <w:szCs w:val="28"/>
          <w:rtl w:val="true"/>
          <w:lang w:bidi="fa-IR"/>
        </w:rPr>
        <w:t xml:space="preserve">اللفظ عن المعنی المزبور مثلا و لو فی محیط المتکلّم و أتباعه </w:t>
      </w:r>
      <w:r>
        <w:rPr>
          <w:rStyle w:val="FootnoteAnchor"/>
          <w:rtl w:val="true"/>
        </w:rPr>
        <w:footnoteReference w:id="1079"/>
      </w:r>
      <w:r>
        <w:rPr>
          <w:rFonts w:ascii="IRNazanin" w:hAnsi="IRNazanin" w:eastAsia="IRNazanin"/>
          <w:color w:val="111111"/>
          <w:sz w:val="28"/>
          <w:sz w:val="28"/>
          <w:szCs w:val="28"/>
          <w:rtl w:val="true"/>
          <w:lang w:bidi="fa-IR"/>
        </w:rPr>
        <w:t>، فهو قد خرج عن أسلوب البحث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قصور شمول القانون التصدیقیّ فی محیط الاستعمال و المستعملین، فیکون الکلام الملقی منصرفا إلی القدر المتیقّن الکذائیّ، و مشکوکا أو مقطوعا عدم صدق الجملة فی محیط الدلالة، لأنس الذهن بمورد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أیضا لیس بصحیح بالنسبة إلی تفسیر الشرط المزبور، و صحیح فی ذاته، لأنّه من قبیل الأوّل، لما أنّه یرجع إلی أنّ المولی بیّن مرامه، و أتی بجمیع ماله دخل فی حدود مقصوده، و أخذ فی کلامه ما هو تمام الموضوع، و هی الطبیعة التی معناها کذا فی حیطة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الکلب المأتیّ معلوم العدم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 عدمه فی محیط الاستعمالات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الصدق، علی وجه یعلم بمشکوکیته المتکلّم و غیره، فإنّه فی أخذ الکلب موضوعا لحکم تکلیفیّ أو وضعیّ، إیجابیّ أو سلبیّ، مع کون المراد و المطلوب هو الکلب البرّی، لا ینعقد الإطلاق بالنسبة إلی الکلب البحری بعدم ذکر القید، لأنّ المقیّد هو الموضوع له، أو هو المنصرف إلیه، و المتیقّن من موارد الإطلاق و الاستعمال هو البرّی، بمعنی عدم صحّة استعماله فی غیره، أو عدم تعارف الاستعمال فی غیره، أو یشکّ فی جواز الاستعمال فی غیره، مع أنّه شکّ واضح بین المخاطب و المخاطب، أو فی نظر القانون و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القدر المتیقّن فی مقام صدور القانون بالنسبة إلی الإرادة الجدّیة لا الاستعمالیّة، یضرّ و یمنع من صحّة التمسّک بالإطلاق، و یضادّ طروّ وصف الإطلاق علی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قصور فی الإرادة الاستعمالیّة بالنسبة إلی الفسّاق منهم، و لو کان قاصرا فهو یرجع إلی الوجهین الأوّلین، و لکنّ العدول منهم قطعیّة إرادتهم فی القانون المزبور، و هذا یمکن أن یعدّ شرطا أو مانعا، إلاّ أنّ الأصحاب ما قبلوه، مدّعین تمامیّة الإطلاق، لأنّ کلّ دلیل له القدر المتیقّن بهذا المعنی بالضرورة</w:t>
      </w:r>
      <w:r>
        <w:rPr>
          <w:rStyle w:val="FootnoteAnchor"/>
          <w:rtl w:val="true"/>
        </w:rPr>
        <w:footnoteReference w:id="1080"/>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محاضرات فی أصول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القدر المتیقّن فی مقام المخاطبة و السؤال و الجواب، یضرّ بالإطلاق، مثلا إذا سئل عن الفقّاع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فإنّه یمنع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مضافا إلی عدم شرطیّته و لا مانعیّته، یؤکّد الإطلاق، لأنّه فی حکم الإعراض عن الجواب الجزئیّ إلی بیان معنی کلّی و إفادة قانون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إفادة أنّ وجود القدر المتیقّن بحسب الإرادة الجدّیة، یصلح للقرینیّة، فلا یثبت التقیید، و لا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الدلیل عرفا علی قیدیّة الخصوصیّة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فلإمکان اتکال المتکلّم علی المناسبات الموجودة و غیر البالغة إلی حدّ الانصراف الظاهر و الواضح</w:t>
      </w:r>
      <w:r>
        <w:rPr>
          <w:rFonts w:eastAsia="IRNazanin" w:cs="IRNazanin"/>
          <w:color w:val="111111"/>
          <w:sz w:val="28"/>
          <w:szCs w:val="28"/>
          <w:rtl w:val="true"/>
          <w:lang w:bidi="fa-IR"/>
        </w:rPr>
        <w:t>.</w:t>
      </w:r>
      <w:bookmarkStart w:id="798" w:name="pg13167_141127"/>
    </w:p>
    <w:p>
      <w:pPr>
        <w:pStyle w:val="BookText"/>
        <w:rPr/>
      </w:pPr>
      <w:bookmarkEnd w:id="798"/>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أَطْعِمُوا الْقانِعَ وَ الْمُعْتَرَّ</w:t>
      </w:r>
      <w:r>
        <w:rPr>
          <w:rStyle w:val="FootnoteAnchor"/>
          <w:rtl w:val="true"/>
        </w:rPr>
        <w:footnoteReference w:id="1081"/>
      </w:r>
      <w:r>
        <w:rPr>
          <w:rFonts w:ascii="Amiri" w:hAnsi="Amiri" w:eastAsia="Amiri" w:cs="Amiri"/>
          <w:color w:val="111111"/>
          <w:sz w:val="28"/>
          <w:sz w:val="28"/>
          <w:szCs w:val="28"/>
          <w:rtl w:val="true"/>
          <w:lang w:bidi="ar-SA"/>
        </w:rPr>
        <w:t>أو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تَحْرِیرُ رَقَبَةٍ</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xml:space="preserve">أو إِطْعامُ عَشَرَةِ مَساکِینَ </w:t>
      </w:r>
      <w:r>
        <w:rPr>
          <w:rStyle w:val="FootnoteAnchor"/>
          <w:rtl w:val="true"/>
        </w:rPr>
        <w:footnoteReference w:id="1083"/>
      </w:r>
      <w:r>
        <w:rPr>
          <w:rFonts w:ascii="IRNazanin" w:hAnsi="IRNazanin" w:eastAsia="IRNazanin"/>
          <w:color w:val="111111"/>
          <w:sz w:val="28"/>
          <w:sz w:val="28"/>
          <w:szCs w:val="28"/>
          <w:rtl w:val="true"/>
          <w:lang w:bidi="fa-IR"/>
        </w:rPr>
        <w:t>أو غیر ذلک، فإنّ تجویز إطعام الکافر و الملحد و تحریر رقبة المعاند، تمسّکا بالإطلاق، غیر صحیح، لأنّ ما استشمّ من صاحب الشریعة یصلح للقرینیّة، فلا یتمّ الإطلاق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بحسب الصناعة مخدوشا، إلاّ أنّ الفقیه ربّما یصدّقنا فی مقام الإفتاء و تعریة نفسه عن الصناعات المضرّة بالفقاهة، کما لا یخفی</w:t>
      </w:r>
      <w:r>
        <w:rPr>
          <w:rFonts w:eastAsia="IRNazanin" w:cs="IRNazanin"/>
          <w:color w:val="111111"/>
          <w:sz w:val="28"/>
          <w:szCs w:val="28"/>
          <w:rtl w:val="true"/>
          <w:lang w:bidi="fa-IR"/>
        </w:rPr>
        <w:t>.</w:t>
      </w:r>
    </w:p>
    <w:p>
      <w:pPr>
        <w:pStyle w:val="Heading5"/>
        <w:numPr>
          <w:ilvl w:val="4"/>
          <w:numId w:val="1"/>
        </w:numPr>
        <w:rPr/>
      </w:pPr>
      <w:bookmarkStart w:id="799" w:name="__RefHeading___Toc559910_3244359995"/>
      <w:bookmarkStart w:id="800" w:name="_Toc298"/>
      <w:bookmarkEnd w:id="799"/>
      <w:r>
        <w:rPr>
          <w:rtl w:val="true"/>
        </w:rPr>
        <w:t>تنبیه</w:t>
      </w:r>
      <w:r>
        <w:rPr>
          <w:rtl w:val="true"/>
        </w:rPr>
        <w:t xml:space="preserve">: </w:t>
      </w:r>
      <w:r>
        <w:rPr>
          <w:rtl w:val="true"/>
        </w:rPr>
        <w:t>فی إثبات إطلاق الحکم عن طریق مقدّمة الإطلاق الوحیدة</w:t>
      </w:r>
      <w:bookmarkEnd w:id="800"/>
    </w:p>
    <w:p>
      <w:pPr>
        <w:pStyle w:val="BookText"/>
        <w:rPr/>
      </w:pPr>
      <w:r>
        <w:rPr>
          <w:rFonts w:ascii="IRNazanin" w:hAnsi="IRNazanin" w:eastAsia="IRNazanin"/>
          <w:color w:val="111111"/>
          <w:sz w:val="28"/>
          <w:sz w:val="28"/>
          <w:szCs w:val="28"/>
          <w:rtl w:val="true"/>
          <w:lang w:bidi="fa-IR"/>
        </w:rPr>
        <w:t>قد تبیّن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 الوحید لعروض وصف الإطلاق للکلام، هو کون المتکلّم فی مقام إفادة أنّ ما هو المأخوذ فی الدلیل تمام الموضوع، و أشیر سابقا إلی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فی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المتعلّق، و متعلّق المتعلّق، و الموضوع، و المکلّف، و غیر ذلک من القیود</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یتمّ لإثبات الإطلاق فی غیر ناحیة الحکم نفسه، و أمّا بالنسبة إلی نفس الحکم فلا تکفی المقدّمة المذکورة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المولی فی مقام إفادة أنّ الحکم سار إلی جمیع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جمع فی باب حقیقة الإطلاق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الإطلاق فی ناحیة الحکم و غیره</w:t>
      </w:r>
      <w:r>
        <w:rPr>
          <w:rFonts w:eastAsia="IRNazanin" w:cs="IRNazanin"/>
          <w:color w:val="111111"/>
          <w:sz w:val="28"/>
          <w:szCs w:val="28"/>
          <w:rtl w:val="true"/>
          <w:lang w:bidi="fa-IR"/>
        </w:rPr>
        <w:t>.</w:t>
      </w:r>
      <w:bookmarkStart w:id="801" w:name="pg13167_141128"/>
    </w:p>
    <w:p>
      <w:pPr>
        <w:pStyle w:val="BookText"/>
        <w:rPr/>
      </w:pPr>
      <w:bookmarkEnd w:id="80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کونه فی مقام إفادة أنّ الموضوع المأخوذ تمام الموضوع، ثبوت الإطلاق قهرا فی ناحیة الحکم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کون الحکم مشروطا بشی‌ء و عدمه،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القید یرجع إلی المتعلّق فالأمر واضح،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القید ربّما یرجع إلی نفس الهیئة کما هو التحقیق، فلازم إطلاق الموضوع عدم انتظار الحالة الأخری لفعلیّة الحکم، فیلزم منه سقوط احتمال دخالة شی‌ء فی عروض الحکم، کما لا یخفی</w:t>
      </w:r>
      <w:r>
        <w:rPr>
          <w:rFonts w:eastAsia="IRNazanin" w:cs="IRNazanin"/>
          <w:color w:val="111111"/>
          <w:sz w:val="28"/>
          <w:szCs w:val="28"/>
          <w:rtl w:val="true"/>
          <w:lang w:bidi="fa-IR"/>
        </w:rPr>
        <w:t>.</w:t>
      </w:r>
    </w:p>
    <w:p>
      <w:pPr>
        <w:pStyle w:val="Heading5"/>
        <w:numPr>
          <w:ilvl w:val="4"/>
          <w:numId w:val="1"/>
        </w:numPr>
        <w:rPr/>
      </w:pPr>
      <w:bookmarkStart w:id="802" w:name="__RefHeading___Toc559912_3244359995"/>
      <w:bookmarkStart w:id="803" w:name="_Toc299"/>
      <w:bookmarkEnd w:id="802"/>
      <w:r>
        <w:rPr>
          <w:rtl w:val="true"/>
        </w:rPr>
        <w:t>تتمّة</w:t>
      </w:r>
      <w:r>
        <w:rPr>
          <w:rtl w:val="true"/>
        </w:rPr>
        <w:t xml:space="preserve">: </w:t>
      </w:r>
      <w:r>
        <w:rPr>
          <w:rtl w:val="true"/>
        </w:rPr>
        <w:t>حول الأصل عند الشک فی مقام البیان</w:t>
      </w:r>
      <w:bookmarkEnd w:id="803"/>
    </w:p>
    <w:p>
      <w:pPr>
        <w:pStyle w:val="BookText"/>
        <w:rPr/>
      </w:pPr>
      <w:r>
        <w:rPr>
          <w:rFonts w:ascii="IRNazanin" w:hAnsi="IRNazanin" w:eastAsia="IRNazanin"/>
          <w:color w:val="111111"/>
          <w:sz w:val="28"/>
          <w:sz w:val="28"/>
          <w:szCs w:val="28"/>
          <w:rtl w:val="true"/>
          <w:lang w:bidi="fa-IR"/>
        </w:rPr>
        <w:t>قد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العقلائیّ و السیرة العرفیّة علی أنّ للکلام یکون الإطلاق إلاّ فیما یثبت الإهمال و الإجمال </w:t>
      </w:r>
      <w:r>
        <w:rPr>
          <w:rStyle w:val="FootnoteAnchor"/>
          <w:rtl w:val="true"/>
        </w:rPr>
        <w:footnoteReference w:id="1086"/>
      </w:r>
      <w:r>
        <w:rPr>
          <w:rFonts w:ascii="Amiri" w:hAnsi="Amiri" w:eastAsia="Amiri" w:cs="Amiri"/>
          <w:color w:val="111111"/>
          <w:sz w:val="28"/>
          <w:sz w:val="28"/>
          <w:szCs w:val="28"/>
          <w:rtl w:val="true"/>
          <w:lang w:bidi="ar-SA"/>
        </w:rPr>
        <w:t>، مثلا لو شکّ فی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w:t>
      </w:r>
      <w:r>
        <w:rPr>
          <w:rStyle w:val="FootnoteAnchor"/>
          <w:rtl w:val="true"/>
        </w:rPr>
        <w:footnoteReference w:id="108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1089"/>
      </w:r>
      <w:r>
        <w:rPr>
          <w:rFonts w:ascii="IRNazanin" w:hAnsi="IRNazanin" w:eastAsia="IRNazanin"/>
          <w:color w:val="111111"/>
          <w:sz w:val="28"/>
          <w:sz w:val="28"/>
          <w:szCs w:val="28"/>
          <w:rtl w:val="true"/>
          <w:lang w:bidi="fa-IR"/>
        </w:rPr>
        <w:t>و هکذا هل له الإطلاق؟ فیحکم علیه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 علیه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أنکر ذلک بالنسبة إلی الإطلاق من کلّ جهة</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تهذیب الأصول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فلو شکّ فی 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أَمْسَکْنَ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جواز الأکل من محلّ الملاقاة مع الکلب، فلا یحمل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إلی العلاّمة الأراکیّ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هو الإطلاق من کلّ جهة</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 أنّ قضیّة مقالة المشهور أیضا، هو الإطلاق من جمیع الجهات، لأنّ اللفظ موضوع للشیاع و السریان،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القوانین علی الإهمال و الإجمال بحسب الإرادة و الجدّ، خلاف الغرض النوعیّ فی ضربها و تأسیسها، ضرورة أنّ النّظر فی نشر القانون هو الاهتداء و العمل، فإطلاقها بحسب الأفراد و الأحوال و الأزمان ممّا لا یکاد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بالنظر إلی الجهات العدیدة المتصوّرة، لأنّ النّظر لیس فی حملها علی الإطلاق إلی الفرار من اللغویّة فی ضرب القانون، حتّی یقال بکفایة الإطلاق من جهة لذلک </w:t>
      </w:r>
      <w:r>
        <w:rPr>
          <w:rStyle w:val="FootnoteAnchor"/>
          <w:rtl w:val="true"/>
        </w:rPr>
        <w:footnoteReference w:id="1092"/>
      </w:r>
      <w:r>
        <w:rPr>
          <w:rFonts w:ascii="IRNazanin" w:hAnsi="IRNazanin" w:eastAsia="IRNazanin"/>
          <w:color w:val="111111"/>
          <w:sz w:val="28"/>
          <w:sz w:val="28"/>
          <w:szCs w:val="28"/>
          <w:rtl w:val="true"/>
          <w:lang w:bidi="fa-IR"/>
        </w:rPr>
        <w:t>، بل الإرسال من النواحی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إمکان اتصاف الکلام به، و عدم معلومیّة الأمر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دأب المقنّن الّذی قصد فی تقنینه حلّ المشاکل الاجتماعیّة و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إحراز کون الکلام ملقی علی نحو القانون، و هذا ممّا یثبت من الدأب و الدیدن کما لا یخفی، فما فی الکتاب الإلهیّ من الأحکام الکلّیة کلّها مطلقات قطعیّة، و هکذا کثیر من النبویّات و العلویّات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ورد فی کلمات الأئمّة الهداة المعصومین فی عصور التقیّة لا أصل، و لا بدّ من الاطلاع علی الجهات المقابلة و الفتاوی الضالّة، فإنّه ربّما یکون نظرهم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عنهم، من غیر کونهم فی مقام إفادة القانون العامّ، أو بیان الحکم الکلّی، بل هم حینئذ فی مقام هدم فتواهم بتوضیح الفتوی الحقّ</w:t>
      </w:r>
    </w:p>
    <w:p>
      <w:pPr>
        <w:pStyle w:val="BookText"/>
        <w:rPr/>
      </w:pPr>
      <w:r>
        <w:rPr>
          <w:rFonts w:ascii="Amiri" w:hAnsi="Amiri" w:eastAsia="Amiri" w:cs="Amiri"/>
          <w:color w:val="111111"/>
          <w:sz w:val="28"/>
          <w:sz w:val="28"/>
          <w:szCs w:val="28"/>
          <w:rtl w:val="true"/>
          <w:lang w:bidi="ar-SA"/>
        </w:rPr>
        <w:t>و الرّأی الإلهیّ</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من الأصل المزبور حمل کلامهم علی الإطلاق قبل الاطلاع علی آرائهم الفاسدة، فهو غیر صحیح، و إن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المزبور حمل کلامهم علی الإطلاق بعد ذلک، فهو صحیح، لأنّ احتمال کونهم فی مقام الإهمال، خلاف ما علیهم من توضیح القوانین العامّة، بإفادة الأحکام الکلّیة المحتاج إلیها فی الأعصار و العصور المتعاقبة إلی أبد الآباد</w:t>
      </w:r>
      <w:r>
        <w:rPr>
          <w:rFonts w:eastAsia="IRNazanin" w:cs="IRNazanin"/>
          <w:color w:val="111111"/>
          <w:sz w:val="28"/>
          <w:szCs w:val="28"/>
          <w:rtl w:val="true"/>
          <w:lang w:bidi="fa-IR"/>
        </w:rPr>
        <w:t>.</w:t>
      </w:r>
      <w:bookmarkStart w:id="804" w:name="pg13167_141131"/>
    </w:p>
    <w:p>
      <w:pPr>
        <w:pStyle w:val="Heading3"/>
        <w:numPr>
          <w:ilvl w:val="2"/>
          <w:numId w:val="1"/>
        </w:numPr>
        <w:rPr/>
      </w:pPr>
      <w:bookmarkStart w:id="805" w:name="__RefHeading___Toc559914_3244359995"/>
      <w:bookmarkStart w:id="806" w:name="_Toc300"/>
      <w:bookmarkEnd w:id="804"/>
      <w:bookmarkEnd w:id="805"/>
      <w:r>
        <w:rPr>
          <w:rtl w:val="true"/>
        </w:rPr>
        <w:t>المبحث الثانی فی أنّ الإطلاق رفض القیود أو جمعها</w:t>
      </w:r>
      <w:bookmarkEnd w:id="806"/>
    </w:p>
    <w:p>
      <w:pPr>
        <w:pStyle w:val="Heading4"/>
        <w:numPr>
          <w:ilvl w:val="3"/>
          <w:numId w:val="1"/>
        </w:numPr>
        <w:rPr/>
      </w:pPr>
      <w:bookmarkStart w:id="807" w:name="__RefHeading___Toc559916_3244359995"/>
      <w:bookmarkStart w:id="808" w:name="_Toc301"/>
      <w:bookmarkEnd w:id="807"/>
      <w:r>
        <w:rPr>
          <w:rtl w:val="true"/>
        </w:rPr>
        <w:t>اشارة</w:t>
      </w:r>
      <w:bookmarkEnd w:id="808"/>
    </w:p>
    <w:p>
      <w:pPr>
        <w:pStyle w:val="BookText"/>
        <w:rPr/>
      </w:pPr>
      <w:r>
        <w:rPr>
          <w:rFonts w:ascii="IRNazanin" w:hAnsi="IRNazanin" w:eastAsia="IRNazanin"/>
          <w:color w:val="111111"/>
          <w:sz w:val="28"/>
          <w:sz w:val="28"/>
          <w:szCs w:val="28"/>
          <w:rtl w:val="true"/>
          <w:lang w:bidi="fa-IR"/>
        </w:rPr>
        <w:t>اختلفوا فی أنّ نتیجة المقدّمات هل هی الإطلاق، بمعنی أنّ ما هو مصبّ الحکم تمام الموضوع، و لا شی‌ء آخر دخیل فی الموضوعیّة للحکم، فیکون الموضوع المزبور ملازما لذلک الحکم؟ و هذا ما هو رأی جمع من الأعلام، کالسیّدین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Style w:val="FootnoteAnchor"/>
          <w:rtl w:val="true"/>
        </w:rPr>
        <w:footnoteReference w:id="1093"/>
      </w:r>
      <w:r>
        <w:rPr>
          <w:rFonts w:ascii="IRNazanin" w:hAnsi="IRNazanin" w:eastAsia="IRNazanin"/>
          <w:color w:val="111111"/>
          <w:sz w:val="28"/>
          <w:sz w:val="28"/>
          <w:szCs w:val="28"/>
          <w:rtl w:val="true"/>
          <w:lang w:bidi="fa-IR"/>
        </w:rPr>
        <w:t xml:space="preserve">، و الوالد المحقّق </w:t>
      </w:r>
      <w:r>
        <w:rPr>
          <w:rStyle w:val="FootnoteAnchor"/>
          <w:rtl w:val="true"/>
        </w:rPr>
        <w:footnoteReference w:id="1094"/>
      </w:r>
      <w:r>
        <w:rPr>
          <w:rFonts w:ascii="IRNazanin" w:hAnsi="IRNazanin" w:eastAsia="IRNazanin"/>
          <w:color w:val="111111"/>
          <w:sz w:val="28"/>
          <w:sz w:val="28"/>
          <w:szCs w:val="28"/>
          <w:rtl w:val="true"/>
          <w:lang w:bidi="fa-IR"/>
        </w:rPr>
        <w:t>، و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الأراکیّ </w:t>
      </w:r>
      <w:r>
        <w:rPr>
          <w:rStyle w:val="FootnoteAnchor"/>
          <w:rtl w:val="true"/>
        </w:rPr>
        <w:footnoteReference w:id="1095"/>
      </w:r>
      <w:r>
        <w:rPr>
          <w:rFonts w:ascii="Amiri" w:hAnsi="Amiri" w:eastAsia="Amiri" w:cs="Amiri"/>
          <w:color w:val="111111"/>
          <w:sz w:val="28"/>
          <w:sz w:val="28"/>
          <w:szCs w:val="28"/>
          <w:rtl w:val="true"/>
          <w:lang w:bidi="ar-SA"/>
        </w:rPr>
        <w:t xml:space="preserve">، و المحشّی </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تکون نتیجة تلک المقدّمات سریان الحکم إلی الأفراد علی نعت العموم الاستغراقیّ فی الأحکام الوضعیّة، أو إلی الأفراد علی نعت العموم البدلیّ، کما فی الأحکام التکلیفیّة، و إلی جمیع الخصوصیّات اللاّحقة بالطبیعة التی تکون متعلّق الحکم، أو متعلّق المتعلّق فی النواهی؟</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تصیر المقدّمات العقلیّة قائمة مقام أداة العموم الاستغراقیّ،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شبهها فی أمثال أَحَلَّ اللَّهُ الْبَیْعَ </w:t>
      </w:r>
      <w:r>
        <w:rPr>
          <w:rStyle w:val="FootnoteAnchor"/>
          <w:rtl w:val="true"/>
        </w:rPr>
        <w:footnoteReference w:id="10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تقوم مقام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أداة العموم البدلیّ فی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صرف الوجود، و لا یجب الاستیعاب فی مقام الامتثال، و أمّا فی باب النواهی فنتیجة المقدّمات فی الناحیتین واحدة، و هو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تلک المقدّمات هی الشیوع و السریان المنسوب إلی المشهور، إلاّ أنّهم قالوا به فی مقام الوضع </w:t>
      </w:r>
      <w:r>
        <w:rPr>
          <w:rStyle w:val="FootnoteAnchor"/>
          <w:rtl w:val="true"/>
        </w:rPr>
        <w:footnoteReference w:id="1098"/>
      </w:r>
      <w:r>
        <w:rPr>
          <w:rFonts w:ascii="IRNazanin" w:hAnsi="IRNazanin" w:eastAsia="IRNazanin"/>
          <w:color w:val="111111"/>
          <w:sz w:val="28"/>
          <w:sz w:val="28"/>
          <w:szCs w:val="28"/>
          <w:rtl w:val="true"/>
          <w:lang w:bidi="fa-IR"/>
        </w:rPr>
        <w:t>، و هذا ما یحصل عند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کالعلاّمتین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الحائریّ </w:t>
      </w:r>
      <w:r>
        <w:rPr>
          <w:rStyle w:val="FootnoteAnchor"/>
          <w:rtl w:val="true"/>
        </w:rPr>
        <w:footnoteReference w:id="1099"/>
      </w:r>
      <w:r>
        <w:rPr>
          <w:rFonts w:ascii="IRNazanin" w:hAnsi="IRNazanin" w:eastAsia="IRNazanin"/>
          <w:color w:val="111111"/>
          <w:sz w:val="28"/>
          <w:sz w:val="28"/>
          <w:szCs w:val="28"/>
          <w:rtl w:val="true"/>
          <w:lang w:bidi="fa-IR"/>
        </w:rPr>
        <w:t>، و النائینیّ قدس سرهما</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بمقدّمات الحکمة، و هذا الخلاف کثیر الدور فی کلامهم و کلام تلامیذهم </w:t>
      </w:r>
      <w:r>
        <w:rPr>
          <w:rStyle w:val="FootnoteAnchor"/>
          <w:rtl w:val="true"/>
        </w:rPr>
        <w:footnoteReference w:id="1101"/>
      </w:r>
      <w:r>
        <w:rPr>
          <w:rFonts w:ascii="IRNazanin" w:hAnsi="IRNazanin" w:eastAsia="IRNazanin"/>
          <w:color w:val="111111"/>
          <w:sz w:val="28"/>
          <w:sz w:val="28"/>
          <w:szCs w:val="28"/>
          <w:rtl w:val="true"/>
          <w:lang w:bidi="fa-IR"/>
        </w:rPr>
        <w:t xml:space="preserve">، و یعبّر عنه بالخلاف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هل هو رفض القیود، أم هو جمع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أشیر إلیه فیما سلف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مصبّ الخلاف، و تبیّن فیما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برفض القیود لا یدّعی إلاّ معنی واحدا للإطلاق، و القائل بجمع القیود یتوهّم تقسیم الإطلاق إلی الأفرادیّ، و الأحوالیّ، و الأزمانیّ، و إلی الاستغراقیّ، و البدلیّ، و إلی اللفظیّ، و المقامیّ، و سیظهر تحقیقه من ذی قبل إن شاء اللَّه تعالی </w:t>
      </w:r>
      <w:r>
        <w:rPr>
          <w:rStyle w:val="FootnoteAnchor"/>
          <w:rtl w:val="true"/>
        </w:rPr>
        <w:footnoteReference w:id="1103"/>
      </w:r>
      <w:r>
        <w:rPr>
          <w:rFonts w:ascii="IRNazanin" w:hAnsi="IRNazanin" w:eastAsia="IRNazanin"/>
          <w:color w:val="111111"/>
          <w:sz w:val="28"/>
          <w:sz w:val="28"/>
          <w:szCs w:val="28"/>
          <w:rtl w:val="true"/>
          <w:lang w:bidi="fa-IR"/>
        </w:rPr>
        <w:t>فاعلم أنّ تمام البحث و حقّه یستدعی أمورا</w:t>
      </w:r>
      <w:r>
        <w:rPr>
          <w:rFonts w:eastAsia="IRNazanin" w:cs="IRNazanin"/>
          <w:color w:val="111111"/>
          <w:sz w:val="28"/>
          <w:szCs w:val="28"/>
          <w:rtl w:val="true"/>
          <w:lang w:bidi="fa-IR"/>
        </w:rPr>
        <w:t>:</w:t>
      </w:r>
      <w:bookmarkStart w:id="809" w:name="pg13167_141133"/>
    </w:p>
    <w:p>
      <w:pPr>
        <w:pStyle w:val="Heading4"/>
        <w:numPr>
          <w:ilvl w:val="3"/>
          <w:numId w:val="1"/>
        </w:numPr>
        <w:rPr/>
      </w:pPr>
      <w:bookmarkStart w:id="810" w:name="__RefHeading___Toc559918_3244359995"/>
      <w:bookmarkStart w:id="811" w:name="_Toc302"/>
      <w:bookmarkEnd w:id="809"/>
      <w:bookmarkEnd w:id="810"/>
      <w:r>
        <w:rPr>
          <w:rtl w:val="true"/>
        </w:rPr>
        <w:t>الأمر الأوّل</w:t>
      </w:r>
      <w:r>
        <w:rPr>
          <w:rtl w:val="true"/>
        </w:rPr>
        <w:t xml:space="preserve">: </w:t>
      </w:r>
      <w:r>
        <w:rPr>
          <w:rtl w:val="true"/>
        </w:rPr>
        <w:t>فی ثمرة هذا الخلاف</w:t>
      </w:r>
      <w:bookmarkEnd w:id="811"/>
    </w:p>
    <w:p>
      <w:pPr>
        <w:pStyle w:val="BookText"/>
        <w:rPr/>
      </w:pPr>
      <w:r>
        <w:rPr>
          <w:rFonts w:ascii="IRNazanin" w:hAnsi="IRNazanin" w:eastAsia="IRNazanin"/>
          <w:color w:val="111111"/>
          <w:sz w:val="28"/>
          <w:sz w:val="28"/>
          <w:szCs w:val="28"/>
          <w:rtl w:val="true"/>
          <w:lang w:bidi="fa-IR"/>
        </w:rPr>
        <w:t>ربّما یقال بأنّ العامّ اللفظیّ یقدّم علی الإطلاق، بمعنی رفض القیود، دون الإطلاق بمعنی جمع القیود، لأنّه بمنزلة العامّ اللفظیّ فی تعرّضه لحکم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العجیب أنّ القائل بالمقالة الثانیة التزم بتقدیم العامّ علی الإطلاق، کالعلاّمة النائینیّ رحمه اللَّه </w:t>
      </w:r>
      <w:r>
        <w:rPr>
          <w:rStyle w:val="FootnoteAnchor"/>
          <w:rtl w:val="true"/>
        </w:rPr>
        <w:footnoteReference w:id="1104"/>
      </w:r>
      <w:r>
        <w:rPr>
          <w:rFonts w:ascii="IRNazanin" w:hAnsi="IRNazanin" w:eastAsia="IRNazanin"/>
          <w:color w:val="111111"/>
          <w:sz w:val="28"/>
          <w:sz w:val="28"/>
          <w:szCs w:val="28"/>
          <w:rtl w:val="true"/>
          <w:lang w:bidi="fa-IR"/>
        </w:rPr>
        <w:t>و القائل بالمقالة الأولی التزم بالمعارضة، کالوالد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یشهد علی عدم تمامیّة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ذکرنا مرارا أنّ انتفاء الثمرة عند شخص، لا یضرّ بکون البحث ذا ثمرة، لإمکان ذهاب جمع إلی الاستثمار من المعنی المشار إلیه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ثمرات هذا النزاع، هو القول بالامتناع فی باب اجتماع الأمر و النهی، ضرورة أنّ الأمر بالصلاة إذا کان متجاوزا إلی الخصوصیّات فی مرحلة الجعل، یلزم کون حیثیّة الغصب مورد الأمر أیضا، و حیث إنّها مورد النهی یلزم اجتماع الأمر و النهی فی تلک الخصوصیّة، و أساسا یسقط النزاع، لانقلاب النسبة بین المأمور به و المنهیّ عنه من العموم من وجه إلی الآخر، کما تحرّر فی محلّه </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جمع القیود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رفض القیود، فلا یکون متعلّق الأمر و النهی إلاّ</w:t>
      </w:r>
      <w:bookmarkStart w:id="812" w:name="pg13167_141134"/>
    </w:p>
    <w:p>
      <w:pPr>
        <w:pStyle w:val="BookText"/>
        <w:rPr/>
      </w:pPr>
      <w:bookmarkEnd w:id="812"/>
      <w:r>
        <w:rPr>
          <w:rFonts w:ascii="IRNazanin" w:hAnsi="IRNazanin" w:eastAsia="IRNazanin"/>
          <w:color w:val="111111"/>
          <w:sz w:val="28"/>
          <w:sz w:val="28"/>
          <w:szCs w:val="28"/>
          <w:rtl w:val="true"/>
          <w:lang w:bidi="fa-IR"/>
        </w:rPr>
        <w:t>حیثیّة الصلاة و الغصب، و لا یتجاوز الأمر و النهی إلی ملحقات الطبیعة و تبعاتها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 ثمرة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قضیّة کون الإطلاق رفض القیود، کون التخییر فی الإطلاق البدلیّ عقلیّا، و مقتضی کونه جمع القیود أنّه شرعیّ کما لا یخفی</w:t>
      </w:r>
      <w:r>
        <w:rPr>
          <w:rFonts w:eastAsia="IRNazanin" w:cs="IRNazanin"/>
          <w:color w:val="111111"/>
          <w:sz w:val="28"/>
          <w:szCs w:val="28"/>
          <w:rtl w:val="true"/>
          <w:lang w:bidi="fa-IR"/>
        </w:rPr>
        <w:t>.</w:t>
      </w:r>
    </w:p>
    <w:p>
      <w:pPr>
        <w:pStyle w:val="Heading4"/>
        <w:numPr>
          <w:ilvl w:val="3"/>
          <w:numId w:val="1"/>
        </w:numPr>
        <w:rPr/>
      </w:pPr>
      <w:bookmarkStart w:id="813" w:name="__RefHeading___Toc559920_3244359995"/>
      <w:bookmarkStart w:id="814" w:name="_Toc303"/>
      <w:bookmarkEnd w:id="813"/>
      <w:r>
        <w:rPr>
          <w:rtl w:val="true"/>
        </w:rPr>
        <w:t>الأمر الثانی</w:t>
      </w:r>
      <w:r>
        <w:rPr>
          <w:rtl w:val="true"/>
        </w:rPr>
        <w:t xml:space="preserve">: </w:t>
      </w:r>
      <w:r>
        <w:rPr>
          <w:rtl w:val="true"/>
        </w:rPr>
        <w:t>فیما یمکن أن یکون منشأ لهذا التشاحّ و التنازع، و موجبا لهذا الخلاف</w:t>
      </w:r>
      <w:bookmarkEnd w:id="814"/>
    </w:p>
    <w:p>
      <w:pPr>
        <w:pStyle w:val="BookText"/>
        <w:rPr/>
      </w:pPr>
      <w:r>
        <w:rPr>
          <w:rFonts w:ascii="IRNazanin" w:hAnsi="IRNazanin" w:eastAsia="IRNazanin"/>
          <w:color w:val="111111"/>
          <w:sz w:val="28"/>
          <w:sz w:val="28"/>
          <w:szCs w:val="28"/>
          <w:rtl w:val="true"/>
          <w:lang w:bidi="fa-IR"/>
        </w:rPr>
        <w:t>لا بدّ من النّظر إلی ما هو الإشکال فی مرحلة الثبوت عند کلّ من القائلین حتّی ذهب إلی مقالته حذرا منه، و إلاّ فلا معنی لاختلاف العقلاء بما هم عقلاء فی أمر من الأمور، و مسألة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یصیر سببا له وجوه من البحث نشیر إلیها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الطبیعة فی مثل الأحکام الوضعیّة تمام الموضوع للحکم، غیر معقول، لأنّ نتیجة ذلک هو أنّ طبیعة الکلب بما هی هی نجسة، أو طبیعة البیع بما هی هی حلال و هکذا، مع أنّ الطبیعة بما هی هی لیست إلاّ هی، و لو اعتبر أنّها نجسة، فیلزم اعتبار النجاسة لنفس الطبیعة المجرّدة، فتکون أفرادها الذهنیّة نجسة، بل هی فی الحمل الأوّلی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کونها موجودة بالحمل الشائع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نجسة و هکذا، فلا یمکن أن یکون معنی الإطلاق رفض القیود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الطبیعة لیست طبیعة إلاّ إذا کانت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یتعارف ذلک فی تعبیرات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فهو صحیح، إلاّ أنّ معناه لیس هو الوجود الخارجیّ، ضرورة أنّ من أدلّة أصالة الوجود، کون الطبیعة موجودة فی</w:t>
      </w:r>
    </w:p>
    <w:p>
      <w:pPr>
        <w:pStyle w:val="BookText"/>
        <w:rPr/>
      </w:pPr>
      <w:r>
        <w:rPr>
          <w:rFonts w:ascii="IRNazanin" w:hAnsi="IRNazanin" w:eastAsia="IRNazanin"/>
          <w:color w:val="111111"/>
          <w:sz w:val="28"/>
          <w:sz w:val="28"/>
          <w:szCs w:val="28"/>
          <w:rtl w:val="true"/>
          <w:lang w:bidi="fa-IR"/>
        </w:rPr>
        <w:t>الذهن مع عدم ترتّب الآثار علیها، و هذا لأجل تحقّقها فی جمیع النشئات مع انحفاظ الذاتیّات، إلاّ أنّ الوجود الخارجیّ منشأ الآثار</w:t>
      </w:r>
      <w:r>
        <w:rPr>
          <w:rStyle w:val="FootnoteAnchor"/>
          <w:rtl w:val="true"/>
        </w:rPr>
        <w:footnoteReference w:id="1109"/>
      </w:r>
      <w:r>
        <w:rPr>
          <w:rFonts w:ascii="IRNazanin" w:hAnsi="IRNazanin" w:eastAsia="IRNazanin"/>
          <w:color w:val="111111"/>
          <w:sz w:val="28"/>
          <w:sz w:val="28"/>
          <w:szCs w:val="28"/>
          <w:rtl w:val="true"/>
          <w:lang w:bidi="fa-IR"/>
        </w:rPr>
        <w:t>، فلا بدّ بناء علی هذا من جعل الطبیعة مرآة إلی الأفراد الخارجیّة، و یکون الکلب الخارجیّ موضوعا للحکم، لا الطبیعة، و هکذا فی مثل جعل الحلّیة للبیع، فإنّ ما هو الحلال هو البیع الخارجیّ، لا طبیعته و مفهومه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لا بدّ من أن یکون معنی الإطلاق هو جمع القیود، لأنّ المتکلّم یسری الحکم إلی الخارج، فإن أسری الحکم إلی الطبیعة بما هی هی فی الخارج مع قطع النّظر عن سائر الخصوصیّات، فیلزم کون ما فی الخارج عاریا، و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لازم ذلک کون واحد من وجوداتها الخارجیّة حلالا، فلا بدّ من إسراء الحکم إلی جمیع الخصوصیّات المکثّرة بنحو الإجمال، فیکون کلّ خصوصیّة تعرض الطبیعة مورد الحلّیة، أی یکون البیع الغرریّ حلالا، و البیع غیر الغرریّ أیضا حلالا، بمعنی أنّ الحلّیة موضوعها المرکّب من الطبیعة، و خصوصیّة الغرریّة، و الخصوصیّة المقابلة لها، لأنّ الحلّیة منحلّة إلی الحلّیات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کانت مقدّمات الحکمة تعطی الإطلاق، بمعنی جمع القیود هنا بالبرهان، فیکون الأمر کذلک فی سائر المقامات، بل الأمر برهانیّ فی ناحیة النواهی مطلقا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الإیجابیّات التکلیفیّة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التخییر و العموم البدلیّ، لأنّ الحکم التکلیفیّ الموضوع کذلک، یسقط بأوّل الوجود فی ظرف الامتثال،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 هذا التقریب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الطبیعة مرآة للأفراد الخارجیّة، یحتاج إلی الدلیل، لأنّ ما هو المأخوذ فی الدلیل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الکلب و الطبیعة مرآة للأعمّ من الأفراد الخارجیّة و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الانصراف و القطع بالمقصود، فلنا أیضا فی جعل الطبیعة تمام الموضوع دعوی الانصراف إلی أنّ المقصود هی الطبیعة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هذا البیان أیضا مفسدة لا یمکن الالتزام بها، و هی أنّ کلّ خصوصیّة تؤخذ فی مصبّ الحکم لها المصلحة، و کیف یعقل أن یکون لخصوصیّة الغرریّة و اللاغرریّة و الخصوصیّة العلم و الجهل و الفسق و العدالة مصلحة فی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مصبّ الحکم یمکن أن یکون البیع الخارجیّ و الکلب الخارجیّ الموجود فی الأعیان، من غیر أخذ الخصوصیّة فی المصبّ و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الملازمة الخارجیّة بین ما هو فی الخارج مع الأشیاء الکثیرة، لا تستلزم لحاظ جمیعها فی الموضوع، فلا منع من جعل النجاسة و الحلیّة للطبیعة الخارجیّة علی نحو جعل لازم الماهیّة للماهیّة، فکما أنّ کلّ فرد من أفراد الإنسان فی الخارج محکوم بالإمکان، و مع ذلک لا مدخلیّة للخصوصیّات و المقارنات فی ذلک الحکم، کذلک الأمر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ذلک کون ما فی الأعیان، معرّی عن الخصوصیّة، و لا یلزم منه کون فرد حلالا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فواضح</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الحلّیة لازم الطبیعة، فکلّما تحقّقت الطبیعة فلازمها ثابت لها، و هی النجاسة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نعلم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 فی مقام جعل الحکم علی الطبیعة الخارجیّة قطعا، من غیر دخالة الخصوصیّات الشخصیّة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الموضوع المأخوذ فی الدلیل مقیّد بقید الخارجیّة فقط، لأنّ الطبیعة الذهنیّة لیست ذات أثر، حتّی تعتبر موضوعا للحکم بالضرورة العرفیّة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معنی الإطلاق هو رفض القیود أیضا، فلازم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الانحلال، لأنّ الحکم صار لازم الطبیعة، کما أنّ الحلّیة و النجاسة صارتا لازمتی طبیعة البیع و الکلب، و مقتضی ذلک أنّ الطبیعة دائمة اللزوم و دائمة الوجوب، کما أنّ طبیعة الإنسان دائمة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الحلّیة و النجاسة هما لازمهما بعد وجودهما الخارجیّین، و فی مثل الصلاة و الصوم معنی لازمهما هو إیجادهما دائما، و لا معنی لسقوط الأمر بأوّل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مقدّمات الإطلاق ربّما تنوب مناب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تفید الإطلاق البدلیّ، یلزم سقوط الأمر بأوّل الوجود</w:t>
      </w:r>
      <w:r>
        <w:rPr>
          <w:rStyle w:val="FootnoteAnchor"/>
          <w:rtl w:val="true"/>
        </w:rPr>
        <w:footnoteReference w:id="1110"/>
      </w:r>
      <w:r>
        <w:rPr>
          <w:rFonts w:ascii="IRNazanin" w:hAnsi="IRNazanin" w:eastAsia="IRNazanin"/>
          <w:color w:val="111111"/>
          <w:sz w:val="28"/>
          <w:sz w:val="28"/>
          <w:szCs w:val="28"/>
          <w:rtl w:val="true"/>
          <w:lang w:bidi="fa-IR"/>
        </w:rPr>
        <w:t>، لأنّ الشرع اعتبر التخییر بین الأفراد، فتوهّم التخییر العقلیّ غیر صحیح، بل لازم القول بالرفض هو العموم الاستغراقیّ فی النتیجة، و هذا ممّا لا یلتزم به أحد قطعا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التزمنا بذلک فی باب الفرق بین النهی و الأمر، و أوضحنا هناک أنّ النهی و الأمر سیّان فی اقتضاء الهیئة و الطبیعة المتعلّقة لها و مقدّمات الحکمة، لزوم الإیجاد المطلق و الترک المطلق، إلاّ أنّ المفهوم العرفیّ و العقلائیّ فی ناحیة الأمر علی</w:t>
      </w:r>
    </w:p>
    <w:p>
      <w:pPr>
        <w:pStyle w:val="BookText"/>
        <w:rPr/>
      </w:pPr>
      <w:r>
        <w:rPr>
          <w:rFonts w:ascii="IRNazanin" w:hAnsi="IRNazanin" w:eastAsia="IRNazanin"/>
          <w:color w:val="111111"/>
          <w:sz w:val="28"/>
          <w:sz w:val="28"/>
          <w:szCs w:val="28"/>
          <w:rtl w:val="true"/>
          <w:lang w:bidi="fa-IR"/>
        </w:rPr>
        <w:t xml:space="preserve">کفایة الإتیان و الامتثال مرّة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حجّ و صم</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من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الّذی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 التی تکون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لزوم إکرام الکلّ علی النعت الاستغراقیّ، لا المجموعیّ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فالتنوین یدلّ علی الوحدة، فلا یکون نقضا، و لذلک یکون التخییر حینئذ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بأنّ الإطلاق هو جمع القیود، یلزم سؤال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مقدّمات الإطلاق فی الأحکام الوضعیّة و التکلیفیّة علی نهج واحد، فکیف و من أین یحصل الفرق فی الأثر، و لأیّة جهة تنوب مناب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فی الوضعیّات، و مقام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فی التکلیفیّات؟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انضمّ إلیها الفهم العرفیّ کفایة الامتثال بالواحد، فللقائل بالرفض أیضا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باب الوضعیّات یستظهر من الدلیل أنّ الحکم اعتبر محمولا للطبیعة و ملازما لها، بخلاف التکلیفیّات الإیجابیّة، فإنّ الدلیل یتکفّل البعث إلیها، و لازم ذلک سقوط الأمر، لأنّ تمام المبعوث إلیه قد تحقّق، و إذا کانت الطبیعة تمام الموضوع، و هی صارت خارجیّة، لا یعقل بقاء الأمر و البعث المتعلّق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أنّ المتکلّم اعتبر الطبیعة واجبة الوجود فی الاعتبار، و استظهرنا ذلک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صلاة کذائیّة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تصدیق الکلام المزبور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قضیّة العقل هو أنّ الشرع لا یکون فی تقنینه هذا النحو من الصلاح، ضرورة أنّه لا مصلحة فی استیعاب جمیع أفراد الصلاة و الصوم، و لذلک لا یوجد فی الشرع حکم إیجابیّ استغراقیّ علی هذا النحو، و هو وجوب عتق کلّ رقبة علی کلّ</w:t>
      </w:r>
    </w:p>
    <w:p>
      <w:pPr>
        <w:pStyle w:val="BookText"/>
        <w:rPr/>
      </w:pPr>
      <w:r>
        <w:rPr>
          <w:rFonts w:ascii="IRNazanin" w:hAnsi="IRNazanin" w:eastAsia="IRNazanin"/>
          <w:color w:val="111111"/>
          <w:sz w:val="28"/>
          <w:sz w:val="28"/>
          <w:szCs w:val="28"/>
          <w:rtl w:val="true"/>
          <w:lang w:bidi="fa-IR"/>
        </w:rPr>
        <w:t>إنسان و مکلّف، أو وجوب صرف الوقت کلّه فی إتیان عبادة کذائیّة، فعلیه ما دام لم تقم قرینة علی الأزید من واحدة، یکون الحکم العقلیّ علی کفایة الواحدة بالضرورة، فتوهّم أنّ هذه المشکلة نشأت من القول بالرفض،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القول بأنّ الإطلاق هو جمع القیود إمّا المجازیّة، بل الغلطیّة، أو ادعاء أنّ الموضوع فی أسماء الأجناس خاصّ، و حیث إنّ الکلّ باطل فالقول المزبور عاطل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اللزوم أنّ جعل الطبیعة مرآة للخصوصیّات، إمّا یکون من باب دلالة اللفظة الواحدة علی تلک الخصوصیّات المتباینة، فهذا غیر ممکن، لأنّ ألفاظ الأجناس موضوعة عندهم للمهملة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موضوعة للمرسلة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کون الأسود و الأبیض بخصوصیّتیهما السوادیّة و البیاضیّة داخلة فی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ممکن و یستحیل، لعدم الجامع بینهما، فلا بدّ من کونها موضوعة بنحو الموضوع له الخاصّ، و هذا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الاستعمال مجازا و غلطا، و هذا مضافا إلی عدم التزامهم به، غیر ممکن، لأنّ الاستعمال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الالتزام بالاستعمالات الکثیرة غیر المتناهیة أفحش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لمرآتیّة الطبیعة إلاّ کما وضعت له، و لا یعقل المرآتیّة لما سوی ذلک، لأنّها لیست اختیاریّة و بید المتعلّمین، فإسراء الحکم إلی الخصوصیّات یحتاج إلی دوالّ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التکلّم فی مقام إسراء الحکم لا یکفی و لو نادی بأعلی صوته، و لا مع الالتزام بالغلطیّة و المجازیّة و أمثالهما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یتعیّن أن یکون الإطلاق رفض القیود، لامتناع کونه بمعنی جمع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ما أشیر إلیه من لزوم کون کلّ خصوصیّة دخیلة فی الحکم، و هذا ممّا لا یجوز فی شریعة العقل بالضرورة</w:t>
      </w:r>
      <w:r>
        <w:rPr>
          <w:rStyle w:val="FootnoteAnchor"/>
          <w:rtl w:val="true"/>
        </w:rPr>
        <w:footnoteReference w:id="1112"/>
      </w:r>
      <w:r>
        <w:rPr>
          <w:rFonts w:ascii="IRNazanin" w:hAnsi="IRNazanin" w:eastAsia="IRNazanin"/>
          <w:color w:val="111111"/>
          <w:sz w:val="28"/>
          <w:sz w:val="28"/>
          <w:szCs w:val="28"/>
          <w:rtl w:val="true"/>
          <w:lang w:bidi="fa-IR"/>
        </w:rPr>
        <w:t>، لامتناع کون الغرریّة و اللاغرریّة</w:t>
      </w:r>
    </w:p>
    <w:p>
      <w:pPr>
        <w:pStyle w:val="BookText"/>
        <w:rPr/>
      </w:pPr>
      <w:r>
        <w:rPr>
          <w:rFonts w:ascii="IRNazanin" w:hAnsi="IRNazanin" w:eastAsia="IRNazanin"/>
          <w:color w:val="111111"/>
          <w:sz w:val="28"/>
          <w:sz w:val="28"/>
          <w:szCs w:val="28"/>
          <w:rtl w:val="true"/>
          <w:lang w:bidi="fa-IR"/>
        </w:rPr>
        <w:t>دخیلتین فی مصلحة الحلّیة، و الأسودیّة و الأبیضیّة دخیلتین فی نجاسة الکلب، فالقول بالرفض متعیّن ثبوتا من غیر حاجة إلی الاستدلال بمناسبة الحکم و الموضوع، و بالجهات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قضیّة القول بالجمع مناقضة العامّ و الخاصّ و المطلق و المقیّد، مع عدم إمکان الجمع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مراد القائلین بالجمع یرجع إلی مقالة الرافضین، و ذلک لأنّ الضرورة قاضیة بأنّ فی مثل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 التسویة المنصوص بها فی کلماتهم </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الکلب نجس سواء کان أبیض، أو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الخنزیر موجودا، أو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وجود الخنزیر و عدمه قیدا لموضوع النجس بالضرورة، فکما أنّ هذا التفسیر وارد مورد تأکید الحکم علی الطبیعة لیس إلاّ، کذلک التفسیر و التسویة بالمعنی الأوّل، و لذلک یجعل التسویة و قیدها بعد المحمول، لا قبله، أی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الکلب نجس سواء کان أسود، أو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الکلب فی الحالتین نجس بما هو کلب، لا أنّ الکلب الأسود نجس، و الأبیض نجس، و بذلک ترتفع الغائلة عن الفریقین، و تجتمع الآراء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نفوذ البیع مثلا لأجل أیّة خصوصیّة طارئة علیه، یکون الإطلاق مرجعا، و إذا شکّ فی نفوذه لأجل تقارنه مع وجود الصلح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یکون الإطلاق مرجعا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المقارنات الوجودیّة الخارجیّة، لیست من تبعیّات ماهیّة البیع، فمنه یعلم أنّ القائل بالإطلاق اللحاظیّ، و اللابشرط القسمیّ، و جمع القیود، و بجعل</w:t>
      </w:r>
      <w:bookmarkStart w:id="815" w:name="pg13167_141141"/>
    </w:p>
    <w:p>
      <w:pPr>
        <w:pStyle w:val="BookText"/>
        <w:rPr/>
      </w:pPr>
      <w:bookmarkEnd w:id="815"/>
      <w:r>
        <w:rPr>
          <w:rFonts w:ascii="IRNazanin" w:hAnsi="IRNazanin" w:eastAsia="IRNazanin"/>
          <w:color w:val="111111"/>
          <w:sz w:val="28"/>
          <w:sz w:val="28"/>
          <w:szCs w:val="28"/>
          <w:rtl w:val="true"/>
          <w:lang w:bidi="fa-IR"/>
        </w:rPr>
        <w:t>الماهیة مرآة، لا یرید إلاّ ما أراده القائل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الاختلاف فی التعابیر أوهم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إمکان جعل وصف المقارنة من خصوصیّات طبیعة البیع، لا یکفی لحلّ المشکلة وجدانا،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أنّ الإطلاق هو رفض القید، تقابله مع التقیید الّذی معناه إیراد القید، و لو کان معناه جمع القیود فمعنی التقیید هو إخراج قید، و یکون التقیید بمعنی رفض قید فی موضوعیّته للحکم، و هذا خلاف الذوق جدّاً</w:t>
      </w:r>
      <w:r>
        <w:rPr>
          <w:rFonts w:eastAsia="IRNazanin" w:cs="IRNazanin"/>
          <w:color w:val="111111"/>
          <w:sz w:val="28"/>
          <w:szCs w:val="28"/>
          <w:rtl w:val="true"/>
          <w:lang w:bidi="fa-IR"/>
        </w:rPr>
        <w:t>.</w:t>
      </w:r>
    </w:p>
    <w:p>
      <w:pPr>
        <w:pStyle w:val="Heading4"/>
        <w:numPr>
          <w:ilvl w:val="3"/>
          <w:numId w:val="1"/>
        </w:numPr>
        <w:rPr/>
      </w:pPr>
      <w:bookmarkStart w:id="816" w:name="__RefHeading___Toc559922_3244359995"/>
      <w:bookmarkStart w:id="817" w:name="_Toc304"/>
      <w:bookmarkEnd w:id="816"/>
      <w:r>
        <w:rPr>
          <w:rtl w:val="true"/>
        </w:rPr>
        <w:t>إیقاظ</w:t>
      </w:r>
      <w:r>
        <w:rPr>
          <w:rtl w:val="true"/>
        </w:rPr>
        <w:t xml:space="preserve">: </w:t>
      </w:r>
      <w:r>
        <w:rPr>
          <w:rtl w:val="true"/>
        </w:rPr>
        <w:t>حول اشتراط الإطلاق باعتبار رفض القیود و ما فیه</w:t>
      </w:r>
      <w:bookmarkEnd w:id="817"/>
    </w:p>
    <w:p>
      <w:pPr>
        <w:pStyle w:val="BookText"/>
        <w:rPr/>
      </w:pPr>
      <w:r>
        <w:rPr>
          <w:rFonts w:ascii="IRNazanin" w:hAnsi="IRNazanin" w:eastAsia="IRNazanin"/>
          <w:color w:val="111111"/>
          <w:sz w:val="28"/>
          <w:sz w:val="28"/>
          <w:szCs w:val="28"/>
          <w:rtl w:val="true"/>
          <w:lang w:bidi="fa-IR"/>
        </w:rPr>
        <w:t>یظهر من القائلین بالرفض، هو أنّ من شرائط الإطلاق اعتبار رفض القید و الخصوصیّات، و هذا غیر صحیح، بل کون المتکلّم فی مقام جعل شی‌ء موضوعا مع عدم ذکر القید، تمام العلّة لاستفادة الإطلاق من غیر لزوم لحاظ رفض القید، أو لحاظ عدم ذکر القید، حتّی تکون القضیّة موجبة معدولة، بل عدم ذکر القید بنحو السالبة المحصّلة، کاف لاتصاف الکلام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بمعنی رفض القیود و جمعها یتبع اختیار المتکلّم، فإن اختار أن یجعل شیئا تمام الموضوع فهو یفسّر برفض القیود، و إن اختار إسراء الحکم إلی تمام الخصوصیّات و الأفراد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أیضا ترتفع الغائلة، ضرورة أنّ صفة الإطلاق تطرأ من عمل المقنّن المختار العاقل الملتفت فی تقنینه و أمره و نهیه علی کلامه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أنّک قد عرفت فساد الإطلاق بمعنی جمع القیود ثبوتا، نعم لو أمکن ذلک ثبوتا کان لهذا الکلام مجال واسع جدّاً، و یتبیّن به فساد التشاحّ و التضادّ المشاهد بینهم قطعا</w:t>
      </w:r>
      <w:r>
        <w:rPr>
          <w:rFonts w:eastAsia="IRNazanin" w:cs="IRNazanin"/>
          <w:color w:val="111111"/>
          <w:sz w:val="28"/>
          <w:szCs w:val="28"/>
          <w:rtl w:val="true"/>
          <w:lang w:bidi="fa-IR"/>
        </w:rPr>
        <w:t>.</w:t>
      </w:r>
      <w:bookmarkStart w:id="818" w:name="pg13167_141142"/>
    </w:p>
    <w:p>
      <w:pPr>
        <w:pStyle w:val="Heading4"/>
        <w:numPr>
          <w:ilvl w:val="3"/>
          <w:numId w:val="1"/>
        </w:numPr>
        <w:rPr/>
      </w:pPr>
      <w:bookmarkStart w:id="819" w:name="__RefHeading___Toc559924_3244359995"/>
      <w:bookmarkStart w:id="820" w:name="_Toc305"/>
      <w:bookmarkEnd w:id="818"/>
      <w:bookmarkEnd w:id="819"/>
      <w:r>
        <w:rPr>
          <w:rtl w:val="true"/>
        </w:rPr>
        <w:t>تذنیب</w:t>
      </w:r>
      <w:r>
        <w:rPr>
          <w:rtl w:val="true"/>
        </w:rPr>
        <w:t xml:space="preserve">: </w:t>
      </w:r>
      <w:r>
        <w:rPr>
          <w:rtl w:val="true"/>
        </w:rPr>
        <w:t>حول منع استفادة العموم الاستغراقیّ أو البدلی من مقدّمات الحکمة</w:t>
      </w:r>
      <w:bookmarkEnd w:id="820"/>
    </w:p>
    <w:p>
      <w:pPr>
        <w:pStyle w:val="BookText"/>
        <w:rPr/>
      </w:pPr>
      <w:r>
        <w:rPr>
          <w:rFonts w:ascii="IRNazanin" w:hAnsi="IRNazanin" w:eastAsia="IRNazanin"/>
          <w:color w:val="111111"/>
          <w:sz w:val="28"/>
          <w:sz w:val="28"/>
          <w:szCs w:val="28"/>
          <w:rtl w:val="true"/>
          <w:lang w:bidi="fa-IR"/>
        </w:rPr>
        <w:t>قد تبیّن ما هو الحقّ فی معنی الإطلاق، و أنّ الحکم بعد تمامیّة المقدّمات متعلّق بما هو تمام الموضوع، و قد مرّ أنّ التقیید هو إیراد القید من غیر سرایة القید إلی محلّ الإطلاق عنوانا، و من غیر أن یسقط الکلام بذلک عن المرجعیّة عند الشکّ 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مقدّمات الحکمة بمنزلة أداة العموم الاستغراقیّ أو البدلیّ </w:t>
      </w:r>
      <w:r>
        <w:rPr>
          <w:rStyle w:val="FootnoteAnchor"/>
          <w:rtl w:val="true"/>
        </w:rPr>
        <w:footnoteReference w:id="1114"/>
      </w:r>
      <w:r>
        <w:rPr>
          <w:rFonts w:ascii="IRNazanin" w:hAnsi="IRNazanin" w:eastAsia="IRNazanin"/>
          <w:color w:val="111111"/>
          <w:sz w:val="28"/>
          <w:sz w:val="28"/>
          <w:szCs w:val="28"/>
          <w:rtl w:val="true"/>
          <w:lang w:bidi="fa-IR"/>
        </w:rPr>
        <w:t>، و لو کان الأمر کما أفید فلا یلزم منه سرایة الحکم إلی الخصوصیّات، ضرورة أنّ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إلاّ للمصادیق الذاتیّة للبیع، فعلی ما تخیّلوه یکون الإطلاق أحسن حالا من العموم، لأنّ المطلق یتصدّی لإسراء الحکم إلی الطبیعة الملحوظة مرآة إلی الخصوصیّات اللاحقة، و فی العامّ لیس کذلک، فلا تخلط، و تأمّل تعرف</w:t>
      </w:r>
      <w:r>
        <w:rPr>
          <w:rFonts w:eastAsia="IRNazanin" w:cs="IRNazanin"/>
          <w:color w:val="111111"/>
          <w:sz w:val="28"/>
          <w:szCs w:val="28"/>
          <w:rtl w:val="true"/>
          <w:lang w:bidi="fa-IR"/>
        </w:rPr>
        <w:t>.</w:t>
      </w:r>
    </w:p>
    <w:p>
      <w:pPr>
        <w:pStyle w:val="Heading4"/>
        <w:numPr>
          <w:ilvl w:val="3"/>
          <w:numId w:val="1"/>
        </w:numPr>
        <w:rPr/>
      </w:pPr>
      <w:bookmarkStart w:id="821" w:name="__RefHeading___Toc559926_3244359995"/>
      <w:bookmarkStart w:id="822" w:name="_Toc306"/>
      <w:bookmarkEnd w:id="821"/>
      <w:r>
        <w:rPr>
          <w:rtl w:val="true"/>
        </w:rPr>
        <w:t>تنبیه</w:t>
      </w:r>
      <w:r>
        <w:rPr>
          <w:rtl w:val="true"/>
        </w:rPr>
        <w:t xml:space="preserve">: </w:t>
      </w:r>
      <w:r>
        <w:rPr>
          <w:rtl w:val="true"/>
        </w:rPr>
        <w:t>فی حجّیة الإطلاق المستند إلی المقدّمات الظنّیة</w:t>
      </w:r>
      <w:bookmarkEnd w:id="822"/>
    </w:p>
    <w:p>
      <w:pPr>
        <w:pStyle w:val="BookText"/>
        <w:rPr/>
      </w:pPr>
      <w:r>
        <w:rPr>
          <w:rFonts w:ascii="IRNazanin" w:hAnsi="IRNazanin" w:eastAsia="IRNazanin"/>
          <w:color w:val="111111"/>
          <w:sz w:val="28"/>
          <w:sz w:val="28"/>
          <w:szCs w:val="28"/>
          <w:rtl w:val="true"/>
          <w:lang w:bidi="fa-IR"/>
        </w:rPr>
        <w:t xml:space="preserve">فی حجّیة الإطلاق إذا أحرزت المقدّمات علی نحو الظنّ إشکال، و منشأ هذه الشبهة، هو أنّ الإطلاق لا یوجب الظهور الوضعیّ للکلام، و لا دلالة لفظیّة له کما عرفت </w:t>
      </w:r>
      <w:r>
        <w:rPr>
          <w:rStyle w:val="FootnoteAnchor"/>
          <w:rtl w:val="true"/>
        </w:rPr>
        <w:footnoteReference w:id="1115"/>
      </w:r>
      <w:r>
        <w:rPr>
          <w:rFonts w:ascii="IRNazanin" w:hAnsi="IRNazanin" w:eastAsia="IRNazanin"/>
          <w:color w:val="111111"/>
          <w:sz w:val="28"/>
          <w:sz w:val="28"/>
          <w:szCs w:val="28"/>
          <w:rtl w:val="true"/>
          <w:lang w:bidi="fa-IR"/>
        </w:rPr>
        <w:t>، فتکون حجّیته من باب العقل، فإن أحرزت المقدّمات علی نحو الجزم و القطع فیثبت الإطلاق، و إلاّ یکون الإطلاق ظنّیا، و خارجا عن الظنون الخاصّة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یظهر من العلاّمة الأراکیّ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الحدّ المتوسط بین</w:t>
      </w:r>
    </w:p>
    <w:p>
      <w:pPr>
        <w:pStyle w:val="BookText"/>
        <w:rPr/>
      </w:pPr>
      <w:r>
        <w:rPr>
          <w:rFonts w:ascii="IRNazanin" w:hAnsi="IRNazanin" w:eastAsia="IRNazanin"/>
          <w:color w:val="111111"/>
          <w:sz w:val="28"/>
          <w:sz w:val="28"/>
          <w:szCs w:val="28"/>
          <w:rtl w:val="true"/>
          <w:lang w:bidi="fa-IR"/>
        </w:rPr>
        <w:t>الدلالة الوضعیّة و الظنّیة</w:t>
      </w:r>
      <w:r>
        <w:rPr>
          <w:rStyle w:val="FootnoteAnchor"/>
          <w:rtl w:val="true"/>
        </w:rPr>
        <w:footnoteReference w:id="1116"/>
      </w:r>
      <w:r>
        <w:rPr>
          <w:rFonts w:ascii="IRNazanin" w:hAnsi="IRNazanin" w:eastAsia="IRNazanin"/>
          <w:color w:val="111111"/>
          <w:sz w:val="28"/>
          <w:sz w:val="28"/>
          <w:szCs w:val="28"/>
          <w:rtl w:val="true"/>
          <w:lang w:bidi="fa-IR"/>
        </w:rPr>
        <w:t>، لا یرجع إلی محصّل، و ما تری من الإخبار عن مطلوب المولی و مرامه بعد تمامیّة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أحلّ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حرّم جمیع أنحاء الکلب و الخنزیر و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کون الإطلاق من الدلالات الوضعیّة، و لا من الحدّ المتوسّط الملحق بها فی الحجّیة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دعوی استقرار بناء العقلاء علی الحجّیة، فی خصوص الظنّ المتولّد من المقدّمات المنتهیة إلی جعل الحکم علی طبیعة تدلّ بالإهمال 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هذا غیر بعید</w:t>
      </w:r>
      <w:r>
        <w:rPr>
          <w:rFonts w:eastAsia="IRNazanin" w:cs="IRNazanin"/>
          <w:color w:val="111111"/>
          <w:sz w:val="28"/>
          <w:szCs w:val="28"/>
          <w:rtl w:val="true"/>
          <w:lang w:bidi="fa-IR"/>
        </w:rPr>
        <w:t>.</w:t>
      </w:r>
      <w:bookmarkStart w:id="823" w:name="pg13167_141145"/>
    </w:p>
    <w:p>
      <w:pPr>
        <w:pStyle w:val="Heading3"/>
        <w:numPr>
          <w:ilvl w:val="2"/>
          <w:numId w:val="1"/>
        </w:numPr>
        <w:rPr/>
      </w:pPr>
      <w:bookmarkStart w:id="824" w:name="__RefHeading___Toc559928_3244359995"/>
      <w:bookmarkStart w:id="825" w:name="_Toc307"/>
      <w:bookmarkEnd w:id="823"/>
      <w:bookmarkEnd w:id="824"/>
      <w:r>
        <w:rPr>
          <w:rtl w:val="true"/>
        </w:rPr>
        <w:t>المبحث الثالث فی تقاسیم الإطلاق</w:t>
      </w:r>
      <w:bookmarkEnd w:id="825"/>
    </w:p>
    <w:p>
      <w:pPr>
        <w:pStyle w:val="Heading4"/>
        <w:numPr>
          <w:ilvl w:val="3"/>
          <w:numId w:val="1"/>
        </w:numPr>
        <w:rPr/>
      </w:pPr>
      <w:bookmarkStart w:id="826" w:name="__RefHeading___Toc559930_3244359995"/>
      <w:bookmarkStart w:id="827" w:name="_Toc308"/>
      <w:bookmarkEnd w:id="826"/>
      <w:r>
        <w:rPr>
          <w:rtl w:val="true"/>
        </w:rPr>
        <w:t>فمنها</w:t>
      </w:r>
      <w:r>
        <w:rPr>
          <w:rtl w:val="true"/>
        </w:rPr>
        <w:t xml:space="preserve">: </w:t>
      </w:r>
      <w:r>
        <w:rPr>
          <w:rtl w:val="true"/>
        </w:rPr>
        <w:t>انقسامه إلی الإطلاق اللفظیّ، و المقامیّ</w:t>
      </w:r>
      <w:bookmarkEnd w:id="827"/>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اللفظ علیه </w:t>
      </w:r>
      <w:r>
        <w:rPr>
          <w:rStyle w:val="FootnoteAnchor"/>
          <w:rtl w:val="true"/>
        </w:rPr>
        <w:footnoteReference w:id="1117"/>
      </w:r>
      <w:r>
        <w:rPr>
          <w:rFonts w:ascii="IRNazanin" w:hAnsi="IRNazanin" w:eastAsia="IRNazanin"/>
          <w:color w:val="111111"/>
          <w:sz w:val="28"/>
          <w:sz w:val="28"/>
          <w:szCs w:val="28"/>
          <w:rtl w:val="true"/>
          <w:lang w:bidi="fa-IR"/>
        </w:rPr>
        <w:t>، خلافا لما نسب إلی المشهور</w:t>
      </w:r>
      <w:r>
        <w:rPr>
          <w:rStyle w:val="FootnoteAnchor"/>
          <w:rtl w:val="true"/>
        </w:rPr>
        <w:footnoteReference w:id="1118"/>
      </w:r>
      <w:r>
        <w:rPr>
          <w:rFonts w:ascii="IRNazanin" w:hAnsi="IRNazanin" w:eastAsia="IRNazanin"/>
          <w:color w:val="111111"/>
          <w:sz w:val="28"/>
          <w:sz w:val="28"/>
          <w:szCs w:val="28"/>
          <w:rtl w:val="true"/>
          <w:lang w:bidi="fa-IR"/>
        </w:rPr>
        <w:t xml:space="preserve">، و قد مرّ وجهه </w:t>
      </w:r>
      <w:r>
        <w:rPr>
          <w:rStyle w:val="FootnoteAnchor"/>
          <w:rtl w:val="true"/>
        </w:rPr>
        <w:footnoteReference w:id="1119"/>
      </w:r>
      <w:r>
        <w:rPr>
          <w:rFonts w:ascii="IRNazanin" w:hAnsi="IRNazanin" w:eastAsia="IRNazanin"/>
          <w:color w:val="111111"/>
          <w:sz w:val="28"/>
          <w:sz w:val="28"/>
          <w:szCs w:val="28"/>
          <w:rtl w:val="true"/>
          <w:lang w:bidi="fa-IR"/>
        </w:rPr>
        <w:t>، بل المراد منه صحّة الاحتجاج و الاعتذار بحجّة مرکّبة من مقدّمة لفظیّة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1120"/>
      </w:r>
      <w:r>
        <w:rPr>
          <w:rFonts w:ascii="IRNazanin" w:hAnsi="IRNazanin" w:eastAsia="IRNazanin"/>
          <w:color w:val="111111"/>
          <w:sz w:val="28"/>
          <w:sz w:val="28"/>
          <w:szCs w:val="28"/>
          <w:rtl w:val="true"/>
          <w:lang w:bidi="fa-IR"/>
        </w:rPr>
        <w:t>یصحّ الاعتذار بأنّ بیع الهاتف بیع لغة، و ما هو الحلال هو نفس الطبیعة البیع لیس إلاّ، فیکون بیع الهاتف حلالا و هکذا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الإطلاق المقامیّ، فهو أیضا من الاحتجاج العقلیّ علی استکشاف حال الموضوع وضعا، مثلا إذا شکّ فی أنّ البیع یصدق علی بیع الهاتف شرعا، بعد صدقه</w:t>
      </w:r>
    </w:p>
    <w:p>
      <w:pPr>
        <w:pStyle w:val="BookText"/>
        <w:rPr/>
      </w:pPr>
      <w:r>
        <w:rPr>
          <w:rFonts w:ascii="IRNazanin" w:hAnsi="IRNazanin" w:eastAsia="IRNazanin"/>
          <w:color w:val="111111"/>
          <w:sz w:val="28"/>
          <w:sz w:val="28"/>
          <w:szCs w:val="28"/>
          <w:rtl w:val="true"/>
          <w:lang w:bidi="fa-IR"/>
        </w:rPr>
        <w:t>عرفا، و قلنا بأنّ اللاّزم فی التمسّک کشف المصداق الشرعیّ، قلنا التمسّک بأنّ المولی الحکیم الّذی أحلّ البیع، لو کان یعتقد بأنّ فی صدق البیع یعتبر القید الکذائیّ لأوضحه، و حیث سکت عنه فی مدّة التشریع، یکشف منه أنّ ما هو البیع عرفا هو البیع شرعا، و ما هو الصلاة و الصوم و الإجارة و النکاح عرفا هو ذلک شرعا، ثمّ بعد ذلک یحتاج إلی الإطلاق اللفظیّ أیضا، لأنّ ما یحصل بالإطلاق المقامیّ هو موضوع و مصبّ الإطلاق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 بعضهم أحیانا، من تخیّل أنّ الإطلاق اللفظیّ و المقامیّ دلیلان عرضیّان </w:t>
      </w:r>
      <w:r>
        <w:rPr>
          <w:rStyle w:val="FootnoteAnchor"/>
          <w:rtl w:val="true"/>
        </w:rPr>
        <w:footnoteReference w:id="1121"/>
      </w:r>
      <w:r>
        <w:rPr>
          <w:rFonts w:ascii="IRNazanin" w:hAnsi="IRNazanin" w:eastAsia="IRNazanin"/>
          <w:color w:val="111111"/>
          <w:sz w:val="28"/>
          <w:sz w:val="28"/>
          <w:szCs w:val="28"/>
          <w:rtl w:val="true"/>
          <w:lang w:bidi="fa-IR"/>
        </w:rPr>
        <w:t>، غیر تامّ،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الإطلاق ینفع القائلین بالأخصّ فی ألفاظ العبادات و المعاملات </w:t>
      </w:r>
      <w:r>
        <w:rPr>
          <w:rStyle w:val="FootnoteAnchor"/>
          <w:rtl w:val="true"/>
        </w:rPr>
        <w:footnoteReference w:id="1122"/>
      </w:r>
      <w:r>
        <w:rPr>
          <w:rFonts w:ascii="IRNazanin" w:hAnsi="IRNazanin" w:eastAsia="IRNazanin"/>
          <w:color w:val="111111"/>
          <w:sz w:val="28"/>
          <w:sz w:val="28"/>
          <w:szCs w:val="28"/>
          <w:rtl w:val="true"/>
          <w:lang w:bidi="fa-IR"/>
        </w:rPr>
        <w:t>، و لکن الشأن فی تمامیّة مقدّماته، و هی غیر بعیدة بالنسبة إلی محیط التقنین،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یتمسّک بالإطلاق المقامیّ فی الشبهة الحکمیّة الکلّیة أیضا، کما إذا شکّ مثلا فی وجوب الذّکر الفلانیّ، أو العمل الکذائیّ فی کلّ صباح و مساء، فإنّه لا حاجة إلی التشبّث بالبراءة، بل هناک إطلاق مقامیّ مقدّم علیها، و هو أنّ الشرع الأقدس قد مضی علیه أحیان التشریع، و لو کان هذا ممّا یجب لأوضحه و بیّنه، لابتلاء العموم به، فمنه یعلم عدم وجوبه، و بهذا الدلیل کثیرا ما یستدلّ فی المسائل الخلافیّة المبتلی بها فی الأسبوع و الشهر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المقامیّ لیس معناه إلاّ کشف کون المولی فی مقام التوضیح و التقنین، مع عدم إفادة مرامه بذکر القانون، أو بذکر خصوصیّات مصبّ القانون اللفظیّ من حیث الوضع و التصرّفات فی محیط الدلالة و الوضع، فعلیه یلزم أن یکون الإطلاق أیضا معناه الرفض و الإرسال، لا اللحاظ و الجمع، فاغتنم</w:t>
      </w:r>
      <w:r>
        <w:rPr>
          <w:rFonts w:eastAsia="IRNazanin" w:cs="IRNazanin"/>
          <w:color w:val="111111"/>
          <w:sz w:val="28"/>
          <w:szCs w:val="28"/>
          <w:rtl w:val="true"/>
          <w:lang w:bidi="fa-IR"/>
        </w:rPr>
        <w:t>.</w:t>
      </w:r>
      <w:bookmarkStart w:id="828" w:name="pg13167_141147"/>
    </w:p>
    <w:p>
      <w:pPr>
        <w:pStyle w:val="Heading4"/>
        <w:numPr>
          <w:ilvl w:val="3"/>
          <w:numId w:val="1"/>
        </w:numPr>
        <w:rPr/>
      </w:pPr>
      <w:bookmarkStart w:id="829" w:name="__RefHeading___Toc559932_3244359995"/>
      <w:bookmarkStart w:id="830" w:name="_Toc309"/>
      <w:bookmarkEnd w:id="828"/>
      <w:bookmarkEnd w:id="829"/>
      <w:r>
        <w:rPr>
          <w:rtl w:val="true"/>
        </w:rPr>
        <w:t>و منها</w:t>
      </w:r>
      <w:r>
        <w:rPr>
          <w:rtl w:val="true"/>
        </w:rPr>
        <w:t xml:space="preserve">: </w:t>
      </w:r>
      <w:r>
        <w:rPr>
          <w:rtl w:val="true"/>
        </w:rPr>
        <w:t>تقسیمه إلی الشمولیّ و البدلیّ</w:t>
      </w:r>
      <w:bookmarkEnd w:id="830"/>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قضیّة مقدّمات الحکمة فی المطلقات، تختلف حسب اختلاف المقامات، فإنّها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حملها علی العموم البدلیّ،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 الاستیعابیّ</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 xml:space="preserve">انتهی، و هذا قد تعارف فی کلمات جلّ المتأخّرین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تقسیم العامّ إلی الشمولیّ و البدلیّ قد فرغنا عنه و عن الکلام حوله، و أنّ الألفاظ الخاصّة تدلّ علی الشمولیّة و البدلیّة بالوضع </w:t>
      </w:r>
      <w:r>
        <w:rPr>
          <w:rStyle w:val="FootnoteAnchor"/>
          <w:rtl w:val="true"/>
        </w:rPr>
        <w:footnoteReference w:id="1125"/>
      </w:r>
      <w:r>
        <w:rPr>
          <w:rFonts w:ascii="IRNazanin" w:hAnsi="IRNazanin" w:eastAsia="IRNazanin"/>
          <w:color w:val="111111"/>
          <w:sz w:val="28"/>
          <w:sz w:val="28"/>
          <w:szCs w:val="28"/>
          <w:rtl w:val="true"/>
          <w:lang w:bidi="fa-IR"/>
        </w:rPr>
        <w:t>، و أمّا تقسیم الإطلاق إلیهما فإن أرید منه أنّ مقدّمات الإطلاق، توجب الدلالة الوضعیّة علی الشمولیّة و البدلیّة باختلاف المقامات، فهذا واضح الفساد، و قد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من الأوصاف الطارئة الثابتة بحکم العقل للکلام، من غیر دخالة الوضع فیه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منه أنّ حکم العقل أو العقلاء یختلف باختلاف المقامات، فهذا ممّا لا بأس به، ضرورة أنّ فی مثل الأحکام الوضعیّة، یکون کلّ بیع خارجیّ حلالا و نافذا، بخلاف الأحکام الإیجابیّة البعثیّة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یکفی فیه المرّة الواحدة، و قد فرغنا عن هذه البحوث فیما سبق </w:t>
      </w:r>
      <w:r>
        <w:rPr>
          <w:rStyle w:val="FootnoteAnchor"/>
          <w:rtl w:val="true"/>
        </w:rPr>
        <w:footnoteReference w:id="1127"/>
      </w:r>
      <w:r>
        <w:rPr>
          <w:rFonts w:ascii="IRNazanin" w:hAnsi="IRNazanin" w:eastAsia="IRNazanin"/>
          <w:color w:val="111111"/>
          <w:sz w:val="28"/>
          <w:sz w:val="28"/>
          <w:szCs w:val="28"/>
          <w:rtl w:val="true"/>
          <w:lang w:bidi="fa-IR"/>
        </w:rPr>
        <w:t xml:space="preserve">، و فی مباحث النواهی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bookmarkStart w:id="831" w:name="pg13167_141148"/>
    </w:p>
    <w:p>
      <w:pPr>
        <w:pStyle w:val="BookText"/>
        <w:rPr/>
      </w:pPr>
      <w:bookmarkEnd w:id="831"/>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أساس تقسیم الإطلاق إلی الشمولیّ و البدلیّ،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توصیف الإطلاق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تعارف فی کلمات بعضهم، أیضا</w:t>
      </w:r>
      <w:r>
        <w:rPr>
          <w:rStyle w:val="FootnoteAnchor"/>
          <w:rtl w:val="true"/>
        </w:rPr>
        <w:footnoteReference w:id="1129"/>
      </w:r>
      <w:r>
        <w:rPr>
          <w:rFonts w:ascii="Amiri" w:hAnsi="Amiri" w:eastAsia="Amiri" w:cs="Amiri"/>
          <w:color w:val="111111"/>
          <w:sz w:val="28"/>
          <w:sz w:val="28"/>
          <w:szCs w:val="28"/>
          <w:rtl w:val="true"/>
          <w:lang w:bidi="ar-SA"/>
        </w:rPr>
        <w:t>من الغریب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السریان، و الشیوع، و الإطلاق الاستیعابیّ، و الشمولیّ، و اللحاظیّ، و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ناشئة من الخلط بین ما هو الإطلاق واقعا، و بین الأحکام العقلائیّة المختلفة باختلاف المقامات التی نشأت من اختلاف مرام المولی و مقصوده اللبّی الّذی لا طریق إلی إحرازه إلاّ بذلک الإطلاق، فخلطوا بین المحرِز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فنسجوا ما نسجوا من التقاسیم و التخیّلات</w:t>
      </w:r>
      <w:r>
        <w:rPr>
          <w:rFonts w:eastAsia="IRNazanin" w:cs="IRNazanin"/>
          <w:color w:val="111111"/>
          <w:sz w:val="28"/>
          <w:szCs w:val="28"/>
          <w:rtl w:val="true"/>
          <w:lang w:bidi="fa-IR"/>
        </w:rPr>
        <w:t>.</w:t>
      </w:r>
    </w:p>
    <w:p>
      <w:pPr>
        <w:pStyle w:val="Heading4"/>
        <w:numPr>
          <w:ilvl w:val="3"/>
          <w:numId w:val="1"/>
        </w:numPr>
        <w:rPr/>
      </w:pPr>
      <w:bookmarkStart w:id="832" w:name="__RefHeading___Toc559934_3244359995"/>
      <w:bookmarkStart w:id="833" w:name="_Toc310"/>
      <w:bookmarkEnd w:id="832"/>
      <w:r>
        <w:rPr>
          <w:rtl w:val="true"/>
        </w:rPr>
        <w:t>و منها</w:t>
      </w:r>
      <w:r>
        <w:rPr>
          <w:rtl w:val="true"/>
        </w:rPr>
        <w:t xml:space="preserve">: </w:t>
      </w:r>
      <w:r>
        <w:rPr>
          <w:rtl w:val="true"/>
        </w:rPr>
        <w:t>تقسیمه إلی الأفرادیّ، و الأزمانیّ، و الأحوالیّ</w:t>
      </w:r>
      <w:bookmarkEnd w:id="833"/>
    </w:p>
    <w:p>
      <w:pPr>
        <w:pStyle w:val="Heading5"/>
        <w:numPr>
          <w:ilvl w:val="4"/>
          <w:numId w:val="1"/>
        </w:numPr>
        <w:rPr/>
      </w:pPr>
      <w:bookmarkStart w:id="834" w:name="__RefHeading___Toc559936_3244359995"/>
      <w:bookmarkStart w:id="835" w:name="_Toc311"/>
      <w:bookmarkEnd w:id="834"/>
      <w:r>
        <w:rPr>
          <w:rtl w:val="true"/>
        </w:rPr>
        <w:t>اشارة</w:t>
      </w:r>
      <w:bookmarkEnd w:id="835"/>
    </w:p>
    <w:p>
      <w:pPr>
        <w:pStyle w:val="BookText"/>
        <w:rPr/>
      </w:pPr>
      <w:r>
        <w:rPr>
          <w:rFonts w:ascii="IRNazanin" w:hAnsi="IRNazanin" w:eastAsia="IRNazanin"/>
          <w:color w:val="111111"/>
          <w:sz w:val="28"/>
          <w:sz w:val="28"/>
          <w:szCs w:val="28"/>
          <w:rtl w:val="true"/>
          <w:lang w:bidi="fa-IR"/>
        </w:rPr>
        <w:t xml:space="preserve">و هذا التقسیم أیضا من قبیل التقسیم الأوّل، و أنّ من توهّمه اعتبر فی المطلقات الإطلاق اللحاظیّ، أی لحاظ الطبیعة الساریة فی جمیع الأحوال و الأفراد و الأزمان، و من ورائها الحکم الساری إلی تمام الأفراد، و فی جمیع الأحیان و الأزمان و الأحوال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جعل البیع تمام الموضوع أو جعل الکلب تمام الموضوع یکفی لرفع الشکّ و الشبهة بالنسبة إلی کافّة القیود و الخصوصیّات، حتّی المقارنات الوجودیّة بالضرورة</w:t>
      </w:r>
      <w:r>
        <w:rPr>
          <w:rFonts w:eastAsia="IRNazanin" w:cs="IRNazanin"/>
          <w:color w:val="111111"/>
          <w:sz w:val="28"/>
          <w:szCs w:val="28"/>
          <w:rtl w:val="true"/>
          <w:lang w:bidi="fa-IR"/>
        </w:rPr>
        <w:t>.</w:t>
      </w:r>
      <w:bookmarkStart w:id="836" w:name="pg13167_141149"/>
    </w:p>
    <w:p>
      <w:pPr>
        <w:pStyle w:val="Heading5"/>
        <w:numPr>
          <w:ilvl w:val="4"/>
          <w:numId w:val="1"/>
        </w:numPr>
        <w:rPr/>
      </w:pPr>
      <w:bookmarkStart w:id="837" w:name="__RefHeading___Toc559938_3244359995"/>
      <w:bookmarkStart w:id="838" w:name="_Toc312"/>
      <w:bookmarkEnd w:id="836"/>
      <w:bookmarkEnd w:id="837"/>
      <w:r>
        <w:rPr>
          <w:rtl w:val="true"/>
        </w:rPr>
        <w:t>وهم و دفع</w:t>
      </w:r>
      <w:bookmarkEnd w:id="838"/>
    </w:p>
    <w:p>
      <w:pPr>
        <w:pStyle w:val="BookText"/>
        <w:rPr/>
      </w:pPr>
      <w:r>
        <w:rPr>
          <w:rFonts w:ascii="IRNazanin" w:hAnsi="IRNazanin" w:eastAsia="IRNazanin"/>
          <w:color w:val="111111"/>
          <w:sz w:val="28"/>
          <w:sz w:val="28"/>
          <w:szCs w:val="28"/>
          <w:rtl w:val="true"/>
          <w:lang w:bidi="fa-IR"/>
        </w:rPr>
        <w:t>لا بدّ من التقسیم المزبور، فلا بدّ من اللحاظ الموجب له، و ذلک لأنّ دلیل التقیید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الفرد،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تقیید الفرد بحال أو فی زمان، و لو کان الإطلاق الأفرادیّ عین الإطلاق الأحوالیّ و الأزمانیّ، للزم الخلط بین إخراج الفرد، و بین التقیید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حلّیة البیع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 آله و سلم عن بیع ما لیس عندک</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یلزم خروج البیوع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لیس مثل التخصیص حتّی یستلزم الإخراج، غیر مسموعة، لما تحرّر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التقیید لیس معناه إیراد القید فی محطّ الإطلاق حتّی یعنون المطلق بالمقیّد، و یسری إجماله إلیه، و غیر ذلک، بل معنی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نشیر إلیه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إیراد القید فی مقام اللبّ و کشف حدود الإرادة الجدّیة به، کما فی العموم، من غیر سرایة إلی مقام الإنشاء و الجعل، و لا یعقل ذلک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تقیید دلیل الحلّیة</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دلالته علی لزوم البیع أیضا کما قیل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خیار المجلس و الحیوان </w:t>
      </w:r>
      <w:r>
        <w:rPr>
          <w:rStyle w:val="FootnoteAnchor"/>
          <w:rtl w:val="true"/>
        </w:rPr>
        <w:footnoteReference w:id="1134"/>
      </w:r>
      <w:r>
        <w:rPr>
          <w:rFonts w:ascii="IRNazanin" w:hAnsi="IRNazanin" w:eastAsia="IRNazanin"/>
          <w:color w:val="111111"/>
          <w:sz w:val="28"/>
          <w:sz w:val="28"/>
          <w:szCs w:val="28"/>
          <w:rtl w:val="true"/>
          <w:lang w:bidi="fa-IR"/>
        </w:rPr>
        <w:t>، یلزم خروج البیع فی حال من الأحوال عن دلیل الحلّیة، و هذا الاختلاف ناشئ من اختلاف الإطلاق الأفرادیّ و الأحوالیّ،</w:t>
      </w:r>
    </w:p>
    <w:p>
      <w:pPr>
        <w:pStyle w:val="BookText"/>
        <w:rPr/>
      </w:pPr>
      <w:r>
        <w:rPr>
          <w:rFonts w:ascii="IRNazanin" w:hAnsi="IRNazanin" w:eastAsia="IRNazanin"/>
          <w:color w:val="111111"/>
          <w:sz w:val="28"/>
          <w:sz w:val="28"/>
          <w:szCs w:val="28"/>
          <w:rtl w:val="true"/>
          <w:lang w:bidi="fa-IR"/>
        </w:rPr>
        <w:t>و أنّ التقیید الأوّل فی حکم التخصیص، و التقیید الثانی هو التقیید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وصف الإطلاق ربّما ینتهی إلی العموم الأفرادیّ الشمولیّ أو البدلیّ، و ربّما ینتهی إلی الإطلاق الأحوالیّ و الأزمانیّ، و یکون الإخراج بالنسبة إلی الأفرادیّ تخصیصا، و إلی غیره تقییدا</w:t>
      </w:r>
      <w:r>
        <w:rPr>
          <w:rStyle w:val="FootnoteAnchor"/>
          <w:rtl w:val="true"/>
        </w:rPr>
        <w:footnoteReference w:id="1135"/>
      </w:r>
      <w:r>
        <w:rPr>
          <w:rFonts w:ascii="IRNazanin" w:hAnsi="IRNazanin" w:eastAsia="IRNazanin"/>
          <w:color w:val="111111"/>
          <w:sz w:val="28"/>
          <w:sz w:val="28"/>
          <w:szCs w:val="28"/>
          <w:rtl w:val="true"/>
          <w:lang w:bidi="fa-IR"/>
        </w:rPr>
        <w:t>، فصحّ التقسیم الثانی و الثالث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الخلط بین التقیید و بین نتیجة التقیید، أو هم ذلک، ضرورة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عدم وجود الإرادة الجدّیة فی مورد الرقبة الکافرة، و بالنسبة إلی هذا العنوان، و نتیجة الجمع بینهما خروج الأفراد الکافرة، من غیر أن یتعرّض المطلق للأفراد، أو المقیّد للأفراد، فلا تخصیص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یستکشف منه أیضا عدم وجود الجدّ بالنسبة إلی حدود دلالة المقیّد و اقتضائه، و تصیر النتیجة خروج حال من الأحوال، أو زمان من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کلّ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المطلق لا تعرّض للأفراد و الأحوال و الأزمان باللحاظ و المرآتیّة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دلیل التقیید یختلف بحسب النتیجة، فربّما یخرج الأفراد، و ربّما تخرج الأزمان و الأحوال، فلا ینبغی الخلط، و لیتدبّر جیّدا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تحصّل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دلیل القید، لا یصحّ کشف کون المطلق أفرادیّا أو أحوالیّا و أزمانیّا بالتخیّل المزبور، حتّی فیما إذا کان دلیل القید متعرّضا للحال أو الزمان، بل و لو کان متعرّضا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ورد عقیب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الکلاب البحریّة نجسة</w:t>
      </w:r>
      <w:r>
        <w:rPr>
          <w:rFonts w:eastAsia="IRNazanin" w:cs="IRNazanin"/>
          <w:color w:val="111111"/>
          <w:sz w:val="28"/>
          <w:szCs w:val="28"/>
          <w:rtl w:val="true"/>
          <w:lang w:bidi="fa-IR"/>
        </w:rPr>
        <w:t>.</w:t>
      </w:r>
      <w:bookmarkStart w:id="839" w:name="pg13167_141151"/>
    </w:p>
    <w:p>
      <w:pPr>
        <w:pStyle w:val="Heading3"/>
        <w:numPr>
          <w:ilvl w:val="2"/>
          <w:numId w:val="1"/>
        </w:numPr>
        <w:rPr/>
      </w:pPr>
      <w:bookmarkStart w:id="840" w:name="__RefHeading___Toc559940_3244359995"/>
      <w:bookmarkStart w:id="841" w:name="_Toc313"/>
      <w:bookmarkEnd w:id="839"/>
      <w:bookmarkEnd w:id="840"/>
      <w:r>
        <w:rPr>
          <w:rtl w:val="true"/>
        </w:rPr>
        <w:t>المبحث الرابع فی أنّ التقیید لا یورث تعنون المطلق بالمقیّد</w:t>
      </w:r>
      <w:bookmarkEnd w:id="841"/>
    </w:p>
    <w:p>
      <w:pPr>
        <w:pStyle w:val="BookText"/>
        <w:rPr/>
      </w:pPr>
      <w:r>
        <w:rPr>
          <w:rFonts w:ascii="IRNazanin" w:hAnsi="IRNazanin" w:eastAsia="IRNazanin"/>
          <w:color w:val="111111"/>
          <w:sz w:val="28"/>
          <w:sz w:val="28"/>
          <w:szCs w:val="28"/>
          <w:rtl w:val="true"/>
          <w:lang w:bidi="fa-IR"/>
        </w:rPr>
        <w:t>قد فرغنا عن عدّة بحوث فی العامّ و الخاصّ، و هی تجری فی المطلق و المقیّد أیضا، و قد أشرنا إلیها فی تلک المباحث، کبحث التمسّک بالعامّ فی الشبهة المصداقیّة و المفهومیّة، اللفظیّة و اللبّیة، و المنفصلة و المتّصلة و أمثالها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نشیر إلیه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هذه المباحث علی القول بأنّ دلیل القید یورث تعنون المطلق به </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به فی العامّ و الخاصّ </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واضحة النتیجة، ضرورة مع تعنونه به لا یجوز التمسّک، لأنّه من التمسّک بالدلیل فی الشبهة الموضوعیّة، و هو غیر ممکن، و لا خلاف فیه بین أهل العلم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 مرّ منّا</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کلماتهم و صریح العلاّمة الأراکیّ قدس سرُّه خروج باب الإطلاق و التقیید عن باب العامّ و الخاصّ، و أنّ فی هذه المسألة یکون دلیل</w:t>
      </w:r>
    </w:p>
    <w:p>
      <w:pPr>
        <w:pStyle w:val="BookText"/>
        <w:rPr/>
      </w:pPr>
      <w:r>
        <w:rPr>
          <w:rFonts w:ascii="IRNazanin" w:hAnsi="IRNazanin" w:eastAsia="IRNazanin"/>
          <w:color w:val="111111"/>
          <w:sz w:val="28"/>
          <w:sz w:val="28"/>
          <w:szCs w:val="28"/>
          <w:rtl w:val="true"/>
          <w:lang w:bidi="fa-IR"/>
        </w:rPr>
        <w:t>المقیّد، کاشفاً عن جزئیّة الطبیعة للموضوع المحکوم علیه، فیکون المطلق معنوناً بالمقیّد، و لذلک لا یتوهّم أحد جواز التمسّک به فی الشبهة المصداقیّة</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فالتقیید هو إیراد القید فی محطّ الحکم فی المطلق، و استکشاف أنّ ما هو تمام الموضوع هو المقیّد، بخلاف التخصیص، فإنّ مفاده إخراج الأفراد، و لا معنی حینئذ لتعنون العامّ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هو التحقیق کما مضی الکلام حوله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مسألتنا هذه و تلک المسألة من هذه الجهة، و أنّه لا یعنون المطلق بالمقیّد بحسب مقام الإثبات 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دلیل علی عدم الإرادة الجدّیة بالنسبة إلی عنوان المقیّد و هی الرقبة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إمکان تعیین لون القید و کیفیّته، فإنّه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کون القید الوارد هی المؤمنة، یحتمل کونه غیر الکافرة بنحو الإیجاب العدولیّ، أو یکون علی نحو السلب التحصیلیّ، أو یکون علی نحو القضیّة،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 إذا لم تکن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تختلف الأصول باختلاف هذه الاحتمالات، کما تحرّر فی محلّه أنّ إیراد القید فی محطّ الحکم الأوّل الإنشائیّ ممتنع، ضرورة أنّه إن أرید من ذلک قصر الحکم الإنشائیّ، فهو واضح الفساد، لأنّ الحکم الإنشائیّ علی المطلق باق إلی یوم القیامة، و لا یعقل التصرّف فیما هو حقیقته لیست إلاّ محض الإنشاء</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بذلک قصر الجدّ، فهو أیضا حاصل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بذلک إسقاطه عن الحجّیة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التعنون یکون فی حکم المعنون من الأوّل، فهو أیضا غیر ممکن، لأنّ هذا لا یحصل إلاّ بصیرورة الحکم فی المطلق متعلّقاً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أرید بذلک إسقاطه عن الاحتجاج به حکماً،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إمکانه من طریق آخر کما سلکه کثیر منهم فی العامّ و الخاصّ من غیر أن یعتقدوا بأنّ العامّ یعنون بالخاصّ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لاحتیاجه إلی الدلیل، ضرورة أنّ إسقاطه عن الحجّیة حکماً، لا یمکن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تعنون المطلق بالمقیّد غیر ممکن، و لا یلزم من ذلک تعیّن الاحتجاج به فی الشبهة المصداقیّة، أو المفهومیّة و غیرها، کما مرّ تفصیله فی العامّ و الخاصّ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بأس بدعوی التعنون حکماً فی نظر العرف، فیما إذا کان المقیّد ناظراً إلی المطلق، و آتیاً لتحدیده، فإنّ من ذلک یستکشف أنّ المتکلّم فی مقام ذلک، فیکون هذا دلیلاً علی ناظریّة المقنّن فی إسقاط حجّیته إذا قلنا بها فی الشبهة المصداقیّة کما عرفت،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ذلک اخترنا فی العامّ أیضا سرایة إجمال الخاصّ إلیه فی مثل هذا، لأنّ المخصّص المنفصل حینئذ یصیر کالمتّصل فی غیر التخصیصات الحقیقیّة فراجع حتّی یتّضح لک حقیقة الحال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دلیل القید متکفّلاً للأوامر أو النواهی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الأوامر و النواهی الواردة حول المرکّبات الشرعیّة کالصلاة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منه التقیید ظاهراً، و التصرّف فی المطلق حکماً علی وجه یکون القید الوارد مجملاً، لما مرّ من الاحتمالات الکثیرة فیه، و سیظهر بعض الکلام فیه إن شاء اللَّه تعالی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bookmarkStart w:id="842" w:name="pg13167_141155"/>
    </w:p>
    <w:p>
      <w:pPr>
        <w:pStyle w:val="Heading3"/>
        <w:numPr>
          <w:ilvl w:val="2"/>
          <w:numId w:val="1"/>
        </w:numPr>
        <w:rPr/>
      </w:pPr>
      <w:bookmarkStart w:id="843" w:name="__RefHeading___Toc559942_3244359995"/>
      <w:bookmarkStart w:id="844" w:name="_Toc314"/>
      <w:bookmarkEnd w:id="842"/>
      <w:bookmarkEnd w:id="843"/>
      <w:r>
        <w:rPr>
          <w:rtl w:val="true"/>
        </w:rPr>
        <w:t>المبحث الخامس فی أطوار المطلق و المقیّد و کیفیّة الجمع بینهما إذا کانا متنافیین</w:t>
      </w:r>
      <w:bookmarkEnd w:id="844"/>
    </w:p>
    <w:p>
      <w:pPr>
        <w:pStyle w:val="Heading4"/>
        <w:numPr>
          <w:ilvl w:val="3"/>
          <w:numId w:val="1"/>
        </w:numPr>
        <w:rPr/>
      </w:pPr>
      <w:bookmarkStart w:id="845" w:name="__RefHeading___Toc559944_3244359995"/>
      <w:bookmarkStart w:id="846" w:name="_Toc315"/>
      <w:bookmarkEnd w:id="845"/>
      <w:r>
        <w:rPr>
          <w:rtl w:val="true"/>
        </w:rPr>
        <w:t>اشارة</w:t>
      </w:r>
      <w:bookmarkEnd w:id="846"/>
    </w:p>
    <w:p>
      <w:pPr>
        <w:pStyle w:val="BookText"/>
        <w:rPr/>
      </w:pPr>
      <w:r>
        <w:rPr>
          <w:rFonts w:ascii="IRNazanin" w:hAnsi="IRNazanin" w:eastAsia="IRNazanin"/>
          <w:color w:val="111111"/>
          <w:sz w:val="28"/>
          <w:sz w:val="28"/>
          <w:szCs w:val="28"/>
          <w:rtl w:val="true"/>
          <w:lang w:bidi="fa-IR"/>
        </w:rPr>
        <w:t>و قبل الخوض فی توضیح تلک الأطوار، و بیان صور ورودهما فی الشرع الأقدس، لا بأس بالإشارة إلی بعض أمور</w:t>
      </w:r>
      <w:r>
        <w:rPr>
          <w:rFonts w:eastAsia="IRNazanin" w:cs="IRNazanin"/>
          <w:color w:val="111111"/>
          <w:sz w:val="28"/>
          <w:szCs w:val="28"/>
          <w:rtl w:val="true"/>
          <w:lang w:bidi="fa-IR"/>
        </w:rPr>
        <w:t>:</w:t>
      </w:r>
    </w:p>
    <w:p>
      <w:pPr>
        <w:pStyle w:val="Heading4"/>
        <w:numPr>
          <w:ilvl w:val="3"/>
          <w:numId w:val="1"/>
        </w:numPr>
        <w:rPr/>
      </w:pPr>
      <w:bookmarkStart w:id="847" w:name="__RefHeading___Toc559946_3244359995"/>
      <w:bookmarkStart w:id="848" w:name="_Toc316"/>
      <w:bookmarkEnd w:id="847"/>
      <w:r>
        <w:rPr>
          <w:rtl w:val="true"/>
        </w:rPr>
        <w:t>الأمر الأوّل</w:t>
      </w:r>
      <w:r>
        <w:rPr>
          <w:rtl w:val="true"/>
        </w:rPr>
        <w:t xml:space="preserve">: </w:t>
      </w:r>
      <w:r>
        <w:rPr>
          <w:rtl w:val="true"/>
        </w:rPr>
        <w:t>فی انحصار النزاع بالقید المنفصل</w:t>
      </w:r>
      <w:bookmarkEnd w:id="84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محطّ الکلام فیما إذا کان القید منفصلاً، لأنّ النّظر من توضیح الصور بیان کیفیّة الجمع بین المتنافیین، و لو کان القید متّصلاً فلا یتصوّر التنافی، فإنّ للمتکلّم أن یلحق بکلامه من القیود ما شاء، فما یظهر من تقریرات الکاظمیّ </w:t>
      </w:r>
      <w:r>
        <w:rPr>
          <w:rStyle w:val="FootnoteAnchor"/>
          <w:rtl w:val="true"/>
        </w:rPr>
        <w:footnoteReference w:id="11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الأراکیّ قدس سرُّهما</w:t>
      </w:r>
      <w:r>
        <w:rPr>
          <w:rStyle w:val="FootnoteAnchor"/>
          <w:rtl w:val="true"/>
        </w:rPr>
        <w:footnoteReference w:id="1147"/>
      </w:r>
      <w:r>
        <w:rPr>
          <w:rFonts w:ascii="IRNazanin" w:hAnsi="IRNazanin" w:eastAsia="IRNazanin"/>
          <w:color w:val="111111"/>
          <w:sz w:val="28"/>
          <w:sz w:val="28"/>
          <w:szCs w:val="28"/>
          <w:rtl w:val="true"/>
          <w:lang w:bidi="fa-IR"/>
        </w:rPr>
        <w:t>من تکثیر الصور من هذه الجهة، أیضا خروج عن الجهة المبحوث عنها، فإنّه هنا لا إطلاق حتّی یحمل علی القید، کما هو الواضح</w:t>
      </w:r>
      <w:r>
        <w:rPr>
          <w:rFonts w:eastAsia="IRNazanin" w:cs="IRNazanin"/>
          <w:color w:val="111111"/>
          <w:sz w:val="28"/>
          <w:szCs w:val="28"/>
          <w:rtl w:val="true"/>
          <w:lang w:bidi="fa-IR"/>
        </w:rPr>
        <w:t>.</w:t>
      </w:r>
      <w:bookmarkStart w:id="849" w:name="pg13167_141156"/>
    </w:p>
    <w:p>
      <w:pPr>
        <w:pStyle w:val="BookText"/>
        <w:rPr/>
      </w:pPr>
      <w:bookmarkEnd w:id="849"/>
      <w:r>
        <w:rPr>
          <w:rFonts w:ascii="IRNazanin" w:hAnsi="IRNazanin" w:eastAsia="IRNazanin"/>
          <w:color w:val="111111"/>
          <w:sz w:val="28"/>
          <w:sz w:val="28"/>
          <w:szCs w:val="28"/>
          <w:rtl w:val="true"/>
          <w:lang w:bidi="fa-IR"/>
        </w:rPr>
        <w:t>و من العجیب اختلافهم فی الحکومة و الورود فی هذه الصورة</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کأنّهم بنوا هنا علی أنّ الإطلاق من الصفات الوضعیّة، و لیس من الحالات الآتیة من اختیار المتکلّم، مع أنّ المسألة عندهم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الاتصال کما یمکن علی وجه التبعیّة، بأن یکون القید الوارد بحسب الأدب من متعلّقات الجملة، سواء قدّم علیها، أم أخّر فی اللفظ، کذلک یمکن أن یکون علی وجه الاستقلال، 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 و لا تکن هی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تعتق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یشکّ فی انعقاد الإطلاق، لصلاحیّة الجملة الثانیة للقرینیّة، و قد مرّ فی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یضرّ بالإطلاق </w:t>
      </w:r>
      <w:r>
        <w:rPr>
          <w:rStyle w:val="FootnoteAnchor"/>
          <w:rtl w:val="true"/>
        </w:rPr>
        <w:footnoteReference w:id="1149"/>
      </w:r>
      <w:r>
        <w:rPr>
          <w:rFonts w:ascii="IRNazanin" w:hAnsi="IRNazanin" w:eastAsia="IRNazanin"/>
          <w:color w:val="111111"/>
          <w:sz w:val="28"/>
          <w:sz w:val="28"/>
          <w:szCs w:val="28"/>
          <w:rtl w:val="true"/>
          <w:lang w:bidi="fa-IR"/>
        </w:rPr>
        <w:t xml:space="preserve">، فعلی هذا یلزم الأخذ عندئذ بالقدر المتیقَّن، لعدم إحراز الإطلاق حتّی یمکن دعوی قرینیّته علی الهیئة فی ناحیة القید، و لا یحمل علیه کما یأتی تفصیله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559948_3244359995"/>
      <w:bookmarkStart w:id="851" w:name="_Toc317"/>
      <w:bookmarkEnd w:id="850"/>
      <w:r>
        <w:rPr>
          <w:rtl w:val="true"/>
        </w:rPr>
        <w:t>الأمر الثانی</w:t>
      </w:r>
      <w:r>
        <w:rPr>
          <w:rtl w:val="true"/>
        </w:rPr>
        <w:t xml:space="preserve">: </w:t>
      </w:r>
      <w:r>
        <w:rPr>
          <w:rtl w:val="true"/>
        </w:rPr>
        <w:t>فی انحصار النزاع بالقید المتکفّل للحکم التکلیفیّ</w:t>
      </w:r>
      <w:bookmarkEnd w:id="85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إذا کان دلیل القید غیر متکفّل للحکم التکلیفیّ الإلزامیّ أو الندبیّ، و کان إرشاداً إلی تحدید مصبّ الإطلاق و تضییق محطّه، فلا معنی لتوهّم التنافی المحتاج إلی العلاج، و هذا کما إذا ورد 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لم تکن الهیئة تحریمیّة، و لا کراهتیّة فرضاً، فلا بدّ و أن یکون ناظراً إلی الإطلاق فی القانون السابق علیه، أو اللاّحق به، و لأجله یصیر الإطلاق معنوناً بذلک القید، و یسری إلیه الإجمال، و یسقط عن الحجّیة فی مورد الشکّ فی الشبهة المصداقیّة بالضرورة</w:t>
      </w:r>
      <w:r>
        <w:rPr>
          <w:rFonts w:eastAsia="IRNazanin" w:cs="IRNazanin"/>
          <w:color w:val="111111"/>
          <w:sz w:val="28"/>
          <w:szCs w:val="28"/>
          <w:rtl w:val="true"/>
          <w:lang w:bidi="fa-IR"/>
        </w:rPr>
        <w:t>.</w:t>
      </w:r>
      <w:bookmarkStart w:id="852" w:name="pg13167_141157"/>
    </w:p>
    <w:p>
      <w:pPr>
        <w:pStyle w:val="BookText"/>
        <w:rPr/>
      </w:pPr>
      <w:bookmarkEnd w:id="852"/>
      <w:r>
        <w:rPr>
          <w:rFonts w:ascii="IRNazanin" w:hAnsi="IRNazanin" w:eastAsia="IRNazanin"/>
          <w:color w:val="111111"/>
          <w:sz w:val="28"/>
          <w:sz w:val="28"/>
          <w:szCs w:val="28"/>
          <w:rtl w:val="true"/>
          <w:lang w:bidi="fa-IR"/>
        </w:rPr>
        <w:t>هذا فیما إذا کان دلیل القید إرشاداً إلی تحدید مصبّ الإطلاق، و أمّا فی فرض الشکّ فی مفاد الهیئة، فیأتی الکلام حوله عند توضیح صور المسألة</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یظهر وجه معلومیّة حمل المطلق علی المقیّد، فیما إذا کان دلیل القید متکفّلاً للأمر الغیریّ، أو النهی الغیریّ، الراجع إلی تعرّضه لخصوصیّات المرکّبات الشرعیّة، کالصلاة و نحوها، فإنّ فی هذه الصورة لا سبیل إلی توهّم المعارضة بین المطلق و دلیل القید، للزوم الخلف، فیکون أمثال هذا مفروغاً عنه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مورد الشکّ فی مفاد الهیئة و موارد کون الهیئة تکلیفیّة، یشکل الأمر أحیاناً، فیکون مصبّاً للتشاحّ و محطّا للنزاع فی الجملة، کما سیظهر</w:t>
      </w:r>
      <w:r>
        <w:rPr>
          <w:rFonts w:eastAsia="IRNazanin" w:cs="IRNazanin"/>
          <w:color w:val="111111"/>
          <w:sz w:val="28"/>
          <w:szCs w:val="28"/>
          <w:rtl w:val="true"/>
          <w:lang w:bidi="fa-IR"/>
        </w:rPr>
        <w:t>.</w:t>
      </w:r>
    </w:p>
    <w:p>
      <w:pPr>
        <w:pStyle w:val="Heading4"/>
        <w:numPr>
          <w:ilvl w:val="3"/>
          <w:numId w:val="1"/>
        </w:numPr>
        <w:rPr/>
      </w:pPr>
      <w:bookmarkStart w:id="853" w:name="__RefHeading___Toc559950_3244359995"/>
      <w:bookmarkStart w:id="854" w:name="_Toc318"/>
      <w:bookmarkEnd w:id="853"/>
      <w:r>
        <w:rPr>
          <w:rtl w:val="true"/>
        </w:rPr>
        <w:t>الأمر الثالث</w:t>
      </w:r>
      <w:r>
        <w:rPr>
          <w:rtl w:val="true"/>
        </w:rPr>
        <w:t xml:space="preserve">: </w:t>
      </w:r>
      <w:r>
        <w:rPr>
          <w:rtl w:val="true"/>
        </w:rPr>
        <w:t>فی أنّهما قد یتّحدان فی الکیف و قد یختلفان</w:t>
      </w:r>
      <w:bookmarkEnd w:id="854"/>
    </w:p>
    <w:p>
      <w:pPr>
        <w:pStyle w:val="BookText"/>
        <w:rPr/>
      </w:pPr>
      <w:r>
        <w:rPr>
          <w:rFonts w:ascii="IRNazanin" w:hAnsi="IRNazanin" w:eastAsia="IRNazanin"/>
          <w:color w:val="111111"/>
          <w:sz w:val="28"/>
          <w:sz w:val="28"/>
          <w:szCs w:val="28"/>
          <w:rtl w:val="true"/>
          <w:lang w:bidi="fa-IR"/>
        </w:rPr>
        <w:t>قد أشرنا فی صدر المسألة إلی أنّ البحث حول أطوار المطلق و المقیّد، و کیفیّة الجمع بینهما إذا تخالفا، ففیما إذا کانا مختلفین فی النفی و الإثبات، یکون التخالف ظاهرا بحسب الصورة، ضرورة أنّ الموجبة الکلّیة أو السالبة الکلّیة، تخالف الجزئیّة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فرض کون الهیئة تنزیهیّة أو ندبیّة، فهو من صور کیفیّة الجمع بینهما، فلا معنی لفرض کون الهیئة ندبا أو تنزیها مثلا، ثمّ إخراجه عن محطّ الکلام </w:t>
      </w:r>
      <w:r>
        <w:rPr>
          <w:rStyle w:val="FootnoteAnchor"/>
          <w:rtl w:val="true"/>
        </w:rPr>
        <w:footnoteReference w:id="115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کانا متّحدین فی الکیف، بأن یکونا موجبتین أو سالبتین، فإن کانت وحدة الحکم معلومة فیلزم المخالفة، لإمکان کون المطلق جدّیا، و المقیّد مهملا،</w:t>
      </w:r>
    </w:p>
    <w:p>
      <w:pPr>
        <w:pStyle w:val="BookText"/>
        <w:rPr/>
      </w:pPr>
      <w:r>
        <w:rPr>
          <w:rFonts w:ascii="IRNazanin" w:hAnsi="IRNazanin" w:eastAsia="IRNazanin"/>
          <w:color w:val="111111"/>
          <w:sz w:val="28"/>
          <w:sz w:val="28"/>
          <w:szCs w:val="28"/>
          <w:rtl w:val="true"/>
          <w:lang w:bidi="fa-IR"/>
        </w:rPr>
        <w:t>و إمکان کون المقیّد جدّیا، و المطلق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وحدة الحکم غیر معلومة، فالمعروف بینهم أنّهما غیر متخالفین قهرا، لإمکان الأخذ بهما بالالتزام بتعدّد الحکم إثباتا، من غیر حمل المطلق علی المقیّد، و لا المقیّد علی أمر آخر</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هو الحقّ عندنا کما مرّ منّا</w:t>
      </w:r>
      <w:r>
        <w:rPr>
          <w:rStyle w:val="FootnoteAnchor"/>
          <w:rtl w:val="true"/>
        </w:rPr>
        <w:footnoteReference w:id="1154"/>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بالحکمین التأسیسیّین المستقلّین، غیر ممکن فی المطلق و المقیّد و إن کانا متماثلین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یکونا تحریمیّین أو إیجابیّین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تعدّد الإرادة التشریعیّة کما لا یعقل عند کون المراد واحدا، کذلک الأمر فی صورة کونهما من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لا یمکن إیجاب الإکرام المتعلّق بالعالم ثانیا إیجابا مستقلاّ لا تأکیدا، لامتناع حصول الإرادة التشریعیّة المستقلّة الأخری إلاّ بتغییر مبادئها و متعلّقها، و مع وحدة المبادئ و المصالح أو المفاسد لا تحصل الإرادة الأخری الابتدائیّة، و مع وحدة متعلّق الإرادة لا تکون الإرادة الثانیة إلاّ واردة علی محطّ الأولی، فتکون تأکیدا، ضرورة أنّ تعدّد الإرادة التشریعیّة بتعدّد موردها و متعلّقها، لأنّ تشخّصها بتشخّصه، کما تحرّر فی محلّه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الأمر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فیما یتّحد متعلّق الإرادة تصیر هی واحدة، فتکون الإرادة بالنسبة إلی ذلک المورد من قبیل التأکید، فلا یکون هناک إلاّ حکم واحد، فعلی هذا لا یخلو الواقع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جدّه فی إکرام العالم العادل، أو إکرام العالم، و یکون قید العادل</w:t>
      </w:r>
      <w:bookmarkStart w:id="855" w:name="pg13167_141159"/>
    </w:p>
    <w:p>
      <w:pPr>
        <w:pStyle w:val="BookText"/>
        <w:rPr/>
      </w:pPr>
      <w:bookmarkEnd w:id="855"/>
      <w:r>
        <w:rPr>
          <w:rFonts w:ascii="IRNazanin" w:hAnsi="IRNazanin" w:eastAsia="IRNazanin"/>
          <w:color w:val="111111"/>
          <w:sz w:val="28"/>
          <w:sz w:val="28"/>
          <w:szCs w:val="28"/>
          <w:rtl w:val="true"/>
          <w:lang w:bidi="fa-IR"/>
        </w:rPr>
        <w:t>محمولا، فیلزم التهافت و التخالف مطلقا بین الموجبتین و السالبتین، لعین ما یکون بین المتخالفین فی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مقیّد، فی محلّه، إلاّ أنّه غیر نافع، لأنّ المرید لا یرید إلاّ تشریع الحکم للمصالح الواقعیّة، و للبعث إلی الامتثال، و إذا کان الواقع ما هو العالم العادل مصداق العالم، لا یمکن أن یترشّح منه الإرادة التشریعیّة الاستقلالیّة بالنسبة إلیه، و من تأمّل یجد مرامنا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الأمور فالبحث هنا یتمّ فی طیّ مقامات</w:t>
      </w:r>
      <w:r>
        <w:rPr>
          <w:rFonts w:eastAsia="IRNazanin" w:cs="IRNazanin"/>
          <w:color w:val="111111"/>
          <w:sz w:val="28"/>
          <w:szCs w:val="28"/>
          <w:rtl w:val="true"/>
          <w:lang w:bidi="fa-IR"/>
        </w:rPr>
        <w:t>:</w:t>
      </w:r>
    </w:p>
    <w:p>
      <w:pPr>
        <w:pStyle w:val="Heading4"/>
        <w:numPr>
          <w:ilvl w:val="3"/>
          <w:numId w:val="1"/>
        </w:numPr>
        <w:rPr/>
      </w:pPr>
      <w:bookmarkStart w:id="856" w:name="__RefHeading___Toc559952_3244359995"/>
      <w:bookmarkStart w:id="857" w:name="_Toc319"/>
      <w:bookmarkEnd w:id="856"/>
      <w:r>
        <w:rPr>
          <w:rtl w:val="true"/>
        </w:rPr>
        <w:t>المقام الأوّل</w:t>
      </w:r>
      <w:r>
        <w:rPr>
          <w:rtl w:val="true"/>
        </w:rPr>
        <w:t xml:space="preserve">: </w:t>
      </w:r>
      <w:r>
        <w:rPr>
          <w:rtl w:val="true"/>
        </w:rPr>
        <w:t>فی صور المطلق و المقیّد المتکفّلین للحکم التکلیفیّ علی نعت التنجیز</w:t>
      </w:r>
      <w:bookmarkEnd w:id="857"/>
    </w:p>
    <w:p>
      <w:pPr>
        <w:pStyle w:val="Heading5"/>
        <w:numPr>
          <w:ilvl w:val="4"/>
          <w:numId w:val="1"/>
        </w:numPr>
        <w:rPr/>
      </w:pPr>
      <w:bookmarkStart w:id="858" w:name="__RefHeading___Toc559954_3244359995"/>
      <w:bookmarkStart w:id="859" w:name="_Toc320"/>
      <w:bookmarkEnd w:id="858"/>
      <w:r>
        <w:rPr>
          <w:rtl w:val="true"/>
        </w:rPr>
        <w:t>الصورة الأولی</w:t>
      </w:r>
      <w:r>
        <w:rPr>
          <w:rtl w:val="true"/>
        </w:rPr>
        <w:t>:</w:t>
      </w:r>
      <w:bookmarkEnd w:id="859"/>
    </w:p>
    <w:p>
      <w:pPr>
        <w:pStyle w:val="Heading6"/>
        <w:numPr>
          <w:ilvl w:val="5"/>
          <w:numId w:val="1"/>
        </w:numPr>
        <w:rPr/>
      </w:pPr>
      <w:bookmarkStart w:id="860" w:name="__RefHeading___Toc559956_3244359995"/>
      <w:bookmarkStart w:id="861" w:name="_Toc321"/>
      <w:bookmarkEnd w:id="860"/>
      <w:r>
        <w:rPr>
          <w:rtl w:val="true"/>
        </w:rPr>
        <w:t>اشارة</w:t>
      </w:r>
      <w:bookmarkEnd w:id="861"/>
    </w:p>
    <w:p>
      <w:pPr>
        <w:pStyle w:val="BookText"/>
        <w:rPr/>
      </w:pPr>
      <w:r>
        <w:rPr>
          <w:rFonts w:ascii="IRNazanin" w:hAnsi="IRNazanin" w:eastAsia="IRNazanin"/>
          <w:color w:val="111111"/>
          <w:sz w:val="28"/>
          <w:sz w:val="28"/>
          <w:szCs w:val="28"/>
          <w:rtl w:val="true"/>
          <w:lang w:bidi="fa-IR"/>
        </w:rPr>
        <w:t xml:space="preserve">إذا ورد مطلق مشتمل علی الأمر، ثمّ ورد مقیّد مشتمل علی النهی،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المحافظة علی إطلاق المطلق و الهیئة فی المقیّد، فیکون عتق الکافرة واجبا و حراما، و هذا غیر ممکن عندنا، محرّر تفصیله فی مسألة اجتماع الأمر و النهی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الهیئة المقیّدة بحملها علی التنزیه، و هذا أیضا غیر ممکن، لامتناع اتصاف عتق الکافرة بالوجوب و الکراهة، و اشتمال الهیئة علی</w:t>
      </w:r>
    </w:p>
    <w:p>
      <w:pPr>
        <w:pStyle w:val="BookText"/>
        <w:rPr/>
      </w:pPr>
      <w:r>
        <w:rPr>
          <w:rFonts w:ascii="IRNazanin" w:hAnsi="IRNazanin" w:eastAsia="IRNazanin"/>
          <w:color w:val="111111"/>
          <w:sz w:val="28"/>
          <w:sz w:val="28"/>
          <w:szCs w:val="28"/>
          <w:rtl w:val="true"/>
          <w:lang w:bidi="fa-IR"/>
        </w:rPr>
        <w:t>الترخیص، لا یستلزم إمکان کون الکافرة مصداق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 الصلاة فی الحمّام فهو لیس من التنزیه، بل هو من قبیل الإرشاد إلی المرجوحیّة النسبیّة، فلا یکون من الأخذ بالظاهر، و هو التکلیف، ففیما ذکرنا من المثال لا یمکن الجمع بین الإیجاب و الکراهة،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التحفّظ علی هیئة المقیّد بحملها علی التحریم، و التصرّف فی هیئة المطلق بحملها علی عدم الوجوب فی مورد التحریم، فیکون المطلق محمولا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المطلق علی المقیّد، مع عدم التحفّظ علی هیئة المقیّد أیضا، بحملها علی الإرشاد و تحدید مصبّ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الهیئة فی المطلق علی الندب فی غیر الکافرة، و ذلک لأنّ التصرّف فی المطلق یوجب نوع الوهن الموجب للشکّ فی انعقاد الظهور للهیئة، لما لا تکون دلالته علی الوجوب بالوضع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الاحتمالات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بحسب مقام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الإثبات و التصدیق، فالذی هو الأوفق بأفق التقنین هو الاحتمال الرابع، و ذلک لأنّ هیئة المطلق استلزمت وجوب عتق الرقبة، و هیئة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أنّها متأخّرة فی مفروض الکلام عن تلک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تصیر من قبیل الأمر عقیب الحظر، فإنّ النهی عقیب الأمر أیضا مثله، کما تحرّر منّا فی محلّه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الواجب فی الشریعة عتق الرقبة مثلا، ثمّ ورد نهی، لا یکون لأجل سبق الأمر تحریمیّا، و لا تنزیهیّا، أی لا ینعقد ظهور النهی فی التحریم و التنزیه، لأنّه ظهور إطلاقیّ، فیلزم صرفه إلی توضیح مصبّ الإیجاب السابق، و محطّ وجوب العتق، و هو عتق المؤمنة مثلا، فلا یجزئ فی مقام امتثال الأمر عتق الکافرة، نظیر</w:t>
      </w:r>
    </w:p>
    <w:p>
      <w:pPr>
        <w:pStyle w:val="BookText"/>
        <w:rPr/>
      </w:pPr>
      <w:r>
        <w:rPr>
          <w:rFonts w:ascii="IRNazanin" w:hAnsi="IRNazanin" w:eastAsia="IRNazanin"/>
          <w:color w:val="111111"/>
          <w:sz w:val="28"/>
          <w:sz w:val="28"/>
          <w:szCs w:val="28"/>
          <w:rtl w:val="true"/>
          <w:lang w:bidi="fa-IR"/>
        </w:rPr>
        <w:t>سائر الأوامر الغیریّة الواردة حول المرکّبات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 بینهم من حمل المطلق علی المقیّد بانحفاظ هیئة المقیّد</w:t>
      </w:r>
      <w:r>
        <w:rPr>
          <w:rStyle w:val="FootnoteAnchor"/>
          <w:rtl w:val="true"/>
        </w:rPr>
        <w:footnoteReference w:id="1158"/>
      </w:r>
      <w:r>
        <w:rPr>
          <w:rFonts w:ascii="IRNazanin" w:hAnsi="IRNazanin" w:eastAsia="IRNazanin"/>
          <w:color w:val="111111"/>
          <w:sz w:val="28"/>
          <w:sz w:val="28"/>
          <w:szCs w:val="28"/>
          <w:rtl w:val="true"/>
          <w:lang w:bidi="fa-IR"/>
        </w:rPr>
        <w:t>، غیر صحیح، بل الصحیح هو حمل المطلق علی المقیّد بانحفاظ هیئة المطلق، دون هیئة المقیّد، فدلیل القید مأخوذ من ناحیة، و محمول فی أخری، و دلیل الإطلاق علی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المشهور من الأخذ بالمقیّد فی تمام مفاده، و التصرّف فی إطلاق المطلق فقط، بدعوی أنّه أهون التصرّفات بعد عدم إمکان الأخذ بهما فی تمام مفادهما</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محیط التقنین یقتضی حمل المطلق علی المقیّد، کما فی العامّ و الخاصّ، فإنّ المتعارف ذکر المطلقات، ثمّ المقیّدات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القید وارد علی دلیل الإطلاق، لورود القرینة علی ذی القرینة، ضرورة أنّ ظهور الإطلاق تعلیقیّ، و ظهور القید تنجیزیّ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فی مفروض الکلام بدلیّ، و القید شمولیّ، و الشمولیّ مقدّم علی البدلیّ، لأنّ التنجیز فی البدلیّ عقلیّ، و فی الشمولیّ یکون التعیین شرعیّا</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بدعوی غیر ذلک </w:t>
      </w:r>
      <w:r>
        <w:rPr>
          <w:rStyle w:val="FootnoteAnchor"/>
          <w:rtl w:val="true"/>
        </w:rPr>
        <w:footnoteReference w:id="1163"/>
      </w:r>
      <w:r>
        <w:rPr>
          <w:rFonts w:ascii="IRNazanin" w:hAnsi="IRNazanin" w:eastAsia="IRNazanin"/>
          <w:color w:val="111111"/>
          <w:sz w:val="28"/>
          <w:sz w:val="28"/>
          <w:szCs w:val="28"/>
          <w:rtl w:val="true"/>
          <w:lang w:bidi="fa-IR"/>
        </w:rPr>
        <w:t>،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تمامیّة تلک الدعوات إلاّ الثانیة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ناهضة عند العقلاء بعد سبق الإیجاب، فإنّ ما نحن فیه من قبیل ورود الخاصّ بعد العامّ، فکما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إخراج ما لا یجب إکرامه من دون النّظر إلی تحریم إکرامهم، کذلک الأمر هنا من غیر تعرّض للإخراج المتعارف هناک، کما عرفت فی البحث السابق فی توضیح حقیقة التقیید</w:t>
      </w:r>
      <w:r>
        <w:rPr>
          <w:rStyle w:val="FootnoteAnchor"/>
          <w:rtl w:val="true"/>
        </w:rPr>
        <w:footnoteReference w:id="1164"/>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ورد الأمر بذبح الشاة فیما کان أمرا نفسیّا، ثمّ ورد النهی عن المهزولة، لا یدلّ النهی إلاّ علی تحدید مصبّ الإطلاق و تقیید محطّ المطلق، و هذا فی کثیر من الأمثلة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إذا کان عنوان المقیّد قابلا للتحریم النفسیّ أیضا، یکون مقتضی محیط التقنین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القیود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الهیئة علی الوجه المزبور، کما هو المتعیّن قطعا فی المثال الأخیر، فتوهّم التفصیل فی الأمثلة</w:t>
      </w:r>
      <w:r>
        <w:rPr>
          <w:rStyle w:val="FootnoteAnchor"/>
          <w:rtl w:val="true"/>
        </w:rPr>
        <w:footnoteReference w:id="1165"/>
      </w:r>
      <w:r>
        <w:rPr>
          <w:rFonts w:ascii="IRNazanin" w:hAnsi="IRNazanin" w:eastAsia="IRNazanin"/>
          <w:color w:val="111111"/>
          <w:sz w:val="28"/>
          <w:sz w:val="28"/>
          <w:szCs w:val="28"/>
          <w:rtl w:val="true"/>
          <w:lang w:bidi="fa-IR"/>
        </w:rPr>
        <w:t>مندفع بما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أشیر إلیه من الوجوه الأربعة، لا یقتضی فی مقابل هذا الوجه شیئا، ضرورة أنّ مجرّد أهونیّة التصرّف فی إطلاق المطلق غیر کاف، لأنّ المناط فهم العقلاء و القرائن الخاصّة و الکلیّة، و بناء العقلاء و إن کان علی ذکر المقیّدات متأخّرا، إلاّ أنّه لا یقتضی کون الهیئة فی ناحیة القید، باقیة علی الأصل الأوّلی و هو التحریم، لسبق القرینة، و لأنّ ظاهر دلیل القید هو النّظر إلی تحدید مصبّ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ظهور الإطلاق تعلیقیّ دون القید، فغیر صحیح، لأنّ الثانی أیضا مثل الأوّل فی کونه نهیا، و النهی کالأمر، فکما یمکن أن یکون الإطلاق دلیل التصرّف فی القید، یمکن عکسه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قصّة کون الإطلاق بدلیّا، و التقیید شمولیّا، فإنّ الشمولیّة</w:t>
      </w:r>
      <w:bookmarkStart w:id="862" w:name="pg13167_141163"/>
    </w:p>
    <w:p>
      <w:pPr>
        <w:pStyle w:val="BookText"/>
        <w:rPr/>
      </w:pPr>
      <w:bookmarkEnd w:id="862"/>
      <w:r>
        <w:rPr>
          <w:rFonts w:ascii="IRNazanin" w:hAnsi="IRNazanin" w:eastAsia="IRNazanin"/>
          <w:color w:val="111111"/>
          <w:sz w:val="28"/>
          <w:sz w:val="28"/>
          <w:szCs w:val="28"/>
          <w:rtl w:val="true"/>
          <w:lang w:bidi="fa-IR"/>
        </w:rPr>
        <w:t>و البدلیّة لیست وضعیّة، فهی أیضا إطلاقیّة، فافهم و اغتنم</w:t>
      </w:r>
      <w:r>
        <w:rPr>
          <w:rFonts w:eastAsia="IRNazanin" w:cs="IRNazanin"/>
          <w:color w:val="111111"/>
          <w:sz w:val="28"/>
          <w:szCs w:val="28"/>
          <w:rtl w:val="true"/>
          <w:lang w:bidi="fa-IR"/>
        </w:rPr>
        <w:t>.</w:t>
      </w:r>
    </w:p>
    <w:p>
      <w:pPr>
        <w:pStyle w:val="Heading6"/>
        <w:numPr>
          <w:ilvl w:val="5"/>
          <w:numId w:val="1"/>
        </w:numPr>
        <w:rPr/>
      </w:pPr>
      <w:bookmarkStart w:id="863" w:name="__RefHeading___Toc559958_3244359995"/>
      <w:bookmarkStart w:id="864" w:name="_Toc322"/>
      <w:bookmarkEnd w:id="863"/>
      <w:r>
        <w:rPr>
          <w:rtl w:val="true"/>
        </w:rPr>
        <w:t>تذنیب</w:t>
      </w:r>
      <w:r>
        <w:rPr>
          <w:rtl w:val="true"/>
        </w:rPr>
        <w:t xml:space="preserve">: </w:t>
      </w:r>
      <w:r>
        <w:rPr>
          <w:rtl w:val="true"/>
        </w:rPr>
        <w:t>فی قیام القرینة علی إرادة شی‌ء من المقید</w:t>
      </w:r>
      <w:bookmarkEnd w:id="864"/>
    </w:p>
    <w:p>
      <w:pPr>
        <w:pStyle w:val="BookText"/>
        <w:rPr/>
      </w:pPr>
      <w:r>
        <w:rPr>
          <w:rFonts w:ascii="IRNazanin" w:hAnsi="IRNazanin" w:eastAsia="IRNazanin"/>
          <w:color w:val="111111"/>
          <w:sz w:val="28"/>
          <w:sz w:val="28"/>
          <w:szCs w:val="28"/>
          <w:rtl w:val="true"/>
          <w:lang w:bidi="fa-IR"/>
        </w:rPr>
        <w:t>و ما هو قضیّة الأصل الأوّلی فی الجمع بین المطلق المثبت المقدّم، و المقیّد النافی المتأخّر، و فیما کانا غیر مقترنین بقرینة خاصّة علی إحدی المحتملات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قامت القرینة علی أنّ مفاد المقید تحریم فیؤخذ به، و یحمل المطلق علیه طبعا، و هکذا لو قامت علی أنّه متعیّن فی الکراهة المصطلحة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أقیمت القرینة علی الکراهة بمعنی المرجوحیّة النسبیّة کما فی باب العبادات، فلا یحمل المطلق علیها، لجواز الاکتفاء بالمرجوح فی مقام امتثال أمر الإطلاق به، فلو ورد النهی عن المهزولة فی الأضحیّة، و کان تنزیهیّا، فمجرّد کونه ترخیصا فی الفعل لا یقتضی بقاء الإطلاق علی حاله، لامتناع الجمع بین الوجوب و الکراهة المصطلحة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تری فی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اقتضاء الترخیص بقاء الإطلاق، فهو لأجل أنّ صحّة العبادة فی الحمّام متقوّمة بالأمر، و حیث لا یعقل الجمع بینهما یکون النهی محمولا علی الکراهة بمعنی المرجوحیّة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العبادات، فلا منع من کون الواجب ذبح الشاة السمینة، و کراهة ذبح المهزولة، بمعنی أنّه یجوز ذبحها، و لکنّه لا یکفی عن الأمر الثابت بدلیل المطلق، فلا تخلط و اغتنم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ما إذا قامت القرینة علی أنّه نهی تکلیفیّ مردّد بین التحریم و الکراهة</w:t>
      </w:r>
      <w:r>
        <w:rPr>
          <w:rFonts w:eastAsia="IRNazanin" w:cs="IRNazanin"/>
          <w:color w:val="111111"/>
          <w:sz w:val="28"/>
          <w:szCs w:val="28"/>
          <w:rtl w:val="true"/>
          <w:lang w:bidi="fa-IR"/>
        </w:rPr>
        <w:t>.</w:t>
      </w:r>
      <w:bookmarkStart w:id="865" w:name="pg13167_141164"/>
    </w:p>
    <w:p>
      <w:pPr>
        <w:pStyle w:val="BookText"/>
        <w:rPr/>
      </w:pPr>
      <w:bookmarkEnd w:id="865"/>
      <w:r>
        <w:rPr>
          <w:rFonts w:ascii="IRNazanin" w:hAnsi="IRNazanin" w:eastAsia="IRNazanin"/>
          <w:color w:val="111111"/>
          <w:sz w:val="28"/>
          <w:sz w:val="28"/>
          <w:szCs w:val="28"/>
          <w:rtl w:val="true"/>
          <w:lang w:bidi="fa-IR"/>
        </w:rPr>
        <w:t>و أمّا إذا وصلت النوبة إلی التردّد بین الإرشاد و غیره، فیتعیّن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تحرّر مقتضی الأصل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الإرشاد، و فی کونه مسوقا لتحدید مصبّ الإطلاق، و توضیح حدود الإرادة الجدّیة، کما فی العامّ و الخاصّ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مواقف الخلط بین کلمات المتأخّرین، حتّی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مع عدم تمامیّة طریقتهم فی البحث، فإنّ اللاّزم أوّلا البحث عن حال المطلق و المقیّد من غیر فرض کون دلیل القید تحریما أو تنزیها، ثمّ البحث عن صورة العلم بأحد الوجوه و المحتملات</w:t>
      </w:r>
      <w:r>
        <w:rPr>
          <w:rFonts w:eastAsia="IRNazanin" w:cs="IRNazanin"/>
          <w:color w:val="111111"/>
          <w:sz w:val="28"/>
          <w:szCs w:val="28"/>
          <w:rtl w:val="true"/>
          <w:lang w:bidi="fa-IR"/>
        </w:rPr>
        <w:t>.</w:t>
      </w:r>
    </w:p>
    <w:p>
      <w:pPr>
        <w:pStyle w:val="Heading6"/>
        <w:numPr>
          <w:ilvl w:val="5"/>
          <w:numId w:val="1"/>
        </w:numPr>
        <w:rPr/>
      </w:pPr>
      <w:bookmarkStart w:id="866" w:name="__RefHeading___Toc559960_3244359995"/>
      <w:bookmarkStart w:id="867" w:name="_Toc323"/>
      <w:bookmarkEnd w:id="866"/>
      <w:r>
        <w:rPr>
          <w:rtl w:val="true"/>
        </w:rPr>
        <w:t>بقی شی‌ء</w:t>
      </w:r>
      <w:r>
        <w:rPr>
          <w:rtl w:val="true"/>
        </w:rPr>
        <w:t xml:space="preserve">: </w:t>
      </w:r>
      <w:r>
        <w:rPr>
          <w:rtl w:val="true"/>
        </w:rPr>
        <w:t>فی حکم ما لو کان مفاد المطلق ندبا</w:t>
      </w:r>
      <w:bookmarkEnd w:id="867"/>
    </w:p>
    <w:p>
      <w:pPr>
        <w:pStyle w:val="BookText"/>
        <w:rPr/>
      </w:pPr>
      <w:r>
        <w:rPr>
          <w:rFonts w:ascii="IRNazanin" w:hAnsi="IRNazanin" w:eastAsia="IRNazanin"/>
          <w:color w:val="111111"/>
          <w:sz w:val="28"/>
          <w:sz w:val="28"/>
          <w:szCs w:val="28"/>
          <w:rtl w:val="true"/>
          <w:lang w:bidi="fa-IR"/>
        </w:rPr>
        <w:t>إذا کان دلیل المطلق ندبا، فإن قامت القرینة علی أنّ هیئة المقیّد تحریما أو تنزیها أو إرشادا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قامت القرینة علی أنّه للتنزیه بالمعنی الآخر، فیکون الإطلاق محفوظا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تقم القرینة علی أحد الوجوه و المحتملات، فکون الأصل حمل المطلق هنا علی المقیّد مطلقا، غیر واضح، ضرورة أنّه فیما إذا ورد الأمر بالعقیقة، ثمّ ورد النهی عن المهزولة، یکون فهم العقلاء علی أنّ المهزولة أقلّ ثوابا، بخلاف ما إذا ورد الأمر بمعاشرة العلماء، ثمّ ورد النهی عن معاشرة علماء السوء، فإنّه تحریم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حمل الهیئة هنا علی الإرشاد إلی تحدید مصبّ الإطلاق فقط، فهو مشکل، لأنّ السنن ممّا لا یهتمّ بها فی القوانین، حتّی یرد النهی لإفادة حدود المندوب فقط، فتدبّر تعرف</w:t>
      </w:r>
      <w:r>
        <w:rPr>
          <w:rFonts w:eastAsia="IRNazanin" w:cs="IRNazanin"/>
          <w:color w:val="111111"/>
          <w:sz w:val="28"/>
          <w:szCs w:val="28"/>
          <w:rtl w:val="true"/>
          <w:lang w:bidi="fa-IR"/>
        </w:rPr>
        <w:t>.</w:t>
      </w:r>
      <w:bookmarkStart w:id="868" w:name="pg13167_141165"/>
    </w:p>
    <w:p>
      <w:pPr>
        <w:pStyle w:val="Heading6"/>
        <w:numPr>
          <w:ilvl w:val="5"/>
          <w:numId w:val="1"/>
        </w:numPr>
        <w:rPr/>
      </w:pPr>
      <w:bookmarkStart w:id="869" w:name="__RefHeading___Toc559962_3244359995"/>
      <w:bookmarkStart w:id="870" w:name="_Toc324"/>
      <w:bookmarkEnd w:id="868"/>
      <w:bookmarkEnd w:id="869"/>
      <w:r>
        <w:rPr>
          <w:rtl w:val="true"/>
        </w:rPr>
        <w:t>توضیح و تفصیل</w:t>
      </w:r>
      <w:r>
        <w:rPr>
          <w:rtl w:val="true"/>
        </w:rPr>
        <w:t xml:space="preserve">: </w:t>
      </w:r>
      <w:r>
        <w:rPr>
          <w:rtl w:val="true"/>
        </w:rPr>
        <w:t>بین تعرّض القید لحکم الطبیعة و بین وروده نکرة</w:t>
      </w:r>
      <w:bookmarkEnd w:id="870"/>
    </w:p>
    <w:p>
      <w:pPr>
        <w:pStyle w:val="BookText"/>
        <w:rPr/>
      </w:pPr>
      <w:r>
        <w:rPr>
          <w:rFonts w:ascii="IRNazanin" w:hAnsi="IRNazanin" w:eastAsia="IRNazanin"/>
          <w:color w:val="111111"/>
          <w:sz w:val="28"/>
          <w:sz w:val="28"/>
          <w:szCs w:val="28"/>
          <w:rtl w:val="true"/>
          <w:lang w:bidi="fa-IR"/>
        </w:rPr>
        <w:t xml:space="preserve">لأحد دعوی التفصیل بین ما إذا کان دلیل القید متعرّضا لحکم الطبیعة،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إذا ورد علی وجه النکرة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حینئذ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النکرة فی سیاق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العموم </w:t>
      </w:r>
      <w:r>
        <w:rPr>
          <w:rStyle w:val="FootnoteAnchor"/>
          <w:rtl w:val="true"/>
        </w:rPr>
        <w:footnoteReference w:id="1167"/>
      </w:r>
      <w:r>
        <w:rPr>
          <w:rFonts w:ascii="IRNazanin" w:hAnsi="IRNazanin" w:eastAsia="IRNazanin"/>
          <w:color w:val="111111"/>
          <w:sz w:val="28"/>
          <w:sz w:val="28"/>
          <w:szCs w:val="28"/>
          <w:rtl w:val="true"/>
          <w:lang w:bidi="fa-IR"/>
        </w:rPr>
        <w:t>، یتعیّن أیضا حمل المطلق علی المقیّد، إلاّ أنّه یمکن حینئذ توجیه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العموم الاستغراقیّ مقدّم علی الإطلاق المنتج للبدلیّة، و أنّ ظهور القید وضعیّ تنجیزیّ، و المطلق إطلاقیّ 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النهی یکون حینئذ ظاهرا فی التحریم حسب الأصل المحرّر فی النواهی </w:t>
      </w:r>
      <w:r>
        <w:rPr>
          <w:rStyle w:val="FootnoteAnchor"/>
          <w:rtl w:val="true"/>
        </w:rPr>
        <w:footnoteReference w:id="1168"/>
      </w:r>
      <w:r>
        <w:rPr>
          <w:rFonts w:ascii="IRNazanin" w:hAnsi="IRNazanin" w:eastAsia="IRNazanin"/>
          <w:color w:val="111111"/>
          <w:sz w:val="28"/>
          <w:sz w:val="28"/>
          <w:szCs w:val="28"/>
          <w:rtl w:val="true"/>
          <w:lang w:bidi="fa-IR"/>
        </w:rPr>
        <w:t xml:space="preserve">، لأنّ ما تعرّض له الإطلاق فی ناحیة الأمر هی نفس الطبیعة، و أمّا فی ناحیة المقیّد فیکون مورد الحکم هو الفرد، فکأنّه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کلّ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الأمر بعتق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یورث تغییر أسلوب الکلام فی إفادة القید بالعموم، إفادة ذلک کما لا یخفی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 الشأن أنّ فی باب العمومات حتّی فی مثل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نحتاج إلی تلک المقدّمات حسبما قرّبناه </w:t>
      </w:r>
      <w:r>
        <w:rPr>
          <w:rStyle w:val="FootnoteAnchor"/>
          <w:rtl w:val="true"/>
        </w:rPr>
        <w:footnoteReference w:id="1169"/>
      </w:r>
      <w:r>
        <w:rPr>
          <w:rFonts w:ascii="IRNazanin" w:hAnsi="IRNazanin" w:eastAsia="IRNazanin"/>
          <w:color w:val="111111"/>
          <w:sz w:val="28"/>
          <w:sz w:val="28"/>
          <w:szCs w:val="28"/>
          <w:rtl w:val="true"/>
          <w:lang w:bidi="fa-IR"/>
        </w:rPr>
        <w:t xml:space="preserve">، و أمّا النکرة فی سیاق النهی فهی أیضا تکون کالمطلق، فظهور النهی فی التحریم محلّ إشکال حتّی فی مثل المثال الأخیر بإفادة القید علی نعت العموم اللفظیّ، لعدم حصول الفرق عند العرف بین الصور بعد سبق الإیجاب علی سبیل الإطلاق، سواء کان موضوع المطلق نفس الطبیعة، أو الطبیعة المنکّرة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bookmarkStart w:id="871" w:name="pg13167_141166"/>
    </w:p>
    <w:p>
      <w:pPr>
        <w:pStyle w:val="BookText"/>
        <w:rPr/>
      </w:pPr>
      <w:bookmarkEnd w:id="871"/>
      <w:r>
        <w:rPr>
          <w:rFonts w:ascii="IRNazanin" w:hAnsi="IRNazanin" w:eastAsia="IRNazanin"/>
          <w:color w:val="111111"/>
          <w:sz w:val="28"/>
          <w:sz w:val="28"/>
          <w:szCs w:val="28"/>
          <w:rtl w:val="true"/>
          <w:lang w:bidi="fa-IR"/>
        </w:rPr>
        <w:t>ففی جمیع هذه الصور الجزئیّة یکون حمل المطلق علی المقیّد واضحا، و تکون هیئة المقیّد ظاهرة فی التکلیف التحریمیّ، و غیرها غیر ظاهر أصلا، لقیام ما یصلح للقرینیّة، فترشد إلی تحدید مصبّ الإطلاق، و لذلک یقدّم علیه فی محیط التقنین و العقلاء بلا تأمّل</w:t>
      </w:r>
      <w:r>
        <w:rPr>
          <w:rFonts w:eastAsia="IRNazanin" w:cs="IRNazanin"/>
          <w:color w:val="111111"/>
          <w:sz w:val="28"/>
          <w:szCs w:val="28"/>
          <w:rtl w:val="true"/>
          <w:lang w:bidi="fa-IR"/>
        </w:rPr>
        <w:t>.</w:t>
      </w:r>
    </w:p>
    <w:p>
      <w:pPr>
        <w:pStyle w:val="Heading6"/>
        <w:numPr>
          <w:ilvl w:val="5"/>
          <w:numId w:val="1"/>
        </w:numPr>
        <w:rPr/>
      </w:pPr>
      <w:bookmarkStart w:id="872" w:name="__RefHeading___Toc559964_3244359995"/>
      <w:bookmarkStart w:id="873" w:name="_Toc325"/>
      <w:bookmarkEnd w:id="872"/>
      <w:r>
        <w:rPr>
          <w:rtl w:val="true"/>
        </w:rPr>
        <w:t>وهم و دفع</w:t>
      </w:r>
      <w:bookmarkEnd w:id="873"/>
    </w:p>
    <w:p>
      <w:pPr>
        <w:pStyle w:val="BookText"/>
        <w:rPr/>
      </w:pPr>
      <w:r>
        <w:rPr>
          <w:rFonts w:ascii="IRNazanin" w:hAnsi="IRNazanin" w:eastAsia="IRNazanin"/>
          <w:color w:val="111111"/>
          <w:sz w:val="28"/>
          <w:sz w:val="28"/>
          <w:szCs w:val="28"/>
          <w:rtl w:val="true"/>
          <w:lang w:bidi="fa-IR"/>
        </w:rPr>
        <w:t xml:space="preserve">لا شبهة فی حمل المطلق علی المقیّد فی هذه الصورة بفروضها الجزئیّة إلاّ ما مرّ، و منها ما إذا ورد فی المثال المزبور بعد الأمر بعتق الرقبة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بترک عتق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حمل المطلق علی المقیّد هنا مشکل، لأنّ العرف ینتقل من ذلک إلی مرجوحیّة عتق الکافرة بالنسبة إلی السائرین، فیکون کالنهی عن المهزولة بعد الأمر بذبح الشاة، مع قیام القرینة علی عدم کونه للتحریم، فإنّ حمله علی الکراهة المصطلحة بعید إلاّ مع اقتضاء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الشبهة و الإشکال فی أنّ حمل المطلق الوارد تقنینا کلّیا علی المقیّدات المختلفة الواردة حوله عقلائیّ، دون المطلقات و المقیّدات الواردة فی جواب الأسئلة الجزئیّة التی حان وقت العمل بها، و هذا هو کثیر الدور فی الفقه، فإنّه کثیرا ما یتّفق جواب سؤال فی مورد خاصّ فی زمان الباقر علیه السلام أو الصادق علیه السلام ثمّ ورد جواب سؤال آخر ینافیه بالإطلاق و التقیید، أ فهذا الجمع هنا أیضا عقلائیّ، أم یحمل الثانی علی النسخ، أم یعدّ الخبران متعارضین؟</w:t>
      </w:r>
    </w:p>
    <w:p>
      <w:pPr>
        <w:pStyle w:val="BookText"/>
        <w:rPr/>
      </w:pPr>
      <w:r>
        <w:rPr>
          <w:rFonts w:ascii="IRNazanin" w:hAnsi="IRNazanin" w:eastAsia="IRNazanin"/>
          <w:color w:val="111111"/>
          <w:sz w:val="28"/>
          <w:sz w:val="28"/>
          <w:szCs w:val="28"/>
          <w:rtl w:val="true"/>
          <w:lang w:bidi="fa-IR"/>
        </w:rPr>
        <w:t>وجوه، و الکلّ بعید إنصافا، و لا سیّما الأخیر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دوران الأمر بین الأوّلین، فلا فرق بحسب النتیجة فی حمل المطلق علی المقیّد بعد ورود القید، و الناسخ، إلاّ أنّ النسخ علی ما یظهر لی معناه قریب جدّاً</w:t>
      </w:r>
      <w:r>
        <w:rPr>
          <w:rFonts w:eastAsia="IRNazanin" w:cs="IRNazanin"/>
          <w:color w:val="111111"/>
          <w:sz w:val="28"/>
          <w:szCs w:val="28"/>
          <w:rtl w:val="true"/>
          <w:lang w:bidi="fa-IR"/>
        </w:rPr>
        <w:t>.</w:t>
      </w:r>
      <w:bookmarkStart w:id="874" w:name="pg13167_141167"/>
    </w:p>
    <w:p>
      <w:pPr>
        <w:pStyle w:val="BookText"/>
        <w:rPr/>
      </w:pPr>
      <w:bookmarkEnd w:id="874"/>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 الأقدس فی توجیه ارتکابه لتأخیر البیان، مع لزوم ارتکاب المکلّفین ما لا مصلحة فیه، یمکن أن یقول باقتضاء بعض الأمور السیاسیّة و الجهات الروحیّة ذلک، فإذا کان المولی علی هذه المحاسبة یؤخّر ذکر الخاصّ و المقیّد، فطبعا یصیر لملاحظة هذه المصالح العالیة الاعتباریّة، راضیا بما یصنعه المکلّف فی بیعه و شرائه و تجاراته و عباداته و أعماله، و عندئذ یصیر الکلّ موافقا للمصالح النّفس الأمریّة، و لا یبتلی المکلّف بالأعمال الباطلة، و المعاملات أو العبادات الفاسدة، لرضا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تلک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الأعمال غیر الواجدة للقیود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إذا ورد المقیّد و الخاصّ یعدّ هذا ناسخا بهذا المعنی، لأنّه کان راضیا بما تصنعه الأمّة، و کانت أفعالهم ذات مصالح سیاسیّة عالیة و إن کانت ذات مفاسد طبیعیّة جزئیّة، فإن کان النسخ هذا فهو صحیح، و کثیر بین الموالی و العبید، و لعلّ الشرع الأنور أیضا علی هذه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مثلا بیع الخمر مبغوضا فی جمیع الأحیان، لا یرضی الشرع بذلک، و لکن یؤخّر بیانه لمنع مانع، فإنّه إذا ورد التقیید لا یعدّ هذا ناسخا، لعدم موافقته لرضا الشرع من الأوّل، و أمّا هذا الفرض فغیر قابل للاتفاق إلاّ فی بعض أعصار التقیّة،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تأخیر البیان و المقیّد بالاختیار، رضا بالأعمال و الأفعال، و عندئذ تکون هی صحیحة مطابقة مع الأغراض العالیة الإسلامیّة، و یعدّ القید المتأخّر ناسخا، و الالتزام بمثله جائز جدّاً، و قطعیّ واقعا، و اللَّه العالم</w:t>
      </w:r>
      <w:r>
        <w:rPr>
          <w:rFonts w:eastAsia="IRNazanin" w:cs="IRNazanin"/>
          <w:color w:val="111111"/>
          <w:sz w:val="28"/>
          <w:szCs w:val="28"/>
          <w:rtl w:val="true"/>
          <w:lang w:bidi="fa-IR"/>
        </w:rPr>
        <w:t>.</w:t>
      </w:r>
    </w:p>
    <w:p>
      <w:pPr>
        <w:pStyle w:val="Heading6"/>
        <w:numPr>
          <w:ilvl w:val="5"/>
          <w:numId w:val="1"/>
        </w:numPr>
        <w:rPr/>
      </w:pPr>
      <w:bookmarkStart w:id="875" w:name="__RefHeading___Toc559966_3244359995"/>
      <w:bookmarkStart w:id="876" w:name="_Toc326"/>
      <w:bookmarkEnd w:id="875"/>
      <w:r>
        <w:rPr>
          <w:rtl w:val="true"/>
        </w:rPr>
        <w:t>بقی شی‌ء</w:t>
      </w:r>
      <w:r>
        <w:rPr>
          <w:rtl w:val="true"/>
        </w:rPr>
        <w:t xml:space="preserve">: </w:t>
      </w:r>
      <w:r>
        <w:rPr>
          <w:rtl w:val="true"/>
        </w:rPr>
        <w:t>فی حکم تقدّم زمان المقیّد علی المطلق</w:t>
      </w:r>
      <w:bookmarkEnd w:id="87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فی هذه الصورة تاریخ المقیّد مقدّما علی المطلق، فالجمع بینهما</w:t>
      </w:r>
    </w:p>
    <w:p>
      <w:pPr>
        <w:pStyle w:val="BookText"/>
        <w:rPr/>
      </w:pPr>
      <w:r>
        <w:rPr>
          <w:rFonts w:ascii="IRNazanin" w:hAnsi="IRNazanin" w:eastAsia="IRNazanin"/>
          <w:color w:val="111111"/>
          <w:sz w:val="28"/>
          <w:sz w:val="28"/>
          <w:szCs w:val="28"/>
          <w:rtl w:val="true"/>
          <w:lang w:bidi="fa-IR"/>
        </w:rPr>
        <w:t>بحمل المطلق علی المقیّد أیضا مفروغ منه، و احتمال کونه ناسخا علی الوجه المزبور موجود، و تصیر النتیجة الأخذ بالمطلق علی خلاف ما تعارف علیه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الأسف، إنّ المتّبع هو المقدّم، ضرورة أنّ 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تقدّم تاریخا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العرفیّة فی محیط التقنین و من الواضحات العقلیّة، فیما إذا کان حمل الهیئة فی المقیّد علی الإرشاد إلی تحدید مصبّ الإطلاق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المقیّد متقدّما، فلا سبیل إلی التشبّث بالوجوه الصحیحة فی حمل المطلق المتأخّر، لأنّ المقیّد المتقدّم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الأصل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الحرمة، و المطلق المتقدّم علی الوجوب، و کما یمکن التصرّف فی الإطلاق الأحوالیّ الثابت للمتأخّر، یمکن التصرّف فی الإطلاق الأزمانیّ الثابت للمتقدّم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دأب العقلاء تقنین الکلّیات القانونیّة بعد ذکر القیود، حتّی یکون إطلاق المتأخّر محمولا علی ضرب القانون، هذا و لا سیّما فیما إذا کان الإطلاق و التقیید فی هذا الفرض، واردین عند الأسئلة الجزئیّة، و لدی الابتلاءات الخاصّة الشخصیّة الدائرة علی المکلّفین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نصّ من الکتاب و السنة علی حمل المطلق علی المقیّد أینما کانا، و علی أیّة وجهة وردا، فما دام لم یثبت أنّه جمع عرفیّ، لیس أحد التصرّفین أهون من الآخر، بعد إمکان کون النسخ معناه ما احتملناه قریبا، فإذا ورد مقیّد مشتمل علی الهیئة التحریمیّة، تکون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الإطلاق الأزمانیّ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الأبدیّة، و إذا ورد المطلق فهو و إن کان من جهة الأحوال بالنسبة إلیه مطلقا، إلاّ أنّه بالنظر إلی الإطلاق الأزمانیّ المزبور مقیّد و ناسخ لخصوصیّة التقیید، لا لأمر آخر، ضرورة أنّ دلیل القید لا یدلّ إلاّ علی تحریم المقیّد مثلا، و أمّا بالنسبة إلی نفس</w:t>
      </w:r>
      <w:bookmarkStart w:id="877" w:name="pg13167_141169"/>
    </w:p>
    <w:p>
      <w:pPr>
        <w:pStyle w:val="BookText"/>
        <w:rPr/>
      </w:pPr>
      <w:bookmarkEnd w:id="877"/>
      <w:r>
        <w:rPr>
          <w:rFonts w:ascii="Amiri" w:hAnsi="Amiri" w:eastAsia="Amiri" w:cs="Amiri"/>
          <w:color w:val="111111"/>
          <w:sz w:val="28"/>
          <w:sz w:val="28"/>
          <w:szCs w:val="28"/>
          <w:rtl w:val="true"/>
          <w:lang w:bidi="ar-SA"/>
        </w:rPr>
        <w:t>الطبیعة فهو ساکت، فلا تخلط و تدبّر لَعَلَّ اللَّهَ یُحْدِثُ بَعْدَ ذلِکَ أَمْراً</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8" w:name="__RefHeading___Toc559968_3244359995"/>
      <w:bookmarkStart w:id="879" w:name="_Toc327"/>
      <w:bookmarkEnd w:id="878"/>
      <w:r>
        <w:rPr>
          <w:rtl w:val="true"/>
        </w:rPr>
        <w:t>فذلکة الکلام</w:t>
      </w:r>
      <w:bookmarkEnd w:id="879"/>
    </w:p>
    <w:p>
      <w:pPr>
        <w:pStyle w:val="BookText"/>
        <w:rPr/>
      </w:pPr>
      <w:r>
        <w:rPr>
          <w:rFonts w:ascii="IRNazanin" w:hAnsi="IRNazanin" w:eastAsia="IRNazanin"/>
          <w:color w:val="111111"/>
          <w:sz w:val="28"/>
          <w:sz w:val="28"/>
          <w:szCs w:val="28"/>
          <w:rtl w:val="true"/>
          <w:lang w:bidi="fa-IR"/>
        </w:rPr>
        <w:t xml:space="preserve">إنّ القول بالنسخ کان ضعیفا بین أبناء التحصیل </w:t>
      </w:r>
      <w:r>
        <w:rPr>
          <w:rStyle w:val="FootnoteAnchor"/>
          <w:rtl w:val="true"/>
        </w:rPr>
        <w:footnoteReference w:id="1171"/>
      </w:r>
      <w:r>
        <w:rPr>
          <w:rFonts w:ascii="IRNazanin" w:hAnsi="IRNazanin" w:eastAsia="IRNazanin"/>
          <w:color w:val="111111"/>
          <w:sz w:val="28"/>
          <w:sz w:val="28"/>
          <w:szCs w:val="28"/>
          <w:rtl w:val="true"/>
          <w:lang w:bidi="fa-IR"/>
        </w:rPr>
        <w:t>، بمعنی أن یکون البیع الغرریّ ذا مصلحة، ثمّ یصیر ذا مفسدة، و أمّا بمعنی أنّ الشرع رضی به لأجل المصالح العالیة السیاسیّة و الروحیّة، فإنّه علیه یلزم صحّته و عدم ابتلاء الناس بما لا مصلحة فیه، أو بما فیه بغض المولی و مفسدة المجتمع، و هذا أمر یرتکز علیه العقلاء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یجری فی جمیع العمومات و المخصّصات، و المطلقات و المقیّدات، و المحکومات و الحاکمات و غیرها، سواء تقدّمت القرائن علی ذیها، أو تأخّرت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التأخّر لا فرق بین الالتزام بالنسخ أو التخصیص و التقیید بمعناهما الاصطلاحیّ، لأنّ اللاّزم هو الأخذ بالمتأخّر الأخصّ، و نتیجته حمل العامّ علی الخاصّ، و المطلق علی المقیّد طبعا، و أمّا إذا انعکس فالأخذ بالمطلق أو العامّ المتأخّر، أقرب إلی الأصول العرفیّة و القواعد الصناعیّة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یکن الفصل بینهما بمزید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یمکن احتمال اقتضاء السیاسة الکلّیة العالیة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القول بالحمل قویّا، و هذا ما هو المعروف فی الأصول السابقة، من أنّ التأخیر عن وقت الحاجة یضرّ بالحمل، فافهم</w:t>
      </w:r>
      <w:r>
        <w:rPr>
          <w:rFonts w:eastAsia="IRNazanin" w:cs="IRNazanin"/>
          <w:color w:val="111111"/>
          <w:sz w:val="28"/>
          <w:szCs w:val="28"/>
          <w:rtl w:val="true"/>
          <w:lang w:bidi="fa-IR"/>
        </w:rPr>
        <w:t>.</w:t>
      </w:r>
      <w:bookmarkStart w:id="880" w:name="pg13167_141170"/>
    </w:p>
    <w:p>
      <w:pPr>
        <w:pStyle w:val="Heading6"/>
        <w:numPr>
          <w:ilvl w:val="5"/>
          <w:numId w:val="1"/>
        </w:numPr>
        <w:rPr/>
      </w:pPr>
      <w:bookmarkStart w:id="881" w:name="__RefHeading___Toc559970_3244359995"/>
      <w:bookmarkStart w:id="882" w:name="_Toc328"/>
      <w:bookmarkEnd w:id="880"/>
      <w:bookmarkEnd w:id="881"/>
      <w:r>
        <w:rPr>
          <w:rtl w:val="true"/>
        </w:rPr>
        <w:t>تنبیه</w:t>
      </w:r>
      <w:r>
        <w:rPr>
          <w:rtl w:val="true"/>
        </w:rPr>
        <w:t xml:space="preserve">: </w:t>
      </w:r>
      <w:r>
        <w:rPr>
          <w:rtl w:val="true"/>
        </w:rPr>
        <w:t>حول قیام القرینة علی الإرشاد إلی تحدید مصبّ الإطلاق المتأخّر</w:t>
      </w:r>
      <w:bookmarkEnd w:id="882"/>
    </w:p>
    <w:p>
      <w:pPr>
        <w:pStyle w:val="BookText"/>
        <w:rPr/>
      </w:pPr>
      <w:r>
        <w:rPr>
          <w:rFonts w:ascii="IRNazanin" w:hAnsi="IRNazanin" w:eastAsia="IRNazanin"/>
          <w:color w:val="111111"/>
          <w:sz w:val="28"/>
          <w:sz w:val="28"/>
          <w:szCs w:val="28"/>
          <w:rtl w:val="true"/>
          <w:lang w:bidi="fa-IR"/>
        </w:rPr>
        <w:t>لو قامت القرینة علی أنّ الهیئة الناهیة المتعلّقة بالمقیّد المتقدّم، إرشاد إلی تحدید مصبّ الإطلاق المتأخّر، یتعیّن حینئذ حمل المطلق علی المقیّد أیضا، کما أنّ الهیئات الناهیة ربّما تکون متعلّقة بالمقیّد فی الأمور التی ینالها العقل العرفیّ، فإذا ورد المطلق یکون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النهی السابق، بضمیمة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منصرفا إلی الحصّة القابلة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النهی عن عتق الرقبة الکافرة، فهو ممّا تساعد علیه العقول العرفیّة، ثمّ إذا ورد الأمر بعتق الرقبة، یکون هو منصرفا عن مورد المقیّد السابق إلی حصّة المؤمنة، فالموارد تختلف، فلا تخلط</w:t>
      </w:r>
      <w:r>
        <w:rPr>
          <w:rFonts w:eastAsia="IRNazanin" w:cs="IRNazanin"/>
          <w:color w:val="111111"/>
          <w:sz w:val="28"/>
          <w:szCs w:val="28"/>
          <w:rtl w:val="true"/>
          <w:lang w:bidi="fa-IR"/>
        </w:rPr>
        <w:t>.</w:t>
      </w:r>
    </w:p>
    <w:p>
      <w:pPr>
        <w:pStyle w:val="Heading6"/>
        <w:numPr>
          <w:ilvl w:val="5"/>
          <w:numId w:val="1"/>
        </w:numPr>
        <w:rPr/>
      </w:pPr>
      <w:bookmarkStart w:id="883" w:name="__RefHeading___Toc559972_3244359995"/>
      <w:bookmarkStart w:id="884" w:name="_Toc329"/>
      <w:bookmarkEnd w:id="883"/>
      <w:r>
        <w:rPr>
          <w:rtl w:val="true"/>
        </w:rPr>
        <w:t>تذنیب</w:t>
      </w:r>
      <w:r>
        <w:rPr>
          <w:rtl w:val="true"/>
        </w:rPr>
        <w:t xml:space="preserve">: </w:t>
      </w:r>
      <w:r>
        <w:rPr>
          <w:rtl w:val="true"/>
        </w:rPr>
        <w:t>فی حکم الشکّ فی التقدّم و التأخّر بناء علی نسخ المقیّد المتقدّم</w:t>
      </w:r>
      <w:bookmarkEnd w:id="884"/>
    </w:p>
    <w:p>
      <w:pPr>
        <w:pStyle w:val="BookText"/>
        <w:rPr/>
      </w:pPr>
      <w:r>
        <w:rPr>
          <w:rFonts w:ascii="IRNazanin" w:hAnsi="IRNazanin" w:eastAsia="IRNazanin"/>
          <w:color w:val="111111"/>
          <w:sz w:val="28"/>
          <w:sz w:val="28"/>
          <w:szCs w:val="28"/>
          <w:rtl w:val="true"/>
          <w:lang w:bidi="fa-IR"/>
        </w:rPr>
        <w:t>بناء علی کون المطلق المتأخّر ناسخا للمقیّد المتقدّم، یختلف حکم المسألة فی صورة الشکّ فی التقدیم و التأخیر، فإن أمکن إحراز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بأنّ المتعارف تقدیم المطلقات علی المقیّدات و العمومات علی المخصّصات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إلاّ فلا سبیل إلی إحراز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تاریخهما واحدا یحمل المطلق علی المقیّد مطلقا، و یکون للأصلین أثر، إلاّ أنّ جریانهما محلّ الإشکال، و تفصیله فی الاستصحاب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مقطوعا عدم اتحادهما تاریخا فلا یجریان، أو یکونان متعارضین کما لا یخفی</w:t>
      </w:r>
      <w:r>
        <w:rPr>
          <w:rFonts w:eastAsia="IRNazanin" w:cs="IRNazanin"/>
          <w:color w:val="111111"/>
          <w:sz w:val="28"/>
          <w:szCs w:val="28"/>
          <w:rtl w:val="true"/>
          <w:lang w:bidi="fa-IR"/>
        </w:rPr>
        <w:t>.</w:t>
      </w:r>
      <w:bookmarkStart w:id="885" w:name="pg13167_141171"/>
    </w:p>
    <w:p>
      <w:pPr>
        <w:pStyle w:val="Heading6"/>
        <w:numPr>
          <w:ilvl w:val="5"/>
          <w:numId w:val="1"/>
        </w:numPr>
        <w:rPr/>
      </w:pPr>
      <w:bookmarkStart w:id="886" w:name="__RefHeading___Toc559974_3244359995"/>
      <w:bookmarkStart w:id="887" w:name="_Toc330"/>
      <w:bookmarkEnd w:id="885"/>
      <w:bookmarkEnd w:id="886"/>
      <w:r>
        <w:rPr>
          <w:rtl w:val="true"/>
        </w:rPr>
        <w:t>بقی شی‌ء آخر</w:t>
      </w:r>
      <w:r>
        <w:rPr>
          <w:rtl w:val="true"/>
        </w:rPr>
        <w:t xml:space="preserve">: </w:t>
      </w:r>
      <w:r>
        <w:rPr>
          <w:rtl w:val="true"/>
        </w:rPr>
        <w:t>فی بیان فروض أخر للصورة الأولی</w:t>
      </w:r>
      <w:bookmarkEnd w:id="887"/>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فروض هذه الصورة الرئیسة، و من الأقسام المتصوّرة من الناحیة الأخری غیر النواحی السابقة، أنّ هذا المطلق المشتمل علی الأمر، و المقیّد المشتمل علی النهی،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یکونان متعلّقین بالوجود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بالوجود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یختلفان، فیکون المطلق متعلّقا بالوجود الصرف، دون المقیّد،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بین هذه الصور صورة رئیسة محلّ الکلام، و هی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متعلّق بصرف الوجود، و النهی متعلّق بالوجود الساری، علی حسب المصطلحات، و إلاّ فما هو حقیقة متعلّق الأمر هی الطبیعة، إلاّ أنّ ذلک من نتائجهما العقلیّة و العرفیّة، فالذی لا شبهة عندهم و یقتضیه الوجه الصحیح، هو حمل المطلق علی المقیّد فی الصورة الرئیسة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انعکس الأمر، بأن یکون مفاد المطلق هو الوجود الساری،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من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ظاهر فی انحلال الحکم، أو ورد الأمر الاستحبابیّ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 العالم، و حیِّه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حسب الأفهام العرفیّة ینحلّ إلی الأوامر بالضرورة، و لا یکون هناک مطلوب واحد، و یکون مفاد المقیّد صرف الوجود، أی الزجر عن صرفه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یترک الهیئة بالنسبة إلی شارب الخمر، بحیث إذا سلّم علی شارب الخمر مرّة فقد أثم، و سقط النهی، و لا نهی بعده، فلا شبهة</w:t>
      </w:r>
    </w:p>
    <w:p>
      <w:pPr>
        <w:pStyle w:val="BookText"/>
        <w:rPr/>
      </w:pPr>
      <w:r>
        <w:rPr>
          <w:rFonts w:ascii="IRNazanin" w:hAnsi="IRNazanin" w:eastAsia="IRNazanin"/>
          <w:color w:val="111111"/>
          <w:sz w:val="28"/>
          <w:sz w:val="28"/>
          <w:szCs w:val="28"/>
          <w:rtl w:val="true"/>
          <w:lang w:bidi="fa-IR"/>
        </w:rPr>
        <w:t>فی تعیّن حمل المطلق علی المقیّد إذا کان النهی إلزامیّا، لأنّه إرشاد إلی تحدید مصبّ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کان تحریمیّا أو تنزیهیّا اصطلاحیّا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تنزیها غیر مصطلح علیه فیؤخذ بکلّ من الإطلاق و التقیید لما مرّ</w:t>
      </w:r>
      <w:r>
        <w:rPr>
          <w:rStyle w:val="FootnoteAnchor"/>
          <w:rtl w:val="true"/>
        </w:rPr>
        <w:footnoteReference w:id="1174"/>
      </w:r>
      <w:r>
        <w:rPr>
          <w:rFonts w:ascii="IRNazanin" w:hAnsi="IRNazanin" w:eastAsia="IRNazanin"/>
          <w:color w:val="111111"/>
          <w:sz w:val="28"/>
          <w:sz w:val="28"/>
          <w:szCs w:val="28"/>
          <w:rtl w:val="true"/>
          <w:lang w:bidi="fa-IR"/>
        </w:rPr>
        <w:t>،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حصول الامتثال علی وجه یسقط النهی بالانزجار عن الطبیعة مرّة واحدة، مثلا إذا ورد النهی عن السلام علی العدوّ العالم، فمجرّد مضیّ زمان یمکن أن یعصی فیه النهی المزبور، یکون النهی ساقطا بالامتثال، فإنّه حینئذ لا یتعارضان، و لا یقع التنافی بین المطلق و المقیّد، لإمکان امتثال المطلق بعد مضیّ الزمان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مفاد المطلق فوریّة السلام، و کان له الإطلاق الأحوالیّ یتهافتان، و یقیّد طبعا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کانا شمولیّین، و متعلّقین بالوجود الساری فالحمل أیضا واضح، إلاّ أنّ ما قیل فی وجه تقدیم المقیّد بأنّه شمولیّ، و المطلق بدلیّ </w:t>
      </w:r>
      <w:r>
        <w:rPr>
          <w:rStyle w:val="FootnoteAnchor"/>
          <w:rtl w:val="true"/>
        </w:rPr>
        <w:footnoteReference w:id="1175"/>
      </w:r>
      <w:r>
        <w:rPr>
          <w:rFonts w:ascii="IRNazanin" w:hAnsi="IRNazanin" w:eastAsia="IRNazanin"/>
          <w:color w:val="111111"/>
          <w:sz w:val="28"/>
          <w:sz w:val="28"/>
          <w:szCs w:val="28"/>
          <w:rtl w:val="true"/>
          <w:lang w:bidi="fa-IR"/>
        </w:rPr>
        <w:t>، غیر جار هنا، و هکذا إذا کانا بدلیّین، فافهم و اغتنم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حال بعض الصور الأُخری حول هذه الصورة الرئیسة، فإنّ اعتبار کون الأمر و النهی متعلّقین بالساری، أو بصرف الوجود، غیر اعتبار کونهما متعلّقین بنفس الطبیعة، و تفصیله یطلب من باب الأوامر</w:t>
      </w:r>
      <w:r>
        <w:rPr>
          <w:rStyle w:val="FootnoteAnchor"/>
          <w:rtl w:val="true"/>
        </w:rPr>
        <w:footnoteReference w:id="1176"/>
      </w:r>
      <w:r>
        <w:rPr>
          <w:rFonts w:ascii="IRNazanin" w:hAnsi="IRNazanin" w:eastAsia="IRNazanin"/>
          <w:color w:val="111111"/>
          <w:sz w:val="28"/>
          <w:sz w:val="28"/>
          <w:szCs w:val="28"/>
          <w:rtl w:val="true"/>
          <w:lang w:bidi="fa-IR"/>
        </w:rPr>
        <w:t xml:space="preserve">و النواهی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bookmarkStart w:id="888" w:name="pg13167_141173"/>
    </w:p>
    <w:p>
      <w:pPr>
        <w:pStyle w:val="Heading5"/>
        <w:numPr>
          <w:ilvl w:val="4"/>
          <w:numId w:val="1"/>
        </w:numPr>
        <w:rPr/>
      </w:pPr>
      <w:bookmarkStart w:id="889" w:name="__RefHeading___Toc559976_3244359995"/>
      <w:bookmarkStart w:id="890" w:name="_Toc331"/>
      <w:bookmarkEnd w:id="888"/>
      <w:bookmarkEnd w:id="889"/>
      <w:r>
        <w:rPr>
          <w:rtl w:val="true"/>
        </w:rPr>
        <w:t>الصورة الثانیة</w:t>
      </w:r>
      <w:r>
        <w:rPr>
          <w:rtl w:val="true"/>
        </w:rPr>
        <w:t>:</w:t>
      </w:r>
      <w:bookmarkEnd w:id="890"/>
    </w:p>
    <w:p>
      <w:pPr>
        <w:pStyle w:val="BookText"/>
        <w:rPr/>
      </w:pPr>
      <w:r>
        <w:rPr>
          <w:rFonts w:ascii="IRNazanin" w:hAnsi="IRNazanin" w:eastAsia="IRNazanin"/>
          <w:color w:val="111111"/>
          <w:sz w:val="28"/>
          <w:sz w:val="28"/>
          <w:szCs w:val="28"/>
          <w:rtl w:val="true"/>
          <w:lang w:bidi="fa-IR"/>
        </w:rPr>
        <w:t>إذا ورد مطلق مشتمل علی النهی، ثمّ ورد مقیّد مشتمل علی الأمر، فالحقّ هو الحمل علی الإرشاد فی صورة کون الأمر متأخّرا،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الأصل العرفیّ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إلی تحدید مصبّ الإطلاق، و یکون من قبیل الأمر عقیب الحظر و إن کان منفصلا و متعلّقا بحصّة من الطبیعة المنهیّ عنها، فإنّ الأمر حینئذ إلزامیّ إرشادیّ، و هذا هو سرّ تقدیم المقیّد علی المطلق کما عرفت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هناک بتفصیل تظهر سائر الأحکام فی المقام، و سائر النواحی و الجهات المبحوث عنها، فلا تخلط،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النکرة فی سیاق النهی تفید العموم </w:t>
      </w:r>
      <w:r>
        <w:rPr>
          <w:rStyle w:val="FootnoteAnchor"/>
          <w:rtl w:val="true"/>
        </w:rPr>
        <w:footnoteReference w:id="1179"/>
      </w:r>
      <w:r>
        <w:rPr>
          <w:rFonts w:ascii="IRNazanin" w:hAnsi="IRNazanin" w:eastAsia="IRNazanin"/>
          <w:color w:val="111111"/>
          <w:sz w:val="28"/>
          <w:sz w:val="28"/>
          <w:szCs w:val="28"/>
          <w:rtl w:val="true"/>
          <w:lang w:bidi="fa-IR"/>
        </w:rPr>
        <w:t xml:space="preserve">، فیخرج من صور هذه الصورة الرئیسة ما إذا ورد النهی متعلّقا بالنکرة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لکنّک عرفت فی موضع من الکتاب بطلان هذه المقالة حتّی فی النفی، فضلا عن النهی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یشکل أن یکون من الإطلاق ما إذا کان النهی متعلّقا بأداة الموصول، نحو وَ لا تَأْکُلُوا مِمَّا لَمْ یُذْکَرِ اسْمُ اللَّهِ عَلَیْهِ </w:t>
      </w:r>
      <w:r>
        <w:rPr>
          <w:rStyle w:val="FootnoteAnchor"/>
          <w:rtl w:val="true"/>
        </w:rPr>
        <w:footnoteReference w:id="1181"/>
      </w:r>
      <w:r>
        <w:rPr>
          <w:rFonts w:ascii="IRNazanin" w:hAnsi="IRNazanin" w:eastAsia="IRNazanin"/>
          <w:color w:val="111111"/>
          <w:sz w:val="28"/>
          <w:sz w:val="28"/>
          <w:szCs w:val="28"/>
          <w:rtl w:val="true"/>
          <w:lang w:bidi="fa-IR"/>
        </w:rPr>
        <w:t xml:space="preserve">لأنّ الموضوع له فیها إذا کان خاصّا، یلزم انحلال الحکم بحسب الدلالة الوضعیّة، و مع ذلک یقدّم المقیّد علیه، و بذلک یظهر سقوط 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وجه تقدیم المقیّد علی المطلق، أنّ ظهور</w:t>
      </w:r>
      <w:bookmarkStart w:id="891" w:name="pg13167_141174"/>
    </w:p>
    <w:p>
      <w:pPr>
        <w:pStyle w:val="BookText"/>
        <w:rPr/>
      </w:pPr>
      <w:bookmarkEnd w:id="891"/>
      <w:r>
        <w:rPr>
          <w:rFonts w:ascii="IRNazanin" w:hAnsi="IRNazanin" w:eastAsia="IRNazanin"/>
          <w:color w:val="111111"/>
          <w:sz w:val="28"/>
          <w:sz w:val="28"/>
          <w:szCs w:val="28"/>
          <w:rtl w:val="true"/>
          <w:lang w:bidi="fa-IR"/>
        </w:rPr>
        <w:t xml:space="preserve">المطلق تعلیقیّ، و ظهور المقیّد تنجیزیّ </w:t>
      </w:r>
      <w:r>
        <w:rPr>
          <w:rStyle w:val="FootnoteAnchor"/>
          <w:rtl w:val="true"/>
        </w:rPr>
        <w:footnoteReference w:id="1182"/>
      </w:r>
      <w:r>
        <w:rPr>
          <w:rFonts w:ascii="IRNazanin" w:hAnsi="IRNazanin" w:eastAsia="IRNazanin"/>
          <w:color w:val="111111"/>
          <w:sz w:val="28"/>
          <w:sz w:val="28"/>
          <w:szCs w:val="28"/>
          <w:rtl w:val="true"/>
          <w:lang w:bidi="fa-IR"/>
        </w:rPr>
        <w:t>، و هنا بالعکس، و مع ذلک یقدّم المقیّد التعلیقیّ علی المطلق التنجیزیّ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تقدیم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الفاسق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علی فساد هذا التخیّل و التوهّم،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کلّ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الظهورات تعلیقیّة حتّی فی العمومات اللفظیّة، بناء علی عدم الاحتیاج فیها إلی مقدّمات الإطلاق، و ذلک لأنّ مجرّد تمامیّة الدلالة الوضعیّة غیر کاف لتمامیّة الحجّیة، فإنّ من الشرائط جریان أصالة التطابق بین الإرادة الجدّیة و الاستعمالیّة، بمعنی أنّ مجرّد جعل الطبیعة تمام الموضوع لا یکفی، و مجرّد إسراء الحکم فی القضیّة إلی الأفراد بأداة العموم، أیضا لا یکفی ما دام لم یجرِ الأصل المزبور، و لا شبهة فی أنّه أصل عقلائیّ تعلیقیّ، ضرورة أنّ العقلاء عند عدم القرینة یحکمون بالتطابق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وجه لتقدیم العامّ علی المطلق، لکونهما حجّتین معلّقتین، و لیست حجّیة العموم تنجیزیّة، و ما هو تنجیزیّ لیس تمام الموضوع، فلا تخلط</w:t>
      </w:r>
      <w:r>
        <w:rPr>
          <w:rFonts w:eastAsia="IRNazanin" w:cs="IRNazanin"/>
          <w:color w:val="111111"/>
          <w:sz w:val="28"/>
          <w:szCs w:val="28"/>
          <w:rtl w:val="true"/>
          <w:lang w:bidi="fa-IR"/>
        </w:rPr>
        <w:t>.</w:t>
      </w:r>
    </w:p>
    <w:p>
      <w:pPr>
        <w:pStyle w:val="Heading5"/>
        <w:numPr>
          <w:ilvl w:val="4"/>
          <w:numId w:val="1"/>
        </w:numPr>
        <w:rPr/>
      </w:pPr>
      <w:bookmarkStart w:id="892" w:name="__RefHeading___Toc559978_3244359995"/>
      <w:bookmarkStart w:id="893" w:name="_Toc332"/>
      <w:bookmarkEnd w:id="892"/>
      <w:r>
        <w:rPr>
          <w:rtl w:val="true"/>
        </w:rPr>
        <w:t>الصورة الثالثة</w:t>
      </w:r>
      <w:r>
        <w:rPr>
          <w:rtl w:val="true"/>
        </w:rPr>
        <w:t>:</w:t>
      </w:r>
      <w:bookmarkEnd w:id="893"/>
    </w:p>
    <w:p>
      <w:pPr>
        <w:pStyle w:val="Heading6"/>
        <w:numPr>
          <w:ilvl w:val="5"/>
          <w:numId w:val="1"/>
        </w:numPr>
        <w:rPr/>
      </w:pPr>
      <w:bookmarkStart w:id="894" w:name="__RefHeading___Toc559980_3244359995"/>
      <w:bookmarkStart w:id="895" w:name="_Toc333"/>
      <w:bookmarkEnd w:id="894"/>
      <w:r>
        <w:rPr>
          <w:rtl w:val="true"/>
        </w:rPr>
        <w:t>اشارة</w:t>
      </w:r>
      <w:bookmarkEnd w:id="895"/>
    </w:p>
    <w:p>
      <w:pPr>
        <w:pStyle w:val="BookText"/>
        <w:rPr/>
      </w:pPr>
      <w:r>
        <w:rPr>
          <w:rFonts w:ascii="IRNazanin" w:hAnsi="IRNazanin" w:eastAsia="IRNazanin"/>
          <w:color w:val="111111"/>
          <w:sz w:val="28"/>
          <w:sz w:val="28"/>
          <w:szCs w:val="28"/>
          <w:rtl w:val="true"/>
          <w:lang w:bidi="fa-IR"/>
        </w:rPr>
        <w:t>إذا کان کلّ من المطلق و المقیّد مشتملا علی الأمر، و کان المطلق مقدّما، فهل هنا یحمل المطلق علی المقیّد مطلقا، أم لا، أو یفصّل؟ وجوه نشیر إلیها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فرغنا فیما مرّ من المقدّمات عن وجود التنافی بین المثبتین، للزوم الجمع بین المثلین، کما یحصل التنافی بین المتخالفین، للزوم الجمع بین الضدّین علی حسب الاصطلاح </w:t>
      </w:r>
      <w:r>
        <w:rPr>
          <w:rStyle w:val="FootnoteAnchor"/>
          <w:rtl w:val="true"/>
        </w:rPr>
        <w:footnoteReference w:id="1183"/>
      </w:r>
      <w:r>
        <w:rPr>
          <w:rFonts w:ascii="IRNazanin" w:hAnsi="IRNazanin" w:eastAsia="IRNazanin"/>
          <w:color w:val="111111"/>
          <w:sz w:val="28"/>
          <w:sz w:val="28"/>
          <w:szCs w:val="28"/>
          <w:rtl w:val="true"/>
          <w:lang w:bidi="fa-IR"/>
        </w:rPr>
        <w:t>، و إلاّ فلا مثلیّة و لا ضدّیة واقعا بالذات بین الأحکام</w:t>
      </w:r>
    </w:p>
    <w:p>
      <w:pPr>
        <w:pStyle w:val="BookText"/>
        <w:rPr/>
      </w:pPr>
      <w:r>
        <w:rPr>
          <w:rFonts w:ascii="Amiri" w:hAnsi="Amiri" w:eastAsia="Amiri" w:cs="Amiri"/>
          <w:color w:val="111111"/>
          <w:sz w:val="28"/>
          <w:sz w:val="28"/>
          <w:szCs w:val="28"/>
          <w:rtl w:val="true"/>
          <w:lang w:bidi="ar-SA"/>
        </w:rPr>
        <w:t xml:space="preserve">الاعتباریّة، کما تحرّر فی محلّه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یسقط من بین الوجوه المحتملة، احتمال کون کلّ واحد مشتملا علی تکلیف استقلالیّ، للزوم کون المقیّد واجبین عرضا، و هو محال، و الواجب فی الواجب إن کان معناه ذلک فهو ممتنع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المشکلة هنا ترجع إلی لزوم التخییر فی مقام الامتثال، و هذا یحتاج إلی العنایة الزائدة</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غیر وجیه، لأنّ مع الالتزام بکونهما واجبین،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الأمرین امتثالا إذا أتی بالمقیّد، و إذا أتی بالمطلق یلزم الإتیان ثانیا بالمقیّد، و ربّما یکون نظر المقنّن إلی تحصیل عتق الرقبة مهما کان، و تحصیل المؤمنة، و لو أمر أمرا واحدا متوجّها إلی المؤمنة، یلزم قعود المکلّف مع القدرة علی المطلقة، فهذا غیر ممنوع حسب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فالإشکال مخصوص بمقام الجعل، و عدم إمکان ترشّح الإرادة التأسیسیّة ثانیا بالنسبة إلی المقیّد، مع أنّه عین المطلق مع إضافة لا یتمکّن بها المقنّن من تأسیس القانون، للزوم کون الإرادة الثانیة فی محلّ الإرادة الأُولی تأکیدا، لا إلزاما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المطلق علی حاله، و التصرّف فی المقیّد هیئة و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بحسب الهیئة فهی تحمل علی الاستحباب، و أمّا بحسب المادّة فهی تحمل علی أنّه قید استحبابیّ، و قید غیر احترازیّ، و هذا خلاف الأصل فی القیود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إطلاق المطلق و التحفّظ علی المقیّد هیئة و مادّة، و تکون النتیجة رجوع المثبتین إلی المثبت و النافی، لأنّ الأمر بالقید یشتمل حینئذ علی النهی عن الکافرة، فیکون حمل المطلق قویّا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فی ناحیة المقیّد إیجابیّة، و أمّا الهیئة المستفادة منها المتعلّقة بالکافرة حسب مفهوم القید، فلا یلزم أن تکون تحریما شرعا، للزوم کونها ناظرة إلی مصبّ الإطلاق و تقییده و تحدیده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الثانی ناسخا للأوّل، و یکون المطلق موقّتا إلی عصره، و قد مرّ أنّ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حرّرناه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إلی أُفق الصواب و التحقیق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امتناع الأخذ بتمام مفاد المطلق و المقیّد، لما أُشیر إلیه، و لأنّ قیدیّة المؤمنة فی دلیل المقیّد تقتضی الاحتراز عن قیدیّة الکافرة، و تصیر النتیجة تقیید المطلق و التصرّف فیه فتأمّل، فلا بدّ من اتخاذ السبیل العرفیّ فی الجمع بینهما، لأنّ الحکم واحد، و هو إمّا تمام مفاد المطلق، أو تمام مفاد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استبعاد النسخ لکان هو أولی بذلک، لعدم لزوم التصرّف فی المطلق إلاّ بحسب الأزمان، و هو و حمل المطلق هنا علی المقیّد یکون واحدا بحسب النتیجة، فیصیر المتعیّن هو الأخذ بالمقیّد المتأخّر بحمل المطلق المتقدّم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کلّ واحد من المطلق و المقیّد، مأخوذا علی نحو الترتّب، بأن یکون الواجب أوّلا هو ذبح الشاة السمینة، و عتق الرقبة المؤمنة، و إذا لم یتمکّن من ذلک فلیذبح المهزولة، و لیعتق الکافرة، من غیر أن یتصرّف فی مفاد الهیئة، و لا القید، و من غیر لزوم الجمع بین الإرادتین التأسیسیّتین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دلیل القید موجبا لصرف المطلق إلی المقیّد المقابل، 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منصرفا إلی عتق الرقبة غیر المؤمنة، فیحفظ جانب الهیئتین فی الاستقلال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الموارد فی الشرعیّات مختلفة بحسب مقتضیات المناسبات الموجودة، و لا یمکن خلوّ واقعة من القرینة المطلقة، و لو فرضنا ذلک</w:t>
      </w:r>
      <w:bookmarkStart w:id="896" w:name="pg13167_141177"/>
    </w:p>
    <w:p>
      <w:pPr>
        <w:pStyle w:val="BookText"/>
        <w:rPr/>
      </w:pPr>
      <w:bookmarkEnd w:id="896"/>
      <w:r>
        <w:rPr>
          <w:rFonts w:ascii="IRNazanin" w:hAnsi="IRNazanin" w:eastAsia="IRNazanin"/>
          <w:color w:val="111111"/>
          <w:sz w:val="28"/>
          <w:sz w:val="28"/>
          <w:szCs w:val="28"/>
          <w:rtl w:val="true"/>
          <w:lang w:bidi="fa-IR"/>
        </w:rPr>
        <w:t>فلا یبعد أقربیّة الوجه الخامس، بحسب مذاق العرف و الفهم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تقم قرینة علی تعیین الهیئة فی أحدهما لمعنی الإیجاب أو الندب، أو لم تقم قرینة علی أنّ القید لازمة مراعاته فی مقام الامتثال، أو غیر لازمة و غیر ذلک، یحتمل الکلامان وجوها کثیرة، و تختلف المذاقات باختلاف مناسبات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ورد الأمر بذبح الشاة، و الأمر الآخر بذبح السمینة، یقرب الوجه الخامس، و إذا کان الأمر متوجّها إلی عتق الرقبة، و الأمر الآخر بعتق المؤمنة، یقرب حمل المطلق علی المقیّد، أو حمل المقیّد علی النسخ إذا کان متأخّرا جدّاً، و تصیر النتیجة واحدة بالنظر إلینا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 ما مرّ من الوجوه بعد امتناع الأخذ بمفاد کلّ واحد بتمامه عرضا، إمّا التصرّف فی المطلق، أو المقیّد، أو الجمع بینهما فی المفاد بحمل الثانی علی النسخ، أو التصرّف فی عرضیّة الإرادتین بجعلهما طولیّتین أو التصرّف فی متعلّق المطلق، بدعوی انصرافه إلی التقیید بقید مباین مع قید المقیّد</w:t>
      </w:r>
      <w:r>
        <w:rPr>
          <w:rFonts w:eastAsia="IRNazanin" w:cs="IRNazanin"/>
          <w:color w:val="111111"/>
          <w:sz w:val="28"/>
          <w:szCs w:val="28"/>
          <w:rtl w:val="true"/>
          <w:lang w:bidi="fa-IR"/>
        </w:rPr>
        <w:t>.</w:t>
      </w:r>
    </w:p>
    <w:p>
      <w:pPr>
        <w:pStyle w:val="Heading6"/>
        <w:numPr>
          <w:ilvl w:val="5"/>
          <w:numId w:val="1"/>
        </w:numPr>
        <w:rPr/>
      </w:pPr>
      <w:bookmarkStart w:id="897" w:name="__RefHeading___Toc559982_3244359995"/>
      <w:bookmarkStart w:id="898" w:name="_Toc334"/>
      <w:bookmarkEnd w:id="897"/>
      <w:r>
        <w:rPr>
          <w:rtl w:val="true"/>
        </w:rPr>
        <w:t>تذنیب</w:t>
      </w:r>
      <w:r>
        <w:rPr>
          <w:rtl w:val="true"/>
        </w:rPr>
        <w:t xml:space="preserve">: </w:t>
      </w:r>
      <w:r>
        <w:rPr>
          <w:rtl w:val="true"/>
        </w:rPr>
        <w:t>فی بیان فروض الصورة الثالثة</w:t>
      </w:r>
      <w:bookmarkEnd w:id="898"/>
    </w:p>
    <w:p>
      <w:pPr>
        <w:pStyle w:val="BookText"/>
        <w:rPr/>
      </w:pPr>
      <w:r>
        <w:rPr>
          <w:rFonts w:ascii="IRNazanin" w:hAnsi="IRNazanin" w:eastAsia="IRNazanin"/>
          <w:color w:val="111111"/>
          <w:sz w:val="28"/>
          <w:sz w:val="28"/>
          <w:szCs w:val="28"/>
          <w:rtl w:val="true"/>
          <w:lang w:bidi="fa-IR"/>
        </w:rPr>
        <w:t>تأتی البحوث السابقة علی نعت الإجمال هنا، و تأتی الفروض الجزئیّة المذکورة هناک أیضا هنا، و یظهر حکم المسألة بالتدبّر فیما أسلفناه و أسمعناک، فلا نطیل الکلام بالإعادة إلاّ فی بعض الفروض المهمّة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کلّ من الأمرین ندبیّا لقیام القرینة الخارجیّة، فالمشهور هنا علی حمل المقیّد علی الرتبة العلیا من المطلوبیّة</w:t>
      </w:r>
      <w:r>
        <w:rPr>
          <w:rStyle w:val="FootnoteAnchor"/>
          <w:rtl w:val="true"/>
        </w:rPr>
        <w:footnoteReference w:id="1186"/>
      </w:r>
      <w:r>
        <w:rPr>
          <w:rFonts w:ascii="IRNazanin" w:hAnsi="IRNazanin" w:eastAsia="IRNazanin"/>
          <w:color w:val="111111"/>
          <w:sz w:val="28"/>
          <w:sz w:val="28"/>
          <w:szCs w:val="28"/>
          <w:rtl w:val="true"/>
          <w:lang w:bidi="fa-IR"/>
        </w:rPr>
        <w:t>، و لذلک اشتهر عنهم فی باب</w:t>
      </w:r>
    </w:p>
    <w:p>
      <w:pPr>
        <w:pStyle w:val="BookText"/>
        <w:rPr/>
      </w:pPr>
      <w:r>
        <w:rPr>
          <w:rFonts w:ascii="IRNazanin" w:hAnsi="IRNazanin" w:eastAsia="IRNazanin"/>
          <w:color w:val="111111"/>
          <w:sz w:val="28"/>
          <w:sz w:val="28"/>
          <w:szCs w:val="28"/>
          <w:rtl w:val="true"/>
          <w:lang w:bidi="fa-IR"/>
        </w:rPr>
        <w:t>المستحبّات ذلک،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باب التسامح فیها</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الموارد تختلف، لاحتمال کون القید دخیلا فی المشروعیّة، مثلا، إذا ورد الأمر بصلاة الغفیلة، لا بالکیفیّة الموجودة، ثمّ ورد الأمر بها بکیفیّة خاصّة، فالحمل الّذی علیه المشهور غیر وجیه فی المرکّبات الاختراعیّة التی یتدخّل الشرع فی مشروعیّتها، مثل لزوم کونها مع الطهارة و اللباس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 و إن کان ندبیّا، إلاّ أنّ ظهور القید فی لزوم مراعاته فی مقام الامتثال، یوجب تحدید المشروعیّة المطلقة الثابتة بالأمر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غیرها یقرب الحمل المزبور، لعدم ظهور حینئذ للقید فی لزوم رعایته، لإمکان ترکه بالمرّة و ترخیصه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الأمر المطلق ندبیّا یستفاد منه الوجود الساری و الإطلاق الاستیعابیّ حسب الفهم العرفیّ، کما إذا ورد الأمر بالسلام علی العالم، ثمّ ورد الأمر بالسلام علی العالم الهاشمیّ، و کان هو محمولا علی الوجوب للقرینة، أو حسب الأصل، فإنّه حینئذ یکون مفاده الإطلاق البدلیّ و صرف الوجود، فإنّه حینئذ یؤخذ بدلیل القید، و یحمل المطلق علیه فی مورده، بمعنی أنّه یقیّد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وجود الفرق بین حمل المطلق علی المقیّد، و بین التقیید المطلق بدلیل القید، فإنّه علی الأوّل یکون المرجع هو المقیّد، و علی الثانی یبقی المطلق علی مرجعیّته فی غیر مورد القید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فرضنا أنّ للقید مفهوما، یلزم من الأمر الإیجابیّ نهی تحریمیّ أو إلزامیّ غیر قابل للجمع مع الندب، و یکون حینئذ حمل المطلق علی المقیّد متعیّنا، و لا یکون من موارد تقیید المطلق، و لأجل ذلک یلزم هنا تفصیل فی المقام بین ما إذا ورد المقیّد معتمدا علی الموصوف، أو ورد غیر معتمد علیه</w:t>
      </w:r>
      <w:r>
        <w:rPr>
          <w:rFonts w:eastAsia="IRNazanin" w:cs="IRNazanin"/>
          <w:color w:val="111111"/>
          <w:sz w:val="28"/>
          <w:szCs w:val="28"/>
          <w:rtl w:val="true"/>
          <w:lang w:bidi="fa-IR"/>
        </w:rPr>
        <w:t>.</w:t>
      </w:r>
      <w:bookmarkStart w:id="899" w:name="pg13167_141179"/>
    </w:p>
    <w:p>
      <w:pPr>
        <w:pStyle w:val="BookText"/>
        <w:rPr/>
      </w:pPr>
      <w:bookmarkEnd w:id="899"/>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المعروف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الأمر بالتسلیم علی العالم، یرد الأمر بالتسلیم علی العالم الهاشمیّ،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الأمر به علی الهاشمیّ، فإنّ القوم القائلین بالمفهوم قالوا به فی الصورة الأُولی دون الثانیة</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ذکرناه فی محلّه إنکار المفهوم للقید</w:t>
      </w:r>
      <w:r>
        <w:rPr>
          <w:rStyle w:val="FootnoteAnchor"/>
          <w:rtl w:val="true"/>
        </w:rPr>
        <w:footnoteReference w:id="1189"/>
      </w:r>
      <w:r>
        <w:rPr>
          <w:rFonts w:ascii="IRNazanin" w:hAnsi="IRNazanin" w:eastAsia="IRNazanin"/>
          <w:color w:val="111111"/>
          <w:sz w:val="28"/>
          <w:sz w:val="28"/>
          <w:szCs w:val="28"/>
          <w:rtl w:val="true"/>
          <w:lang w:bidi="fa-IR"/>
        </w:rPr>
        <w:t>، و لا یدلّ القید إلاّ علی لزوم تحصیله فی مقام الامتثال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دلّ علی المفهوم فلا فرق بین المعتمد و غیر المعتمد، لأنّ المشتقّ مرکّب عرفا، و یرجع غیر المعتمد إلی المعتمد، فلیتدبّر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الصورة الرئیسة، بأن ورد الأمر بالمقیّد أوّلا، ثمّ الأمر بالمطلق، فإنّ حمل المطلق علی المقیّد یستلزم لغویّة المطلق، لأنّ فی مورد القید المزبور لا یؤخذ به، و فی سائر القیود المشکوک فیها یکفی إطلاق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إذا فرضنا عدم ثبوت الإطلاق للمقیّد، فیکون الإطلاق المتأخّر مرجعا و قانونا مفیدا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امتناع تعدّد الحکم التأسیسیّ، تأتی الوجوه المزبورة، و قد مرّ فی الصورة الأولی أنّ ناسخیّة المتأخّر علی الوجه المحرّر عندنا قویّة جدّاً</w:t>
      </w:r>
      <w:r>
        <w:rPr>
          <w:rStyle w:val="FootnoteAnchor"/>
          <w:rtl w:val="true"/>
        </w:rPr>
        <w:footnoteReference w:id="1190"/>
      </w:r>
      <w:r>
        <w:rPr>
          <w:rFonts w:ascii="IRNazanin" w:hAnsi="IRNazanin" w:eastAsia="IRNazanin"/>
          <w:color w:val="111111"/>
          <w:sz w:val="28"/>
          <w:sz w:val="28"/>
          <w:szCs w:val="28"/>
          <w:rtl w:val="true"/>
          <w:lang w:bidi="fa-IR"/>
        </w:rPr>
        <w:t>، و غیر خفی أنّ المقامات باختلاف المناسبات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فلا تغترّ</w:t>
      </w:r>
      <w:r>
        <w:rPr>
          <w:rFonts w:eastAsia="IRNazanin" w:cs="IRNazanin"/>
          <w:color w:val="111111"/>
          <w:sz w:val="28"/>
          <w:szCs w:val="28"/>
          <w:rtl w:val="true"/>
          <w:lang w:bidi="fa-IR"/>
        </w:rPr>
        <w:t>.</w:t>
      </w:r>
    </w:p>
    <w:p>
      <w:pPr>
        <w:pStyle w:val="Heading5"/>
        <w:numPr>
          <w:ilvl w:val="4"/>
          <w:numId w:val="1"/>
        </w:numPr>
        <w:rPr/>
      </w:pPr>
      <w:bookmarkStart w:id="900" w:name="__RefHeading___Toc559984_3244359995"/>
      <w:bookmarkStart w:id="901" w:name="_Toc335"/>
      <w:bookmarkEnd w:id="900"/>
      <w:r>
        <w:rPr>
          <w:rtl w:val="true"/>
        </w:rPr>
        <w:t>الصورة الرابعة</w:t>
      </w:r>
      <w:r>
        <w:rPr>
          <w:rtl w:val="true"/>
        </w:rPr>
        <w:t>:</w:t>
      </w:r>
      <w:bookmarkEnd w:id="90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کلّ من المطلق و المقیّد مشتملا علی النهی، بأن ورد النهی عن أکل الرّبا أوّلا، ثمّ بعد مضیّ مدّة ورد النهی عن أکل الرّبا أضعافا مضاعفة، فحیث</w:t>
      </w:r>
    </w:p>
    <w:p>
      <w:pPr>
        <w:pStyle w:val="BookText"/>
        <w:rPr/>
      </w:pPr>
      <w:r>
        <w:rPr>
          <w:rFonts w:ascii="IRNazanin" w:hAnsi="IRNazanin" w:eastAsia="IRNazanin"/>
          <w:color w:val="111111"/>
          <w:sz w:val="28"/>
          <w:sz w:val="28"/>
          <w:szCs w:val="28"/>
          <w:rtl w:val="true"/>
          <w:lang w:bidi="fa-IR"/>
        </w:rPr>
        <w:t xml:space="preserve">لا یمکن الأخذ بمفاد کلّ منهما من غیر تصرّف کما مضی </w:t>
      </w:r>
      <w:r>
        <w:rPr>
          <w:rStyle w:val="FootnoteAnchor"/>
          <w:rtl w:val="true"/>
        </w:rPr>
        <w:footnoteReference w:id="1191"/>
      </w:r>
      <w:r>
        <w:rPr>
          <w:rFonts w:ascii="IRNazanin" w:hAnsi="IRNazanin" w:eastAsia="IRNazanin"/>
          <w:color w:val="111111"/>
          <w:sz w:val="28"/>
          <w:sz w:val="28"/>
          <w:szCs w:val="28"/>
          <w:rtl w:val="true"/>
          <w:lang w:bidi="fa-IR"/>
        </w:rPr>
        <w:t>، تأتی الاحتمالات و الفروض الجزئیّة</w:t>
      </w:r>
      <w:r>
        <w:rPr>
          <w:rStyle w:val="FootnoteAnchor"/>
          <w:rtl w:val="true"/>
        </w:rPr>
        <w:footnoteReference w:id="1192"/>
      </w:r>
      <w:r>
        <w:rPr>
          <w:rFonts w:ascii="IRNazanin" w:hAnsi="IRNazanin" w:eastAsia="IRNazanin"/>
          <w:color w:val="111111"/>
          <w:sz w:val="28"/>
          <w:sz w:val="28"/>
          <w:szCs w:val="28"/>
          <w:rtl w:val="true"/>
          <w:lang w:bidi="fa-IR"/>
        </w:rPr>
        <w:t>، و یظهر اختلاف الموارد باختلاف مناسبات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الاحتمال السادس لا یجری هنا، لعدم تعدّد الترک، بخلاف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الخامس فیجری مع فرق بینهما، بأنّ ینعکس الترتّب، و یکون المحرّم أوّلا هو أکل الرّبا، ثمّ لو ابتلی بذلک فلا یأکل أضعافا مضاعفة، و هذا أیضا فی حدّ ذاته قریب، إلاّ أنّه لیس من الجمع العرفیّ، بل هو من ناحیة فهم المبغوضیّة العلیا فی جانب المقیّد، و یکون هو مقتضی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إمّا یحمل المطلق علی المقیّد، أو یکون المقیّد ناسخا، و تصیر النتیجة واحدة، أو یحمل المقیّد علی المبغوضیّة الشدیدة، و قد عرفت اختلاف الموضوعات فی تقریب الوجوه المزبورة، فلو ورد النهی عن عتق الرقبة، ثمّ ورد النهی عن الرقبة الکافرة، لا یبعد حمل المطلق علی المقیّد، فیکون عتق المؤمنة غیر محرّم شرعا و مرخّصا فیه، و أمّا فی المثال الأوّل فلیس الأمر هکذا، و نحوه النهی عن شرب المسکر و عن شرب الخمر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توجد قاعدة کلّیة فی هذه المقامات، و لا بدّ من مراعاة الخصوصیّات، فإنّ بها تختلف المقامات جدّاً، و مجرّد ضرب القانون فی الأُصول لا یکفی للمرجعیّة فی الفقه لمن هو أهل الدرایة و الفهم</w:t>
      </w:r>
      <w:r>
        <w:rPr>
          <w:rFonts w:eastAsia="IRNazanin" w:cs="IRNazanin"/>
          <w:color w:val="111111"/>
          <w:sz w:val="28"/>
          <w:szCs w:val="28"/>
          <w:rtl w:val="true"/>
          <w:lang w:bidi="fa-IR"/>
        </w:rPr>
        <w:t>.</w:t>
      </w:r>
      <w:bookmarkStart w:id="902" w:name="pg13167_141181"/>
    </w:p>
    <w:p>
      <w:pPr>
        <w:pStyle w:val="Heading5"/>
        <w:numPr>
          <w:ilvl w:val="4"/>
          <w:numId w:val="1"/>
        </w:numPr>
        <w:rPr/>
      </w:pPr>
      <w:bookmarkStart w:id="903" w:name="__RefHeading___Toc559986_3244359995"/>
      <w:bookmarkStart w:id="904" w:name="_Toc336"/>
      <w:bookmarkEnd w:id="902"/>
      <w:bookmarkEnd w:id="903"/>
      <w:r>
        <w:rPr>
          <w:rtl w:val="true"/>
        </w:rPr>
        <w:t>تنبیهات</w:t>
      </w:r>
      <w:r>
        <w:rPr>
          <w:rtl w:val="true"/>
        </w:rPr>
        <w:t>:</w:t>
      </w:r>
      <w:bookmarkEnd w:id="904"/>
    </w:p>
    <w:p>
      <w:pPr>
        <w:pStyle w:val="Heading6"/>
        <w:numPr>
          <w:ilvl w:val="5"/>
          <w:numId w:val="1"/>
        </w:numPr>
        <w:rPr/>
      </w:pPr>
      <w:bookmarkStart w:id="905" w:name="__RefHeading___Toc559988_3244359995"/>
      <w:bookmarkStart w:id="906" w:name="_Toc337"/>
      <w:bookmarkEnd w:id="905"/>
      <w:r>
        <w:rPr>
          <w:rtl w:val="true"/>
        </w:rPr>
        <w:t>الأوّل</w:t>
      </w:r>
      <w:r>
        <w:rPr>
          <w:rtl w:val="true"/>
        </w:rPr>
        <w:t xml:space="preserve">: </w:t>
      </w:r>
      <w:r>
        <w:rPr>
          <w:rtl w:val="true"/>
        </w:rPr>
        <w:t>حول ورود مقیّد واحد لمطلقات کثیرة و استهجان التقیید</w:t>
      </w:r>
      <w:bookmarkEnd w:id="906"/>
    </w:p>
    <w:p>
      <w:pPr>
        <w:pStyle w:val="BookText"/>
        <w:rPr/>
      </w:pPr>
      <w:r>
        <w:rPr>
          <w:rFonts w:ascii="IRNazanin" w:hAnsi="IRNazanin" w:eastAsia="IRNazanin"/>
          <w:color w:val="111111"/>
          <w:sz w:val="28"/>
          <w:sz w:val="28"/>
          <w:szCs w:val="28"/>
          <w:rtl w:val="true"/>
          <w:lang w:bidi="fa-IR"/>
        </w:rPr>
        <w:t xml:space="preserve">إذا وردت مطلقات کثیرة فی مورد واحد، ثمّ ورد مقیّد، فمقتضی إطلاق کلمات القوم </w:t>
      </w:r>
      <w:r>
        <w:rPr>
          <w:rStyle w:val="FootnoteAnchor"/>
          <w:rtl w:val="true"/>
        </w:rPr>
        <w:footnoteReference w:id="1193"/>
      </w:r>
      <w:r>
        <w:rPr>
          <w:rFonts w:ascii="IRNazanin" w:hAnsi="IRNazanin" w:eastAsia="IRNazanin"/>
          <w:color w:val="111111"/>
          <w:sz w:val="28"/>
          <w:sz w:val="28"/>
          <w:szCs w:val="28"/>
          <w:rtl w:val="true"/>
          <w:lang w:bidi="fa-IR"/>
        </w:rPr>
        <w:t xml:space="preserve">و مقتضی تعلیلهم </w:t>
      </w:r>
      <w:r>
        <w:rPr>
          <w:rStyle w:val="FootnoteAnchor"/>
          <w:rtl w:val="true"/>
        </w:rPr>
        <w:footnoteReference w:id="1194"/>
      </w:r>
      <w:r>
        <w:rPr>
          <w:rFonts w:ascii="IRNazanin" w:hAnsi="IRNazanin" w:eastAsia="IRNazanin"/>
          <w:color w:val="111111"/>
          <w:sz w:val="28"/>
          <w:sz w:val="28"/>
          <w:szCs w:val="28"/>
          <w:rtl w:val="true"/>
          <w:lang w:bidi="fa-IR"/>
        </w:rPr>
        <w:t>هو التقیید، بحمل تلک المطلقات علی المقیّد، فإنّ ظهور القرینة مقدّم علی ظهور ذی القرینة و لو کان أضعف منه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یخطر ببالی عن شیخ مشایخنا الحائریّ قدس سرُّه المناقشة فی جواز التقیید، بدعوی عدم مساعدة العرف علی مثله، و لا یعدّ ذلک من الجمع العرفیّ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یجری فی العمومات الکثیرة مع المخصّص الواحد، و توهّم الفرق بین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باب الإطلاق لا دلالة وضعیّة، و دلالة الإطلاق تعلیقیّة، بخلاف العمومات، غیر نافع لما مرّ مرارا</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التقیید أیضا یعدّ تصرّفا فی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الواحد لا یتمکّن من التصرّف فی الأدلّة الکثیرة، فیلزم التعارض حینئذ، و سیأتی حکم الشکّ فی جواز التقیید و التخصیص فی التنبیه الآتی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مواقف المنع من التقیید، و من مواضع امتناع الجمع بین المطلق</w:t>
      </w:r>
    </w:p>
    <w:p>
      <w:pPr>
        <w:pStyle w:val="BookText"/>
        <w:rPr/>
      </w:pPr>
      <w:r>
        <w:rPr>
          <w:rFonts w:ascii="IRNazanin" w:hAnsi="IRNazanin" w:eastAsia="IRNazanin"/>
          <w:color w:val="111111"/>
          <w:sz w:val="28"/>
          <w:sz w:val="28"/>
          <w:szCs w:val="28"/>
          <w:rtl w:val="true"/>
          <w:lang w:bidi="fa-IR"/>
        </w:rPr>
        <w:t>و المقیّد بحمل المطلق علی المقیّد؛ هو ما إذا کان التقیید مستهجنا؛ سواء کان ذلک لأجل لزوم اللغویّة، أو لأجل کون الباقی بعد التقیید قلیل الوجود،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اختصاص الاستهجان بموارد التخصیص؛ لأنّه یتصدّی لإخراج الفرد دون التقیید، غیر نافع عرفا، ضرورة أنّ تحلیل البیع فی القانون العامّ، ثمّ تقیید موارد التحلیل بالبیع العقدیّ الکذائیّ علی وجه قلّما یتّفق وجوده، یکون من المستهجن فی التقنین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المواقف ما إذا کان المطلق آبیا عن التقیید، فإنّه یلزم التعارض بینهما، و یأتی حکم الشکّ فی الإباء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میزان الاستهجان فلیس نفس التخصیصات الکثیرة، لإمکان طروّها لأجل المقتضیات المختلفة، و لا التقییدات المتعدّدة بعد کون الباقی تحت العامّ أو موارد تطبیق المطلق بعد التقیید، کثیرا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وجه الاستهجان، هو التقیید أو التخصیص علی وجه یعدّ المطلق و العامّ بعد الجمع بینهما، ساقطا عن الاستدلال، أو قلیل النّفع، و لیس قلّة الأفراد فی عصر موجبة للاستهجان، لإمکان کونه کثیر الصدق فی العصور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تحلیل البیع بالمعلومیّة، ربّما کان موجبا لبطلان نوع المبادلات فی عصر، لعدم إمکان تحصیل العلم، و لکنّه لأجل إمکان تحصیل العلم فی العصور الاخر یصیر کثیر المصداق، فلا یعدّ ذلک أیضا من الاستهجان الممنوع عرفا، ففی القضایا الحقیقیّة قلّما یتّفق التقیید المستهجن، أو التخصیص الممنوع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 فی الاستهجان علی وجه لا یمکن عرفا تحصیل الجمع بین الأدلّة بالتقیید و التخصیص، فسیمرّ علیک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الشکّ فی الاستهجان، یتعیّن حمل المطلق علی المقیّد حتّی یعلم الاستهجان، غیر صحیح، لعدم بناء من العرف و العقلاء علی الجمیع</w:t>
      </w:r>
      <w:bookmarkStart w:id="907" w:name="pg13167_141183"/>
    </w:p>
    <w:p>
      <w:pPr>
        <w:pStyle w:val="BookText"/>
        <w:rPr/>
      </w:pPr>
      <w:bookmarkEnd w:id="907"/>
      <w:r>
        <w:rPr>
          <w:rFonts w:ascii="IRNazanin" w:hAnsi="IRNazanin" w:eastAsia="IRNazanin"/>
          <w:color w:val="111111"/>
          <w:sz w:val="28"/>
          <w:sz w:val="28"/>
          <w:szCs w:val="28"/>
          <w:rtl w:val="true"/>
          <w:lang w:bidi="fa-IR"/>
        </w:rPr>
        <w:t>المزبور إلی الحدّ المذکور، فیصحّ أن یشکّ فی مورد، و الأمر سهل</w:t>
      </w:r>
      <w:r>
        <w:rPr>
          <w:rFonts w:eastAsia="IRNazanin" w:cs="IRNazanin"/>
          <w:color w:val="111111"/>
          <w:sz w:val="28"/>
          <w:szCs w:val="28"/>
          <w:rtl w:val="true"/>
          <w:lang w:bidi="fa-IR"/>
        </w:rPr>
        <w:t>.</w:t>
      </w:r>
    </w:p>
    <w:p>
      <w:pPr>
        <w:pStyle w:val="Heading6"/>
        <w:numPr>
          <w:ilvl w:val="5"/>
          <w:numId w:val="1"/>
        </w:numPr>
        <w:rPr/>
      </w:pPr>
      <w:bookmarkStart w:id="908" w:name="__RefHeading___Toc559990_3244359995"/>
      <w:bookmarkStart w:id="909" w:name="_Toc338"/>
      <w:bookmarkEnd w:id="908"/>
      <w:r>
        <w:rPr>
          <w:rtl w:val="true"/>
        </w:rPr>
        <w:t>الثانی</w:t>
      </w:r>
      <w:r>
        <w:rPr>
          <w:rtl w:val="true"/>
        </w:rPr>
        <w:t xml:space="preserve">: </w:t>
      </w:r>
      <w:r>
        <w:rPr>
          <w:rtl w:val="true"/>
        </w:rPr>
        <w:t>فی حکم الشکّ فی تقدیم المطلق أو العامّ علی المقیّد أو الخاصّ</w:t>
      </w:r>
      <w:bookmarkEnd w:id="909"/>
    </w:p>
    <w:p>
      <w:pPr>
        <w:pStyle w:val="BookText"/>
        <w:rPr/>
      </w:pPr>
      <w:r>
        <w:rPr>
          <w:rFonts w:ascii="IRNazanin" w:hAnsi="IRNazanin" w:eastAsia="IRNazanin"/>
          <w:color w:val="111111"/>
          <w:sz w:val="28"/>
          <w:sz w:val="28"/>
          <w:szCs w:val="28"/>
          <w:rtl w:val="true"/>
          <w:lang w:bidi="fa-IR"/>
        </w:rPr>
        <w:t>فی موارد الشکّ التی أُشیر إلیها، إن کان المرجّح مع المخصّص و المقیّد، و کانت الترجیحات الداخلیّة و الخارجیّة مع دلیل القید، فالأخذ به متعیّن، لأنّه إن کان من باب التقیید و التخصیص یتعیّن الأخذ به، و إن کان من باب المعارضة فکذلک، و هذا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المشکلة فی صورة کون الترجیح مع العامّ و المطلق فی الصور الثلاث السابقة، و حیث إنّ المسألة ما کانت مورد البحث یشکل تعیین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التخییر هنا متعیّن، لأنّ موضوعه عدم إمکان الجمع بین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صورة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کان کلّ من العامّ و الخاصّ أو المطلق و المقیّد، معارضا فی وجه مع الترجیح بالآخر، بمعنی أنّ مرجّحاتهما متعارضة أیضا،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صورة کون الترجیح مع المطلق، إن أمکن إدراجهما فی أخبار التخییر فهو، و إلاّ فمقتضی القاعدة بعد تساقطهما، هو الرجوع إلی الأُصول العملیّة و القواعد العامّة، و اللَّه العالم</w:t>
      </w:r>
      <w:r>
        <w:rPr>
          <w:rFonts w:eastAsia="IRNazanin" w:cs="IRNazanin"/>
          <w:color w:val="111111"/>
          <w:sz w:val="28"/>
          <w:szCs w:val="28"/>
          <w:rtl w:val="true"/>
          <w:lang w:bidi="fa-IR"/>
        </w:rPr>
        <w:t>.</w:t>
      </w:r>
    </w:p>
    <w:p>
      <w:pPr>
        <w:pStyle w:val="Heading6"/>
        <w:numPr>
          <w:ilvl w:val="5"/>
          <w:numId w:val="1"/>
        </w:numPr>
        <w:rPr/>
      </w:pPr>
      <w:bookmarkStart w:id="910" w:name="__RefHeading___Toc559992_3244359995"/>
      <w:bookmarkStart w:id="911" w:name="_Toc339"/>
      <w:bookmarkEnd w:id="910"/>
      <w:r>
        <w:rPr>
          <w:rtl w:val="true"/>
        </w:rPr>
        <w:t>الثالث</w:t>
      </w:r>
      <w:r>
        <w:rPr>
          <w:rtl w:val="true"/>
        </w:rPr>
        <w:t xml:space="preserve">: </w:t>
      </w:r>
      <w:r>
        <w:rPr>
          <w:rtl w:val="true"/>
        </w:rPr>
        <w:t>شمول النزاع السابق للأوامر الطریقیّة غیر المتماثلة</w:t>
      </w:r>
      <w:bookmarkEnd w:id="91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ذکرناه بتفصیل فی المطلق و المقیّد المشتملین علی الأمر و النهی فی</w:t>
      </w:r>
      <w:bookmarkStart w:id="912" w:name="pg13167_141184"/>
    </w:p>
    <w:p>
      <w:pPr>
        <w:pStyle w:val="BookText"/>
        <w:rPr/>
      </w:pPr>
      <w:bookmarkEnd w:id="912"/>
      <w:r>
        <w:rPr>
          <w:rFonts w:ascii="IRNazanin" w:hAnsi="IRNazanin" w:eastAsia="IRNazanin"/>
          <w:color w:val="111111"/>
          <w:sz w:val="28"/>
          <w:sz w:val="28"/>
          <w:szCs w:val="28"/>
          <w:rtl w:val="true"/>
          <w:lang w:bidi="fa-IR"/>
        </w:rPr>
        <w:t>الأوامر النفسیّة</w:t>
      </w:r>
      <w:r>
        <w:rPr>
          <w:rStyle w:val="FootnoteAnchor"/>
          <w:rtl w:val="true"/>
        </w:rPr>
        <w:footnoteReference w:id="1197"/>
      </w:r>
      <w:r>
        <w:rPr>
          <w:rFonts w:ascii="IRNazanin" w:hAnsi="IRNazanin" w:eastAsia="IRNazanin"/>
          <w:color w:val="111111"/>
          <w:sz w:val="28"/>
          <w:sz w:val="28"/>
          <w:szCs w:val="28"/>
          <w:rtl w:val="true"/>
          <w:lang w:bidi="fa-IR"/>
        </w:rPr>
        <w:t>، یجری فیما إذا کانا من الأوامر الطریقیّة، فإنّ الأوامر و النواهی هنا أیضا مثل ما سبق، مثلا إذا ورد الأمر بالأخذ بخبر الواحد، ثمّ ورد النهی عن الأخذ بخبر غیر الإمامیّ، یلزم منه تقیید موضوع الحجّة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فرق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المتماثلین لا معنی لتعدّد الحکم الطریقیّ بالمرّة فیکون التقیید متعیّنا، أو حمل المقیّد علی بیان أحد مصادیق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 الخبر الإمامیّ الثقة حجّة مرّتین، فهو غیر صحیح هنا، و إن مرّ عدم إمکانه فی المقام الأوّل عندنا أیضا</w:t>
      </w:r>
      <w:r>
        <w:rPr>
          <w:rStyle w:val="FootnoteAnchor"/>
          <w:rtl w:val="true"/>
        </w:rPr>
        <w:footnoteReference w:id="1198"/>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المقام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المتماثلین الإیجابیّین بل و السلبیّین، یمکن تعیّن حمل المطلق علی المقیّد، بدعوی أنّ الأصل فی القیود هی الاحترازیّة، و لا یتوقّف ذلک علی القول بالمفهوم للقید، حتّی یقال بعدم المفهوم له، کما تحرّر فی محلّه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559994_3244359995"/>
      <w:bookmarkStart w:id="914" w:name="_Toc340"/>
      <w:bookmarkEnd w:id="913"/>
      <w:r>
        <w:rPr>
          <w:rtl w:val="true"/>
        </w:rPr>
        <w:t>المقام الثانی</w:t>
      </w:r>
      <w:r>
        <w:rPr>
          <w:rtl w:val="true"/>
        </w:rPr>
        <w:t xml:space="preserve">: </w:t>
      </w:r>
      <w:r>
        <w:rPr>
          <w:rtl w:val="true"/>
        </w:rPr>
        <w:t>فی صور المطلق و المقیّد المتکفّلین للحکم الوضعی</w:t>
      </w:r>
      <w:bookmarkEnd w:id="914"/>
    </w:p>
    <w:p>
      <w:pPr>
        <w:pStyle w:val="Heading5"/>
        <w:numPr>
          <w:ilvl w:val="4"/>
          <w:numId w:val="1"/>
        </w:numPr>
        <w:rPr/>
      </w:pPr>
      <w:bookmarkStart w:id="915" w:name="__RefHeading___Toc559996_3244359995"/>
      <w:bookmarkStart w:id="916" w:name="_Toc341"/>
      <w:bookmarkEnd w:id="915"/>
      <w:r>
        <w:rPr>
          <w:rtl w:val="true"/>
        </w:rPr>
        <w:t>اشارة</w:t>
      </w:r>
      <w:bookmarkEnd w:id="916"/>
    </w:p>
    <w:p>
      <w:pPr>
        <w:pStyle w:val="BookText"/>
        <w:rPr/>
      </w:pPr>
      <w:r>
        <w:rPr>
          <w:rFonts w:ascii="IRNazanin" w:hAnsi="IRNazanin" w:eastAsia="IRNazanin"/>
          <w:color w:val="111111"/>
          <w:sz w:val="28"/>
          <w:sz w:val="28"/>
          <w:szCs w:val="28"/>
          <w:rtl w:val="true"/>
          <w:lang w:bidi="fa-IR"/>
        </w:rPr>
        <w:t xml:space="preserve">و هی أعمّ من الوضعیّات النفسیّة،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 المجهول لیس بحلال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 المعلوم حلال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الوضعیّات الغیریّة،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لبس ما لا یؤکل فی الصلاة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القید النافی أو المثبت، و منها 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خبر الثقة غیر الإمامیّ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الثقة الإمامیّ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الأمور القابلة للجعل مستقلاّ، فإنّ ما مرّ فی المقام الأوّل من البحوث و المحتملات، کلّه یأتی هنا، و لا نعیدها خوف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الإشارة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القید المأخوذ فی المقیّد المتوافق مع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 المعلوم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ورد حلّیة البیع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ظاهرا فی الاحترازیّة، إلاّ أنّ الاحترازیّة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الاحترازیّة المطلقة، بمعنی أنّ القید المأخوذ دخیل فی الحکم علی الإطلاق، فلازمه القول بالمفهوم، و هذا ممّا لا سبیل إلی إثباته، و لو ثبت المفهوم تکون النتیجة حرمة البیع المجهول، و حرمة البیع المتقیّد بقیود اخر التی یحتمل کونها بدلا عن قید المعلومیّة، فإنّ جمیع البیوع حرام و باطلة، أخذا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النحو الآخر و المعنی الثانی للاحترازیّة، فهی الاحترازیّة الجزئیّة و فی الجملة، و معنی ذلک أنّ قید المعلومیّة فی المثال المزبور دخیل فی الحلّیة، بمعنی أنّه إذا کان البیع فاقدا لها یعدّ حراما، و لکن یحتمل کفایة نیابة القید الآخر و الخصوصیّة الأخری، مقام هذه الخصوصیّة فی اقتضاء الحلّیة، و حیث لا مفهوم للقید لا یمکن سلب الخصوصیّة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ینافیه قیام الدلیل علی صحّة البیع المتقیّد بقید آخر مع فقد قید المعلومیّة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یلزم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المعلوم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الحلّیة بالمعلوم، قضاء لحقّ احترازیّة القید فی الجملة، و لا یمکن الحکم ببطلان البیع المخصوص بخصوصیّة أخری المحتمل کونها نائبة عن خصوصیّة المعلومیّة، فیکون هذا البیع غیر ثابت الحکم، لا حلّیته، و لا حرمته، لما لا یقتضی الإطلاق المزبور حلّیته، و لا مفهوم القید حرمته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الإطلاق المزبور ساقط، لأجل احترازیّة القید</w:t>
      </w:r>
      <w:r>
        <w:rPr>
          <w:rFonts w:eastAsia="IRNazanin" w:cs="IRNazanin"/>
          <w:color w:val="111111"/>
          <w:sz w:val="28"/>
          <w:szCs w:val="28"/>
          <w:rtl w:val="true"/>
          <w:lang w:bidi="fa-IR"/>
        </w:rPr>
        <w:t>.</w:t>
      </w:r>
      <w:bookmarkStart w:id="917" w:name="pg13167_141186"/>
    </w:p>
    <w:p>
      <w:pPr>
        <w:pStyle w:val="BookText"/>
        <w:rPr/>
      </w:pPr>
      <w:bookmarkEnd w:id="917"/>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احترازیّة القید غیر القول بالمفهوم للقید، و لو قلنا بالمفهوم فلازمه حرمته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فی کلمات جلّ المتأخّرین من توهّم دوران الأمر بین کون القید غالبیّا، و بین کونه ذا مفهوم </w:t>
      </w:r>
      <w:r>
        <w:rPr>
          <w:rStyle w:val="FootnoteAnchor"/>
          <w:rtl w:val="true"/>
        </w:rPr>
        <w:footnoteReference w:id="1200"/>
      </w:r>
      <w:r>
        <w:rPr>
          <w:rFonts w:ascii="IRNazanin" w:hAnsi="IRNazanin" w:eastAsia="IRNazanin"/>
          <w:color w:val="111111"/>
          <w:sz w:val="28"/>
          <w:sz w:val="28"/>
          <w:szCs w:val="28"/>
          <w:rtl w:val="true"/>
          <w:lang w:bidi="fa-IR"/>
        </w:rPr>
        <w:t>، غیر راجع إلی محصّل، فافهم و تدبّر</w:t>
      </w:r>
      <w:r>
        <w:rPr>
          <w:rFonts w:eastAsia="IRNazanin" w:cs="IRNazanin"/>
          <w:color w:val="111111"/>
          <w:sz w:val="28"/>
          <w:szCs w:val="28"/>
          <w:rtl w:val="true"/>
          <w:lang w:bidi="fa-IR"/>
        </w:rPr>
        <w:t>.</w:t>
      </w:r>
    </w:p>
    <w:p>
      <w:pPr>
        <w:pStyle w:val="Heading5"/>
        <w:numPr>
          <w:ilvl w:val="4"/>
          <w:numId w:val="1"/>
        </w:numPr>
        <w:rPr/>
      </w:pPr>
      <w:bookmarkStart w:id="918" w:name="__RefHeading___Toc559998_3244359995"/>
      <w:bookmarkStart w:id="919" w:name="_Toc342"/>
      <w:bookmarkEnd w:id="918"/>
      <w:r>
        <w:rPr>
          <w:rtl w:val="true"/>
        </w:rPr>
        <w:t>تنبیه</w:t>
      </w:r>
      <w:bookmarkEnd w:id="919"/>
    </w:p>
    <w:p>
      <w:pPr>
        <w:pStyle w:val="BookText"/>
        <w:rPr/>
      </w:pPr>
      <w:r>
        <w:rPr>
          <w:rFonts w:ascii="Amiri" w:hAnsi="Amiri" w:eastAsia="Amiri" w:cs="Amiri"/>
          <w:color w:val="111111"/>
          <w:sz w:val="28"/>
          <w:sz w:val="28"/>
          <w:szCs w:val="28"/>
          <w:rtl w:val="true"/>
          <w:lang w:bidi="ar-SA"/>
        </w:rPr>
        <w:t>المطلق و المقیّد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یکونان عنوانیّین، و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یکونان موردیّین، فمن الأوّل أَحَلَّ اللَّهُ الْبَیْعَ </w:t>
      </w:r>
      <w:r>
        <w:rPr>
          <w:rStyle w:val="FootnoteAnchor"/>
          <w:rtl w:val="true"/>
        </w:rPr>
        <w:footnoteReference w:id="12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الْبَیْعَ فإنّ التجارة أعمّ منه، فإنّ حمل المطلق فی الثانی علی المقیّد ممنوع عرفا، و لا بأس بکون التحلیل الثانی توضیحا لحصّة من التجارة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حمل المطلق علی المقیّد فی الصورة الأولی لا لأجل القول بالمفهوم، بل لأجل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الأحکام الوضعیّة، و فی باب الأسباب و المؤثّرات العرفیّة و الشرعیّة، یکون دلیل القید ناظرا إلی دلیل المطلق، فلو ورد أَحَلَّ اللَّهُ الْبَیْعَ ثمّ ورد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المعلوم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بحسب نظر العرف، أنّ النّظر هنا إلی تحدید مصبّ المطلق السابق و لو کانا کلاهما من المطلقات الشمولیّة و الأحکام الانحلالیّة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البرّی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الالتزام بتعدّد الحلّیة و النجاسة غیر معقول، و الحمل علی التأکید و التوضیح خلاف احترازیّة القید، فتعیّن علی هذا حمل المطلق علی المقیّد، علی التفصیل الّذی مرّ</w:t>
      </w:r>
      <w:bookmarkStart w:id="920" w:name="pg13167_141187"/>
    </w:p>
    <w:p>
      <w:pPr>
        <w:pStyle w:val="BookText"/>
        <w:rPr/>
      </w:pPr>
      <w:bookmarkEnd w:id="920"/>
      <w:r>
        <w:rPr>
          <w:rFonts w:ascii="Amiri" w:hAnsi="Amiri" w:eastAsia="Amiri" w:cs="Amiri"/>
          <w:color w:val="111111"/>
          <w:sz w:val="28"/>
          <w:sz w:val="28"/>
          <w:szCs w:val="28"/>
          <w:rtl w:val="true"/>
          <w:lang w:bidi="ar-SA"/>
        </w:rPr>
        <w:t xml:space="preserve">منّا فی المقام الأوّل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560000_3244359995"/>
      <w:bookmarkStart w:id="922" w:name="_Toc343"/>
      <w:bookmarkEnd w:id="921"/>
      <w:r>
        <w:rPr>
          <w:rtl w:val="true"/>
        </w:rPr>
        <w:t>تنبیه آخر</w:t>
      </w:r>
      <w:bookmarkEnd w:id="922"/>
    </w:p>
    <w:p>
      <w:pPr>
        <w:pStyle w:val="BookText"/>
        <w:rPr/>
      </w:pPr>
      <w:r>
        <w:rPr>
          <w:rFonts w:ascii="IRNazanin" w:hAnsi="IRNazanin" w:eastAsia="IRNazanin"/>
          <w:color w:val="111111"/>
          <w:sz w:val="28"/>
          <w:sz w:val="28"/>
          <w:szCs w:val="28"/>
          <w:rtl w:val="true"/>
          <w:lang w:bidi="fa-IR"/>
        </w:rPr>
        <w:t>ما ذکرناه فی الوضعیّات یجری فی الأوامر و النواهی المستتبعة للأحکام الوضعیّة، مثلا إذا ورد الأمر بالاجتناب عن البول، ثمّ ورد النهی عن الاحتراز عن بول الصبیّ و الرضیع، لجمع بینهما بالتقیید، و یأتی هنا أیضا ما مرّ من البحوث و التفاصیل، فلیتدبّر یعرف</w:t>
      </w:r>
      <w:r>
        <w:rPr>
          <w:rFonts w:eastAsia="IRNazanin" w:cs="IRNazanin"/>
          <w:color w:val="111111"/>
          <w:sz w:val="28"/>
          <w:szCs w:val="28"/>
          <w:rtl w:val="true"/>
          <w:lang w:bidi="fa-IR"/>
        </w:rPr>
        <w:t>.</w:t>
      </w:r>
    </w:p>
    <w:p>
      <w:pPr>
        <w:pStyle w:val="Heading4"/>
        <w:numPr>
          <w:ilvl w:val="3"/>
          <w:numId w:val="1"/>
        </w:numPr>
        <w:rPr/>
      </w:pPr>
      <w:bookmarkStart w:id="923" w:name="__RefHeading___Toc560002_3244359995"/>
      <w:bookmarkStart w:id="924" w:name="_Toc344"/>
      <w:bookmarkEnd w:id="923"/>
      <w:r>
        <w:rPr>
          <w:rtl w:val="true"/>
        </w:rPr>
        <w:t>المقام الثالث</w:t>
      </w:r>
      <w:r>
        <w:rPr>
          <w:rtl w:val="true"/>
        </w:rPr>
        <w:t xml:space="preserve">: </w:t>
      </w:r>
      <w:r>
        <w:rPr>
          <w:rtl w:val="true"/>
        </w:rPr>
        <w:t>فی المطلق و المقیّد المقرونین بذکر السبب</w:t>
      </w:r>
      <w:bookmarkEnd w:id="924"/>
    </w:p>
    <w:p>
      <w:pPr>
        <w:pStyle w:val="Heading5"/>
        <w:numPr>
          <w:ilvl w:val="4"/>
          <w:numId w:val="1"/>
        </w:numPr>
        <w:rPr/>
      </w:pPr>
      <w:bookmarkStart w:id="925" w:name="__RefHeading___Toc560004_3244359995"/>
      <w:bookmarkStart w:id="926" w:name="_Toc345"/>
      <w:bookmarkEnd w:id="925"/>
      <w:r>
        <w:rPr>
          <w:rtl w:val="true"/>
        </w:rPr>
        <w:t>اشارة</w:t>
      </w:r>
      <w:bookmarkEnd w:id="926"/>
    </w:p>
    <w:p>
      <w:pPr>
        <w:pStyle w:val="BookText"/>
        <w:rPr/>
      </w:pPr>
      <w:r>
        <w:rPr>
          <w:rFonts w:ascii="IRNazanin" w:hAnsi="IRNazanin" w:eastAsia="IRNazanin"/>
          <w:color w:val="111111"/>
          <w:sz w:val="28"/>
          <w:sz w:val="28"/>
          <w:szCs w:val="28"/>
          <w:rtl w:val="true"/>
          <w:lang w:bidi="fa-IR"/>
        </w:rPr>
        <w:t>و هنا صور نشیر إلی أهمّها</w:t>
      </w:r>
      <w:r>
        <w:rPr>
          <w:rFonts w:eastAsia="IRNazanin" w:cs="IRNazanin"/>
          <w:color w:val="111111"/>
          <w:sz w:val="28"/>
          <w:szCs w:val="28"/>
          <w:rtl w:val="true"/>
          <w:lang w:bidi="fa-IR"/>
        </w:rPr>
        <w:t>:</w:t>
      </w:r>
    </w:p>
    <w:p>
      <w:pPr>
        <w:pStyle w:val="Heading5"/>
        <w:numPr>
          <w:ilvl w:val="4"/>
          <w:numId w:val="1"/>
        </w:numPr>
        <w:rPr/>
      </w:pPr>
      <w:bookmarkStart w:id="927" w:name="__RefHeading___Toc560006_3244359995"/>
      <w:bookmarkStart w:id="928" w:name="_Toc346"/>
      <w:bookmarkEnd w:id="927"/>
      <w:r>
        <w:rPr>
          <w:rtl w:val="true"/>
        </w:rPr>
        <w:t>الصورة الأولی</w:t>
      </w:r>
      <w:r>
        <w:rPr>
          <w:rtl w:val="true"/>
        </w:rPr>
        <w:t>:</w:t>
      </w:r>
      <w:bookmarkEnd w:id="928"/>
    </w:p>
    <w:p>
      <w:pPr>
        <w:pStyle w:val="BookText"/>
        <w:rPr/>
      </w:pPr>
      <w:r>
        <w:rPr>
          <w:rFonts w:ascii="IRNazanin" w:hAnsi="IRNazanin" w:eastAsia="IRNazanin"/>
          <w:color w:val="111111"/>
          <w:sz w:val="28"/>
          <w:sz w:val="28"/>
          <w:szCs w:val="28"/>
          <w:rtl w:val="true"/>
          <w:lang w:bidi="fa-IR"/>
        </w:rPr>
        <w:t>ما إذا ذکر السبب و کانا متخالفین،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کسفت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خسف القمر 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أعتق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أعتق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المفروغ عنه عندهم هنا عدم الحمل </w:t>
      </w:r>
      <w:r>
        <w:rPr>
          <w:rStyle w:val="FootnoteAnchor"/>
          <w:rtl w:val="true"/>
        </w:rPr>
        <w:footnoteReference w:id="1203"/>
      </w:r>
      <w:r>
        <w:rPr>
          <w:rFonts w:ascii="Amiri" w:hAnsi="Amiri" w:eastAsia="Amiri" w:cs="Amiri"/>
          <w:color w:val="111111"/>
          <w:sz w:val="28"/>
          <w:sz w:val="28"/>
          <w:szCs w:val="28"/>
          <w:rtl w:val="true"/>
          <w:lang w:bidi="ar-SA"/>
        </w:rPr>
        <w:t>، حتّی صرّح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الحمل نافیا للشکّ فیه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عندی 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تعدّد السبب إن اقتضی تعدّد الأمر، و اقتضی</w:t>
      </w:r>
    </w:p>
    <w:p>
      <w:pPr>
        <w:pStyle w:val="BookText"/>
        <w:rPr/>
      </w:pPr>
      <w:r>
        <w:rPr>
          <w:rFonts w:ascii="IRNazanin" w:hAnsi="IRNazanin" w:eastAsia="IRNazanin"/>
          <w:color w:val="111111"/>
          <w:sz w:val="28"/>
          <w:sz w:val="28"/>
          <w:szCs w:val="28"/>
          <w:rtl w:val="true"/>
          <w:lang w:bidi="fa-IR"/>
        </w:rPr>
        <w:t>تعدّد المسبّب و المأمور به، بأن یصیر المطلق و المقیّد متباینین، فلا کلام، إلاّ أنّه خروج عن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یقتض تعدّد الأمر قیدا فی السبب حتّی یتباینا، فیلزم الإشکال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کون المطلق و المقیّد مورد الأمرین التأسیسیّین </w:t>
      </w:r>
      <w:r>
        <w:rPr>
          <w:rStyle w:val="FootnoteAnchor"/>
          <w:rtl w:val="true"/>
        </w:rPr>
        <w:footnoteReference w:id="1205"/>
      </w:r>
      <w:r>
        <w:rPr>
          <w:rFonts w:ascii="IRNazanin" w:hAnsi="IRNazanin" w:eastAsia="IRNazanin"/>
          <w:color w:val="111111"/>
          <w:sz w:val="28"/>
          <w:sz w:val="28"/>
          <w:szCs w:val="28"/>
          <w:rtl w:val="true"/>
          <w:lang w:bidi="fa-IR"/>
        </w:rPr>
        <w:t>، و هذا محال کما تحرّر فیما مضی مرارا</w:t>
      </w:r>
      <w:r>
        <w:rPr>
          <w:rStyle w:val="FootnoteAnchor"/>
          <w:rtl w:val="true"/>
        </w:rPr>
        <w:footnoteReference w:id="1206"/>
      </w:r>
      <w:r>
        <w:rPr>
          <w:rFonts w:ascii="IRNazanin" w:hAnsi="IRNazanin" w:eastAsia="IRNazanin"/>
          <w:color w:val="111111"/>
          <w:sz w:val="28"/>
          <w:sz w:val="28"/>
          <w:szCs w:val="28"/>
          <w:rtl w:val="true"/>
          <w:lang w:bidi="fa-IR"/>
        </w:rPr>
        <w:t>، فلا بدّ من أحد الأمرین فی صورة اجتماع السببین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الأخذ بالمطلق، و حمل الأمر الثانی علی التأکید، أو الأخذ بالمقیّد، و حمل المطلق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بحسب الصناعة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بحسب النّظر العرفیّ، فلا یبعد دعوی خروج هذه الصورة عن باب المطلق و المقیّد، لأنّ العرف یحکم حینئذٍ بأنّ الواجب فی المطلق هو عتق الرقبة الأخری غیر ما کان واجبا بالسبب المتقدّم، علی ما مرّ فی باب المفاهیم بتفصیل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مورد الأمر الأوّل غیر مورد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الواجبات المشروطة بحسب اللبّ واجبات تعلیقیّة، کما تحرّر منّا فی محلّه </w:t>
      </w:r>
      <w:r>
        <w:rPr>
          <w:rStyle w:val="FootnoteAnchor"/>
          <w:rtl w:val="true"/>
        </w:rPr>
        <w:footnoteReference w:id="1207"/>
      </w:r>
      <w:r>
        <w:rPr>
          <w:rFonts w:ascii="IRNazanin" w:hAnsi="IRNazanin" w:eastAsia="IRNazanin"/>
          <w:color w:val="111111"/>
          <w:sz w:val="28"/>
          <w:sz w:val="28"/>
          <w:szCs w:val="28"/>
          <w:rtl w:val="true"/>
          <w:lang w:bidi="fa-IR"/>
        </w:rPr>
        <w:t>، فیکون المجعول بحسب الثبوت هو عتق الرقبة المؤمنة عند الإفطار، و الرقبة عند الظهار، و حیث لا یمکن أن یکون المراد الجدّی کلاّ من المطلق و المقیّد لما مرّ، فلا بدّ من التصرّف، و أهون التصرّفات هو أنّ الواجب الثانی و المجعول المتأخّر، مقیّد لا یورث التعدّد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عند الظهار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الإفطار یجب 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فیقیّد الثانی بقید الأخری کما لا یخفی</w:t>
      </w:r>
      <w:r>
        <w:rPr>
          <w:rFonts w:eastAsia="IRNazanin" w:cs="IRNazanin"/>
          <w:color w:val="111111"/>
          <w:sz w:val="28"/>
          <w:szCs w:val="28"/>
          <w:rtl w:val="true"/>
          <w:lang w:bidi="fa-IR"/>
        </w:rPr>
        <w:t>.</w:t>
      </w:r>
      <w:bookmarkStart w:id="929" w:name="pg13167_141189"/>
    </w:p>
    <w:p>
      <w:pPr>
        <w:pStyle w:val="BookText"/>
        <w:rPr/>
      </w:pPr>
      <w:bookmarkEnd w:id="929"/>
      <w:r>
        <w:rPr>
          <w:rFonts w:ascii="IRNazanin" w:hAnsi="IRNazanin" w:eastAsia="IRNazanin"/>
          <w:color w:val="111111"/>
          <w:sz w:val="28"/>
          <w:sz w:val="28"/>
          <w:szCs w:val="28"/>
          <w:rtl w:val="true"/>
          <w:lang w:bidi="fa-IR"/>
        </w:rPr>
        <w:t>ثمّ إنّ السببین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تقارنهما وجودا، کما فی المثال الثانی، و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تقارنهما فی الوجود نحو المثال الأوّل، فإنّه ربّما یمکن دعوی حصول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فی الصورة الأولی کلّ من المطلق و المقیّد مقتضیا لما اقتضاه من الأثر، و فی الصورة الثانیة یکون الثانی بلا أثر، إلاّ أنّه مجرّد تخیّل، و إلاّ فمقتضی ما عرفت عدم الفرق، فإنّه کما لا یمکن کونهما معا تأسیسیّین، لا یمکن علی التعاقب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مرّ فی المقام الأوّل من اختلاف سبق المطلق علی المقیّد و بالعکس، و اختلاف کیفیّة ورودهما، و غیر ذلک، کلّه یأتی فی هذه الصورة، و یظهر حکمه ممّا سبق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560008_3244359995"/>
      <w:bookmarkStart w:id="931" w:name="_Toc347"/>
      <w:bookmarkEnd w:id="930"/>
      <w:r>
        <w:rPr>
          <w:rtl w:val="true"/>
        </w:rPr>
        <w:t>الصورة الثانیة</w:t>
      </w:r>
      <w:r>
        <w:rPr>
          <w:rtl w:val="true"/>
        </w:rPr>
        <w:t>:</w:t>
      </w:r>
      <w:bookmarkEnd w:id="931"/>
    </w:p>
    <w:p>
      <w:pPr>
        <w:pStyle w:val="BookText"/>
        <w:rPr/>
      </w:pPr>
      <w:r>
        <w:rPr>
          <w:rFonts w:ascii="IRNazanin" w:hAnsi="IRNazanin" w:eastAsia="IRNazanin"/>
          <w:color w:val="111111"/>
          <w:sz w:val="28"/>
          <w:sz w:val="28"/>
          <w:szCs w:val="28"/>
          <w:rtl w:val="true"/>
          <w:lang w:bidi="fa-IR"/>
        </w:rPr>
        <w:t>إذا کان کلّ منهما مشتملا علی السبب الوحید نوعا، فالمعروف بینهم هو الحمل، معلّلین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وحدة السبب دلیل علی وحدة المسبّب، فیحصل التنافی، فیؤخذ بالمقیّد بحمل المطلق علیه</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درر الفوائد، المحقّق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 فیه إشکال أشرنا إلیه فی المتوافقین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مع العلم بوحدة الحکم لا موجب لتعیین الأخذ بالمقیّد، لأنّه یمکن أن یکون ذلک الحکم الواحد هو تمام مفاد المطلق، و یکون المقیّد محمولا علی الأفضل، و هذا ممّا خفی علی الأفاضل و الأعلام 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العلم الإجمالیّ بعدم کون واحد منهما مورد الجدّ، لا یلازم کون ذلک الواحد هو المطلق حتّی یحمل علی المقیّد، بل یمکن أن یکون هو المقیّد، بمعنی أنّه حکم غیر إلزامیّ ندبیّ، أو یکون القید غالبیا، و حیث إنّ الحمل علی الغالبیّة غیر جائز حسب الأصل العرفیّ، یتعیّن الندبیّة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مرّ فی الوضعیات من حمل المطلق هناک علی المقید فی الموجبتین، فهو لأجل أن حمل القید هناک علی الأفضل بلا أصل، بخلاف التکلیفیّات، فإنّه کثیر الدور فی المحاورات العرفیّة و العقلائیّة،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یحصل وجه التفکیک بین التکلیفیّات و الوضعیّات فی الموجبتین، بل و السالبتین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فی المقام الأوّل من التفصیل أحیانا بین المطلق المتقدّم زمانا، و المتأخّر عن وقت الحاجة، و غیر ذلک، کلّه یجری فی هذا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وحدة السبب لا تقتضی العلم بوحدة الحکم، و إلاّ یلزم أن یکون الحکم واحدا، و لو کانت النسبة بین السببین عموما من وجه، فما هو الموجب لوحدة الحکم هو وحدة المتعلّق و المسبّب، أو ما یکون فی حکمه، کما إذا کانت النسبة بینهما عموما مطلقا، لأنّه کما مرّ لا یمکن تعدّد الحکم لبّا مع النسبة المزبورة</w:t>
      </w:r>
      <w:r>
        <w:rPr>
          <w:rStyle w:val="FootnoteAnchor"/>
          <w:rtl w:val="true"/>
        </w:rPr>
        <w:footnoteReference w:id="1210"/>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مقتضی تعدّد الأمر فی ناحیة المسبّب، و قضیّة کونه متعدّدا بالتأسیس و الاستقلال، هو تعدّد السبب بالشخص بأن یکون الإفطار الأوّل موجبا لإیجاب رقبة، و الإفطار الثانی للرقبة الأخری</w:t>
      </w:r>
      <w:r>
        <w:rPr>
          <w:rFonts w:eastAsia="IRNazanin" w:cs="IRNazanin"/>
          <w:color w:val="111111"/>
          <w:sz w:val="28"/>
          <w:szCs w:val="28"/>
          <w:rtl w:val="true"/>
          <w:lang w:bidi="fa-IR"/>
        </w:rPr>
        <w:t>.</w:t>
      </w:r>
      <w:bookmarkStart w:id="932" w:name="pg13167_141191"/>
    </w:p>
    <w:p>
      <w:pPr>
        <w:pStyle w:val="BookText"/>
        <w:rPr/>
      </w:pPr>
      <w:bookmarkEnd w:id="932"/>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الإفطار واحدا بالشخص، فلا بدّ من حمل المطلق علی المقیّد، لأنّه إمّا یجب علیه عتق الرقبة، أو الرقبة المؤمنة، فتحمل الأولی علی الثانیة، و أمّا لو فرضنا تعدّد الإفطار فیمکن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هو تعدّد الرقبة، لأنّ من المحتمل أن یکون نظر المولی إلی أنّ الإفطار الثانی موجب للرقبة المؤمنة، فیلزم تعدّد السبب المقتضی لتعدّد المسبّب، کما صرّحوا به </w:t>
      </w:r>
      <w:r>
        <w:rPr>
          <w:rStyle w:val="FootnoteAnchor"/>
          <w:rtl w:val="true"/>
        </w:rPr>
        <w:footnoteReference w:id="1211"/>
      </w:r>
      <w:r>
        <w:rPr>
          <w:rFonts w:ascii="IRNazanin" w:hAnsi="IRNazanin" w:eastAsia="IRNazanin"/>
          <w:color w:val="111111"/>
          <w:sz w:val="28"/>
          <w:sz w:val="28"/>
          <w:szCs w:val="28"/>
          <w:rtl w:val="true"/>
          <w:lang w:bidi="fa-IR"/>
        </w:rPr>
        <w:t>، و بناء علی هذا لا بدّ من النّظر إلی زمان صدور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الدلیل الوارد أوّلا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عند الإفطار یجب 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عند الإفطار یجب 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النّظر فی الثانی إلی أنّ الإفطار الثانی یستلزم الکفّارة المقیّدة، و فی عکسه ینعکس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تعدّد المسبّب و تعدّد الأمر، مورثا لإفادة أنّ المقصود فی ناحیة السبب هو التعدّد الشخصیّ، فلا یحمل حینئذٍ المطلق علی المقیّد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بناء علی ما مرّ منّا</w:t>
      </w:r>
      <w:r>
        <w:rPr>
          <w:rStyle w:val="FootnoteAnchor"/>
          <w:rtl w:val="true"/>
        </w:rPr>
        <w:footnoteReference w:id="1212"/>
      </w:r>
      <w:r>
        <w:rPr>
          <w:rFonts w:ascii="IRNazanin" w:hAnsi="IRNazanin" w:eastAsia="IRNazanin"/>
          <w:color w:val="111111"/>
          <w:sz w:val="28"/>
          <w:sz w:val="28"/>
          <w:szCs w:val="28"/>
          <w:rtl w:val="true"/>
          <w:lang w:bidi="fa-IR"/>
        </w:rPr>
        <w:t>یتبیّن حال هذه الصورة من الصورة الأولی صناعة، و بحسب فهم العرف،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ما ذکرناه أخیرا، للزم منه عدم حمل المطلق علی المقیّد و لو کان الإفطار واحدا بالشخص، و لم یتکرّر، فإنّه عندئذ یجب علیه العمل بمقتضی الوظیفة الصادرة أوّلا من قبل المولی، و إذا تعدّد فعلیه العمل بالوظیفة الثانیة</w:t>
      </w:r>
      <w:r>
        <w:rPr>
          <w:rFonts w:eastAsia="IRNazanin" w:cs="IRNazanin"/>
          <w:color w:val="111111"/>
          <w:sz w:val="28"/>
          <w:szCs w:val="28"/>
          <w:rtl w:val="true"/>
          <w:lang w:bidi="fa-IR"/>
        </w:rPr>
        <w:t>.</w:t>
      </w:r>
    </w:p>
    <w:p>
      <w:pPr>
        <w:pStyle w:val="Heading5"/>
        <w:numPr>
          <w:ilvl w:val="4"/>
          <w:numId w:val="1"/>
        </w:numPr>
        <w:rPr/>
      </w:pPr>
      <w:bookmarkStart w:id="933" w:name="__RefHeading___Toc560010_3244359995"/>
      <w:bookmarkStart w:id="934" w:name="_Toc348"/>
      <w:bookmarkEnd w:id="933"/>
      <w:r>
        <w:rPr>
          <w:rtl w:val="true"/>
        </w:rPr>
        <w:t>الصورة الثالثة</w:t>
      </w:r>
      <w:r>
        <w:rPr>
          <w:rtl w:val="true"/>
        </w:rPr>
        <w:t>:</w:t>
      </w:r>
      <w:bookmarkEnd w:id="934"/>
    </w:p>
    <w:p>
      <w:pPr>
        <w:pStyle w:val="Heading6"/>
        <w:numPr>
          <w:ilvl w:val="5"/>
          <w:numId w:val="1"/>
        </w:numPr>
        <w:rPr/>
      </w:pPr>
      <w:bookmarkStart w:id="935" w:name="__RefHeading___Toc560012_3244359995"/>
      <w:bookmarkStart w:id="936" w:name="_Toc349"/>
      <w:bookmarkEnd w:id="935"/>
      <w:r>
        <w:rPr>
          <w:rtl w:val="true"/>
        </w:rPr>
        <w:t>اشارة</w:t>
      </w:r>
      <w:bookmarkEnd w:id="93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المطلق مقرونا بذکر السبب، و المقیّد غیر مقرون، أو بالعکس، لا یحمل، و تصیر النتیجة مثل الصورة الأولی، مثلا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أفطرت أعتق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النّظر إلی وجه العالم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وجه العالم إذا مرضت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صرّحوا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 المطلق علی المقیّد، لأجل الدور</w:t>
      </w:r>
      <w:r>
        <w:rPr>
          <w:rStyle w:val="FootnoteAnchor"/>
          <w:rtl w:val="true"/>
        </w:rPr>
        <w:footnoteReference w:id="1213"/>
      </w:r>
      <w:r>
        <w:rPr>
          <w:rFonts w:ascii="IRNazanin" w:hAnsi="IRNazanin" w:eastAsia="IRNazanin"/>
          <w:color w:val="111111"/>
          <w:sz w:val="28"/>
          <w:sz w:val="28"/>
          <w:szCs w:val="28"/>
          <w:rtl w:val="true"/>
          <w:lang w:bidi="fa-IR"/>
        </w:rPr>
        <w:t>، أو لأجل أنّ المطلق حجّة فی موارد عدم تحقّق سبب المقیّد، و لا یجوز رفع الید عنها إلاّ بالحجّة، و هی منتفیة، لأنّ مقتضی حمل المطلق علی المقیّد رفع الید عنه بدونها</w:t>
      </w:r>
      <w:r>
        <w:rPr>
          <w:rStyle w:val="FootnoteAnchor"/>
          <w:rtl w:val="true"/>
        </w:rPr>
        <w:footnoteReference w:id="1214"/>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تفصیل، و هو أنّه لو فرضنا صدور المطلق غیر مقرون بذکر السبب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صدور المقیّد مقرونا بذکر السبب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أعتق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جامعت فی الحجّ فاذبح السمینة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فهناک إطلاقان و تقییدان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الإطلاق من ناحیة عدم کون الحکم فی الأوّل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من ناحیة أنّ موضوع الحکم بلا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التقییدان یظهران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نظرنا إلی الإطلاق و التقیید الأوّل، فلا یبعد تعیّن حمل المطلق علی المقیّد، کما إذا ورد الأمر بالحجّ، ثمّ ورد الأمر به عند الاستطاعة، أو الأمر بالصلاة یوم الجمعة، ثمّ ورد الأمر بها مع الإمام العادل، فإنّه لمکان ظهور الأمرین فی صِرف الوجود و فی محطّ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الأوامر الإلزامیّة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حمل المطلق علی المقیّد أقرب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للمطلق سبب یلزم اندراج هذه الصورة فیما سبق من الصورة الثانیة، و ما یتعلّق بها من الأحکام الماضیة و المناقشات المزبورة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من ناحیة عدم ذکر السبب یستلزم التقید من</w:t>
      </w:r>
      <w:bookmarkStart w:id="937" w:name="pg13167_141193"/>
    </w:p>
    <w:p>
      <w:pPr>
        <w:pStyle w:val="BookText"/>
        <w:rPr/>
      </w:pPr>
      <w:bookmarkEnd w:id="937"/>
      <w:r>
        <w:rPr>
          <w:rFonts w:ascii="IRNazanin" w:hAnsi="IRNazanin" w:eastAsia="IRNazanin"/>
          <w:color w:val="111111"/>
          <w:sz w:val="28"/>
          <w:sz w:val="28"/>
          <w:szCs w:val="28"/>
          <w:rtl w:val="true"/>
          <w:lang w:bidi="fa-IR"/>
        </w:rPr>
        <w:t>هذه الناحیة، فیخرج عن مفروض البحث، و هو الواضح</w:t>
      </w:r>
      <w:r>
        <w:rPr>
          <w:rFonts w:eastAsia="IRNazanin" w:cs="IRNazanin"/>
          <w:color w:val="111111"/>
          <w:sz w:val="28"/>
          <w:szCs w:val="28"/>
          <w:rtl w:val="true"/>
          <w:lang w:bidi="fa-IR"/>
        </w:rPr>
        <w:t>.</w:t>
      </w:r>
    </w:p>
    <w:p>
      <w:pPr>
        <w:pStyle w:val="Heading6"/>
        <w:numPr>
          <w:ilvl w:val="5"/>
          <w:numId w:val="1"/>
        </w:numPr>
        <w:rPr/>
      </w:pPr>
      <w:bookmarkStart w:id="938" w:name="__RefHeading___Toc560014_3244359995"/>
      <w:bookmarkStart w:id="939" w:name="_Toc350"/>
      <w:bookmarkEnd w:id="938"/>
      <w:r>
        <w:rPr>
          <w:rtl w:val="true"/>
        </w:rPr>
        <w:t>بقی شی‌ء</w:t>
      </w:r>
      <w:r>
        <w:rPr>
          <w:rtl w:val="true"/>
        </w:rPr>
        <w:t xml:space="preserve">: </w:t>
      </w:r>
      <w:r>
        <w:rPr>
          <w:rtl w:val="true"/>
        </w:rPr>
        <w:t>و هو فرض العلم الخارجیّ بعدم التقیید من ناحیة عدم ذکر السبب</w:t>
      </w:r>
      <w:bookmarkEnd w:id="939"/>
    </w:p>
    <w:p>
      <w:pPr>
        <w:pStyle w:val="BookText"/>
        <w:rPr/>
      </w:pPr>
      <w:r>
        <w:rPr>
          <w:rFonts w:ascii="IRNazanin" w:hAnsi="IRNazanin" w:eastAsia="IRNazanin"/>
          <w:color w:val="111111"/>
          <w:sz w:val="28"/>
          <w:sz w:val="28"/>
          <w:szCs w:val="28"/>
          <w:rtl w:val="true"/>
          <w:lang w:bidi="fa-IR"/>
        </w:rPr>
        <w:t>و هو إذا فرضنا العلم الخارجیّ بعدم التقیید من هذه الناحیة، فمعنی ذلک یرجع إلی العلم بتعدّد الأمر التأسیسیّ، مع کون النسبة بین متعلّقی الأمر عموما مطلقا، و هذا أیضا غیر ممکن، و تصیر النتیجة ما مرّ أیضا من الأخذ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المطلق بإسقاط السبب، و هو خلاف ظهور القضیّة الشرطیّة فی السببیّة، أو الأخذ بالمقیّد بحمل المطلق علیه، و هو أهون، فلا یبقی وجه لتوهّم الدور و غیر ذلک، لأنّ المطلق حینئذ لا یکون حجّة حتّی لا یجوز رفع الید عنه بدون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صورة عدم الابتلاء بالسبب، لا بدّ من امتثال الإطلاق، و لو لم یمتثل و ابتلی بالسبب المفروض فأفطر یلزم ما مرّ، و قد عرفت علاجه و محتملاته، فلا نعید</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0" w:name="__RefHeading___Toc560016_3244359995"/>
      <w:bookmarkStart w:id="941" w:name="_Toc351"/>
      <w:bookmarkEnd w:id="940"/>
      <w:r>
        <w:rPr>
          <w:rtl w:val="true"/>
        </w:rPr>
        <w:t>بقی شی‌ء آخر</w:t>
      </w:r>
      <w:r>
        <w:rPr>
          <w:rtl w:val="true"/>
        </w:rPr>
        <w:t xml:space="preserve">: </w:t>
      </w:r>
      <w:r>
        <w:rPr>
          <w:rtl w:val="true"/>
        </w:rPr>
        <w:t>و هو ما إذا کان القید غیر مقرون بذکر السبب</w:t>
      </w:r>
      <w:bookmarkEnd w:id="941"/>
    </w:p>
    <w:p>
      <w:pPr>
        <w:pStyle w:val="BookText"/>
        <w:rPr/>
      </w:pPr>
      <w:r>
        <w:rPr>
          <w:rFonts w:ascii="IRNazanin" w:hAnsi="IRNazanin" w:eastAsia="IRNazanin"/>
          <w:color w:val="111111"/>
          <w:sz w:val="28"/>
          <w:sz w:val="28"/>
          <w:szCs w:val="28"/>
          <w:rtl w:val="true"/>
          <w:lang w:bidi="fa-IR"/>
        </w:rPr>
        <w:t>فإنّه من هذه الناحیة له الإطلاق، فیقیّد بدلیل القید، و یلزم منه سرایة قیده إلی المطلق المقرون بذکر السبب، فیعطی کلّ واحد منهما قید بالآخر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ینتفی الدور المذکور فی التقریرات، لأجل أن العلم بوحدة التکلیف فی ناحیة المتعلّق، ناشئ من کون النسبة بین المتعلّقین عموما مطلقا کما لا یخفی، لا من جهة أخری کما فی کلامه، فراجع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bookmarkStart w:id="942" w:name="pg13167_141194"/>
    </w:p>
    <w:p>
      <w:pPr>
        <w:pStyle w:val="Heading5"/>
        <w:numPr>
          <w:ilvl w:val="4"/>
          <w:numId w:val="1"/>
        </w:numPr>
        <w:rPr/>
      </w:pPr>
      <w:bookmarkStart w:id="943" w:name="__RefHeading___Toc560018_3244359995"/>
      <w:bookmarkStart w:id="944" w:name="_Toc352"/>
      <w:bookmarkEnd w:id="942"/>
      <w:bookmarkEnd w:id="943"/>
      <w:r>
        <w:rPr>
          <w:rtl w:val="true"/>
        </w:rPr>
        <w:t>تنبیهات</w:t>
      </w:r>
      <w:bookmarkEnd w:id="944"/>
    </w:p>
    <w:p>
      <w:pPr>
        <w:pStyle w:val="Heading6"/>
        <w:numPr>
          <w:ilvl w:val="5"/>
          <w:numId w:val="1"/>
        </w:numPr>
        <w:rPr/>
      </w:pPr>
      <w:bookmarkStart w:id="945" w:name="__RefHeading___Toc560020_3244359995"/>
      <w:bookmarkStart w:id="946" w:name="_Toc353"/>
      <w:bookmarkEnd w:id="945"/>
      <w:r>
        <w:rPr>
          <w:rtl w:val="true"/>
        </w:rPr>
        <w:t>الأوّل</w:t>
      </w:r>
      <w:r>
        <w:rPr>
          <w:rtl w:val="true"/>
        </w:rPr>
        <w:t xml:space="preserve">: </w:t>
      </w:r>
      <w:r>
        <w:rPr>
          <w:rtl w:val="true"/>
        </w:rPr>
        <w:t>فی عدم اختصاص المطلق و المقیّد المقرونین بذکر السبب بالتکالیف الإیجابیّة</w:t>
      </w:r>
      <w:bookmarkEnd w:id="946"/>
    </w:p>
    <w:p>
      <w:pPr>
        <w:pStyle w:val="BookText"/>
        <w:rPr/>
      </w:pPr>
      <w:r>
        <w:rPr>
          <w:rFonts w:ascii="IRNazanin" w:hAnsi="IRNazanin" w:eastAsia="IRNazanin"/>
          <w:color w:val="111111"/>
          <w:sz w:val="28"/>
          <w:sz w:val="28"/>
          <w:szCs w:val="28"/>
          <w:rtl w:val="true"/>
          <w:lang w:bidi="fa-IR"/>
        </w:rPr>
        <w:t>یستظهر من القوم اختصاص صور المطلق و المقیّد المقرونین بذکر السبب بالتکالیف الإیجابیّة</w:t>
      </w:r>
      <w:r>
        <w:rPr>
          <w:rStyle w:val="FootnoteAnchor"/>
          <w:rtl w:val="true"/>
        </w:rPr>
        <w:footnoteReference w:id="1217"/>
      </w:r>
      <w:r>
        <w:rPr>
          <w:rFonts w:ascii="IRNazanin" w:hAnsi="IRNazanin" w:eastAsia="IRNazanin"/>
          <w:color w:val="111111"/>
          <w:sz w:val="28"/>
          <w:sz w:val="28"/>
          <w:szCs w:val="28"/>
          <w:rtl w:val="true"/>
          <w:lang w:bidi="fa-IR"/>
        </w:rPr>
        <w:t>، مع أنّ الأمر لیس کذلک، فإنّه یتصوّر فی التکالیف التحریمیّة أیضا من غیر تمامیّة الحکم الّذی اختاروه فی الإیجابیّات إلاّ فی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ممّا یتکرّر فیه السبب نوعا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أحرمت فلا تصطد صید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الحرم فلا تصطد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یتکرّر فیه السبب شخصا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زوجها فلا تسافر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زوجها فلا تسافر فی 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یمکن الأخذ بالحکمین فی التحریمیّات، لما لا تکرّر فیه، و لا یتصوّر تعدّد الترک، فعلی هذا لا بدّ إمّا من حمل المطلق علی المقیّد، أو حمل المقیّد علی التحریم الأشدّ، و الّذی هو الأقرب الأهون فی مثل الفرض الثانی، و فیما إذا کان المطلق غیر مقرون بذکر السبب، و المقیّد مقرونا، یکون الجمع بینهما بالتقیید أهون جدّاً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یتعدّد السبب نوعا، فیکون حمل القید علی التحریم الأشدّ أقرب المحتملات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فیما مضی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الأمثلة و المواقف فی ذلک </w:t>
      </w:r>
      <w:r>
        <w:rPr>
          <w:rStyle w:val="FootnoteAnchor"/>
          <w:rtl w:val="true"/>
        </w:rPr>
        <w:footnoteReference w:id="1218"/>
      </w:r>
      <w:r>
        <w:rPr>
          <w:rFonts w:ascii="IRNazanin" w:hAnsi="IRNazanin" w:eastAsia="IRNazanin"/>
          <w:color w:val="111111"/>
          <w:sz w:val="28"/>
          <w:sz w:val="28"/>
          <w:szCs w:val="28"/>
          <w:rtl w:val="true"/>
          <w:lang w:bidi="fa-IR"/>
        </w:rPr>
        <w:t>و اللَّه هو الحفیظ العلیم</w:t>
      </w:r>
      <w:r>
        <w:rPr>
          <w:rFonts w:eastAsia="IRNazanin" w:cs="IRNazanin"/>
          <w:color w:val="111111"/>
          <w:sz w:val="28"/>
          <w:szCs w:val="28"/>
          <w:rtl w:val="true"/>
          <w:lang w:bidi="fa-IR"/>
        </w:rPr>
        <w:t>.</w:t>
      </w:r>
      <w:bookmarkStart w:id="947" w:name="pg13167_141195"/>
    </w:p>
    <w:p>
      <w:pPr>
        <w:pStyle w:val="Heading6"/>
        <w:numPr>
          <w:ilvl w:val="5"/>
          <w:numId w:val="1"/>
        </w:numPr>
        <w:rPr/>
      </w:pPr>
      <w:bookmarkStart w:id="948" w:name="__RefHeading___Toc560022_3244359995"/>
      <w:bookmarkStart w:id="949" w:name="_Toc354"/>
      <w:bookmarkEnd w:id="947"/>
      <w:bookmarkEnd w:id="948"/>
      <w:r>
        <w:rPr>
          <w:rtl w:val="true"/>
        </w:rPr>
        <w:t>الثانی</w:t>
      </w:r>
      <w:r>
        <w:rPr>
          <w:rtl w:val="true"/>
        </w:rPr>
        <w:t xml:space="preserve">: </w:t>
      </w:r>
      <w:r>
        <w:rPr>
          <w:rtl w:val="true"/>
        </w:rPr>
        <w:t>فی کیفیّة الجمع بین الدلیلین فی صورة کون النسبة مطلقا أو من وجه</w:t>
      </w:r>
      <w:bookmarkEnd w:id="949"/>
    </w:p>
    <w:p>
      <w:pPr>
        <w:pStyle w:val="BookText"/>
        <w:rPr/>
      </w:pPr>
      <w:r>
        <w:rPr>
          <w:rFonts w:ascii="IRNazanin" w:hAnsi="IRNazanin" w:eastAsia="IRNazanin"/>
          <w:color w:val="111111"/>
          <w:sz w:val="28"/>
          <w:sz w:val="28"/>
          <w:szCs w:val="28"/>
          <w:rtl w:val="true"/>
          <w:lang w:bidi="fa-IR"/>
        </w:rPr>
        <w:t xml:space="preserve">الجمع بین الدلیلین اللّذین تکون النسبة بینهما العموم المطلق، ممکن بالتقیید فی کثیر من المواقف و الأطوار، و ربّما یلزم التکاذب بینهما و التعارض، کما أشیر إلیه، و هو فی مورد تأبیّ الإطلاق عن التقیید لسانا، أو استلزام التقیید الاستهجان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الجمع بینهما بالتقیید فیما إذا کانت النسبة بینهما عموما من وجه، فهو فی نوع المواقف و الصور غیر ممکن، ضرورة أنّ ترجیح أحدهما علی الآخر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ترجیح أحدهما علی الآخر، مستلزما لمحذور عقلیّ أو عرفیّ ممّا أشیر إلیه، دون الآخر، فقد ذهب الأعلام هناک إلی الجمع بینهما بالتقیید</w:t>
      </w:r>
      <w:r>
        <w:rPr>
          <w:rStyle w:val="FootnoteAnchor"/>
          <w:rtl w:val="true"/>
        </w:rPr>
        <w:footnoteReference w:id="1220"/>
      </w:r>
      <w:r>
        <w:rPr>
          <w:rFonts w:ascii="IRNazanin" w:hAnsi="IRNazanin" w:eastAsia="IRNazanin"/>
          <w:color w:val="111111"/>
          <w:sz w:val="28"/>
          <w:sz w:val="28"/>
          <w:szCs w:val="28"/>
          <w:rtl w:val="true"/>
          <w:lang w:bidi="fa-IR"/>
        </w:rPr>
        <w:t>، مثلا إذا کان ترجیح أحدهما علی الآخر مستلزما لخروج المورد، أو للتخصیص الأکثر، أو یستلزم اللغویّة، یکون المتعیّن ترجیح الآخر علیه إذا لم یستلزم شیئا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المعارضة بین مفهوم دلیل الکرّ</w:t>
      </w:r>
      <w:r>
        <w:rPr>
          <w:rStyle w:val="FootnoteAnchor"/>
          <w:rtl w:val="true"/>
        </w:rPr>
        <w:footnoteReference w:id="1221"/>
      </w:r>
      <w:r>
        <w:rPr>
          <w:rFonts w:ascii="IRNazanin" w:hAnsi="IRNazanin" w:eastAsia="IRNazanin"/>
          <w:color w:val="111111"/>
          <w:sz w:val="28"/>
          <w:sz w:val="28"/>
          <w:szCs w:val="28"/>
          <w:rtl w:val="true"/>
          <w:lang w:bidi="fa-IR"/>
        </w:rPr>
        <w:t xml:space="preserve">، و منطوق روایات سائر المیاه </w:t>
      </w:r>
      <w:r>
        <w:rPr>
          <w:rStyle w:val="FootnoteAnchor"/>
          <w:rtl w:val="true"/>
        </w:rPr>
        <w:footnoteReference w:id="1222"/>
      </w:r>
      <w:r>
        <w:rPr>
          <w:rFonts w:ascii="IRNazanin" w:hAnsi="IRNazanin" w:eastAsia="IRNazanin"/>
          <w:color w:val="111111"/>
          <w:sz w:val="28"/>
          <w:sz w:val="28"/>
          <w:szCs w:val="28"/>
          <w:rtl w:val="true"/>
          <w:lang w:bidi="fa-IR"/>
        </w:rPr>
        <w:t>، و تکون النسبة بینهما العموم من وجه، لا یمکن ترجیح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بأقوائیّة المنطوق من المفهوم </w:t>
      </w:r>
      <w:r>
        <w:rPr>
          <w:rStyle w:val="FootnoteAnchor"/>
          <w:rtl w:val="true"/>
        </w:rPr>
        <w:footnoteReference w:id="1223"/>
      </w:r>
      <w:r>
        <w:rPr>
          <w:rFonts w:ascii="IRNazanin" w:hAnsi="IRNazanin" w:eastAsia="IRNazanin"/>
          <w:color w:val="111111"/>
          <w:sz w:val="28"/>
          <w:sz w:val="28"/>
          <w:szCs w:val="28"/>
          <w:rtl w:val="true"/>
          <w:lang w:bidi="fa-IR"/>
        </w:rPr>
        <w:t>ممّا لا سبیل إلیه کما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إنّ ترجیح سائر الأدلّة علی مفهوم الکرّ، لا یستلزم التقیید الأکثر حتّی یکون التقدیم مع مفهوم الکرّ، بخلاف عکسه، فإنّ تقدیم مفهوم الکرّ علیها یستلزم إلغاء عناوین</w:t>
      </w:r>
      <w:bookmarkStart w:id="950" w:name="pg13167_141196"/>
    </w:p>
    <w:p>
      <w:pPr>
        <w:pStyle w:val="BookText"/>
        <w:rPr/>
      </w:pPr>
      <w:bookmarkEnd w:id="9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 و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هذا غیر جائز، فیقدّم تلک الأدلّة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سلکوه فی هذه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ذکرناه فی بعض المکتوبات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حکموا به ناشئ من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مهما أمکن أولی من الطرح، و کأنّهم فی صورة عدم استلزام المحذور حکموا بالمعارضة، لأجل الترجیح بلا مرجّح، و لذلک بمجرّد حصول الترجیح اختاروا التقیید، و هذا غیر مناسب، لأنّ الجمع بین الأدلّة لا بدّ و أن یکون عرفیّا، من غیر ارتباط بمسألة الترجیح بلا مرجّح، و لا برهان عقلا و لا شرعا علی لزوم الجمع مهما أمکن، فمجرّد کون التقیید من جانب دون الجانب الآخر مستلزما للمحذور، لا یوجب تعیین التقیید من الناحیة الأخری، لأنّ الفرار من المحذور العقلیّ، لیس من الواجبات العرفیّة أو العقلیّة فی محیط الجموع العقلائیّة بین الأدلّة الشرعیّة و القوانین الإلهیّة، فلاحظ و تدبّر جیّدا</w:t>
      </w:r>
      <w:r>
        <w:rPr>
          <w:rFonts w:eastAsia="IRNazanin" w:cs="IRNazanin"/>
          <w:color w:val="111111"/>
          <w:sz w:val="28"/>
          <w:szCs w:val="28"/>
          <w:rtl w:val="true"/>
          <w:lang w:bidi="fa-IR"/>
        </w:rPr>
        <w:t>.</w:t>
      </w:r>
    </w:p>
    <w:p>
      <w:pPr>
        <w:pStyle w:val="Heading6"/>
        <w:numPr>
          <w:ilvl w:val="5"/>
          <w:numId w:val="1"/>
        </w:numPr>
        <w:rPr/>
      </w:pPr>
      <w:bookmarkStart w:id="951" w:name="__RefHeading___Toc560024_3244359995"/>
      <w:bookmarkStart w:id="952" w:name="_Toc355"/>
      <w:bookmarkEnd w:id="951"/>
      <w:r>
        <w:rPr>
          <w:rtl w:val="true"/>
        </w:rPr>
        <w:t>الثالث</w:t>
      </w:r>
      <w:r>
        <w:rPr>
          <w:rtl w:val="true"/>
        </w:rPr>
        <w:t xml:space="preserve">: </w:t>
      </w:r>
      <w:r>
        <w:rPr>
          <w:rtl w:val="true"/>
        </w:rPr>
        <w:t>فی الإشارة لجریان الحکومة فی بعض صور تنافی الدلیلین</w:t>
      </w:r>
      <w:bookmarkEnd w:id="95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یکون بین المطلقات المتعارضة لبّا، إمکان الجمع عرفا و لو کانت النسبة بینهما العموم من وجه، و ذلک فیما إذا کان لسان أحدهما حاکما علی الآخر، و کان أحدهما متعرّضا لما لا یکون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مقام الدلالة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متعرّضا له، و ذلک کموارد حکومة دلیل نفی الحرج </w:t>
      </w:r>
      <w:r>
        <w:rPr>
          <w:rStyle w:val="FootnoteAnchor"/>
          <w:rtl w:val="true"/>
        </w:rPr>
        <w:footnoteReference w:id="1224"/>
      </w:r>
      <w:r>
        <w:rPr>
          <w:rFonts w:ascii="IRNazanin" w:hAnsi="IRNazanin" w:eastAsia="IRNazanin"/>
          <w:color w:val="111111"/>
          <w:sz w:val="28"/>
          <w:sz w:val="28"/>
          <w:szCs w:val="28"/>
          <w:rtl w:val="true"/>
          <w:lang w:bidi="fa-IR"/>
        </w:rPr>
        <w:t>و الضرر</w:t>
      </w:r>
      <w:r>
        <w:rPr>
          <w:rStyle w:val="FootnoteAnchor"/>
          <w:rtl w:val="true"/>
        </w:rPr>
        <w:footnoteReference w:id="1225"/>
      </w:r>
      <w:r>
        <w:rPr>
          <w:rFonts w:ascii="IRNazanin" w:hAnsi="IRNazanin" w:eastAsia="IRNazanin"/>
          <w:color w:val="111111"/>
          <w:sz w:val="28"/>
          <w:sz w:val="28"/>
          <w:szCs w:val="28"/>
          <w:rtl w:val="true"/>
          <w:lang w:bidi="fa-IR"/>
        </w:rPr>
        <w:t xml:space="preserve">و دلیل نفی الشکّ </w:t>
      </w:r>
      <w:r>
        <w:rPr>
          <w:rStyle w:val="FootnoteAnchor"/>
          <w:rtl w:val="true"/>
        </w:rPr>
        <w:footnoteReference w:id="1226"/>
      </w:r>
      <w:r>
        <w:rPr>
          <w:rFonts w:ascii="Amiri" w:hAnsi="Amiri" w:eastAsia="Amiri" w:cs="Amiri"/>
          <w:color w:val="111111"/>
          <w:sz w:val="28"/>
          <w:sz w:val="28"/>
          <w:szCs w:val="28"/>
          <w:rtl w:val="true"/>
          <w:lang w:bidi="ar-SA"/>
        </w:rPr>
        <w:t>علی الأدلّة</w:t>
      </w:r>
      <w:bookmarkStart w:id="953" w:name="pg13167_141197"/>
    </w:p>
    <w:p>
      <w:pPr>
        <w:pStyle w:val="BookText"/>
        <w:rPr/>
      </w:pPr>
      <w:bookmarkEnd w:id="953"/>
      <w:r>
        <w:rPr>
          <w:rFonts w:ascii="IRNazanin" w:hAnsi="IRNazanin" w:eastAsia="IRNazanin"/>
          <w:color w:val="111111"/>
          <w:sz w:val="28"/>
          <w:sz w:val="28"/>
          <w:szCs w:val="28"/>
          <w:rtl w:val="true"/>
          <w:lang w:bidi="fa-IR"/>
        </w:rPr>
        <w:t>الأوّلیة و دلیل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بحث فیه بحسب الکبری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موارد الحکومة مع أنّ النسبة عموم مطلق، ما دلّ علی عدم الرّبا بین الوالد و الولد</w:t>
      </w:r>
      <w:r>
        <w:rPr>
          <w:rStyle w:val="FootnoteAnchor"/>
          <w:rtl w:val="true"/>
        </w:rPr>
        <w:footnoteReference w:id="1227"/>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یمکن الجمع بین الأدلّة و لو کانت ذات ألسنة غلاظ شداد غیر آبیة عن الحکومة، کما فی المثال الأخیر، فما اشتهر من الإباء عن التقیید و التخصیص، مخصوص بغیر موارد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یعلم من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کالحکومة، لا یستلزم تعنون المطلق فی مرحلة الإثبات، مع أنّهما بحسب مقام الثبوت و السلب من واد واحد بالضرورة، و لکن کما لا معنی لتقیید لسان المحکوم بدلیل الحاکم، کذلک لا معنی لتعنون المطلق فی موارد التقیید، خلافا لجلّ المتأخّرین حیث توهّموا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المطلق یعنون بضدّ المقیّد، بخلاف العمومات </w:t>
      </w:r>
      <w:r>
        <w:rPr>
          <w:rStyle w:val="FootnoteAnchor"/>
          <w:rtl w:val="true"/>
        </w:rPr>
        <w:footnoteReference w:id="1228"/>
      </w:r>
      <w:r>
        <w:rPr>
          <w:rFonts w:ascii="IRNazanin" w:hAnsi="IRNazanin" w:eastAsia="IRNazanin"/>
          <w:color w:val="111111"/>
          <w:sz w:val="28"/>
          <w:sz w:val="28"/>
          <w:szCs w:val="28"/>
          <w:rtl w:val="true"/>
          <w:lang w:bidi="fa-IR"/>
        </w:rPr>
        <w:t xml:space="preserve">، مع ذهاب بعضهم فیها أیضا إلی التعنون </w:t>
      </w:r>
      <w:r>
        <w:rPr>
          <w:rStyle w:val="FootnoteAnchor"/>
          <w:rtl w:val="true"/>
        </w:rPr>
        <w:footnoteReference w:id="1229"/>
      </w:r>
      <w:r>
        <w:rPr>
          <w:rFonts w:ascii="IRNazanin" w:hAnsi="IRNazanin" w:eastAsia="IRNazanin"/>
          <w:color w:val="111111"/>
          <w:sz w:val="28"/>
          <w:sz w:val="28"/>
          <w:szCs w:val="28"/>
          <w:rtl w:val="true"/>
          <w:lang w:bidi="fa-IR"/>
        </w:rPr>
        <w:t>، و قد مرّ فساده مطلقا</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تمام الکلام فی التعادل و الترجیح إن شاء اللَّه تعالی</w:t>
      </w:r>
      <w:r>
        <w:rPr>
          <w:rFonts w:eastAsia="IRNazanin" w:cs="IRNazanin"/>
          <w:color w:val="111111"/>
          <w:sz w:val="28"/>
          <w:szCs w:val="28"/>
          <w:rtl w:val="true"/>
          <w:lang w:bidi="fa-IR"/>
        </w:rPr>
        <w:t>.</w:t>
      </w:r>
    </w:p>
    <w:p>
      <w:pPr>
        <w:pStyle w:val="Heading6"/>
        <w:numPr>
          <w:ilvl w:val="5"/>
          <w:numId w:val="1"/>
        </w:numPr>
        <w:rPr/>
      </w:pPr>
      <w:bookmarkStart w:id="954" w:name="__RefHeading___Toc560026_3244359995"/>
      <w:bookmarkStart w:id="955" w:name="_Toc356"/>
      <w:bookmarkEnd w:id="954"/>
      <w:r>
        <w:rPr>
          <w:rtl w:val="true"/>
        </w:rPr>
        <w:t>الرابع</w:t>
      </w:r>
      <w:r>
        <w:rPr>
          <w:rtl w:val="true"/>
        </w:rPr>
        <w:t xml:space="preserve">: </w:t>
      </w:r>
      <w:r>
        <w:rPr>
          <w:rtl w:val="true"/>
        </w:rPr>
        <w:t>فی ثبوت التقیید أحیانا مع کون النسبة عموما من وجه</w:t>
      </w:r>
      <w:bookmarkEnd w:id="95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تکون النسبة بین الدلیلین المطلقین عموما من وجه، و لکنّ العرف یتدخّل بالتقیید، لأجل الانصراف و الفهم، و من ذلک 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المندوحة یحکم العرف بوجوب الامتثال علی وجه لا یتصرّف فی المحرّم،</w:t>
      </w:r>
      <w:bookmarkStart w:id="956" w:name="pg13167_141198"/>
    </w:p>
    <w:p>
      <w:pPr>
        <w:pStyle w:val="BookText"/>
        <w:rPr/>
      </w:pPr>
      <w:bookmarkEnd w:id="956"/>
      <w:r>
        <w:rPr>
          <w:rFonts w:ascii="IRNazanin" w:hAnsi="IRNazanin" w:eastAsia="IRNazanin"/>
          <w:color w:val="111111"/>
          <w:sz w:val="28"/>
          <w:sz w:val="28"/>
          <w:szCs w:val="28"/>
          <w:rtl w:val="true"/>
          <w:lang w:bidi="fa-IR"/>
        </w:rPr>
        <w:t xml:space="preserve">و لا یستلزم الغصب، و قد مرّ شطر منه فی التعبّدی و التوصّلی، و اخترنا فی هذه المسألة أصالة القیدیّة، حسب الانصراف العرفیّ و الحکم العقلائیّ </w:t>
      </w:r>
      <w:r>
        <w:rPr>
          <w:rStyle w:val="FootnoteAnchor"/>
          <w:rtl w:val="true"/>
        </w:rPr>
        <w:footnoteReference w:id="1231"/>
      </w:r>
      <w:r>
        <w:rPr>
          <w:rFonts w:ascii="IRNazanin" w:hAnsi="IRNazanin" w:eastAsia="IRNazanin"/>
          <w:color w:val="111111"/>
          <w:sz w:val="28"/>
          <w:sz w:val="28"/>
          <w:szCs w:val="28"/>
          <w:rtl w:val="true"/>
          <w:lang w:bidi="fa-IR"/>
        </w:rPr>
        <w:t>، و تکون النتیجة حین السعة فهم قید و شرط فی المأمور به، و لعلّ سرّه أنّ الحکم فی ناحیة الأمر غیر انحلالیّ، و فی ناحیة النهی انحلالیّ،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عدم المندوحة، فإن قلنا بإطلاق الانصراف المزبور، و أنّ الانصراف و حکم العرف لا یقصر عن دلیل القید الّذی له الإطلاق، فلا بدّ من القول بالسقوط حسب الموازین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الشأن أنّ الانصراف المزبور مخصوص بصورة المندوحة، و أمّا عند الانحصار فلا یحکم العقل و لا العرف بالسقوط، لاحتمال کون مبغوضیّة الغصب أضعف من محبوبیّة الصلاة، فتکون متقدّمة علیه، و لأجل ذلک لا یمکن الجمع العرفیّ بینهما حینئذ، و تندرج المسألة فی باب الاجتماع و الامتناع، و قد مرّ تفصیل الکلام حوله هناک، و من شاء فلیراجع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الجمع العرفیّ بین العامّین من وجه فی المثال المزبور فی الجملة، بل و فی کافّة الأوامر الإلزامیّة و لو کانت توصّلیة، و النواهی التحریمیّة، فتأمّل</w:t>
      </w:r>
      <w:r>
        <w:rPr>
          <w:rFonts w:eastAsia="IRNazanin" w:cs="IRNazanin"/>
          <w:color w:val="111111"/>
          <w:sz w:val="28"/>
          <w:szCs w:val="28"/>
          <w:rtl w:val="true"/>
          <w:lang w:bidi="fa-IR"/>
        </w:rPr>
        <w:t>.</w:t>
      </w:r>
    </w:p>
    <w:p>
      <w:pPr>
        <w:pStyle w:val="Heading6"/>
        <w:numPr>
          <w:ilvl w:val="5"/>
          <w:numId w:val="1"/>
        </w:numPr>
        <w:rPr/>
      </w:pPr>
      <w:bookmarkStart w:id="957" w:name="__RefHeading___Toc560028_3244359995"/>
      <w:bookmarkStart w:id="958" w:name="_Toc357"/>
      <w:bookmarkEnd w:id="957"/>
      <w:r>
        <w:rPr>
          <w:rtl w:val="true"/>
        </w:rPr>
        <w:t>الخامس</w:t>
      </w:r>
      <w:r>
        <w:rPr>
          <w:rtl w:val="true"/>
        </w:rPr>
        <w:t xml:space="preserve">: </w:t>
      </w:r>
      <w:r>
        <w:rPr>
          <w:rtl w:val="true"/>
        </w:rPr>
        <w:t>فی المجمل و المبیّن</w:t>
      </w:r>
      <w:bookmarkEnd w:id="958"/>
    </w:p>
    <w:p>
      <w:pPr>
        <w:pStyle w:val="Heading6"/>
        <w:numPr>
          <w:ilvl w:val="5"/>
          <w:numId w:val="1"/>
        </w:numPr>
        <w:rPr/>
      </w:pPr>
      <w:bookmarkStart w:id="959" w:name="__RefHeading___Toc560030_3244359995"/>
      <w:bookmarkStart w:id="960" w:name="_Toc358"/>
      <w:bookmarkEnd w:id="959"/>
      <w:r>
        <w:rPr>
          <w:rtl w:val="true"/>
        </w:rPr>
        <w:t>اشارة</w:t>
      </w:r>
      <w:bookmarkEnd w:id="960"/>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یطلق المجمل و المبیّن بحسب مقام الإرادة، و من ذلک العامّ بعد ورود المخصّص، و المطلق بعد ورود التقیید، فإنّ الموجبات الکلّیة و السوالب الجزئیّة</w:t>
      </w:r>
    </w:p>
    <w:p>
      <w:pPr>
        <w:pStyle w:val="BookText"/>
        <w:rPr/>
      </w:pPr>
      <w:r>
        <w:rPr>
          <w:rFonts w:ascii="IRNazanin" w:hAnsi="IRNazanin" w:eastAsia="IRNazanin"/>
          <w:color w:val="111111"/>
          <w:sz w:val="28"/>
          <w:sz w:val="28"/>
          <w:szCs w:val="28"/>
          <w:rtl w:val="true"/>
          <w:lang w:bidi="fa-IR"/>
        </w:rPr>
        <w:t>متناقضات، فکیف یمکن حصول الإرادة الواقعیّة المطابقة للجدّ و الحقیقة بالنسبة إلی کلّ واحد من المضمونین؟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الإجمال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الإجمال یرتفع ببناء العرف و العقلاء علی التخصیص و التقیید، و حینئذ یرتفع الإجمال و التردّد و الإبهام المشاهد بدوا فی القضیّتین، و قد مرّ تفصیله فی العامّ و الخاصّ </w:t>
      </w:r>
      <w:r>
        <w:rPr>
          <w:rStyle w:val="FootnoteAnchor"/>
          <w:rtl w:val="true"/>
        </w:rPr>
        <w:footnoteReference w:id="1233"/>
      </w:r>
      <w:r>
        <w:rPr>
          <w:rFonts w:ascii="IRNazanin" w:hAnsi="IRNazanin" w:eastAsia="IRNazanin"/>
          <w:color w:val="111111"/>
          <w:sz w:val="28"/>
          <w:sz w:val="28"/>
          <w:szCs w:val="28"/>
          <w:rtl w:val="true"/>
          <w:lang w:bidi="fa-IR"/>
        </w:rPr>
        <w:t>، و المطلق و المقیّد</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یطلق المجمل و المبیّن بحسب مقام الدلالة التصدیقیّة، بحیث لا إجمال فی المفردات التصوّریة رأسا، إلاّ أنّه فی الهیئة الترکیبیّة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لیست ذات وضع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تارة یکون لأجل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لأجل الاحتمالات المختلفة الحاصلة من المقایسة إلی المسانخات معها فی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لأجل استلزام کلّ واحد من الاحتمالات للتوالی الفواسد التی لا یمکن الالتزام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لغیر ذلک ممّا یقف علیه الفقیه فی طول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کان من قبیل الأوّل، فربّما یرتفع بالاطلاع علی بعض القرائن المنفصلة، فیصیر الکلام مبیّنا و خارجا عن الإجمال، و فی عدّ ذلک مجملا و عدمه خلاف لا أثر یترتّب له، و 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و سلم عن بیع الغرر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کان من قبیل الثانی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لمقایسته مع التراکیب الاخر، یحتمل أن یکون ناظرا إلی نفی الکمال، 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سائر التراکیب الواصلة من النبیّ الأکرم صلی اللَّه علیه و آله و سلم المسانخة معه، ظاهر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استقصاها العلاّمة شیخ الشریعة الأصفهانیّ فی رسالته</w:t>
      </w:r>
      <w:bookmarkStart w:id="961" w:name="pg13167_141200"/>
    </w:p>
    <w:p>
      <w:pPr>
        <w:pStyle w:val="BookText"/>
        <w:rPr/>
      </w:pPr>
      <w:bookmarkEnd w:id="961"/>
      <w:r>
        <w:rPr>
          <w:rFonts w:ascii="IRNazanin" w:hAnsi="IRNazanin" w:eastAsia="IRNazanin"/>
          <w:color w:val="111111"/>
          <w:sz w:val="28"/>
          <w:sz w:val="28"/>
          <w:szCs w:val="28"/>
          <w:rtl w:val="true"/>
          <w:lang w:bidi="fa-IR"/>
        </w:rPr>
        <w:t>فراجع، و حینئذ ربّما یشکل الخروج عن إجماله، لتراکم الظنون المتخالفة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قبیل الثالث، فإن حصلت القرینة علی تعیین أحد المحتملات فهو، و إلاّ فیبقی علی إجماله، نظیر قوله صلی اللَّه علیه و آله و سلم علی ما نسب إلیه فی خبر حکم بن حزام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یحتمل وجوها یشکل الخروج عنها بتعیّن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لدعوی أنّ المجمل ما لا یخرج إجماله بدلیل خارجیّ، و إلاّ فهو المبیّن، فإنّه خلاف المتبادر منه، ضرورة أنّ الکلام یوصف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یوصف بعد الاطلاع علی القرینة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العلم و الجهل بالوضع لیسا مناط الإجمال و التبیین،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یطلق المجمل و المبیّن بحسب مقام الدلالة التصوّریة، و بالنظر إلی حدود الوضع و المفردات، و هذا أیضا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المراد منه معلوما، و لکن إذا تأمّلنا فی خصوصیّاته و تراکیبه الأدبیّة یلزم الإجمال، و لعلّ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من هذا الباب، کما تحرّر فی محلّه، و أوضحنا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مجملا بحسب الوضع و المفاهیم الأفرادیّة، للاشتراک، أو لعدم الاطلاع علی حدود الوضع، للمناقضة بین قول أهل الخبرة، فإنّه أیضا یعدّ من المجمل، و له نظائر کثیرة فی الفقه و غیره</w:t>
      </w:r>
      <w:r>
        <w:rPr>
          <w:rFonts w:eastAsia="IRNazanin" w:cs="IRNazanin"/>
          <w:color w:val="111111"/>
          <w:sz w:val="28"/>
          <w:szCs w:val="28"/>
          <w:rtl w:val="true"/>
          <w:lang w:bidi="fa-IR"/>
        </w:rPr>
        <w:t>.</w:t>
      </w:r>
    </w:p>
    <w:p>
      <w:pPr>
        <w:pStyle w:val="Heading6"/>
        <w:numPr>
          <w:ilvl w:val="5"/>
          <w:numId w:val="1"/>
        </w:numPr>
        <w:rPr/>
      </w:pPr>
      <w:bookmarkStart w:id="962" w:name="__RefHeading___Toc560032_3244359995"/>
      <w:bookmarkStart w:id="963" w:name="_Toc359"/>
      <w:bookmarkEnd w:id="962"/>
      <w:r>
        <w:rPr>
          <w:rtl w:val="true"/>
        </w:rPr>
        <w:t>تذنیب</w:t>
      </w:r>
      <w:r>
        <w:rPr>
          <w:rtl w:val="true"/>
        </w:rPr>
        <w:t xml:space="preserve">: </w:t>
      </w:r>
      <w:r>
        <w:rPr>
          <w:rtl w:val="true"/>
        </w:rPr>
        <w:t>فی بیان قسمی الإجمال و أنّه و مقابله قد یوصف بهما الکلام الواحد</w:t>
      </w:r>
      <w:bookmarkEnd w:id="963"/>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إلی حدّ لا یبقی للکلام قدر متیقّن، فیلزم سقوطه رأسا، و یرجع حینئذ إلی الأدلّة العامّة و الأصول العملیّة، و قد أشرنا إلی إجمال المخصّص</w:t>
      </w:r>
    </w:p>
    <w:p>
      <w:pPr>
        <w:pStyle w:val="BookText"/>
        <w:rPr/>
      </w:pPr>
      <w:r>
        <w:rPr>
          <w:rFonts w:ascii="IRNazanin" w:hAnsi="IRNazanin" w:eastAsia="IRNazanin"/>
          <w:color w:val="111111"/>
          <w:sz w:val="28"/>
          <w:sz w:val="28"/>
          <w:szCs w:val="28"/>
          <w:rtl w:val="true"/>
          <w:lang w:bidi="fa-IR"/>
        </w:rPr>
        <w:t>بهذا النحو، فإنّه یستلزم إشکالا یصعب حلّه، ضرورة أنّ مقتضی صحّة السند لزوم التخصیص العامّ، و مقتضی إجمال المخصّص رأسا هو العمل بالعامّ فی تمام مضمونه، أو طرحه رأسا، و لکل محذور کما لا یخفی، و قد مرّ منّا فیما سلف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له القدر المتیقّن،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ما 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اختلفوا فی أنّه یفید التکلیف و الوضع، کما علیه المشهور، أو هو یفید التکلیف فقط، کما قوّیناه، فإنّه بذلک لا یسقط الکلام، و یؤخذ به فی حدود تبیّنه، و یطرح بالنسبة إلی الحدّ المجمل غیر المعلوم مراد المتکلّم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موضوع، من شاء استقلّ، و من شاء استکثر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التکثیر بإتیان الصلاة رکعتین رکعتین جائز حسب هذا الخبر، و أمّا التکثیر بإتیانها عشر رکعات و عشرین رکعة بسلام واحد، فغیر واضح و إن کان محتملا، فیلزم أن یکون الکلام الواحد مجملا و مبیّنا باعتبارین، کما لا یخفی، و الأمر کلّه فی هذه البحوث سهل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علی ما وفّقنا لإتمام هذا الجزء من هذا السفر، و ندعوه أن یوفّقنا لإکمال الجزء الآخر، و الصلاة علی سیّدنا سیّد الرسل و أشرف ولد آدم الأول، و علی ولیّه ولیّ الکلّ و أکرم أنواع العالم، و علی الأئمّة المعصومین من اللَّه الطیّبین الطاهرین، و اللعنة الأزلیّة الأبدیّة الجامعة علی أعدائهم أعداء الجلّ من الابتداء إلی الخاتمة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 الفراق من تسویده بحمده و إفضاله، فی صبیحة الیوم الثالث عشر، من شهر ربیع الأوّل، من السنة الثالثة من العشر الأواخر، من المائة الرابعة بعد الألف،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الأصول، القوچانی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الحاشیة علی کفایة الأصول، البروجردی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المسافر،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اللغة و الصرف و مسائلها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لاحظ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الجزء الأوّل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الشیخ الأعظم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بأیدینا من کتبه قدس سرُّه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الثامن من المبحث الخامس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البدر الزاهر فی صلاة الجمعة و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الطهارة، المبحث الرابع، تنبیه فی أنّ المدار علی المادّة لا الجریان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الجزء الثانی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الجنابة،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الصوم، الفصل العاشر من الموقف الأوّل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حاشیة کفایة الأصول، المشکینی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الجزاء الثانی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الجزاء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الجزاء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تعلیقة المقرّر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المسألة مشکلة جدّاً لو لوحظ أطرافها، فإنّ من المکلّفین من لا یبتلی إلاّ بالنوم فی یوم الخمیس مثلا، و منهم من یبتلی بالبول، و منهم من یبتلی بالنومین، و منهم من یبتلی بالبولین، و منهم من یبتلی بالنوم قبل البول، و منهم بالعکس،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الصوم، الفصل السادس من الموقف الأوّل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أیضا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للشیخ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للشیخ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عقد البیع و شروطه،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الإمام الخمینی قدس 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الأشربة المحرّمة،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لاحظ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و الأوانی،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لاحظ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قواطع الصلاة،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أفعال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أوضح المسالک إلی ألفیة ابن مالک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الزجّاج، لاحظ البهجة المرضیّة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شرح العضدی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إلاّ بفاتحة الکتاب، عوالی اللّئالی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نکاح إلاّ بولیّ و شاهدی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عقد النکاح،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أفعال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کتاب سیبویه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الحجّة الکوه‌کمری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الروایة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مفاتیح الأصول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التکفین،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آداب التجارة،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صحیح مسلم باب بیع الحصاة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اللغة و الصرف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لاحظ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للمؤلّف قدس 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بحث اللغة و الصرف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لاحظ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ما حرّره قدس سرُّه فیما بأیدینا من کتبه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الحکم بالقرعة،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باب الحکم بالقرعة فی القضایا المشکلة،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الید ما أخذت حتّی تؤدیه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 لاحظ مطارح الأنظار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عقد البیع،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النجاسات، فصل فیما یعفی عنه فی الصلاة،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فصل فی المطهّرات،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فصل فی حکم الأوانی،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کتاب النکاح،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کتاب الحجّ، الفصل الخامس، المسألة الأولی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محلقات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نفس المصدر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مبانی العروة الوثقی، کتاب النکاح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کتاب النکاح،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البیع، الإمام الخمینی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المواقیت،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کتاب الصوم، أبواب من یصحّ صومه،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کتاب الصوم مفقودة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المحصول فی علم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شرح البدخشی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مفاتیح الأصول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شرح البدخشی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کتاب الإرث، أبواب میراث ولد الملاعنة،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الأصول، المشکینی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الأنعام،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شرح العضدی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الخیار،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المقدّمات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لاحظ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شرح البدخشی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بیان، تفسیر الصافی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المواقیت،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القواعد الفقهیة، البجنوردی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البدخشی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العدو،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الطهارة،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المواقیت،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قواطع الصلاة،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لمعاویة بن مالک، علی ما نقله فی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منهاج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یؤسف له عدم وصوله قدس سرُّه إلی هذه المباحث</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بیع المصاحف،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لَکُمْ ما فِی الْأَرْضِ جَمِیعاً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الأخذ بالسنّة و شواهد الکتاب،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التجارة، أبواب الرّبا،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البهجة المرضیّة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کفایة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معالم الدین، سلطان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التعادل و التراجیح،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عقد البیع و شروطه،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اللَّهُ الْبَیْعَ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الخیار،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الحاشیة علی کفایة الأصول، البروجردی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أبواب الأحیاء،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کتاب، أبواب الرّبا،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43294</Words>
  <Characters>185398</Characters>
  <CharactersWithSpaces>227352</CharactersWithSpaces>
  <Paragraphs>1341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2026-08-24T01:13:26Z</dcterms:created>
  <dc:creator>ghaemiyeh.com</dc:creator>
  <dc:description/>
  <dc:language>en-US</dc:language>
  <cp:lastModifiedBy/>
  <dcterms:modified xsi:type="dcterms:W3CDTF">2026-08-24T04:43:42Z</dcterms:modified>
  <cp:revision>1</cp:revision>
  <dc:subject/>
  <dc:title>تحریرات فی الاصول جلد 5</dc:title>
</cp:coreProperties>
</file>

<file path=docProps/custom.xml><?xml version="1.0" encoding="utf-8"?>
<Properties xmlns="http://schemas.openxmlformats.org/officeDocument/2006/custom-properties" xmlns:vt="http://schemas.openxmlformats.org/officeDocument/2006/docPropsVTypes"/>
</file>