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15.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الطهاره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30058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530060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530062_3224264995">
            <w:r>
              <w:rPr>
                <w:webHidden/>
                <w:rStyle w:val="IndexLink"/>
                <w:rtl w:val="true"/>
              </w:rPr>
              <w:t>[</w:t>
            </w:r>
            <w:r>
              <w:rPr>
                <w:rStyle w:val="IndexLink"/>
                <w:rtl w:val="true"/>
              </w:rPr>
              <w:t>تتمة شرح کتاب الطهارة من الإرشاد</w:t>
            </w:r>
            <w:r>
              <w:rPr>
                <w:rStyle w:val="IndexLink"/>
                <w:rtl w:val="true"/>
              </w:rPr>
              <w:t>]</w:t>
              <w:tab/>
            </w:r>
            <w:r>
              <w:rPr>
                <w:rStyle w:val="IndexLink"/>
              </w:rPr>
              <w:t>8</w:t>
            </w:r>
          </w:hyperlink>
        </w:p>
        <w:p>
          <w:pPr>
            <w:pStyle w:val="Contents3"/>
            <w:tabs>
              <w:tab w:val="clear" w:pos="8459"/>
              <w:tab w:val="right" w:pos="9026" w:leader="dot"/>
            </w:tabs>
            <w:rPr/>
          </w:pPr>
          <w:hyperlink w:anchor="__RefHeading___Toc6530064_3224264995">
            <w:r>
              <w:rPr>
                <w:webHidden/>
                <w:rStyle w:val="IndexLink"/>
                <w:rtl w:val="true"/>
              </w:rPr>
              <w:t>[</w:t>
            </w:r>
            <w:r>
              <w:rPr>
                <w:rStyle w:val="IndexLink"/>
                <w:rtl w:val="true"/>
              </w:rPr>
              <w:t>تتمة النظر الثالث فی أسباب الغسل</w:t>
            </w:r>
            <w:r>
              <w:rPr>
                <w:rStyle w:val="IndexLink"/>
                <w:rtl w:val="true"/>
              </w:rPr>
              <w:t>]</w:t>
              <w:tab/>
            </w:r>
            <w:r>
              <w:rPr>
                <w:rStyle w:val="IndexLink"/>
              </w:rPr>
              <w:t>8</w:t>
            </w:r>
          </w:hyperlink>
        </w:p>
        <w:p>
          <w:pPr>
            <w:pStyle w:val="Contents4"/>
            <w:tabs>
              <w:tab w:val="clear" w:pos="8176"/>
              <w:tab w:val="right" w:pos="9026" w:leader="dot"/>
            </w:tabs>
            <w:rPr/>
          </w:pPr>
          <w:hyperlink w:anchor="__RefHeading___Toc6530066_3224264995">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6530068_3224264995">
            <w:r>
              <w:rPr>
                <w:webHidden/>
                <w:rStyle w:val="IndexLink"/>
                <w:rtl w:val="true"/>
              </w:rPr>
              <w:t>[</w:t>
            </w:r>
            <w:r>
              <w:rPr>
                <w:rStyle w:val="IndexLink"/>
                <w:rtl w:val="true"/>
              </w:rPr>
              <w:t>المقصد الثالث فی الاستحاضة و النفاس</w:t>
            </w:r>
            <w:r>
              <w:rPr>
                <w:rStyle w:val="IndexLink"/>
                <w:rtl w:val="true"/>
              </w:rPr>
              <w:t>]</w:t>
              <w:tab/>
            </w:r>
            <w:r>
              <w:rPr>
                <w:rStyle w:val="IndexLink"/>
              </w:rPr>
              <w:t>8</w:t>
            </w:r>
          </w:hyperlink>
        </w:p>
        <w:p>
          <w:pPr>
            <w:pStyle w:val="Contents5"/>
            <w:tabs>
              <w:tab w:val="clear" w:pos="7892"/>
              <w:tab w:val="right" w:pos="9026" w:leader="dot"/>
            </w:tabs>
            <w:rPr/>
          </w:pPr>
          <w:hyperlink w:anchor="__RefHeading___Toc6530070_3224264995">
            <w:r>
              <w:rPr>
                <w:webHidden/>
                <w:rStyle w:val="IndexLink"/>
                <w:rtl w:val="true"/>
              </w:rPr>
              <w:t>اشارة</w:t>
            </w:r>
            <w:r>
              <w:rPr>
                <w:rStyle w:val="IndexLink"/>
                <w:rtl w:val="true"/>
              </w:rPr>
              <w:tab/>
            </w:r>
            <w:r>
              <w:rPr>
                <w:rStyle w:val="IndexLink"/>
              </w:rPr>
              <w:t>8</w:t>
            </w:r>
          </w:hyperlink>
        </w:p>
        <w:p>
          <w:pPr>
            <w:pStyle w:val="Contents5"/>
            <w:tabs>
              <w:tab w:val="clear" w:pos="7892"/>
              <w:tab w:val="right" w:pos="9026" w:leader="dot"/>
            </w:tabs>
            <w:rPr/>
          </w:pPr>
          <w:hyperlink w:anchor="__RefHeading___Toc6530072_3224264995">
            <w:r>
              <w:rPr>
                <w:webHidden/>
                <w:rStyle w:val="IndexLink"/>
                <w:rtl w:val="true"/>
              </w:rPr>
              <w:t>[</w:t>
            </w:r>
            <w:r>
              <w:rPr>
                <w:rStyle w:val="IndexLink"/>
                <w:rtl w:val="true"/>
              </w:rPr>
              <w:t>أما الاستحاضة</w:t>
            </w:r>
            <w:r>
              <w:rPr>
                <w:rStyle w:val="IndexLink"/>
                <w:rtl w:val="true"/>
              </w:rPr>
              <w:t>]</w:t>
              <w:tab/>
            </w:r>
            <w:r>
              <w:rPr>
                <w:rStyle w:val="IndexLink"/>
              </w:rPr>
              <w:t>8</w:t>
            </w:r>
          </w:hyperlink>
        </w:p>
        <w:p>
          <w:pPr>
            <w:pStyle w:val="Contents6"/>
            <w:tabs>
              <w:tab w:val="clear" w:pos="7609"/>
              <w:tab w:val="right" w:pos="9026" w:leader="dot"/>
            </w:tabs>
            <w:rPr/>
          </w:pPr>
          <w:hyperlink w:anchor="__RefHeading___Toc6530074_3224264995">
            <w:r>
              <w:rPr>
                <w:webHidden/>
                <w:rStyle w:val="IndexLink"/>
                <w:rtl w:val="true"/>
              </w:rPr>
              <w:t>[</w:t>
            </w:r>
            <w:r>
              <w:rPr>
                <w:rStyle w:val="IndexLink"/>
                <w:rtl w:val="true"/>
              </w:rPr>
              <w:t>أحکام الاستحاضة</w:t>
            </w:r>
            <w:r>
              <w:rPr>
                <w:rStyle w:val="IndexLink"/>
                <w:rtl w:val="true"/>
              </w:rPr>
              <w:t>]</w:t>
              <w:tab/>
            </w:r>
            <w:r>
              <w:rPr>
                <w:rStyle w:val="IndexLink"/>
              </w:rPr>
              <w:t>8</w:t>
            </w:r>
          </w:hyperlink>
        </w:p>
        <w:p>
          <w:pPr>
            <w:pStyle w:val="Contents6"/>
            <w:tabs>
              <w:tab w:val="clear" w:pos="7609"/>
              <w:tab w:val="right" w:pos="9026" w:leader="dot"/>
            </w:tabs>
            <w:rPr/>
          </w:pPr>
          <w:hyperlink w:anchor="__RefHeading___Toc6530076_3224264995">
            <w:r>
              <w:rPr>
                <w:webHidden/>
                <w:rStyle w:val="IndexLink"/>
                <w:rtl w:val="true"/>
              </w:rPr>
              <w:t>اشارة</w:t>
            </w:r>
            <w:r>
              <w:rPr>
                <w:rStyle w:val="IndexLink"/>
                <w:rtl w:val="true"/>
              </w:rPr>
              <w:tab/>
            </w:r>
            <w:r>
              <w:rPr>
                <w:rStyle w:val="IndexLink"/>
              </w:rPr>
              <w:t>8</w:t>
            </w:r>
          </w:hyperlink>
        </w:p>
        <w:p>
          <w:pPr>
            <w:pStyle w:val="Contents6"/>
            <w:tabs>
              <w:tab w:val="clear" w:pos="7609"/>
              <w:tab w:val="right" w:pos="9026" w:leader="dot"/>
            </w:tabs>
            <w:rPr/>
          </w:pPr>
          <w:hyperlink w:anchor="__RefHeading___Toc6530078_3224264995">
            <w:r>
              <w:rPr>
                <w:webHidden/>
                <w:rStyle w:val="IndexLink"/>
                <w:rtl w:val="true"/>
              </w:rPr>
              <w:t>[</w:t>
            </w:r>
            <w:r>
              <w:rPr>
                <w:rStyle w:val="IndexLink"/>
                <w:rtl w:val="true"/>
              </w:rPr>
              <w:t>وصف دم الاستحاضة</w:t>
            </w:r>
            <w:r>
              <w:rPr>
                <w:rStyle w:val="IndexLink"/>
                <w:rtl w:val="true"/>
              </w:rPr>
              <w:t>]</w:t>
              <w:tab/>
            </w:r>
            <w:r>
              <w:rPr>
                <w:rStyle w:val="IndexLink"/>
              </w:rPr>
              <w:t>9</w:t>
            </w:r>
          </w:hyperlink>
        </w:p>
        <w:p>
          <w:pPr>
            <w:pStyle w:val="Contents6"/>
            <w:tabs>
              <w:tab w:val="clear" w:pos="7609"/>
              <w:tab w:val="right" w:pos="9026" w:leader="dot"/>
            </w:tabs>
            <w:rPr/>
          </w:pPr>
          <w:hyperlink w:anchor="__RefHeading___Toc6530080_3224264995">
            <w:r>
              <w:rPr>
                <w:webHidden/>
                <w:rStyle w:val="IndexLink"/>
                <w:rtl w:val="true"/>
              </w:rPr>
              <w:t>[</w:t>
            </w:r>
            <w:r>
              <w:rPr>
                <w:rStyle w:val="IndexLink"/>
                <w:rtl w:val="true"/>
              </w:rPr>
              <w:t>الاستحاضة القلیلة</w:t>
            </w:r>
            <w:r>
              <w:rPr>
                <w:rStyle w:val="IndexLink"/>
                <w:rtl w:val="true"/>
              </w:rPr>
              <w:t>]</w:t>
              <w:tab/>
            </w:r>
            <w:r>
              <w:rPr>
                <w:rStyle w:val="IndexLink"/>
              </w:rPr>
              <w:t>28</w:t>
            </w:r>
          </w:hyperlink>
        </w:p>
        <w:p>
          <w:pPr>
            <w:pStyle w:val="Contents6"/>
            <w:tabs>
              <w:tab w:val="clear" w:pos="7609"/>
              <w:tab w:val="right" w:pos="9026" w:leader="dot"/>
            </w:tabs>
            <w:rPr/>
          </w:pPr>
          <w:hyperlink w:anchor="__RefHeading___Toc6530082_3224264995">
            <w:r>
              <w:rPr>
                <w:webHidden/>
                <w:rStyle w:val="IndexLink"/>
                <w:rtl w:val="true"/>
              </w:rPr>
              <w:t>[</w:t>
            </w:r>
            <w:r>
              <w:rPr>
                <w:rStyle w:val="IndexLink"/>
                <w:rtl w:val="true"/>
              </w:rPr>
              <w:t>الاستحاضة المتوسطة</w:t>
            </w:r>
            <w:r>
              <w:rPr>
                <w:rStyle w:val="IndexLink"/>
                <w:rtl w:val="true"/>
              </w:rPr>
              <w:t>]</w:t>
              <w:tab/>
            </w:r>
            <w:r>
              <w:rPr>
                <w:rStyle w:val="IndexLink"/>
              </w:rPr>
              <w:t>35</w:t>
            </w:r>
          </w:hyperlink>
        </w:p>
        <w:p>
          <w:pPr>
            <w:pStyle w:val="Contents6"/>
            <w:tabs>
              <w:tab w:val="clear" w:pos="7609"/>
              <w:tab w:val="right" w:pos="9026" w:leader="dot"/>
            </w:tabs>
            <w:rPr/>
          </w:pPr>
          <w:hyperlink w:anchor="__RefHeading___Toc6530084_3224264995">
            <w:r>
              <w:rPr>
                <w:webHidden/>
                <w:rStyle w:val="IndexLink"/>
                <w:rtl w:val="true"/>
              </w:rPr>
              <w:t>[</w:t>
            </w:r>
            <w:r>
              <w:rPr>
                <w:rStyle w:val="IndexLink"/>
                <w:rtl w:val="true"/>
              </w:rPr>
              <w:t>الاستحاضة الکثیرة</w:t>
            </w:r>
            <w:r>
              <w:rPr>
                <w:rStyle w:val="IndexLink"/>
                <w:rtl w:val="true"/>
              </w:rPr>
              <w:t>]</w:t>
              <w:tab/>
            </w:r>
            <w:r>
              <w:rPr>
                <w:rStyle w:val="IndexLink"/>
              </w:rPr>
              <w:t>49</w:t>
            </w:r>
          </w:hyperlink>
        </w:p>
        <w:p>
          <w:pPr>
            <w:pStyle w:val="Contents6"/>
            <w:tabs>
              <w:tab w:val="clear" w:pos="7609"/>
              <w:tab w:val="right" w:pos="9026" w:leader="dot"/>
            </w:tabs>
            <w:rPr/>
          </w:pPr>
          <w:hyperlink w:anchor="__RefHeading___Toc6530086_3224264995">
            <w:r>
              <w:rPr>
                <w:webHidden/>
                <w:rStyle w:val="IndexLink"/>
                <w:rtl w:val="true"/>
              </w:rPr>
              <w:t>[</w:t>
            </w:r>
            <w:r>
              <w:rPr>
                <w:rStyle w:val="IndexLink"/>
                <w:rtl w:val="true"/>
              </w:rPr>
              <w:t>تنبیهات الاستحاضة</w:t>
            </w:r>
            <w:r>
              <w:rPr>
                <w:rStyle w:val="IndexLink"/>
                <w:rtl w:val="true"/>
              </w:rPr>
              <w:t>]</w:t>
              <w:tab/>
            </w:r>
            <w:r>
              <w:rPr>
                <w:rStyle w:val="IndexLink"/>
              </w:rPr>
              <w:t>54</w:t>
            </w:r>
          </w:hyperlink>
        </w:p>
        <w:p>
          <w:pPr>
            <w:pStyle w:val="Contents6"/>
            <w:tabs>
              <w:tab w:val="clear" w:pos="7609"/>
              <w:tab w:val="right" w:pos="9026" w:leader="dot"/>
            </w:tabs>
            <w:rPr/>
          </w:pPr>
          <w:hyperlink w:anchor="__RefHeading___Toc6530088_3224264995">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6530090_3224264995">
            <w:r>
              <w:rPr>
                <w:webHidden/>
                <w:rStyle w:val="IndexLink"/>
                <w:rtl w:val="true"/>
              </w:rPr>
              <w:t xml:space="preserve">الأوّل </w:t>
            </w:r>
            <w:r>
              <w:rPr>
                <w:rStyle w:val="IndexLink"/>
                <w:rtl w:val="true"/>
              </w:rPr>
              <w:t>[</w:t>
            </w:r>
            <w:r>
              <w:rPr>
                <w:rStyle w:val="IndexLink"/>
                <w:rtl w:val="true"/>
              </w:rPr>
              <w:t>العبرة فی کثرة الدم و قلته</w:t>
            </w:r>
            <w:r>
              <w:rPr>
                <w:rStyle w:val="IndexLink"/>
                <w:rtl w:val="true"/>
              </w:rPr>
              <w:t>]</w:t>
              <w:tab/>
            </w:r>
            <w:r>
              <w:rPr>
                <w:rStyle w:val="IndexLink"/>
              </w:rPr>
              <w:t>54</w:t>
            </w:r>
          </w:hyperlink>
        </w:p>
        <w:p>
          <w:pPr>
            <w:pStyle w:val="Contents6"/>
            <w:tabs>
              <w:tab w:val="clear" w:pos="7609"/>
              <w:tab w:val="right" w:pos="9026" w:leader="dot"/>
            </w:tabs>
            <w:rPr/>
          </w:pPr>
          <w:hyperlink w:anchor="__RefHeading___Toc6530092_3224264995">
            <w:r>
              <w:rPr>
                <w:webHidden/>
                <w:rStyle w:val="IndexLink"/>
                <w:rtl w:val="true"/>
              </w:rPr>
              <w:t xml:space="preserve">الثانی </w:t>
            </w:r>
            <w:r>
              <w:rPr>
                <w:rStyle w:val="IndexLink"/>
                <w:rtl w:val="true"/>
              </w:rPr>
              <w:t>[</w:t>
            </w:r>
            <w:r>
              <w:rPr>
                <w:rStyle w:val="IndexLink"/>
                <w:rtl w:val="true"/>
              </w:rPr>
              <w:t>هل یجب الغسل بانقطاع الدم</w:t>
            </w:r>
            <w:r>
              <w:rPr>
                <w:rStyle w:val="IndexLink"/>
                <w:rtl w:val="true"/>
              </w:rPr>
              <w:t>]</w:t>
              <w:tab/>
            </w:r>
            <w:r>
              <w:rPr>
                <w:rStyle w:val="IndexLink"/>
              </w:rPr>
              <w:t>62</w:t>
            </w:r>
          </w:hyperlink>
        </w:p>
        <w:p>
          <w:pPr>
            <w:pStyle w:val="Contents6"/>
            <w:tabs>
              <w:tab w:val="clear" w:pos="7609"/>
              <w:tab w:val="right" w:pos="9026" w:leader="dot"/>
            </w:tabs>
            <w:rPr/>
          </w:pPr>
          <w:hyperlink w:anchor="__RefHeading___Toc6530094_3224264995">
            <w:r>
              <w:rPr>
                <w:webHidden/>
                <w:rStyle w:val="IndexLink"/>
                <w:rtl w:val="true"/>
              </w:rPr>
              <w:t xml:space="preserve">الثالث </w:t>
            </w:r>
            <w:r>
              <w:rPr>
                <w:rStyle w:val="IndexLink"/>
                <w:rtl w:val="true"/>
              </w:rPr>
              <w:t>[</w:t>
            </w:r>
            <w:r>
              <w:rPr>
                <w:rStyle w:val="IndexLink"/>
                <w:rtl w:val="true"/>
              </w:rPr>
              <w:t>هل یجب الجمع بین الصلاتین بغسل واحد؟</w:t>
            </w:r>
            <w:r>
              <w:rPr>
                <w:rStyle w:val="IndexLink"/>
                <w:rtl w:val="true"/>
              </w:rPr>
              <w:t>]</w:t>
              <w:tab/>
            </w:r>
            <w:r>
              <w:rPr>
                <w:rStyle w:val="IndexLink"/>
              </w:rPr>
              <w:t>71</w:t>
            </w:r>
          </w:hyperlink>
        </w:p>
        <w:p>
          <w:pPr>
            <w:pStyle w:val="Contents6"/>
            <w:tabs>
              <w:tab w:val="clear" w:pos="7609"/>
              <w:tab w:val="right" w:pos="9026" w:leader="dot"/>
            </w:tabs>
            <w:rPr/>
          </w:pPr>
          <w:hyperlink w:anchor="__RefHeading___Toc6530096_3224264995">
            <w:r>
              <w:rPr>
                <w:webHidden/>
                <w:rStyle w:val="IndexLink"/>
                <w:rtl w:val="true"/>
              </w:rPr>
              <w:t xml:space="preserve">الرابع </w:t>
            </w:r>
            <w:r>
              <w:rPr>
                <w:rStyle w:val="IndexLink"/>
                <w:rtl w:val="true"/>
              </w:rPr>
              <w:t>[</w:t>
            </w:r>
            <w:r>
              <w:rPr>
                <w:rStyle w:val="IndexLink"/>
                <w:rtl w:val="true"/>
              </w:rPr>
              <w:t>المشهور وجوب تعاقب الصلاة للغسل و الاستدلال علیه</w:t>
            </w:r>
            <w:r>
              <w:rPr>
                <w:rStyle w:val="IndexLink"/>
                <w:rtl w:val="true"/>
              </w:rPr>
              <w:t>]</w:t>
              <w:tab/>
            </w:r>
            <w:r>
              <w:rPr>
                <w:rStyle w:val="IndexLink"/>
              </w:rPr>
              <w:t>73</w:t>
            </w:r>
          </w:hyperlink>
        </w:p>
        <w:p>
          <w:pPr>
            <w:pStyle w:val="Contents6"/>
            <w:tabs>
              <w:tab w:val="clear" w:pos="7609"/>
              <w:tab w:val="right" w:pos="9026" w:leader="dot"/>
            </w:tabs>
            <w:rPr/>
          </w:pPr>
          <w:hyperlink w:anchor="__RefHeading___Toc6530098_3224264995">
            <w:r>
              <w:rPr>
                <w:webHidden/>
                <w:rStyle w:val="IndexLink"/>
                <w:rtl w:val="true"/>
              </w:rPr>
              <w:t xml:space="preserve">الخامس </w:t>
            </w:r>
            <w:r>
              <w:rPr>
                <w:rStyle w:val="IndexLink"/>
                <w:rtl w:val="true"/>
              </w:rPr>
              <w:t>[</w:t>
            </w:r>
            <w:r>
              <w:rPr>
                <w:rStyle w:val="IndexLink"/>
                <w:rtl w:val="true"/>
              </w:rPr>
              <w:t>هل یجب الاستظهار علی المستحاضة فی منع الدم من الخروج؟</w:t>
            </w:r>
            <w:r>
              <w:rPr>
                <w:rStyle w:val="IndexLink"/>
                <w:rtl w:val="true"/>
              </w:rPr>
              <w:t>]</w:t>
              <w:tab/>
            </w:r>
            <w:r>
              <w:rPr>
                <w:rStyle w:val="IndexLink"/>
              </w:rPr>
              <w:t>81</w:t>
            </w:r>
          </w:hyperlink>
        </w:p>
        <w:p>
          <w:pPr>
            <w:pStyle w:val="Contents6"/>
            <w:tabs>
              <w:tab w:val="clear" w:pos="7609"/>
              <w:tab w:val="right" w:pos="9026" w:leader="dot"/>
            </w:tabs>
            <w:rPr/>
          </w:pPr>
          <w:hyperlink w:anchor="__RefHeading___Toc6530100_3224264995">
            <w:r>
              <w:rPr>
                <w:webHidden/>
                <w:rStyle w:val="IndexLink"/>
                <w:rtl w:val="true"/>
              </w:rPr>
              <w:t>[</w:t>
            </w:r>
            <w:r>
              <w:rPr>
                <w:rStyle w:val="IndexLink"/>
                <w:rtl w:val="true"/>
              </w:rPr>
              <w:t>تتمة أحکام المستحاضة</w:t>
            </w:r>
            <w:r>
              <w:rPr>
                <w:rStyle w:val="IndexLink"/>
                <w:rtl w:val="true"/>
              </w:rPr>
              <w:t>]</w:t>
              <w:tab/>
            </w:r>
            <w:r>
              <w:rPr>
                <w:rStyle w:val="IndexLink"/>
              </w:rPr>
              <w:t>86</w:t>
            </w:r>
          </w:hyperlink>
        </w:p>
        <w:p>
          <w:pPr>
            <w:pStyle w:val="Contents6"/>
            <w:tabs>
              <w:tab w:val="clear" w:pos="7609"/>
              <w:tab w:val="right" w:pos="9026" w:leader="dot"/>
            </w:tabs>
            <w:rPr/>
          </w:pPr>
          <w:hyperlink w:anchor="__RefHeading___Toc6530102_3224264995">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6530104_3224264995">
            <w:r>
              <w:rPr>
                <w:webHidden/>
                <w:rStyle w:val="IndexLink"/>
                <w:rtl w:val="true"/>
              </w:rPr>
              <w:t>[</w:t>
            </w:r>
            <w:r>
              <w:rPr>
                <w:rStyle w:val="IndexLink"/>
                <w:rtl w:val="true"/>
              </w:rPr>
              <w:t>المستحاضة بحکم الطاهر بعد فعل ما وجب علیها</w:t>
            </w:r>
            <w:r>
              <w:rPr>
                <w:rStyle w:val="IndexLink"/>
                <w:rtl w:val="true"/>
              </w:rPr>
              <w:t>]</w:t>
              <w:tab/>
            </w:r>
            <w:r>
              <w:rPr>
                <w:rStyle w:val="IndexLink"/>
              </w:rPr>
              <w:t>86</w:t>
            </w:r>
          </w:hyperlink>
        </w:p>
        <w:p>
          <w:pPr>
            <w:pStyle w:val="Contents6"/>
            <w:tabs>
              <w:tab w:val="clear" w:pos="7609"/>
              <w:tab w:val="right" w:pos="9026" w:leader="dot"/>
            </w:tabs>
            <w:rPr/>
          </w:pPr>
          <w:hyperlink w:anchor="__RefHeading___Toc6530106_3224264995">
            <w:r>
              <w:rPr>
                <w:webHidden/>
                <w:rStyle w:val="IndexLink"/>
                <w:rtl w:val="true"/>
              </w:rPr>
              <w:t>[</w:t>
            </w:r>
            <w:r>
              <w:rPr>
                <w:rStyle w:val="IndexLink"/>
                <w:rtl w:val="true"/>
              </w:rPr>
              <w:t>و لو أخلّت بالأغسال</w:t>
            </w:r>
            <w:r>
              <w:rPr>
                <w:rStyle w:val="IndexLink"/>
                <w:rtl w:val="true"/>
              </w:rPr>
              <w:t>]</w:t>
              <w:tab/>
            </w:r>
            <w:r>
              <w:rPr>
                <w:rStyle w:val="IndexLink"/>
              </w:rPr>
              <w:t>109</w:t>
            </w:r>
          </w:hyperlink>
        </w:p>
        <w:p>
          <w:pPr>
            <w:pStyle w:val="Contents5"/>
            <w:tabs>
              <w:tab w:val="clear" w:pos="7892"/>
              <w:tab w:val="right" w:pos="9026" w:leader="dot"/>
            </w:tabs>
            <w:rPr/>
          </w:pPr>
          <w:hyperlink w:anchor="__RefHeading___Toc6530108_3224264995">
            <w:r>
              <w:rPr>
                <w:webHidden/>
                <w:rStyle w:val="IndexLink"/>
                <w:rtl w:val="true"/>
              </w:rPr>
              <w:t>[</w:t>
            </w:r>
            <w:r>
              <w:rPr>
                <w:rStyle w:val="IndexLink"/>
                <w:rtl w:val="true"/>
              </w:rPr>
              <w:t>و أمّا النفاس</w:t>
            </w:r>
            <w:r>
              <w:rPr>
                <w:rStyle w:val="IndexLink"/>
                <w:rtl w:val="true"/>
              </w:rPr>
              <w:t>]</w:t>
              <w:tab/>
            </w:r>
            <w:r>
              <w:rPr>
                <w:rStyle w:val="IndexLink"/>
              </w:rPr>
              <w:t>115</w:t>
            </w:r>
          </w:hyperlink>
        </w:p>
        <w:p>
          <w:pPr>
            <w:pStyle w:val="Contents6"/>
            <w:tabs>
              <w:tab w:val="clear" w:pos="7609"/>
              <w:tab w:val="right" w:pos="9026" w:leader="dot"/>
            </w:tabs>
            <w:rPr/>
          </w:pPr>
          <w:hyperlink w:anchor="__RefHeading___Toc6530110_3224264995">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6530112_3224264995">
            <w:r>
              <w:rPr>
                <w:webHidden/>
                <w:rStyle w:val="IndexLink"/>
                <w:rtl w:val="true"/>
              </w:rPr>
              <w:t>[</w:t>
            </w:r>
            <w:r>
              <w:rPr>
                <w:rStyle w:val="IndexLink"/>
                <w:rtl w:val="true"/>
              </w:rPr>
              <w:t>وصف دم النفاس</w:t>
            </w:r>
            <w:r>
              <w:rPr>
                <w:rStyle w:val="IndexLink"/>
                <w:rtl w:val="true"/>
              </w:rPr>
              <w:t>]</w:t>
              <w:tab/>
            </w:r>
            <w:r>
              <w:rPr>
                <w:rStyle w:val="IndexLink"/>
              </w:rPr>
              <w:t>115</w:t>
            </w:r>
          </w:hyperlink>
        </w:p>
        <w:p>
          <w:pPr>
            <w:pStyle w:val="Contents6"/>
            <w:tabs>
              <w:tab w:val="clear" w:pos="7609"/>
              <w:tab w:val="right" w:pos="9026" w:leader="dot"/>
            </w:tabs>
            <w:rPr/>
          </w:pPr>
          <w:hyperlink w:anchor="__RefHeading___Toc6530114_3224264995">
            <w:r>
              <w:rPr>
                <w:webHidden/>
                <w:rStyle w:val="IndexLink"/>
                <w:rtl w:val="true"/>
              </w:rPr>
              <w:t>[</w:t>
            </w:r>
            <w:r>
              <w:rPr>
                <w:rStyle w:val="IndexLink"/>
                <w:rtl w:val="true"/>
              </w:rPr>
              <w:t>أقل الفناس و أکثره</w:t>
            </w:r>
            <w:r>
              <w:rPr>
                <w:rStyle w:val="IndexLink"/>
                <w:rtl w:val="true"/>
              </w:rPr>
              <w:t>]</w:t>
              <w:tab/>
            </w:r>
            <w:r>
              <w:rPr>
                <w:rStyle w:val="IndexLink"/>
              </w:rPr>
              <w:t>124</w:t>
            </w:r>
          </w:hyperlink>
        </w:p>
        <w:p>
          <w:pPr>
            <w:pStyle w:val="Contents6"/>
            <w:tabs>
              <w:tab w:val="clear" w:pos="7609"/>
              <w:tab w:val="right" w:pos="9026" w:leader="dot"/>
            </w:tabs>
            <w:rPr/>
          </w:pPr>
          <w:hyperlink w:anchor="__RefHeading___Toc6530116_3224264995">
            <w:r>
              <w:rPr>
                <w:webHidden/>
                <w:rStyle w:val="IndexLink"/>
                <w:rtl w:val="true"/>
              </w:rPr>
              <w:t>[</w:t>
            </w:r>
            <w:r>
              <w:rPr>
                <w:rStyle w:val="IndexLink"/>
                <w:rtl w:val="true"/>
              </w:rPr>
              <w:t>نفاس التوأمین</w:t>
            </w:r>
            <w:r>
              <w:rPr>
                <w:rStyle w:val="IndexLink"/>
                <w:rtl w:val="true"/>
              </w:rPr>
              <w:t>]</w:t>
              <w:tab/>
            </w:r>
            <w:r>
              <w:rPr>
                <w:rStyle w:val="IndexLink"/>
              </w:rPr>
              <w:t>156</w:t>
            </w:r>
          </w:hyperlink>
        </w:p>
        <w:p>
          <w:pPr>
            <w:pStyle w:val="Contents6"/>
            <w:tabs>
              <w:tab w:val="clear" w:pos="7609"/>
              <w:tab w:val="right" w:pos="9026" w:leader="dot"/>
            </w:tabs>
            <w:rPr/>
          </w:pPr>
          <w:hyperlink w:anchor="__RefHeading___Toc6530118_3224264995">
            <w:r>
              <w:rPr>
                <w:webHidden/>
                <w:rStyle w:val="IndexLink"/>
                <w:rtl w:val="true"/>
              </w:rPr>
              <w:t>[</w:t>
            </w:r>
            <w:r>
              <w:rPr>
                <w:rStyle w:val="IndexLink"/>
                <w:rtl w:val="true"/>
              </w:rPr>
              <w:t>الفرق بین الحائض و النفساء</w:t>
            </w:r>
            <w:r>
              <w:rPr>
                <w:rStyle w:val="IndexLink"/>
                <w:rtl w:val="true"/>
              </w:rPr>
              <w:t>]</w:t>
              <w:tab/>
            </w:r>
            <w:r>
              <w:rPr>
                <w:rStyle w:val="IndexLink"/>
              </w:rPr>
              <w:t>162</w:t>
            </w:r>
          </w:hyperlink>
        </w:p>
        <w:p>
          <w:pPr>
            <w:pStyle w:val="Contents6"/>
            <w:tabs>
              <w:tab w:val="clear" w:pos="7609"/>
              <w:tab w:val="right" w:pos="9026" w:leader="dot"/>
            </w:tabs>
            <w:rPr/>
          </w:pPr>
          <w:hyperlink w:anchor="__RefHeading___Toc6530120_3224264995">
            <w:r>
              <w:rPr>
                <w:webHidden/>
                <w:rStyle w:val="IndexLink"/>
                <w:rtl w:val="true"/>
              </w:rPr>
              <w:t>[</w:t>
            </w:r>
            <w:r>
              <w:rPr>
                <w:rStyle w:val="IndexLink"/>
                <w:rtl w:val="true"/>
              </w:rPr>
              <w:t>لو رأت الدم الیوم العاشر فهو النفاس فقط</w:t>
            </w:r>
            <w:r>
              <w:rPr>
                <w:rStyle w:val="IndexLink"/>
                <w:rtl w:val="true"/>
              </w:rPr>
              <w:t>]</w:t>
              <w:tab/>
            </w:r>
            <w:r>
              <w:rPr>
                <w:rStyle w:val="IndexLink"/>
              </w:rPr>
              <w:t>163</w:t>
            </w:r>
          </w:hyperlink>
        </w:p>
        <w:p>
          <w:pPr>
            <w:pStyle w:val="Contents6"/>
            <w:tabs>
              <w:tab w:val="clear" w:pos="7609"/>
              <w:tab w:val="right" w:pos="9026" w:leader="dot"/>
            </w:tabs>
            <w:rPr/>
          </w:pPr>
          <w:hyperlink w:anchor="__RefHeading___Toc6530122_3224264995">
            <w:r>
              <w:rPr>
                <w:webHidden/>
                <w:rStyle w:val="IndexLink"/>
                <w:rtl w:val="true"/>
              </w:rPr>
              <w:t>[</w:t>
            </w:r>
            <w:r>
              <w:rPr>
                <w:rStyle w:val="IndexLink"/>
                <w:rtl w:val="true"/>
              </w:rPr>
              <w:t>لو رأت الدم الیوم الأوّل و العاشر فالعشرة نفاس</w:t>
            </w:r>
            <w:r>
              <w:rPr>
                <w:rStyle w:val="IndexLink"/>
                <w:rtl w:val="true"/>
              </w:rPr>
              <w:t>]</w:t>
              <w:tab/>
            </w:r>
            <w:r>
              <w:rPr>
                <w:rStyle w:val="IndexLink"/>
              </w:rPr>
              <w:t>168</w:t>
            </w:r>
          </w:hyperlink>
        </w:p>
        <w:p>
          <w:pPr>
            <w:pStyle w:val="Contents4"/>
            <w:tabs>
              <w:tab w:val="clear" w:pos="8176"/>
              <w:tab w:val="right" w:pos="9026" w:leader="dot"/>
            </w:tabs>
            <w:rPr/>
          </w:pPr>
          <w:hyperlink w:anchor="__RefHeading___Toc6530124_3224264995">
            <w:r>
              <w:rPr>
                <w:webHidden/>
                <w:rStyle w:val="IndexLink"/>
                <w:rtl w:val="true"/>
              </w:rPr>
              <w:t>[</w:t>
            </w:r>
            <w:r>
              <w:rPr>
                <w:rStyle w:val="IndexLink"/>
                <w:rtl w:val="true"/>
              </w:rPr>
              <w:t>المقصد الرابع فی غسل الأموات</w:t>
            </w:r>
            <w:r>
              <w:rPr>
                <w:rStyle w:val="IndexLink"/>
                <w:rtl w:val="true"/>
              </w:rPr>
              <w:t>]</w:t>
              <w:tab/>
            </w:r>
            <w:r>
              <w:rPr>
                <w:rStyle w:val="IndexLink"/>
              </w:rPr>
              <w:t>172</w:t>
            </w:r>
          </w:hyperlink>
        </w:p>
        <w:p>
          <w:pPr>
            <w:pStyle w:val="Contents5"/>
            <w:tabs>
              <w:tab w:val="clear" w:pos="7892"/>
              <w:tab w:val="right" w:pos="9026" w:leader="dot"/>
            </w:tabs>
            <w:rPr/>
          </w:pPr>
          <w:hyperlink w:anchor="__RefHeading___Toc6530126_3224264995">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6530128_3224264995">
            <w:r>
              <w:rPr>
                <w:webHidden/>
                <w:rStyle w:val="IndexLink"/>
                <w:rtl w:val="true"/>
              </w:rPr>
              <w:t>[</w:t>
            </w:r>
            <w:r>
              <w:rPr>
                <w:rStyle w:val="IndexLink"/>
                <w:rtl w:val="true"/>
              </w:rPr>
              <w:t>الأول فی أحکام الاحتضار</w:t>
            </w:r>
            <w:r>
              <w:rPr>
                <w:rStyle w:val="IndexLink"/>
                <w:rtl w:val="true"/>
              </w:rPr>
              <w:t>]</w:t>
              <w:tab/>
            </w:r>
            <w:r>
              <w:rPr>
                <w:rStyle w:val="IndexLink"/>
              </w:rPr>
              <w:t>187</w:t>
            </w:r>
          </w:hyperlink>
        </w:p>
        <w:p>
          <w:pPr>
            <w:pStyle w:val="Contents6"/>
            <w:tabs>
              <w:tab w:val="clear" w:pos="7609"/>
              <w:tab w:val="right" w:pos="9026" w:leader="dot"/>
            </w:tabs>
            <w:rPr/>
          </w:pPr>
          <w:hyperlink w:anchor="__RefHeading___Toc6530130_3224264995">
            <w:r>
              <w:rPr>
                <w:webHidden/>
                <w:rStyle w:val="IndexLink"/>
                <w:rtl w:val="true"/>
              </w:rPr>
              <w:t>[</w:t>
            </w:r>
            <w:r>
              <w:rPr>
                <w:rStyle w:val="IndexLink"/>
                <w:rtl w:val="true"/>
              </w:rPr>
              <w:t>یجب توجیهه إلی القبلة</w:t>
            </w:r>
            <w:r>
              <w:rPr>
                <w:rStyle w:val="IndexLink"/>
                <w:rtl w:val="true"/>
              </w:rPr>
              <w:t>]</w:t>
              <w:tab/>
            </w:r>
            <w:r>
              <w:rPr>
                <w:rStyle w:val="IndexLink"/>
              </w:rPr>
              <w:t>187</w:t>
            </w:r>
          </w:hyperlink>
        </w:p>
        <w:p>
          <w:pPr>
            <w:pStyle w:val="Contents6"/>
            <w:tabs>
              <w:tab w:val="clear" w:pos="7609"/>
              <w:tab w:val="right" w:pos="9026" w:leader="dot"/>
            </w:tabs>
            <w:rPr/>
          </w:pPr>
          <w:hyperlink w:anchor="__RefHeading___Toc6530132_3224264995">
            <w:r>
              <w:rPr>
                <w:webHidden/>
                <w:rStyle w:val="IndexLink"/>
                <w:rtl w:val="true"/>
              </w:rPr>
              <w:t>[</w:t>
            </w:r>
            <w:r>
              <w:rPr>
                <w:rStyle w:val="IndexLink"/>
                <w:rtl w:val="true"/>
              </w:rPr>
              <w:t>و یستحبّ أُمور</w:t>
            </w:r>
            <w:r>
              <w:rPr>
                <w:rStyle w:val="IndexLink"/>
                <w:rtl w:val="true"/>
              </w:rPr>
              <w:t>]</w:t>
              <w:tab/>
            </w:r>
            <w:r>
              <w:rPr>
                <w:rStyle w:val="IndexLink"/>
              </w:rPr>
              <w:t>192</w:t>
            </w:r>
          </w:hyperlink>
        </w:p>
        <w:p>
          <w:pPr>
            <w:pStyle w:val="Contents6"/>
            <w:tabs>
              <w:tab w:val="clear" w:pos="7609"/>
              <w:tab w:val="right" w:pos="9026" w:leader="dot"/>
            </w:tabs>
            <w:rPr/>
          </w:pPr>
          <w:hyperlink w:anchor="__RefHeading___Toc6530134_3224264995">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6530136_3224264995">
            <w:r>
              <w:rPr>
                <w:webHidden/>
                <w:rStyle w:val="IndexLink"/>
                <w:rtl w:val="true"/>
              </w:rPr>
              <w:t>[</w:t>
            </w:r>
            <w:r>
              <w:rPr>
                <w:rStyle w:val="IndexLink"/>
                <w:rtl w:val="true"/>
              </w:rPr>
              <w:t>ما یتعلّق بما قبل الموت</w:t>
            </w:r>
            <w:r>
              <w:rPr>
                <w:rStyle w:val="IndexLink"/>
                <w:rtl w:val="true"/>
              </w:rPr>
              <w:t>]</w:t>
              <w:tab/>
            </w:r>
            <w:r>
              <w:rPr>
                <w:rStyle w:val="IndexLink"/>
              </w:rPr>
              <w:t>192</w:t>
            </w:r>
          </w:hyperlink>
        </w:p>
        <w:p>
          <w:pPr>
            <w:pStyle w:val="Contents6"/>
            <w:tabs>
              <w:tab w:val="clear" w:pos="7609"/>
              <w:tab w:val="right" w:pos="9026" w:leader="dot"/>
            </w:tabs>
            <w:rPr/>
          </w:pPr>
          <w:hyperlink w:anchor="__RefHeading___Toc6530138_3224264995">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6530140_3224264995">
            <w:r>
              <w:rPr>
                <w:webHidden/>
                <w:rStyle w:val="IndexLink"/>
                <w:rtl w:val="true"/>
              </w:rPr>
              <w:t>[</w:t>
            </w:r>
            <w:r>
              <w:rPr>
                <w:rStyle w:val="IndexLink"/>
              </w:rPr>
              <w:t>1</w:t>
            </w:r>
            <w:r>
              <w:rPr>
                <w:rStyle w:val="IndexLink"/>
                <w:rtl w:val="true"/>
              </w:rPr>
              <w:t xml:space="preserve">- </w:t>
            </w:r>
            <w:r>
              <w:rPr>
                <w:rStyle w:val="IndexLink"/>
                <w:rtl w:val="true"/>
              </w:rPr>
              <w:t>تلقین المیت الشهادتین و الإقرار بالأئمّة علیهم السلام</w:t>
            </w:r>
            <w:r>
              <w:rPr>
                <w:rStyle w:val="IndexLink"/>
                <w:rtl w:val="true"/>
              </w:rPr>
              <w:t>]</w:t>
              <w:tab/>
            </w:r>
            <w:r>
              <w:rPr>
                <w:rStyle w:val="IndexLink"/>
              </w:rPr>
              <w:t>192</w:t>
            </w:r>
          </w:hyperlink>
        </w:p>
        <w:p>
          <w:pPr>
            <w:pStyle w:val="Contents6"/>
            <w:tabs>
              <w:tab w:val="clear" w:pos="7609"/>
              <w:tab w:val="right" w:pos="9026" w:leader="dot"/>
            </w:tabs>
            <w:rPr/>
          </w:pPr>
          <w:hyperlink w:anchor="__RefHeading___Toc6530142_3224264995">
            <w:r>
              <w:rPr>
                <w:webHidden/>
                <w:rStyle w:val="IndexLink"/>
                <w:rtl w:val="true"/>
              </w:rPr>
              <w:t>[</w:t>
            </w:r>
            <w:r>
              <w:rPr>
                <w:rStyle w:val="IndexLink"/>
              </w:rPr>
              <w:t>2</w:t>
            </w:r>
            <w:r>
              <w:rPr>
                <w:rStyle w:val="IndexLink"/>
                <w:rtl w:val="true"/>
              </w:rPr>
              <w:t xml:space="preserve">- </w:t>
            </w:r>
            <w:r>
              <w:rPr>
                <w:rStyle w:val="IndexLink"/>
                <w:rtl w:val="true"/>
              </w:rPr>
              <w:t>تلقینه کلمات الفَرَج</w:t>
            </w:r>
            <w:r>
              <w:rPr>
                <w:rStyle w:val="IndexLink"/>
                <w:rtl w:val="true"/>
              </w:rPr>
              <w:t>]</w:t>
              <w:tab/>
            </w:r>
            <w:r>
              <w:rPr>
                <w:rStyle w:val="IndexLink"/>
              </w:rPr>
              <w:t>193</w:t>
            </w:r>
          </w:hyperlink>
        </w:p>
        <w:p>
          <w:pPr>
            <w:pStyle w:val="Contents6"/>
            <w:tabs>
              <w:tab w:val="clear" w:pos="7609"/>
              <w:tab w:val="right" w:pos="9026" w:leader="dot"/>
            </w:tabs>
            <w:rPr/>
          </w:pPr>
          <w:hyperlink w:anchor="__RefHeading___Toc6530144_3224264995">
            <w:r>
              <w:rPr>
                <w:webHidden/>
                <w:rStyle w:val="IndexLink"/>
                <w:rtl w:val="true"/>
              </w:rPr>
              <w:t>[</w:t>
            </w:r>
            <w:r>
              <w:rPr>
                <w:rStyle w:val="IndexLink"/>
              </w:rPr>
              <w:t>3</w:t>
            </w:r>
            <w:r>
              <w:rPr>
                <w:rStyle w:val="IndexLink"/>
                <w:rtl w:val="true"/>
              </w:rPr>
              <w:t xml:space="preserve">- </w:t>
            </w:r>
            <w:r>
              <w:rPr>
                <w:rStyle w:val="IndexLink"/>
                <w:rtl w:val="true"/>
              </w:rPr>
              <w:t>تلقینه الاستغفار</w:t>
            </w:r>
            <w:r>
              <w:rPr>
                <w:rStyle w:val="IndexLink"/>
                <w:rtl w:val="true"/>
              </w:rPr>
              <w:t>]</w:t>
              <w:tab/>
            </w:r>
            <w:r>
              <w:rPr>
                <w:rStyle w:val="IndexLink"/>
              </w:rPr>
              <w:t>194</w:t>
            </w:r>
          </w:hyperlink>
        </w:p>
        <w:p>
          <w:pPr>
            <w:pStyle w:val="Contents6"/>
            <w:tabs>
              <w:tab w:val="clear" w:pos="7609"/>
              <w:tab w:val="right" w:pos="9026" w:leader="dot"/>
            </w:tabs>
            <w:rPr/>
          </w:pPr>
          <w:hyperlink w:anchor="__RefHeading___Toc6530146_3224264995">
            <w:r>
              <w:rPr>
                <w:webHidden/>
                <w:rStyle w:val="IndexLink"/>
                <w:rtl w:val="true"/>
              </w:rPr>
              <w:t>[</w:t>
            </w:r>
            <w:r>
              <w:rPr>
                <w:rStyle w:val="IndexLink"/>
              </w:rPr>
              <w:t>4</w:t>
            </w:r>
            <w:r>
              <w:rPr>
                <w:rStyle w:val="IndexLink"/>
                <w:rtl w:val="true"/>
              </w:rPr>
              <w:t xml:space="preserve">- </w:t>
            </w:r>
            <w:r>
              <w:rPr>
                <w:rStyle w:val="IndexLink"/>
                <w:rtl w:val="true"/>
              </w:rPr>
              <w:t>نقله إلی مصلّاه</w:t>
            </w:r>
            <w:r>
              <w:rPr>
                <w:rStyle w:val="IndexLink"/>
                <w:rtl w:val="true"/>
              </w:rPr>
              <w:t>]</w:t>
              <w:tab/>
            </w:r>
            <w:r>
              <w:rPr>
                <w:rStyle w:val="IndexLink"/>
              </w:rPr>
              <w:t>194</w:t>
            </w:r>
          </w:hyperlink>
        </w:p>
        <w:p>
          <w:pPr>
            <w:pStyle w:val="Contents6"/>
            <w:tabs>
              <w:tab w:val="clear" w:pos="7609"/>
              <w:tab w:val="right" w:pos="9026" w:leader="dot"/>
            </w:tabs>
            <w:rPr/>
          </w:pPr>
          <w:hyperlink w:anchor="__RefHeading___Toc6530148_3224264995">
            <w:r>
              <w:rPr>
                <w:webHidden/>
                <w:rStyle w:val="IndexLink"/>
                <w:rtl w:val="true"/>
              </w:rPr>
              <w:t>[</w:t>
            </w:r>
            <w:r>
              <w:rPr>
                <w:rStyle w:val="IndexLink"/>
              </w:rPr>
              <w:t>5</w:t>
            </w:r>
            <w:r>
              <w:rPr>
                <w:rStyle w:val="IndexLink"/>
                <w:rtl w:val="true"/>
              </w:rPr>
              <w:t xml:space="preserve">- </w:t>
            </w:r>
            <w:r>
              <w:rPr>
                <w:rStyle w:val="IndexLink"/>
                <w:rtl w:val="true"/>
              </w:rPr>
              <w:t>استحباب قراءة القرآن عنده</w:t>
            </w:r>
            <w:r>
              <w:rPr>
                <w:rStyle w:val="IndexLink"/>
                <w:rtl w:val="true"/>
              </w:rPr>
              <w:t>]</w:t>
              <w:tab/>
            </w:r>
            <w:r>
              <w:rPr>
                <w:rStyle w:val="IndexLink"/>
              </w:rPr>
              <w:t>195</w:t>
            </w:r>
          </w:hyperlink>
        </w:p>
        <w:p>
          <w:pPr>
            <w:pStyle w:val="Contents6"/>
            <w:tabs>
              <w:tab w:val="clear" w:pos="7609"/>
              <w:tab w:val="right" w:pos="9026" w:leader="dot"/>
            </w:tabs>
            <w:rPr/>
          </w:pPr>
          <w:hyperlink w:anchor="__RefHeading___Toc6530150_3224264995">
            <w:r>
              <w:rPr>
                <w:webHidden/>
                <w:rStyle w:val="IndexLink"/>
                <w:rtl w:val="true"/>
              </w:rPr>
              <w:t>[</w:t>
            </w:r>
            <w:r>
              <w:rPr>
                <w:rStyle w:val="IndexLink"/>
                <w:rtl w:val="true"/>
              </w:rPr>
              <w:t>ما یستحبّ بعد الموت</w:t>
            </w:r>
            <w:r>
              <w:rPr>
                <w:rStyle w:val="IndexLink"/>
                <w:rtl w:val="true"/>
              </w:rPr>
              <w:t>]</w:t>
              <w:tab/>
            </w:r>
            <w:r>
              <w:rPr>
                <w:rStyle w:val="IndexLink"/>
              </w:rPr>
              <w:t>197</w:t>
            </w:r>
          </w:hyperlink>
        </w:p>
        <w:p>
          <w:pPr>
            <w:pStyle w:val="Contents6"/>
            <w:tabs>
              <w:tab w:val="clear" w:pos="7609"/>
              <w:tab w:val="right" w:pos="9026" w:leader="dot"/>
            </w:tabs>
            <w:rPr/>
          </w:pPr>
          <w:hyperlink w:anchor="__RefHeading___Toc6530152_3224264995">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6530154_3224264995">
            <w:r>
              <w:rPr>
                <w:webHidden/>
                <w:rStyle w:val="IndexLink"/>
                <w:rtl w:val="true"/>
              </w:rPr>
              <w:t>[</w:t>
            </w:r>
            <w:r>
              <w:rPr>
                <w:rStyle w:val="IndexLink"/>
              </w:rPr>
              <w:t>1</w:t>
            </w:r>
            <w:r>
              <w:rPr>
                <w:rStyle w:val="IndexLink"/>
                <w:rtl w:val="true"/>
              </w:rPr>
              <w:t xml:space="preserve">- </w:t>
            </w:r>
            <w:r>
              <w:rPr>
                <w:rStyle w:val="IndexLink"/>
                <w:rtl w:val="true"/>
              </w:rPr>
              <w:t>تغمیض عینه</w:t>
            </w:r>
            <w:r>
              <w:rPr>
                <w:rStyle w:val="IndexLink"/>
                <w:rtl w:val="true"/>
              </w:rPr>
              <w:t>]</w:t>
              <w:tab/>
            </w:r>
            <w:r>
              <w:rPr>
                <w:rStyle w:val="IndexLink"/>
              </w:rPr>
              <w:t>197</w:t>
            </w:r>
          </w:hyperlink>
        </w:p>
        <w:p>
          <w:pPr>
            <w:pStyle w:val="Contents6"/>
            <w:tabs>
              <w:tab w:val="clear" w:pos="7609"/>
              <w:tab w:val="right" w:pos="9026" w:leader="dot"/>
            </w:tabs>
            <w:rPr/>
          </w:pPr>
          <w:hyperlink w:anchor="__RefHeading___Toc6530156_3224264995">
            <w:r>
              <w:rPr>
                <w:webHidden/>
                <w:rStyle w:val="IndexLink"/>
                <w:rtl w:val="true"/>
              </w:rPr>
              <w:t>[</w:t>
            </w:r>
            <w:r>
              <w:rPr>
                <w:rStyle w:val="IndexLink"/>
              </w:rPr>
              <w:t>2</w:t>
            </w:r>
            <w:r>
              <w:rPr>
                <w:rStyle w:val="IndexLink"/>
                <w:rtl w:val="true"/>
              </w:rPr>
              <w:t xml:space="preserve">- </w:t>
            </w:r>
            <w:r>
              <w:rPr>
                <w:rStyle w:val="IndexLink"/>
                <w:rtl w:val="true"/>
              </w:rPr>
              <w:t>إطباق فمه و مدّ یدیه</w:t>
            </w:r>
            <w:r>
              <w:rPr>
                <w:rStyle w:val="IndexLink"/>
                <w:rtl w:val="true"/>
              </w:rPr>
              <w:t>]</w:t>
              <w:tab/>
            </w:r>
            <w:r>
              <w:rPr>
                <w:rStyle w:val="IndexLink"/>
              </w:rPr>
              <w:t>198</w:t>
            </w:r>
          </w:hyperlink>
        </w:p>
        <w:p>
          <w:pPr>
            <w:pStyle w:val="Contents6"/>
            <w:tabs>
              <w:tab w:val="clear" w:pos="7609"/>
              <w:tab w:val="right" w:pos="9026" w:leader="dot"/>
            </w:tabs>
            <w:rPr/>
          </w:pPr>
          <w:hyperlink w:anchor="__RefHeading___Toc6530158_3224264995">
            <w:r>
              <w:rPr>
                <w:webHidden/>
                <w:rStyle w:val="IndexLink"/>
                <w:rtl w:val="true"/>
              </w:rPr>
              <w:t>[</w:t>
            </w:r>
            <w:r>
              <w:rPr>
                <w:rStyle w:val="IndexLink"/>
              </w:rPr>
              <w:t>3</w:t>
            </w:r>
            <w:r>
              <w:rPr>
                <w:rStyle w:val="IndexLink"/>
                <w:rtl w:val="true"/>
              </w:rPr>
              <w:t xml:space="preserve">- </w:t>
            </w:r>
            <w:r>
              <w:rPr>
                <w:rStyle w:val="IndexLink"/>
                <w:rtl w:val="true"/>
              </w:rPr>
              <w:t>تغطیته بثوب</w:t>
            </w:r>
            <w:r>
              <w:rPr>
                <w:rStyle w:val="IndexLink"/>
                <w:rtl w:val="true"/>
              </w:rPr>
              <w:t>]</w:t>
              <w:tab/>
            </w:r>
            <w:r>
              <w:rPr>
                <w:rStyle w:val="IndexLink"/>
              </w:rPr>
              <w:t>199</w:t>
            </w:r>
          </w:hyperlink>
        </w:p>
        <w:p>
          <w:pPr>
            <w:pStyle w:val="Contents6"/>
            <w:tabs>
              <w:tab w:val="clear" w:pos="7609"/>
              <w:tab w:val="right" w:pos="9026" w:leader="dot"/>
            </w:tabs>
            <w:rPr/>
          </w:pPr>
          <w:hyperlink w:anchor="__RefHeading___Toc6530160_3224264995">
            <w:r>
              <w:rPr>
                <w:webHidden/>
                <w:rStyle w:val="IndexLink"/>
                <w:rtl w:val="true"/>
              </w:rPr>
              <w:t>[</w:t>
            </w:r>
            <w:r>
              <w:rPr>
                <w:rStyle w:val="IndexLink"/>
              </w:rPr>
              <w:t>4</w:t>
            </w:r>
            <w:r>
              <w:rPr>
                <w:rStyle w:val="IndexLink"/>
                <w:rtl w:val="true"/>
              </w:rPr>
              <w:t xml:space="preserve">- </w:t>
            </w:r>
            <w:r>
              <w:rPr>
                <w:rStyle w:val="IndexLink"/>
                <w:rtl w:val="true"/>
              </w:rPr>
              <w:t>إیقاد المصباح عنده إن مات لیلًا</w:t>
            </w:r>
            <w:r>
              <w:rPr>
                <w:rStyle w:val="IndexLink"/>
                <w:rtl w:val="true"/>
              </w:rPr>
              <w:t>]</w:t>
              <w:tab/>
            </w:r>
            <w:r>
              <w:rPr>
                <w:rStyle w:val="IndexLink"/>
              </w:rPr>
              <w:t>199</w:t>
            </w:r>
          </w:hyperlink>
        </w:p>
        <w:p>
          <w:pPr>
            <w:pStyle w:val="Contents6"/>
            <w:tabs>
              <w:tab w:val="clear" w:pos="7609"/>
              <w:tab w:val="right" w:pos="9026" w:leader="dot"/>
            </w:tabs>
            <w:rPr/>
          </w:pPr>
          <w:hyperlink w:anchor="__RefHeading___Toc6530162_3224264995">
            <w:r>
              <w:rPr>
                <w:webHidden/>
                <w:rStyle w:val="IndexLink"/>
                <w:rtl w:val="true"/>
              </w:rPr>
              <w:t>[</w:t>
            </w:r>
            <w:r>
              <w:rPr>
                <w:rStyle w:val="IndexLink"/>
              </w:rPr>
              <w:t>5</w:t>
            </w:r>
            <w:r>
              <w:rPr>
                <w:rStyle w:val="IndexLink"/>
                <w:rtl w:val="true"/>
              </w:rPr>
              <w:t xml:space="preserve">- </w:t>
            </w:r>
            <w:r>
              <w:rPr>
                <w:rStyle w:val="IndexLink"/>
                <w:rtl w:val="true"/>
              </w:rPr>
              <w:t>استحباب قراءة القرآن عنده</w:t>
            </w:r>
            <w:r>
              <w:rPr>
                <w:rStyle w:val="IndexLink"/>
                <w:rtl w:val="true"/>
              </w:rPr>
              <w:t>]</w:t>
              <w:tab/>
            </w:r>
            <w:r>
              <w:rPr>
                <w:rStyle w:val="IndexLink"/>
              </w:rPr>
              <w:t>201</w:t>
            </w:r>
          </w:hyperlink>
        </w:p>
        <w:p>
          <w:pPr>
            <w:pStyle w:val="Contents6"/>
            <w:tabs>
              <w:tab w:val="clear" w:pos="7609"/>
              <w:tab w:val="right" w:pos="9026" w:leader="dot"/>
            </w:tabs>
            <w:rPr/>
          </w:pPr>
          <w:hyperlink w:anchor="__RefHeading___Toc6530164_3224264995">
            <w:r>
              <w:rPr>
                <w:webHidden/>
                <w:rStyle w:val="IndexLink"/>
                <w:rtl w:val="true"/>
              </w:rPr>
              <w:t>[</w:t>
            </w:r>
            <w:r>
              <w:rPr>
                <w:rStyle w:val="IndexLink"/>
              </w:rPr>
              <w:t>6</w:t>
            </w:r>
            <w:r>
              <w:rPr>
                <w:rStyle w:val="IndexLink"/>
                <w:rtl w:val="true"/>
              </w:rPr>
              <w:t xml:space="preserve">- </w:t>
            </w:r>
            <w:r>
              <w:rPr>
                <w:rStyle w:val="IndexLink"/>
                <w:rtl w:val="true"/>
              </w:rPr>
              <w:t>استحباب التعجیل إلا فی المشتبه</w:t>
            </w:r>
            <w:r>
              <w:rPr>
                <w:rStyle w:val="IndexLink"/>
                <w:rtl w:val="true"/>
              </w:rPr>
              <w:t>]</w:t>
              <w:tab/>
            </w:r>
            <w:r>
              <w:rPr>
                <w:rStyle w:val="IndexLink"/>
              </w:rPr>
              <w:t>202</w:t>
            </w:r>
          </w:hyperlink>
        </w:p>
        <w:p>
          <w:pPr>
            <w:pStyle w:val="Contents6"/>
            <w:tabs>
              <w:tab w:val="clear" w:pos="7609"/>
              <w:tab w:val="right" w:pos="9026" w:leader="dot"/>
            </w:tabs>
            <w:rPr/>
          </w:pPr>
          <w:hyperlink w:anchor="__RefHeading___Toc6530166_3224264995">
            <w:r>
              <w:rPr>
                <w:webHidden/>
                <w:rStyle w:val="IndexLink"/>
                <w:rtl w:val="true"/>
              </w:rPr>
              <w:t>[</w:t>
            </w:r>
            <w:r>
              <w:rPr>
                <w:rStyle w:val="IndexLink"/>
                <w:rtl w:val="true"/>
              </w:rPr>
              <w:t>و یکره طرح الحدید علی بطنه</w:t>
            </w:r>
            <w:r>
              <w:rPr>
                <w:rStyle w:val="IndexLink"/>
                <w:rtl w:val="true"/>
              </w:rPr>
              <w:t>]</w:t>
              <w:tab/>
            </w:r>
            <w:r>
              <w:rPr>
                <w:rStyle w:val="IndexLink"/>
              </w:rPr>
              <w:t>205</w:t>
            </w:r>
          </w:hyperlink>
        </w:p>
        <w:p>
          <w:pPr>
            <w:pStyle w:val="Contents5"/>
            <w:tabs>
              <w:tab w:val="clear" w:pos="7892"/>
              <w:tab w:val="right" w:pos="9026" w:leader="dot"/>
            </w:tabs>
            <w:rPr/>
          </w:pPr>
          <w:hyperlink w:anchor="__RefHeading___Toc6530168_3224264995">
            <w:r>
              <w:rPr>
                <w:webHidden/>
                <w:rStyle w:val="IndexLink"/>
                <w:rtl w:val="true"/>
              </w:rPr>
              <w:t>[</w:t>
            </w:r>
            <w:r>
              <w:rPr>
                <w:rStyle w:val="IndexLink"/>
                <w:rtl w:val="true"/>
              </w:rPr>
              <w:t>الثانی فی التغسیل</w:t>
            </w:r>
            <w:r>
              <w:rPr>
                <w:rStyle w:val="IndexLink"/>
                <w:rtl w:val="true"/>
              </w:rPr>
              <w:t>]</w:t>
              <w:tab/>
            </w:r>
            <w:r>
              <w:rPr>
                <w:rStyle w:val="IndexLink"/>
              </w:rPr>
              <w:t>206</w:t>
            </w:r>
          </w:hyperlink>
        </w:p>
        <w:p>
          <w:pPr>
            <w:pStyle w:val="Contents6"/>
            <w:tabs>
              <w:tab w:val="clear" w:pos="7609"/>
              <w:tab w:val="right" w:pos="9026" w:leader="dot"/>
            </w:tabs>
            <w:rPr/>
          </w:pPr>
          <w:hyperlink w:anchor="__RefHeading___Toc6530170_3224264995">
            <w:r>
              <w:rPr>
                <w:webHidden/>
                <w:rStyle w:val="IndexLink"/>
                <w:rtl w:val="true"/>
              </w:rPr>
              <w:t>[</w:t>
            </w:r>
            <w:r>
              <w:rPr>
                <w:rStyle w:val="IndexLink"/>
                <w:rtl w:val="true"/>
              </w:rPr>
              <w:t>فروع</w:t>
            </w:r>
            <w:r>
              <w:rPr>
                <w:rStyle w:val="IndexLink"/>
                <w:rtl w:val="true"/>
              </w:rPr>
              <w:t>]</w:t>
              <w:tab/>
            </w:r>
            <w:r>
              <w:rPr>
                <w:rStyle w:val="IndexLink"/>
              </w:rPr>
              <w:t>206</w:t>
            </w:r>
          </w:hyperlink>
        </w:p>
        <w:p>
          <w:pPr>
            <w:pStyle w:val="Contents6"/>
            <w:tabs>
              <w:tab w:val="clear" w:pos="7609"/>
              <w:tab w:val="right" w:pos="9026" w:leader="dot"/>
            </w:tabs>
            <w:rPr/>
          </w:pPr>
          <w:hyperlink w:anchor="__RefHeading___Toc6530172_3224264995">
            <w:r>
              <w:rPr>
                <w:webHidden/>
                <w:rStyle w:val="IndexLink"/>
                <w:rtl w:val="true"/>
              </w:rPr>
              <w:t>[</w:t>
            </w:r>
            <w:r>
              <w:rPr>
                <w:rStyle w:val="IndexLink"/>
                <w:rtl w:val="true"/>
              </w:rPr>
              <w:t>أولی الناس بغسله أولاهم بمیراثه</w:t>
            </w:r>
            <w:r>
              <w:rPr>
                <w:rStyle w:val="IndexLink"/>
                <w:rtl w:val="true"/>
              </w:rPr>
              <w:t>]</w:t>
              <w:tab/>
            </w:r>
            <w:r>
              <w:rPr>
                <w:rStyle w:val="IndexLink"/>
              </w:rPr>
              <w:t>206</w:t>
            </w:r>
          </w:hyperlink>
        </w:p>
        <w:p>
          <w:pPr>
            <w:pStyle w:val="Contents6"/>
            <w:tabs>
              <w:tab w:val="clear" w:pos="7609"/>
              <w:tab w:val="right" w:pos="9026" w:leader="dot"/>
            </w:tabs>
            <w:rPr/>
          </w:pPr>
          <w:hyperlink w:anchor="__RefHeading___Toc6530174_3224264995">
            <w:r>
              <w:rPr>
                <w:webHidden/>
                <w:rStyle w:val="IndexLink"/>
                <w:rtl w:val="true"/>
              </w:rPr>
              <w:t>[</w:t>
            </w:r>
            <w:r>
              <w:rPr>
                <w:rStyle w:val="IndexLink"/>
                <w:rtl w:val="true"/>
              </w:rPr>
              <w:t>الزوج أولی فی کلّ أحکام المیّت</w:t>
            </w:r>
            <w:r>
              <w:rPr>
                <w:rStyle w:val="IndexLink"/>
                <w:rtl w:val="true"/>
              </w:rPr>
              <w:t>]</w:t>
              <w:tab/>
            </w:r>
            <w:r>
              <w:rPr>
                <w:rStyle w:val="IndexLink"/>
              </w:rPr>
              <w:t>214</w:t>
            </w:r>
          </w:hyperlink>
        </w:p>
        <w:p>
          <w:pPr>
            <w:pStyle w:val="Contents6"/>
            <w:tabs>
              <w:tab w:val="clear" w:pos="7609"/>
              <w:tab w:val="right" w:pos="9026" w:leader="dot"/>
            </w:tabs>
            <w:rPr/>
          </w:pPr>
          <w:hyperlink w:anchor="__RefHeading___Toc6530176_3224264995">
            <w:r>
              <w:rPr>
                <w:webHidden/>
                <w:rStyle w:val="IndexLink"/>
                <w:rtl w:val="true"/>
              </w:rPr>
              <w:t>[</w:t>
            </w:r>
            <w:r>
              <w:rPr>
                <w:rStyle w:val="IndexLink"/>
                <w:rtl w:val="true"/>
              </w:rPr>
              <w:t>و یغسِّل کلٌّ من الرجل و المرأة مثلَه إلا الزوجین</w:t>
            </w:r>
            <w:r>
              <w:rPr>
                <w:rStyle w:val="IndexLink"/>
                <w:rtl w:val="true"/>
              </w:rPr>
              <w:t>]</w:t>
              <w:tab/>
            </w:r>
            <w:r>
              <w:rPr>
                <w:rStyle w:val="IndexLink"/>
              </w:rPr>
              <w:t>216</w:t>
            </w:r>
          </w:hyperlink>
        </w:p>
        <w:p>
          <w:pPr>
            <w:pStyle w:val="Contents6"/>
            <w:tabs>
              <w:tab w:val="clear" w:pos="7609"/>
              <w:tab w:val="right" w:pos="9026" w:leader="dot"/>
            </w:tabs>
            <w:rPr/>
          </w:pPr>
          <w:hyperlink w:anchor="__RefHeading___Toc6530178_3224264995">
            <w:r>
              <w:rPr>
                <w:webHidden/>
                <w:rStyle w:val="IndexLink"/>
                <w:rtl w:val="true"/>
              </w:rPr>
              <w:t>[</w:t>
            </w:r>
            <w:r>
              <w:rPr>
                <w:rStyle w:val="IndexLink"/>
                <w:rtl w:val="true"/>
              </w:rPr>
              <w:t>و یغسِّل الخنثی المشکل محارمه</w:t>
            </w:r>
            <w:r>
              <w:rPr>
                <w:rStyle w:val="IndexLink"/>
                <w:rtl w:val="true"/>
              </w:rPr>
              <w:t>]</w:t>
              <w:tab/>
            </w:r>
            <w:r>
              <w:rPr>
                <w:rStyle w:val="IndexLink"/>
              </w:rPr>
              <w:t>227</w:t>
            </w:r>
          </w:hyperlink>
        </w:p>
        <w:p>
          <w:pPr>
            <w:pStyle w:val="Contents6"/>
            <w:tabs>
              <w:tab w:val="clear" w:pos="7609"/>
              <w:tab w:val="right" w:pos="9026" w:leader="dot"/>
            </w:tabs>
            <w:rPr/>
          </w:pPr>
          <w:hyperlink w:anchor="__RefHeading___Toc6530180_3224264995">
            <w:r>
              <w:rPr>
                <w:webHidden/>
                <w:rStyle w:val="IndexLink"/>
                <w:rtl w:val="true"/>
              </w:rPr>
              <w:t>[</w:t>
            </w:r>
            <w:r>
              <w:rPr>
                <w:rStyle w:val="IndexLink"/>
                <w:rtl w:val="true"/>
              </w:rPr>
              <w:t>وجوب إزالة النجاسة عن بدن المیت أولا</w:t>
            </w:r>
            <w:r>
              <w:rPr>
                <w:rStyle w:val="IndexLink"/>
                <w:rtl w:val="true"/>
              </w:rPr>
              <w:t>]</w:t>
              <w:tab/>
            </w:r>
            <w:r>
              <w:rPr>
                <w:rStyle w:val="IndexLink"/>
              </w:rPr>
              <w:t>240</w:t>
            </w:r>
          </w:hyperlink>
        </w:p>
        <w:p>
          <w:pPr>
            <w:pStyle w:val="Contents6"/>
            <w:tabs>
              <w:tab w:val="clear" w:pos="7609"/>
              <w:tab w:val="right" w:pos="9026" w:leader="dot"/>
            </w:tabs>
            <w:rPr/>
          </w:pPr>
          <w:hyperlink w:anchor="__RefHeading___Toc6530182_3224264995">
            <w:r>
              <w:rPr>
                <w:webHidden/>
                <w:rStyle w:val="IndexLink"/>
                <w:rtl w:val="true"/>
              </w:rPr>
              <w:t>[</w:t>
            </w:r>
            <w:r>
              <w:rPr>
                <w:rStyle w:val="IndexLink"/>
                <w:rtl w:val="true"/>
              </w:rPr>
              <w:t>وجوب الغسلات الثلاث</w:t>
            </w:r>
            <w:r>
              <w:rPr>
                <w:rStyle w:val="IndexLink"/>
                <w:rtl w:val="true"/>
              </w:rPr>
              <w:t>]</w:t>
              <w:tab/>
            </w:r>
            <w:r>
              <w:rPr>
                <w:rStyle w:val="IndexLink"/>
              </w:rPr>
              <w:t>252</w:t>
            </w:r>
          </w:hyperlink>
        </w:p>
        <w:p>
          <w:pPr>
            <w:pStyle w:val="Contents6"/>
            <w:tabs>
              <w:tab w:val="clear" w:pos="7609"/>
              <w:tab w:val="right" w:pos="9026" w:leader="dot"/>
            </w:tabs>
            <w:rPr/>
          </w:pPr>
          <w:hyperlink w:anchor="__RefHeading___Toc6530184_3224264995">
            <w:r>
              <w:rPr>
                <w:webHidden/>
                <w:rStyle w:val="IndexLink"/>
                <w:rtl w:val="true"/>
              </w:rPr>
              <w:t>[</w:t>
            </w:r>
            <w:r>
              <w:rPr>
                <w:rStyle w:val="IndexLink"/>
                <w:rtl w:val="true"/>
              </w:rPr>
              <w:t>إذا فقد السدر و الکافور</w:t>
            </w:r>
            <w:r>
              <w:rPr>
                <w:rStyle w:val="IndexLink"/>
                <w:rtl w:val="true"/>
              </w:rPr>
              <w:t>]</w:t>
              <w:tab/>
            </w:r>
            <w:r>
              <w:rPr>
                <w:rStyle w:val="IndexLink"/>
              </w:rPr>
              <w:t>265</w:t>
            </w:r>
          </w:hyperlink>
        </w:p>
        <w:p>
          <w:pPr>
            <w:pStyle w:val="Contents6"/>
            <w:tabs>
              <w:tab w:val="clear" w:pos="7609"/>
              <w:tab w:val="right" w:pos="9026" w:leader="dot"/>
            </w:tabs>
            <w:rPr/>
          </w:pPr>
          <w:hyperlink w:anchor="__RefHeading___Toc6530186_3224264995">
            <w:r>
              <w:rPr>
                <w:webHidden/>
                <w:rStyle w:val="IndexLink"/>
                <w:rtl w:val="true"/>
              </w:rPr>
              <w:t>[</w:t>
            </w:r>
            <w:r>
              <w:rPr>
                <w:rStyle w:val="IndexLink"/>
                <w:rtl w:val="true"/>
              </w:rPr>
              <w:t>وجوب التیمم مع خوف تناثر جلده</w:t>
            </w:r>
            <w:r>
              <w:rPr>
                <w:rStyle w:val="IndexLink"/>
                <w:rtl w:val="true"/>
              </w:rPr>
              <w:t>]</w:t>
              <w:tab/>
            </w:r>
            <w:r>
              <w:rPr>
                <w:rStyle w:val="IndexLink"/>
              </w:rPr>
              <w:t>269</w:t>
            </w:r>
          </w:hyperlink>
        </w:p>
        <w:p>
          <w:pPr>
            <w:pStyle w:val="Contents6"/>
            <w:tabs>
              <w:tab w:val="clear" w:pos="7609"/>
              <w:tab w:val="right" w:pos="9026" w:leader="dot"/>
            </w:tabs>
            <w:rPr/>
          </w:pPr>
          <w:hyperlink w:anchor="__RefHeading___Toc6530188_3224264995">
            <w:r>
              <w:rPr>
                <w:webHidden/>
                <w:rStyle w:val="IndexLink"/>
                <w:rtl w:val="true"/>
              </w:rPr>
              <w:t>[</w:t>
            </w:r>
            <w:r>
              <w:rPr>
                <w:rStyle w:val="IndexLink"/>
                <w:rtl w:val="true"/>
              </w:rPr>
              <w:t>و یستحبّ فی تغسیل المیّت أُمور</w:t>
            </w:r>
            <w:r>
              <w:rPr>
                <w:rStyle w:val="IndexLink"/>
                <w:rtl w:val="true"/>
              </w:rPr>
              <w:t>]</w:t>
              <w:tab/>
            </w:r>
            <w:r>
              <w:rPr>
                <w:rStyle w:val="IndexLink"/>
              </w:rPr>
              <w:t>273</w:t>
            </w:r>
          </w:hyperlink>
        </w:p>
        <w:p>
          <w:pPr>
            <w:pStyle w:val="Contents6"/>
            <w:tabs>
              <w:tab w:val="clear" w:pos="7609"/>
              <w:tab w:val="right" w:pos="9026" w:leader="dot"/>
            </w:tabs>
            <w:rPr/>
          </w:pPr>
          <w:hyperlink w:anchor="__RefHeading___Toc6530190_3224264995">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6530192_3224264995">
            <w:r>
              <w:rPr>
                <w:webHidden/>
                <w:rStyle w:val="IndexLink"/>
                <w:rtl w:val="true"/>
              </w:rPr>
              <w:t>[</w:t>
            </w:r>
            <w:r>
              <w:rPr>
                <w:rStyle w:val="IndexLink"/>
              </w:rPr>
              <w:t>1</w:t>
            </w:r>
            <w:r>
              <w:rPr>
                <w:rStyle w:val="IndexLink"/>
                <w:rtl w:val="true"/>
              </w:rPr>
              <w:t xml:space="preserve">- </w:t>
            </w:r>
            <w:r>
              <w:rPr>
                <w:rStyle w:val="IndexLink"/>
                <w:rtl w:val="true"/>
              </w:rPr>
              <w:t>وضعه علی ساجة</w:t>
            </w:r>
            <w:r>
              <w:rPr>
                <w:rStyle w:val="IndexLink"/>
                <w:rtl w:val="true"/>
              </w:rPr>
              <w:t>]</w:t>
              <w:tab/>
            </w:r>
            <w:r>
              <w:rPr>
                <w:rStyle w:val="IndexLink"/>
              </w:rPr>
              <w:t>273</w:t>
            </w:r>
          </w:hyperlink>
        </w:p>
        <w:p>
          <w:pPr>
            <w:pStyle w:val="Contents6"/>
            <w:tabs>
              <w:tab w:val="clear" w:pos="7609"/>
              <w:tab w:val="right" w:pos="9026" w:leader="dot"/>
            </w:tabs>
            <w:rPr/>
          </w:pPr>
          <w:hyperlink w:anchor="__RefHeading___Toc6530194_3224264995">
            <w:r>
              <w:rPr>
                <w:webHidden/>
                <w:rStyle w:val="IndexLink"/>
                <w:rtl w:val="true"/>
              </w:rPr>
              <w:t>[</w:t>
            </w:r>
            <w:r>
              <w:rPr>
                <w:rStyle w:val="IndexLink"/>
              </w:rPr>
              <w:t>2</w:t>
            </w:r>
            <w:r>
              <w:rPr>
                <w:rStyle w:val="IndexLink"/>
                <w:rtl w:val="true"/>
              </w:rPr>
              <w:t xml:space="preserve">- </w:t>
            </w:r>
            <w:r>
              <w:rPr>
                <w:rStyle w:val="IndexLink"/>
                <w:rtl w:val="true"/>
              </w:rPr>
              <w:t>استقبال القبلة حال الغسل</w:t>
            </w:r>
            <w:r>
              <w:rPr>
                <w:rStyle w:val="IndexLink"/>
                <w:rtl w:val="true"/>
              </w:rPr>
              <w:t>]</w:t>
              <w:tab/>
            </w:r>
            <w:r>
              <w:rPr>
                <w:rStyle w:val="IndexLink"/>
              </w:rPr>
              <w:t>274</w:t>
            </w:r>
          </w:hyperlink>
        </w:p>
        <w:p>
          <w:pPr>
            <w:pStyle w:val="Contents6"/>
            <w:tabs>
              <w:tab w:val="clear" w:pos="7609"/>
              <w:tab w:val="right" w:pos="9026" w:leader="dot"/>
            </w:tabs>
            <w:rPr/>
          </w:pPr>
          <w:hyperlink w:anchor="__RefHeading___Toc6530196_3224264995">
            <w:r>
              <w:rPr>
                <w:webHidden/>
                <w:rStyle w:val="IndexLink"/>
                <w:rtl w:val="true"/>
              </w:rPr>
              <w:t>[</w:t>
            </w:r>
            <w:r>
              <w:rPr>
                <w:rStyle w:val="IndexLink"/>
              </w:rPr>
              <w:t>3</w:t>
            </w:r>
            <w:r>
              <w:rPr>
                <w:rStyle w:val="IndexLink"/>
                <w:rtl w:val="true"/>
              </w:rPr>
              <w:t xml:space="preserve">- </w:t>
            </w:r>
            <w:r>
              <w:rPr>
                <w:rStyle w:val="IndexLink"/>
                <w:rtl w:val="true"/>
              </w:rPr>
              <w:t>کون الغسل تحت الظلال</w:t>
            </w:r>
            <w:r>
              <w:rPr>
                <w:rStyle w:val="IndexLink"/>
                <w:rtl w:val="true"/>
              </w:rPr>
              <w:t>]</w:t>
              <w:tab/>
            </w:r>
            <w:r>
              <w:rPr>
                <w:rStyle w:val="IndexLink"/>
              </w:rPr>
              <w:t>275</w:t>
            </w:r>
          </w:hyperlink>
        </w:p>
        <w:p>
          <w:pPr>
            <w:pStyle w:val="Contents6"/>
            <w:tabs>
              <w:tab w:val="clear" w:pos="7609"/>
              <w:tab w:val="right" w:pos="9026" w:leader="dot"/>
            </w:tabs>
            <w:rPr/>
          </w:pPr>
          <w:hyperlink w:anchor="__RefHeading___Toc6530198_3224264995">
            <w:r>
              <w:rPr>
                <w:webHidden/>
                <w:rStyle w:val="IndexLink"/>
                <w:rtl w:val="true"/>
              </w:rPr>
              <w:t>[</w:t>
            </w:r>
            <w:r>
              <w:rPr>
                <w:rStyle w:val="IndexLink"/>
              </w:rPr>
              <w:t>4</w:t>
            </w:r>
            <w:r>
              <w:rPr>
                <w:rStyle w:val="IndexLink"/>
                <w:rtl w:val="true"/>
              </w:rPr>
              <w:t xml:space="preserve">- </w:t>
            </w:r>
            <w:r>
              <w:rPr>
                <w:rStyle w:val="IndexLink"/>
                <w:rtl w:val="true"/>
              </w:rPr>
              <w:t>وقوف الغاسل علی جانبه</w:t>
            </w:r>
            <w:r>
              <w:rPr>
                <w:rStyle w:val="IndexLink"/>
                <w:rtl w:val="true"/>
              </w:rPr>
              <w:t>]</w:t>
              <w:tab/>
            </w:r>
            <w:r>
              <w:rPr>
                <w:rStyle w:val="IndexLink"/>
              </w:rPr>
              <w:t>276</w:t>
            </w:r>
          </w:hyperlink>
        </w:p>
        <w:p>
          <w:pPr>
            <w:pStyle w:val="Contents6"/>
            <w:tabs>
              <w:tab w:val="clear" w:pos="7609"/>
              <w:tab w:val="right" w:pos="9026" w:leader="dot"/>
            </w:tabs>
            <w:rPr/>
          </w:pPr>
          <w:hyperlink w:anchor="__RefHeading___Toc6530200_3224264995">
            <w:r>
              <w:rPr>
                <w:webHidden/>
                <w:rStyle w:val="IndexLink"/>
                <w:rtl w:val="true"/>
              </w:rPr>
              <w:t>[</w:t>
            </w:r>
            <w:r>
              <w:rPr>
                <w:rStyle w:val="IndexLink"/>
              </w:rPr>
              <w:t>5</w:t>
            </w:r>
            <w:r>
              <w:rPr>
                <w:rStyle w:val="IndexLink"/>
                <w:rtl w:val="true"/>
              </w:rPr>
              <w:t xml:space="preserve">- </w:t>
            </w:r>
            <w:r>
              <w:rPr>
                <w:rStyle w:val="IndexLink"/>
                <w:rtl w:val="true"/>
              </w:rPr>
              <w:t>غمز بطنه فی الغسلین الأوّلین إلا الحامل</w:t>
            </w:r>
            <w:r>
              <w:rPr>
                <w:rStyle w:val="IndexLink"/>
                <w:rtl w:val="true"/>
              </w:rPr>
              <w:t>]</w:t>
              <w:tab/>
            </w:r>
            <w:r>
              <w:rPr>
                <w:rStyle w:val="IndexLink"/>
              </w:rPr>
              <w:t>277</w:t>
            </w:r>
          </w:hyperlink>
        </w:p>
        <w:p>
          <w:pPr>
            <w:pStyle w:val="Contents6"/>
            <w:tabs>
              <w:tab w:val="clear" w:pos="7609"/>
              <w:tab w:val="right" w:pos="9026" w:leader="dot"/>
            </w:tabs>
            <w:rPr/>
          </w:pPr>
          <w:hyperlink w:anchor="__RefHeading___Toc6530202_3224264995">
            <w:r>
              <w:rPr>
                <w:webHidden/>
                <w:rStyle w:val="IndexLink"/>
                <w:rtl w:val="true"/>
              </w:rPr>
              <w:t>[</w:t>
            </w:r>
            <w:r>
              <w:rPr>
                <w:rStyle w:val="IndexLink"/>
              </w:rPr>
              <w:t>6</w:t>
            </w:r>
            <w:r>
              <w:rPr>
                <w:rStyle w:val="IndexLink"/>
                <w:rtl w:val="true"/>
              </w:rPr>
              <w:t xml:space="preserve">- </w:t>
            </w:r>
            <w:r>
              <w:rPr>
                <w:rStyle w:val="IndexLink"/>
                <w:rtl w:val="true"/>
              </w:rPr>
              <w:t>ذکر اللّٰه تعالی حال الغسل</w:t>
            </w:r>
            <w:r>
              <w:rPr>
                <w:rStyle w:val="IndexLink"/>
                <w:rtl w:val="true"/>
              </w:rPr>
              <w:t>]</w:t>
              <w:tab/>
            </w:r>
            <w:r>
              <w:rPr>
                <w:rStyle w:val="IndexLink"/>
              </w:rPr>
              <w:t>278</w:t>
            </w:r>
          </w:hyperlink>
        </w:p>
        <w:p>
          <w:pPr>
            <w:pStyle w:val="Contents6"/>
            <w:tabs>
              <w:tab w:val="clear" w:pos="7609"/>
              <w:tab w:val="right" w:pos="9026" w:leader="dot"/>
            </w:tabs>
            <w:rPr/>
          </w:pPr>
          <w:hyperlink w:anchor="__RefHeading___Toc6530204_3224264995">
            <w:r>
              <w:rPr>
                <w:webHidden/>
                <w:rStyle w:val="IndexLink"/>
                <w:rtl w:val="true"/>
              </w:rPr>
              <w:t>[</w:t>
            </w:r>
            <w:r>
              <w:rPr>
                <w:rStyle w:val="IndexLink"/>
              </w:rPr>
              <w:t>7</w:t>
            </w:r>
            <w:r>
              <w:rPr>
                <w:rStyle w:val="IndexLink"/>
                <w:rtl w:val="true"/>
              </w:rPr>
              <w:t xml:space="preserve">- </w:t>
            </w:r>
            <w:r>
              <w:rPr>
                <w:rStyle w:val="IndexLink"/>
                <w:rtl w:val="true"/>
              </w:rPr>
              <w:t>صبّ الماء إلی حفیرة</w:t>
            </w:r>
            <w:r>
              <w:rPr>
                <w:rStyle w:val="IndexLink"/>
                <w:rtl w:val="true"/>
              </w:rPr>
              <w:t>]</w:t>
              <w:tab/>
            </w:r>
            <w:r>
              <w:rPr>
                <w:rStyle w:val="IndexLink"/>
              </w:rPr>
              <w:t>279</w:t>
            </w:r>
          </w:hyperlink>
        </w:p>
        <w:p>
          <w:pPr>
            <w:pStyle w:val="Contents6"/>
            <w:tabs>
              <w:tab w:val="clear" w:pos="7609"/>
              <w:tab w:val="right" w:pos="9026" w:leader="dot"/>
            </w:tabs>
            <w:rPr/>
          </w:pPr>
          <w:hyperlink w:anchor="__RefHeading___Toc6530206_3224264995">
            <w:r>
              <w:rPr>
                <w:webHidden/>
                <w:rStyle w:val="IndexLink"/>
                <w:rtl w:val="true"/>
              </w:rPr>
              <w:t>[</w:t>
            </w:r>
            <w:r>
              <w:rPr>
                <w:rStyle w:val="IndexLink"/>
              </w:rPr>
              <w:t>8</w:t>
            </w:r>
            <w:r>
              <w:rPr>
                <w:rStyle w:val="IndexLink"/>
                <w:rtl w:val="true"/>
              </w:rPr>
              <w:t xml:space="preserve">- </w:t>
            </w:r>
            <w:r>
              <w:rPr>
                <w:rStyle w:val="IndexLink"/>
                <w:rtl w:val="true"/>
              </w:rPr>
              <w:t>تلیین أصابعه برفق</w:t>
            </w:r>
            <w:r>
              <w:rPr>
                <w:rStyle w:val="IndexLink"/>
                <w:rtl w:val="true"/>
              </w:rPr>
              <w:t>]</w:t>
              <w:tab/>
            </w:r>
            <w:r>
              <w:rPr>
                <w:rStyle w:val="IndexLink"/>
              </w:rPr>
              <w:t>279</w:t>
            </w:r>
          </w:hyperlink>
        </w:p>
        <w:p>
          <w:pPr>
            <w:pStyle w:val="Contents6"/>
            <w:tabs>
              <w:tab w:val="clear" w:pos="7609"/>
              <w:tab w:val="right" w:pos="9026" w:leader="dot"/>
            </w:tabs>
            <w:rPr/>
          </w:pPr>
          <w:hyperlink w:anchor="__RefHeading___Toc6530208_3224264995">
            <w:r>
              <w:rPr>
                <w:webHidden/>
                <w:rStyle w:val="IndexLink"/>
                <w:rtl w:val="true"/>
              </w:rPr>
              <w:t>[</w:t>
            </w:r>
            <w:r>
              <w:rPr>
                <w:rStyle w:val="IndexLink"/>
              </w:rPr>
              <w:t>9</w:t>
            </w:r>
            <w:r>
              <w:rPr>
                <w:rStyle w:val="IndexLink"/>
                <w:rtl w:val="true"/>
              </w:rPr>
              <w:t xml:space="preserve">- </w:t>
            </w:r>
            <w:r>
              <w:rPr>
                <w:rStyle w:val="IndexLink"/>
                <w:rtl w:val="true"/>
              </w:rPr>
              <w:t>غسل فرجه بالحرض و السدر</w:t>
            </w:r>
            <w:r>
              <w:rPr>
                <w:rStyle w:val="IndexLink"/>
                <w:rtl w:val="true"/>
              </w:rPr>
              <w:t>]</w:t>
              <w:tab/>
            </w:r>
            <w:r>
              <w:rPr>
                <w:rStyle w:val="IndexLink"/>
              </w:rPr>
              <w:t>280</w:t>
            </w:r>
          </w:hyperlink>
        </w:p>
        <w:p>
          <w:pPr>
            <w:pStyle w:val="Contents6"/>
            <w:tabs>
              <w:tab w:val="clear" w:pos="7609"/>
              <w:tab w:val="right" w:pos="9026" w:leader="dot"/>
            </w:tabs>
            <w:rPr/>
          </w:pPr>
          <w:hyperlink w:anchor="__RefHeading___Toc6530210_3224264995">
            <w:r>
              <w:rPr>
                <w:webHidden/>
                <w:rStyle w:val="IndexLink"/>
                <w:rtl w:val="true"/>
              </w:rPr>
              <w:t>[</w:t>
            </w:r>
            <w:r>
              <w:rPr>
                <w:rStyle w:val="IndexLink"/>
              </w:rPr>
              <w:t>10</w:t>
            </w:r>
            <w:r>
              <w:rPr>
                <w:rStyle w:val="IndexLink"/>
                <w:rtl w:val="true"/>
              </w:rPr>
              <w:t xml:space="preserve">- </w:t>
            </w:r>
            <w:r>
              <w:rPr>
                <w:rStyle w:val="IndexLink"/>
                <w:rtl w:val="true"/>
              </w:rPr>
              <w:t>غسل رأسه بالرغوة أوّلًا</w:t>
            </w:r>
            <w:r>
              <w:rPr>
                <w:rStyle w:val="IndexLink"/>
                <w:rtl w:val="true"/>
              </w:rPr>
              <w:t>]</w:t>
              <w:tab/>
            </w:r>
            <w:r>
              <w:rPr>
                <w:rStyle w:val="IndexLink"/>
              </w:rPr>
              <w:t>280</w:t>
            </w:r>
          </w:hyperlink>
        </w:p>
        <w:p>
          <w:pPr>
            <w:pStyle w:val="Contents6"/>
            <w:tabs>
              <w:tab w:val="clear" w:pos="7609"/>
              <w:tab w:val="right" w:pos="9026" w:leader="dot"/>
            </w:tabs>
            <w:rPr/>
          </w:pPr>
          <w:hyperlink w:anchor="__RefHeading___Toc6530212_3224264995">
            <w:r>
              <w:rPr>
                <w:webHidden/>
                <w:rStyle w:val="IndexLink"/>
                <w:rtl w:val="true"/>
              </w:rPr>
              <w:t>[</w:t>
            </w:r>
            <w:r>
              <w:rPr>
                <w:rStyle w:val="IndexLink"/>
              </w:rPr>
              <w:t>11</w:t>
            </w:r>
            <w:r>
              <w:rPr>
                <w:rStyle w:val="IndexLink"/>
                <w:rtl w:val="true"/>
              </w:rPr>
              <w:t xml:space="preserve">- </w:t>
            </w:r>
            <w:r>
              <w:rPr>
                <w:rStyle w:val="IndexLink"/>
                <w:rtl w:val="true"/>
              </w:rPr>
              <w:t>تکرار غسل کلّ عضو ثلاثاً</w:t>
            </w:r>
            <w:r>
              <w:rPr>
                <w:rStyle w:val="IndexLink"/>
                <w:rtl w:val="true"/>
              </w:rPr>
              <w:t>]</w:t>
              <w:tab/>
            </w:r>
            <w:r>
              <w:rPr>
                <w:rStyle w:val="IndexLink"/>
              </w:rPr>
              <w:t>280</w:t>
            </w:r>
          </w:hyperlink>
        </w:p>
        <w:p>
          <w:pPr>
            <w:pStyle w:val="Contents6"/>
            <w:tabs>
              <w:tab w:val="clear" w:pos="7609"/>
              <w:tab w:val="right" w:pos="9026" w:leader="dot"/>
            </w:tabs>
            <w:rPr/>
          </w:pPr>
          <w:hyperlink w:anchor="__RefHeading___Toc6530214_3224264995">
            <w:r>
              <w:rPr>
                <w:webHidden/>
                <w:rStyle w:val="IndexLink"/>
                <w:rtl w:val="true"/>
              </w:rPr>
              <w:t>[</w:t>
            </w:r>
            <w:r>
              <w:rPr>
                <w:rStyle w:val="IndexLink"/>
              </w:rPr>
              <w:t>12</w:t>
            </w:r>
            <w:r>
              <w:rPr>
                <w:rStyle w:val="IndexLink"/>
                <w:rtl w:val="true"/>
              </w:rPr>
              <w:t xml:space="preserve">- </w:t>
            </w:r>
            <w:r>
              <w:rPr>
                <w:rStyle w:val="IndexLink"/>
                <w:rtl w:val="true"/>
              </w:rPr>
              <w:t>أن یوضّأ قبل الغسل</w:t>
            </w:r>
            <w:r>
              <w:rPr>
                <w:rStyle w:val="IndexLink"/>
                <w:rtl w:val="true"/>
              </w:rPr>
              <w:t>]</w:t>
              <w:tab/>
            </w:r>
            <w:r>
              <w:rPr>
                <w:rStyle w:val="IndexLink"/>
              </w:rPr>
              <w:t>281</w:t>
            </w:r>
          </w:hyperlink>
        </w:p>
        <w:p>
          <w:pPr>
            <w:pStyle w:val="Contents6"/>
            <w:tabs>
              <w:tab w:val="clear" w:pos="7609"/>
              <w:tab w:val="right" w:pos="9026" w:leader="dot"/>
            </w:tabs>
            <w:rPr/>
          </w:pPr>
          <w:hyperlink w:anchor="__RefHeading___Toc6530216_3224264995">
            <w:r>
              <w:rPr>
                <w:webHidden/>
                <w:rStyle w:val="IndexLink"/>
                <w:rtl w:val="true"/>
              </w:rPr>
              <w:t>[</w:t>
            </w:r>
            <w:r>
              <w:rPr>
                <w:rStyle w:val="IndexLink"/>
              </w:rPr>
              <w:t>13</w:t>
            </w:r>
            <w:r>
              <w:rPr>
                <w:rStyle w:val="IndexLink"/>
                <w:rtl w:val="true"/>
              </w:rPr>
              <w:t xml:space="preserve">- </w:t>
            </w:r>
            <w:r>
              <w:rPr>
                <w:rStyle w:val="IndexLink"/>
                <w:rtl w:val="true"/>
              </w:rPr>
              <w:t>تنشیفه بثوب بعد الغسل</w:t>
            </w:r>
            <w:r>
              <w:rPr>
                <w:rStyle w:val="IndexLink"/>
                <w:rtl w:val="true"/>
              </w:rPr>
              <w:t>]</w:t>
              <w:tab/>
            </w:r>
            <w:r>
              <w:rPr>
                <w:rStyle w:val="IndexLink"/>
              </w:rPr>
              <w:t>282</w:t>
            </w:r>
          </w:hyperlink>
        </w:p>
        <w:p>
          <w:pPr>
            <w:pStyle w:val="Contents6"/>
            <w:tabs>
              <w:tab w:val="clear" w:pos="7609"/>
              <w:tab w:val="right" w:pos="9026" w:leader="dot"/>
            </w:tabs>
            <w:rPr/>
          </w:pPr>
          <w:hyperlink w:anchor="__RefHeading___Toc6530218_3224264995">
            <w:r>
              <w:rPr>
                <w:webHidden/>
                <w:rStyle w:val="IndexLink"/>
                <w:rtl w:val="true"/>
              </w:rPr>
              <w:t>[</w:t>
            </w:r>
            <w:r>
              <w:rPr>
                <w:rStyle w:val="IndexLink"/>
              </w:rPr>
              <w:t>14</w:t>
            </w:r>
            <w:r>
              <w:rPr>
                <w:rStyle w:val="IndexLink"/>
                <w:rtl w:val="true"/>
              </w:rPr>
              <w:t xml:space="preserve">- </w:t>
            </w:r>
            <w:r>
              <w:rPr>
                <w:rStyle w:val="IndexLink"/>
                <w:rtl w:val="true"/>
              </w:rPr>
              <w:t>غسل یدی المیت قبل الغسل ثلاثا</w:t>
            </w:r>
            <w:r>
              <w:rPr>
                <w:rStyle w:val="IndexLink"/>
                <w:rtl w:val="true"/>
              </w:rPr>
              <w:t>]</w:t>
              <w:tab/>
            </w:r>
            <w:r>
              <w:rPr>
                <w:rStyle w:val="IndexLink"/>
              </w:rPr>
              <w:t>283</w:t>
            </w:r>
          </w:hyperlink>
        </w:p>
        <w:p>
          <w:pPr>
            <w:pStyle w:val="Contents6"/>
            <w:tabs>
              <w:tab w:val="clear" w:pos="7609"/>
              <w:tab w:val="right" w:pos="9026" w:leader="dot"/>
            </w:tabs>
            <w:rPr/>
          </w:pPr>
          <w:hyperlink w:anchor="__RefHeading___Toc6530220_3224264995">
            <w:r>
              <w:rPr>
                <w:webHidden/>
                <w:rStyle w:val="IndexLink"/>
                <w:rtl w:val="true"/>
              </w:rPr>
              <w:t>[</w:t>
            </w:r>
            <w:r>
              <w:rPr>
                <w:rStyle w:val="IndexLink"/>
              </w:rPr>
              <w:t>15</w:t>
            </w:r>
            <w:r>
              <w:rPr>
                <w:rStyle w:val="IndexLink"/>
                <w:rtl w:val="true"/>
              </w:rPr>
              <w:t xml:space="preserve">- </w:t>
            </w:r>
            <w:r>
              <w:rPr>
                <w:rStyle w:val="IndexLink"/>
                <w:rtl w:val="true"/>
              </w:rPr>
              <w:t>غسل الغاسل یدیه بعد کلّ غسل</w:t>
            </w:r>
            <w:r>
              <w:rPr>
                <w:rStyle w:val="IndexLink"/>
                <w:rtl w:val="true"/>
              </w:rPr>
              <w:t>]</w:t>
              <w:tab/>
            </w:r>
            <w:r>
              <w:rPr>
                <w:rStyle w:val="IndexLink"/>
              </w:rPr>
              <w:t>283</w:t>
            </w:r>
          </w:hyperlink>
        </w:p>
        <w:p>
          <w:pPr>
            <w:pStyle w:val="Contents6"/>
            <w:tabs>
              <w:tab w:val="clear" w:pos="7609"/>
              <w:tab w:val="right" w:pos="9026" w:leader="dot"/>
            </w:tabs>
            <w:rPr/>
          </w:pPr>
          <w:hyperlink w:anchor="__RefHeading___Toc6530222_3224264995">
            <w:r>
              <w:rPr>
                <w:webHidden/>
                <w:rStyle w:val="IndexLink"/>
                <w:rtl w:val="true"/>
              </w:rPr>
              <w:t>[</w:t>
            </w:r>
            <w:r>
              <w:rPr>
                <w:rStyle w:val="IndexLink"/>
              </w:rPr>
              <w:t>16</w:t>
            </w:r>
            <w:r>
              <w:rPr>
                <w:rStyle w:val="IndexLink"/>
                <w:rtl w:val="true"/>
              </w:rPr>
              <w:t xml:space="preserve">- </w:t>
            </w:r>
            <w:r>
              <w:rPr>
                <w:rStyle w:val="IndexLink"/>
                <w:rtl w:val="true"/>
              </w:rPr>
              <w:t>غسل رأس المیت برغوة السدر</w:t>
            </w:r>
            <w:r>
              <w:rPr>
                <w:rStyle w:val="IndexLink"/>
                <w:rtl w:val="true"/>
              </w:rPr>
              <w:t>]</w:t>
              <w:tab/>
            </w:r>
            <w:r>
              <w:rPr>
                <w:rStyle w:val="IndexLink"/>
              </w:rPr>
              <w:t>283</w:t>
            </w:r>
          </w:hyperlink>
        </w:p>
        <w:p>
          <w:pPr>
            <w:pStyle w:val="Contents6"/>
            <w:tabs>
              <w:tab w:val="clear" w:pos="7609"/>
              <w:tab w:val="right" w:pos="9026" w:leader="dot"/>
            </w:tabs>
            <w:rPr/>
          </w:pPr>
          <w:hyperlink w:anchor="__RefHeading___Toc6530224_3224264995">
            <w:r>
              <w:rPr>
                <w:webHidden/>
                <w:rStyle w:val="IndexLink"/>
                <w:rtl w:val="true"/>
              </w:rPr>
              <w:t>[</w:t>
            </w:r>
            <w:r>
              <w:rPr>
                <w:rStyle w:val="IndexLink"/>
              </w:rPr>
              <w:t>17</w:t>
            </w:r>
            <w:r>
              <w:rPr>
                <w:rStyle w:val="IndexLink"/>
                <w:rtl w:val="true"/>
              </w:rPr>
              <w:t xml:space="preserve">- </w:t>
            </w:r>
            <w:r>
              <w:rPr>
                <w:rStyle w:val="IndexLink"/>
                <w:rtl w:val="true"/>
              </w:rPr>
              <w:t>أن لا یقطع الماء حتّی یتمّ کلّ غسلة</w:t>
            </w:r>
            <w:r>
              <w:rPr>
                <w:rStyle w:val="IndexLink"/>
                <w:rtl w:val="true"/>
              </w:rPr>
              <w:t>]</w:t>
              <w:tab/>
            </w:r>
            <w:r>
              <w:rPr>
                <w:rStyle w:val="IndexLink"/>
              </w:rPr>
              <w:t>283</w:t>
            </w:r>
          </w:hyperlink>
        </w:p>
        <w:p>
          <w:pPr>
            <w:pStyle w:val="Contents6"/>
            <w:tabs>
              <w:tab w:val="clear" w:pos="7609"/>
              <w:tab w:val="right" w:pos="9026" w:leader="dot"/>
            </w:tabs>
            <w:rPr/>
          </w:pPr>
          <w:hyperlink w:anchor="__RefHeading___Toc6530226_3224264995">
            <w:r>
              <w:rPr>
                <w:webHidden/>
                <w:rStyle w:val="IndexLink"/>
                <w:rtl w:val="true"/>
              </w:rPr>
              <w:t>[</w:t>
            </w:r>
            <w:r>
              <w:rPr>
                <w:rStyle w:val="IndexLink"/>
              </w:rPr>
              <w:t>18</w:t>
            </w:r>
            <w:r>
              <w:rPr>
                <w:rStyle w:val="IndexLink"/>
                <w:rtl w:val="true"/>
              </w:rPr>
              <w:t xml:space="preserve">- </w:t>
            </w:r>
            <w:r>
              <w:rPr>
                <w:rStyle w:val="IndexLink"/>
                <w:rtl w:val="true"/>
              </w:rPr>
              <w:t>اغتسال الغاسل قبل التغسیل</w:t>
            </w:r>
            <w:r>
              <w:rPr>
                <w:rStyle w:val="IndexLink"/>
                <w:rtl w:val="true"/>
              </w:rPr>
              <w:t>]</w:t>
              <w:tab/>
            </w:r>
            <w:r>
              <w:rPr>
                <w:rStyle w:val="IndexLink"/>
              </w:rPr>
              <w:t>284</w:t>
            </w:r>
          </w:hyperlink>
        </w:p>
        <w:p>
          <w:pPr>
            <w:pStyle w:val="Contents6"/>
            <w:tabs>
              <w:tab w:val="clear" w:pos="7609"/>
              <w:tab w:val="right" w:pos="9026" w:leader="dot"/>
            </w:tabs>
            <w:rPr/>
          </w:pPr>
          <w:hyperlink w:anchor="__RefHeading___Toc6530228_3224264995">
            <w:r>
              <w:rPr>
                <w:webHidden/>
                <w:rStyle w:val="IndexLink"/>
                <w:rtl w:val="true"/>
              </w:rPr>
              <w:t>[</w:t>
            </w:r>
            <w:r>
              <w:rPr>
                <w:rStyle w:val="IndexLink"/>
              </w:rPr>
              <w:t>19</w:t>
            </w:r>
            <w:r>
              <w:rPr>
                <w:rStyle w:val="IndexLink"/>
                <w:rtl w:val="true"/>
              </w:rPr>
              <w:t xml:space="preserve"> </w:t>
            </w:r>
            <w:r>
              <w:rPr>
                <w:rStyle w:val="IndexLink"/>
                <w:rtl w:val="true"/>
              </w:rPr>
              <w:t>وضع شی‌ء فی دبر المیت و کثرة الماء</w:t>
            </w:r>
            <w:r>
              <w:rPr>
                <w:rStyle w:val="IndexLink"/>
                <w:rtl w:val="true"/>
              </w:rPr>
              <w:t>]</w:t>
              <w:tab/>
            </w:r>
            <w:r>
              <w:rPr>
                <w:rStyle w:val="IndexLink"/>
              </w:rPr>
              <w:t>284</w:t>
            </w:r>
          </w:hyperlink>
        </w:p>
        <w:p>
          <w:pPr>
            <w:pStyle w:val="Contents6"/>
            <w:tabs>
              <w:tab w:val="clear" w:pos="7609"/>
              <w:tab w:val="right" w:pos="9026" w:leader="dot"/>
            </w:tabs>
            <w:rPr/>
          </w:pPr>
          <w:hyperlink w:anchor="__RefHeading___Toc6530230_3224264995">
            <w:r>
              <w:rPr>
                <w:webHidden/>
                <w:rStyle w:val="IndexLink"/>
                <w:rtl w:val="true"/>
              </w:rPr>
              <w:t>[</w:t>
            </w:r>
            <w:r>
              <w:rPr>
                <w:rStyle w:val="IndexLink"/>
              </w:rPr>
              <w:t>20</w:t>
            </w:r>
            <w:r>
              <w:rPr>
                <w:rStyle w:val="IndexLink"/>
                <w:rtl w:val="true"/>
              </w:rPr>
              <w:t xml:space="preserve">- </w:t>
            </w:r>
            <w:r>
              <w:rPr>
                <w:rStyle w:val="IndexLink"/>
                <w:rtl w:val="true"/>
              </w:rPr>
              <w:t>الرفق بالمیت</w:t>
            </w:r>
            <w:r>
              <w:rPr>
                <w:rStyle w:val="IndexLink"/>
                <w:rtl w:val="true"/>
              </w:rPr>
              <w:t>]</w:t>
              <w:tab/>
            </w:r>
            <w:r>
              <w:rPr>
                <w:rStyle w:val="IndexLink"/>
              </w:rPr>
              <w:t>284</w:t>
            </w:r>
          </w:hyperlink>
        </w:p>
        <w:p>
          <w:pPr>
            <w:pStyle w:val="Contents6"/>
            <w:tabs>
              <w:tab w:val="clear" w:pos="7609"/>
              <w:tab w:val="right" w:pos="9026" w:leader="dot"/>
            </w:tabs>
            <w:rPr/>
          </w:pPr>
          <w:hyperlink w:anchor="__RefHeading___Toc6530232_3224264995">
            <w:r>
              <w:rPr>
                <w:webHidden/>
                <w:rStyle w:val="IndexLink"/>
                <w:rtl w:val="true"/>
              </w:rPr>
              <w:t>[</w:t>
            </w:r>
            <w:r>
              <w:rPr>
                <w:rStyle w:val="IndexLink"/>
              </w:rPr>
              <w:t>21</w:t>
            </w:r>
            <w:r>
              <w:rPr>
                <w:rStyle w:val="IndexLink"/>
                <w:rtl w:val="true"/>
              </w:rPr>
              <w:t xml:space="preserve">- </w:t>
            </w:r>
            <w:r>
              <w:rPr>
                <w:rStyle w:val="IndexLink"/>
                <w:rtl w:val="true"/>
              </w:rPr>
              <w:t>لفّ الغاسل علی یدیه خرقة</w:t>
            </w:r>
            <w:r>
              <w:rPr>
                <w:rStyle w:val="IndexLink"/>
                <w:rtl w:val="true"/>
              </w:rPr>
              <w:t>]</w:t>
              <w:tab/>
            </w:r>
            <w:r>
              <w:rPr>
                <w:rStyle w:val="IndexLink"/>
              </w:rPr>
              <w:t>284</w:t>
            </w:r>
          </w:hyperlink>
        </w:p>
        <w:p>
          <w:pPr>
            <w:pStyle w:val="Contents6"/>
            <w:tabs>
              <w:tab w:val="clear" w:pos="7609"/>
              <w:tab w:val="right" w:pos="9026" w:leader="dot"/>
            </w:tabs>
            <w:rPr/>
          </w:pPr>
          <w:hyperlink w:anchor="__RefHeading___Toc6530234_3224264995">
            <w:r>
              <w:rPr>
                <w:webHidden/>
                <w:rStyle w:val="IndexLink"/>
                <w:rtl w:val="true"/>
              </w:rPr>
              <w:t>[</w:t>
            </w:r>
            <w:r>
              <w:rPr>
                <w:rStyle w:val="IndexLink"/>
              </w:rPr>
              <w:t>22</w:t>
            </w:r>
            <w:r>
              <w:rPr>
                <w:rStyle w:val="IndexLink"/>
                <w:rtl w:val="true"/>
              </w:rPr>
              <w:t xml:space="preserve">- </w:t>
            </w:r>
            <w:r>
              <w:rPr>
                <w:rStyle w:val="IndexLink"/>
                <w:rtl w:val="true"/>
              </w:rPr>
              <w:t>فتق قمیص المیت لینزع من تحته</w:t>
            </w:r>
            <w:r>
              <w:rPr>
                <w:rStyle w:val="IndexLink"/>
                <w:rtl w:val="true"/>
              </w:rPr>
              <w:t>]</w:t>
              <w:tab/>
            </w:r>
            <w:r>
              <w:rPr>
                <w:rStyle w:val="IndexLink"/>
              </w:rPr>
              <w:t>284</w:t>
            </w:r>
          </w:hyperlink>
        </w:p>
        <w:p>
          <w:pPr>
            <w:pStyle w:val="Contents6"/>
            <w:tabs>
              <w:tab w:val="clear" w:pos="7609"/>
              <w:tab w:val="right" w:pos="9026" w:leader="dot"/>
            </w:tabs>
            <w:rPr/>
          </w:pPr>
          <w:hyperlink w:anchor="__RefHeading___Toc6530236_3224264995">
            <w:r>
              <w:rPr>
                <w:webHidden/>
                <w:rStyle w:val="IndexLink"/>
                <w:rtl w:val="true"/>
              </w:rPr>
              <w:t>[</w:t>
            </w:r>
            <w:r>
              <w:rPr>
                <w:rStyle w:val="IndexLink"/>
              </w:rPr>
              <w:t>23</w:t>
            </w:r>
            <w:r>
              <w:rPr>
                <w:rStyle w:val="IndexLink"/>
                <w:rtl w:val="true"/>
              </w:rPr>
              <w:t xml:space="preserve">- </w:t>
            </w:r>
            <w:r>
              <w:rPr>
                <w:rStyle w:val="IndexLink"/>
                <w:rtl w:val="true"/>
              </w:rPr>
              <w:t>ستر عورة المیت</w:t>
            </w:r>
            <w:r>
              <w:rPr>
                <w:rStyle w:val="IndexLink"/>
                <w:rtl w:val="true"/>
              </w:rPr>
              <w:t>]</w:t>
              <w:tab/>
            </w:r>
            <w:r>
              <w:rPr>
                <w:rStyle w:val="IndexLink"/>
              </w:rPr>
              <w:t>288</w:t>
            </w:r>
          </w:hyperlink>
        </w:p>
        <w:p>
          <w:pPr>
            <w:pStyle w:val="Contents6"/>
            <w:tabs>
              <w:tab w:val="clear" w:pos="7609"/>
              <w:tab w:val="right" w:pos="9026" w:leader="dot"/>
            </w:tabs>
            <w:rPr/>
          </w:pPr>
          <w:hyperlink w:anchor="__RefHeading___Toc6530238_3224264995">
            <w:r>
              <w:rPr>
                <w:webHidden/>
                <w:rStyle w:val="IndexLink"/>
                <w:rtl w:val="true"/>
              </w:rPr>
              <w:t>[</w:t>
            </w:r>
            <w:r>
              <w:rPr>
                <w:rStyle w:val="IndexLink"/>
                <w:rtl w:val="true"/>
              </w:rPr>
              <w:t>و یکره فی تغسیل المیّت أُمور</w:t>
            </w:r>
            <w:r>
              <w:rPr>
                <w:rStyle w:val="IndexLink"/>
                <w:rtl w:val="true"/>
              </w:rPr>
              <w:t>]</w:t>
              <w:tab/>
            </w:r>
            <w:r>
              <w:rPr>
                <w:rStyle w:val="IndexLink"/>
              </w:rPr>
              <w:t>289</w:t>
            </w:r>
          </w:hyperlink>
        </w:p>
        <w:p>
          <w:pPr>
            <w:pStyle w:val="Contents6"/>
            <w:tabs>
              <w:tab w:val="clear" w:pos="7609"/>
              <w:tab w:val="right" w:pos="9026" w:leader="dot"/>
            </w:tabs>
            <w:rPr/>
          </w:pPr>
          <w:hyperlink w:anchor="__RefHeading___Toc6530240_3224264995">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6530242_3224264995">
            <w:r>
              <w:rPr>
                <w:webHidden/>
                <w:rStyle w:val="IndexLink"/>
                <w:rtl w:val="true"/>
              </w:rPr>
              <w:t>[</w:t>
            </w:r>
            <w:r>
              <w:rPr>
                <w:rStyle w:val="IndexLink"/>
              </w:rPr>
              <w:t>1</w:t>
            </w:r>
            <w:r>
              <w:rPr>
                <w:rStyle w:val="IndexLink"/>
                <w:rtl w:val="true"/>
              </w:rPr>
              <w:t xml:space="preserve">- </w:t>
            </w:r>
            <w:r>
              <w:rPr>
                <w:rStyle w:val="IndexLink"/>
                <w:rtl w:val="true"/>
              </w:rPr>
              <w:t>إقعاد المیت</w:t>
            </w:r>
            <w:r>
              <w:rPr>
                <w:rStyle w:val="IndexLink"/>
                <w:rtl w:val="true"/>
              </w:rPr>
              <w:t>]</w:t>
              <w:tab/>
            </w:r>
            <w:r>
              <w:rPr>
                <w:rStyle w:val="IndexLink"/>
              </w:rPr>
              <w:t>289</w:t>
            </w:r>
          </w:hyperlink>
        </w:p>
        <w:p>
          <w:pPr>
            <w:pStyle w:val="Contents6"/>
            <w:tabs>
              <w:tab w:val="clear" w:pos="7609"/>
              <w:tab w:val="right" w:pos="9026" w:leader="dot"/>
            </w:tabs>
            <w:rPr/>
          </w:pPr>
          <w:hyperlink w:anchor="__RefHeading___Toc6530244_3224264995">
            <w:r>
              <w:rPr>
                <w:webHidden/>
                <w:rStyle w:val="IndexLink"/>
                <w:rtl w:val="true"/>
              </w:rPr>
              <w:t>[</w:t>
            </w:r>
            <w:r>
              <w:rPr>
                <w:rStyle w:val="IndexLink"/>
              </w:rPr>
              <w:t>2</w:t>
            </w:r>
            <w:r>
              <w:rPr>
                <w:rStyle w:val="IndexLink"/>
                <w:rtl w:val="true"/>
              </w:rPr>
              <w:t xml:space="preserve">- </w:t>
            </w:r>
            <w:r>
              <w:rPr>
                <w:rStyle w:val="IndexLink"/>
                <w:rtl w:val="true"/>
              </w:rPr>
              <w:t>قصّ أظفاره و ترجیل شعره</w:t>
            </w:r>
            <w:r>
              <w:rPr>
                <w:rStyle w:val="IndexLink"/>
                <w:rtl w:val="true"/>
              </w:rPr>
              <w:t>]</w:t>
              <w:tab/>
            </w:r>
            <w:r>
              <w:rPr>
                <w:rStyle w:val="IndexLink"/>
              </w:rPr>
              <w:t>290</w:t>
            </w:r>
          </w:hyperlink>
        </w:p>
        <w:p>
          <w:pPr>
            <w:pStyle w:val="Contents6"/>
            <w:tabs>
              <w:tab w:val="clear" w:pos="7609"/>
              <w:tab w:val="right" w:pos="9026" w:leader="dot"/>
            </w:tabs>
            <w:rPr/>
          </w:pPr>
          <w:hyperlink w:anchor="__RefHeading___Toc6530246_3224264995">
            <w:r>
              <w:rPr>
                <w:webHidden/>
                <w:rStyle w:val="IndexLink"/>
                <w:rtl w:val="true"/>
              </w:rPr>
              <w:t>[</w:t>
            </w:r>
            <w:r>
              <w:rPr>
                <w:rStyle w:val="IndexLink"/>
              </w:rPr>
              <w:t>3</w:t>
            </w:r>
            <w:r>
              <w:rPr>
                <w:rStyle w:val="IndexLink"/>
                <w:rtl w:val="true"/>
              </w:rPr>
              <w:t xml:space="preserve">- </w:t>
            </w:r>
            <w:r>
              <w:rPr>
                <w:rStyle w:val="IndexLink"/>
                <w:rtl w:val="true"/>
              </w:rPr>
              <w:t>تغسیل المیّت بالماء المسخَّن بالنار</w:t>
            </w:r>
            <w:r>
              <w:rPr>
                <w:rStyle w:val="IndexLink"/>
                <w:rtl w:val="true"/>
              </w:rPr>
              <w:t>]</w:t>
              <w:tab/>
            </w:r>
            <w:r>
              <w:rPr>
                <w:rStyle w:val="IndexLink"/>
              </w:rPr>
              <w:t>294</w:t>
            </w:r>
          </w:hyperlink>
        </w:p>
        <w:p>
          <w:pPr>
            <w:pStyle w:val="Contents6"/>
            <w:tabs>
              <w:tab w:val="clear" w:pos="7609"/>
              <w:tab w:val="right" w:pos="9026" w:leader="dot"/>
            </w:tabs>
            <w:rPr/>
          </w:pPr>
          <w:hyperlink w:anchor="__RefHeading___Toc6530248_3224264995">
            <w:r>
              <w:rPr>
                <w:webHidden/>
                <w:rStyle w:val="IndexLink"/>
                <w:rtl w:val="true"/>
              </w:rPr>
              <w:t>[</w:t>
            </w:r>
            <w:r>
              <w:rPr>
                <w:rStyle w:val="IndexLink"/>
              </w:rPr>
              <w:t>4</w:t>
            </w:r>
            <w:r>
              <w:rPr>
                <w:rStyle w:val="IndexLink"/>
                <w:rtl w:val="true"/>
              </w:rPr>
              <w:t xml:space="preserve">- </w:t>
            </w:r>
            <w:r>
              <w:rPr>
                <w:rStyle w:val="IndexLink"/>
                <w:rtl w:val="true"/>
              </w:rPr>
              <w:t>الدخنة</w:t>
            </w:r>
            <w:r>
              <w:rPr>
                <w:rStyle w:val="IndexLink"/>
                <w:rtl w:val="true"/>
              </w:rPr>
              <w:t>]</w:t>
              <w:tab/>
            </w:r>
            <w:r>
              <w:rPr>
                <w:rStyle w:val="IndexLink"/>
              </w:rPr>
              <w:t>294</w:t>
            </w:r>
          </w:hyperlink>
        </w:p>
        <w:p>
          <w:pPr>
            <w:pStyle w:val="Contents6"/>
            <w:tabs>
              <w:tab w:val="clear" w:pos="7609"/>
              <w:tab w:val="right" w:pos="9026" w:leader="dot"/>
            </w:tabs>
            <w:rPr/>
          </w:pPr>
          <w:hyperlink w:anchor="__RefHeading___Toc6530250_3224264995">
            <w:r>
              <w:rPr>
                <w:webHidden/>
                <w:rStyle w:val="IndexLink"/>
                <w:rtl w:val="true"/>
              </w:rPr>
              <w:t>[</w:t>
            </w:r>
            <w:r>
              <w:rPr>
                <w:rStyle w:val="IndexLink"/>
                <w:rtl w:val="true"/>
              </w:rPr>
              <w:t>حدیثان متضمّنان لواجبات الغسل و سننه</w:t>
            </w:r>
            <w:r>
              <w:rPr>
                <w:rStyle w:val="IndexLink"/>
                <w:rtl w:val="true"/>
              </w:rPr>
              <w:t>]</w:t>
              <w:tab/>
            </w:r>
            <w:r>
              <w:rPr>
                <w:rStyle w:val="IndexLink"/>
              </w:rPr>
              <w:t>295</w:t>
            </w:r>
          </w:hyperlink>
        </w:p>
        <w:p>
          <w:pPr>
            <w:pStyle w:val="Contents6"/>
            <w:tabs>
              <w:tab w:val="clear" w:pos="7609"/>
              <w:tab w:val="right" w:pos="9026" w:leader="dot"/>
            </w:tabs>
            <w:rPr/>
          </w:pPr>
          <w:hyperlink w:anchor="__RefHeading___Toc6530252_3224264995">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6530254_3224264995">
            <w:r>
              <w:rPr>
                <w:webHidden/>
                <w:rStyle w:val="IndexLink"/>
                <w:rtl w:val="true"/>
              </w:rPr>
              <w:t>[</w:t>
            </w:r>
            <w:r>
              <w:rPr>
                <w:rStyle w:val="IndexLink"/>
              </w:rPr>
              <w:t>1</w:t>
            </w:r>
            <w:r>
              <w:rPr>
                <w:rStyle w:val="IndexLink"/>
                <w:rtl w:val="true"/>
              </w:rPr>
              <w:t xml:space="preserve">- </w:t>
            </w:r>
            <w:r>
              <w:rPr>
                <w:rStyle w:val="IndexLink"/>
                <w:rtl w:val="true"/>
              </w:rPr>
              <w:t>مرسلة إبراهیم بن هاشم</w:t>
            </w:r>
            <w:r>
              <w:rPr>
                <w:rStyle w:val="IndexLink"/>
                <w:rtl w:val="true"/>
              </w:rPr>
              <w:t>]</w:t>
              <w:tab/>
            </w:r>
            <w:r>
              <w:rPr>
                <w:rStyle w:val="IndexLink"/>
              </w:rPr>
              <w:t>295</w:t>
            </w:r>
          </w:hyperlink>
        </w:p>
        <w:p>
          <w:pPr>
            <w:pStyle w:val="Contents6"/>
            <w:tabs>
              <w:tab w:val="clear" w:pos="7609"/>
              <w:tab w:val="right" w:pos="9026" w:leader="dot"/>
            </w:tabs>
            <w:rPr/>
          </w:pPr>
          <w:hyperlink w:anchor="__RefHeading___Toc6530256_3224264995">
            <w:r>
              <w:rPr>
                <w:webHidden/>
                <w:rStyle w:val="IndexLink"/>
                <w:rtl w:val="true"/>
              </w:rPr>
              <w:t>[</w:t>
            </w:r>
            <w:r>
              <w:rPr>
                <w:rStyle w:val="IndexLink"/>
              </w:rPr>
              <w:t>2</w:t>
            </w:r>
            <w:r>
              <w:rPr>
                <w:rStyle w:val="IndexLink"/>
                <w:rtl w:val="true"/>
              </w:rPr>
              <w:t xml:space="preserve">- </w:t>
            </w:r>
            <w:r>
              <w:rPr>
                <w:rStyle w:val="IndexLink"/>
                <w:rtl w:val="true"/>
              </w:rPr>
              <w:t>روایة عبد اللّٰه الکاهلی</w:t>
            </w:r>
            <w:r>
              <w:rPr>
                <w:rStyle w:val="IndexLink"/>
                <w:rtl w:val="true"/>
              </w:rPr>
              <w:t>]</w:t>
              <w:tab/>
            </w:r>
            <w:r>
              <w:rPr>
                <w:rStyle w:val="IndexLink"/>
              </w:rPr>
              <w:t>296</w:t>
            </w:r>
          </w:hyperlink>
        </w:p>
        <w:p>
          <w:pPr>
            <w:pStyle w:val="Contents5"/>
            <w:tabs>
              <w:tab w:val="clear" w:pos="7892"/>
              <w:tab w:val="right" w:pos="9026" w:leader="dot"/>
            </w:tabs>
            <w:rPr/>
          </w:pPr>
          <w:hyperlink w:anchor="__RefHeading___Toc6530258_3224264995">
            <w:r>
              <w:rPr>
                <w:webHidden/>
                <w:rStyle w:val="IndexLink"/>
                <w:rtl w:val="true"/>
              </w:rPr>
              <w:t>[</w:t>
            </w:r>
            <w:r>
              <w:rPr>
                <w:rStyle w:val="IndexLink"/>
                <w:rtl w:val="true"/>
              </w:rPr>
              <w:t>الثالث فی تکفین المیت</w:t>
            </w:r>
            <w:r>
              <w:rPr>
                <w:rStyle w:val="IndexLink"/>
                <w:rtl w:val="true"/>
              </w:rPr>
              <w:t>]</w:t>
              <w:tab/>
            </w:r>
            <w:r>
              <w:rPr>
                <w:rStyle w:val="IndexLink"/>
              </w:rPr>
              <w:t>298</w:t>
            </w:r>
          </w:hyperlink>
        </w:p>
        <w:p>
          <w:pPr>
            <w:pStyle w:val="Contents6"/>
            <w:tabs>
              <w:tab w:val="clear" w:pos="7609"/>
              <w:tab w:val="right" w:pos="9026" w:leader="dot"/>
            </w:tabs>
            <w:rPr/>
          </w:pPr>
          <w:hyperlink w:anchor="__RefHeading___Toc6530260_3224264995">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6530262_3224264995">
            <w:r>
              <w:rPr>
                <w:webHidden/>
                <w:rStyle w:val="IndexLink"/>
                <w:rtl w:val="true"/>
              </w:rPr>
              <w:t>[</w:t>
            </w:r>
            <w:r>
              <w:rPr>
                <w:rStyle w:val="IndexLink"/>
                <w:rtl w:val="true"/>
              </w:rPr>
              <w:t>أما الواجب</w:t>
            </w:r>
            <w:r>
              <w:rPr>
                <w:rStyle w:val="IndexLink"/>
                <w:rtl w:val="true"/>
              </w:rPr>
              <w:t>]</w:t>
              <w:tab/>
            </w:r>
            <w:r>
              <w:rPr>
                <w:rStyle w:val="IndexLink"/>
              </w:rPr>
              <w:t>298</w:t>
            </w:r>
          </w:hyperlink>
        </w:p>
        <w:p>
          <w:pPr>
            <w:pStyle w:val="Contents6"/>
            <w:tabs>
              <w:tab w:val="clear" w:pos="7609"/>
              <w:tab w:val="right" w:pos="9026" w:leader="dot"/>
            </w:tabs>
            <w:rPr/>
          </w:pPr>
          <w:hyperlink w:anchor="__RefHeading___Toc6530264_3224264995">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6530266_3224264995">
            <w:r>
              <w:rPr>
                <w:webHidden/>
                <w:rStyle w:val="IndexLink"/>
                <w:rtl w:val="true"/>
              </w:rPr>
              <w:t>[</w:t>
            </w:r>
            <w:r>
              <w:rPr>
                <w:rStyle w:val="IndexLink"/>
                <w:rtl w:val="true"/>
              </w:rPr>
              <w:t>الأثواب الثلاثة</w:t>
            </w:r>
            <w:r>
              <w:rPr>
                <w:rStyle w:val="IndexLink"/>
                <w:rtl w:val="true"/>
              </w:rPr>
              <w:t>]</w:t>
              <w:tab/>
            </w:r>
            <w:r>
              <w:rPr>
                <w:rStyle w:val="IndexLink"/>
              </w:rPr>
              <w:t>301</w:t>
            </w:r>
          </w:hyperlink>
        </w:p>
        <w:p>
          <w:pPr>
            <w:pStyle w:val="Contents6"/>
            <w:tabs>
              <w:tab w:val="clear" w:pos="7609"/>
              <w:tab w:val="right" w:pos="9026" w:leader="dot"/>
            </w:tabs>
            <w:rPr/>
          </w:pPr>
          <w:hyperlink w:anchor="__RefHeading___Toc6530268_3224264995">
            <w:r>
              <w:rPr>
                <w:webHidden/>
                <w:rStyle w:val="IndexLink"/>
                <w:rtl w:val="true"/>
              </w:rPr>
              <w:t>[</w:t>
            </w:r>
            <w:r>
              <w:rPr>
                <w:rStyle w:val="IndexLink"/>
              </w:rPr>
              <w:t>1</w:t>
            </w:r>
            <w:r>
              <w:rPr>
                <w:rStyle w:val="IndexLink"/>
                <w:rtl w:val="true"/>
              </w:rPr>
              <w:t xml:space="preserve">- </w:t>
            </w:r>
            <w:r>
              <w:rPr>
                <w:rStyle w:val="IndexLink"/>
                <w:rtl w:val="true"/>
              </w:rPr>
              <w:t>المئزر</w:t>
            </w:r>
            <w:r>
              <w:rPr>
                <w:rStyle w:val="IndexLink"/>
                <w:rtl w:val="true"/>
              </w:rPr>
              <w:t>]</w:t>
              <w:tab/>
            </w:r>
            <w:r>
              <w:rPr>
                <w:rStyle w:val="IndexLink"/>
              </w:rPr>
              <w:t>301</w:t>
            </w:r>
          </w:hyperlink>
        </w:p>
        <w:p>
          <w:pPr>
            <w:pStyle w:val="Contents6"/>
            <w:tabs>
              <w:tab w:val="clear" w:pos="7609"/>
              <w:tab w:val="right" w:pos="9026" w:leader="dot"/>
            </w:tabs>
            <w:rPr/>
          </w:pPr>
          <w:hyperlink w:anchor="__RefHeading___Toc6530270_3224264995">
            <w:r>
              <w:rPr>
                <w:webHidden/>
                <w:rStyle w:val="IndexLink"/>
                <w:rtl w:val="true"/>
              </w:rPr>
              <w:t>[</w:t>
            </w:r>
            <w:r>
              <w:rPr>
                <w:rStyle w:val="IndexLink"/>
              </w:rPr>
              <w:t>2</w:t>
            </w:r>
            <w:r>
              <w:rPr>
                <w:rStyle w:val="IndexLink"/>
                <w:rtl w:val="true"/>
              </w:rPr>
              <w:t xml:space="preserve">- </w:t>
            </w:r>
            <w:r>
              <w:rPr>
                <w:rStyle w:val="IndexLink"/>
                <w:rtl w:val="true"/>
              </w:rPr>
              <w:t>القمیص</w:t>
            </w:r>
            <w:r>
              <w:rPr>
                <w:rStyle w:val="IndexLink"/>
                <w:rtl w:val="true"/>
              </w:rPr>
              <w:t>]</w:t>
              <w:tab/>
            </w:r>
            <w:r>
              <w:rPr>
                <w:rStyle w:val="IndexLink"/>
              </w:rPr>
              <w:t>308</w:t>
            </w:r>
          </w:hyperlink>
        </w:p>
        <w:p>
          <w:pPr>
            <w:pStyle w:val="Contents6"/>
            <w:tabs>
              <w:tab w:val="clear" w:pos="7609"/>
              <w:tab w:val="right" w:pos="9026" w:leader="dot"/>
            </w:tabs>
            <w:rPr/>
          </w:pPr>
          <w:hyperlink w:anchor="__RefHeading___Toc6530272_3224264995">
            <w:r>
              <w:rPr>
                <w:webHidden/>
                <w:rStyle w:val="IndexLink"/>
                <w:rtl w:val="true"/>
              </w:rPr>
              <w:t>[</w:t>
            </w:r>
            <w:r>
              <w:rPr>
                <w:rStyle w:val="IndexLink"/>
              </w:rPr>
              <w:t>3</w:t>
            </w:r>
            <w:r>
              <w:rPr>
                <w:rStyle w:val="IndexLink"/>
                <w:rtl w:val="true"/>
              </w:rPr>
              <w:t xml:space="preserve">- </w:t>
            </w:r>
            <w:r>
              <w:rPr>
                <w:rStyle w:val="IndexLink"/>
                <w:rtl w:val="true"/>
              </w:rPr>
              <w:t>الإزار</w:t>
            </w:r>
            <w:r>
              <w:rPr>
                <w:rStyle w:val="IndexLink"/>
                <w:rtl w:val="true"/>
              </w:rPr>
              <w:t>]</w:t>
              <w:tab/>
            </w:r>
            <w:r>
              <w:rPr>
                <w:rStyle w:val="IndexLink"/>
              </w:rPr>
              <w:t>309</w:t>
            </w:r>
          </w:hyperlink>
        </w:p>
        <w:p>
          <w:pPr>
            <w:pStyle w:val="Contents6"/>
            <w:tabs>
              <w:tab w:val="clear" w:pos="7609"/>
              <w:tab w:val="right" w:pos="9026" w:leader="dot"/>
            </w:tabs>
            <w:rPr/>
          </w:pPr>
          <w:hyperlink w:anchor="__RefHeading___Toc6530274_3224264995">
            <w:r>
              <w:rPr>
                <w:webHidden/>
                <w:rStyle w:val="IndexLink"/>
                <w:rtl w:val="true"/>
              </w:rPr>
              <w:t>[</w:t>
            </w:r>
            <w:r>
              <w:rPr>
                <w:rStyle w:val="IndexLink"/>
                <w:rtl w:val="true"/>
              </w:rPr>
              <w:t>الحنوط</w:t>
            </w:r>
            <w:r>
              <w:rPr>
                <w:rStyle w:val="IndexLink"/>
                <w:rtl w:val="true"/>
              </w:rPr>
              <w:t>]</w:t>
              <w:tab/>
            </w:r>
            <w:r>
              <w:rPr>
                <w:rStyle w:val="IndexLink"/>
              </w:rPr>
              <w:t>321</w:t>
            </w:r>
          </w:hyperlink>
        </w:p>
        <w:p>
          <w:pPr>
            <w:pStyle w:val="Contents6"/>
            <w:tabs>
              <w:tab w:val="clear" w:pos="7609"/>
              <w:tab w:val="right" w:pos="9026" w:leader="dot"/>
            </w:tabs>
            <w:rPr/>
          </w:pPr>
          <w:hyperlink w:anchor="__RefHeading___Toc6530276_3224264995">
            <w:r>
              <w:rPr>
                <w:webHidden/>
                <w:rStyle w:val="IndexLink"/>
                <w:rtl w:val="true"/>
              </w:rPr>
              <w:t>[</w:t>
            </w:r>
            <w:r>
              <w:rPr>
                <w:rStyle w:val="IndexLink"/>
                <w:rtl w:val="true"/>
              </w:rPr>
              <w:t>یستحبّ فی التحنیط و التکفین أُمور</w:t>
            </w:r>
            <w:r>
              <w:rPr>
                <w:rStyle w:val="IndexLink"/>
                <w:rtl w:val="true"/>
              </w:rPr>
              <w:t>]</w:t>
              <w:tab/>
            </w:r>
            <w:r>
              <w:rPr>
                <w:rStyle w:val="IndexLink"/>
              </w:rPr>
              <w:t>330</w:t>
            </w:r>
          </w:hyperlink>
        </w:p>
        <w:p>
          <w:pPr>
            <w:pStyle w:val="Contents6"/>
            <w:tabs>
              <w:tab w:val="clear" w:pos="7609"/>
              <w:tab w:val="right" w:pos="9026" w:leader="dot"/>
            </w:tabs>
            <w:rPr/>
          </w:pPr>
          <w:hyperlink w:anchor="__RefHeading___Toc6530278_3224264995">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6530280_3224264995">
            <w:r>
              <w:rPr>
                <w:webHidden/>
                <w:rStyle w:val="IndexLink"/>
                <w:rtl w:val="true"/>
              </w:rPr>
              <w:t>[</w:t>
            </w:r>
            <w:r>
              <w:rPr>
                <w:rStyle w:val="IndexLink"/>
              </w:rPr>
              <w:t>1</w:t>
            </w:r>
            <w:r>
              <w:rPr>
                <w:rStyle w:val="IndexLink"/>
                <w:rtl w:val="true"/>
              </w:rPr>
              <w:t xml:space="preserve">- </w:t>
            </w:r>
            <w:r>
              <w:rPr>
                <w:rStyle w:val="IndexLink"/>
                <w:rtl w:val="true"/>
              </w:rPr>
              <w:t>أن یکون قدر کافور ثلاثة عشر درهماً و ثلثاً</w:t>
            </w:r>
            <w:r>
              <w:rPr>
                <w:rStyle w:val="IndexLink"/>
                <w:rtl w:val="true"/>
              </w:rPr>
              <w:t>]</w:t>
              <w:tab/>
            </w:r>
            <w:r>
              <w:rPr>
                <w:rStyle w:val="IndexLink"/>
              </w:rPr>
              <w:t>330</w:t>
            </w:r>
          </w:hyperlink>
        </w:p>
        <w:p>
          <w:pPr>
            <w:pStyle w:val="Contents6"/>
            <w:tabs>
              <w:tab w:val="clear" w:pos="7609"/>
              <w:tab w:val="right" w:pos="9026" w:leader="dot"/>
            </w:tabs>
            <w:rPr/>
          </w:pPr>
          <w:hyperlink w:anchor="__RefHeading___Toc6530282_3224264995">
            <w:r>
              <w:rPr>
                <w:webHidden/>
                <w:rStyle w:val="IndexLink"/>
                <w:rtl w:val="true"/>
              </w:rPr>
              <w:t>[</w:t>
            </w:r>
            <w:r>
              <w:rPr>
                <w:rStyle w:val="IndexLink"/>
              </w:rPr>
              <w:t>2</w:t>
            </w:r>
            <w:r>
              <w:rPr>
                <w:rStyle w:val="IndexLink"/>
                <w:rtl w:val="true"/>
              </w:rPr>
              <w:t xml:space="preserve">- </w:t>
            </w:r>
            <w:r>
              <w:rPr>
                <w:rStyle w:val="IndexLink"/>
                <w:rtl w:val="true"/>
              </w:rPr>
              <w:t>اغتسال الغاسل أو وضوئه قبل التکفین</w:t>
            </w:r>
            <w:r>
              <w:rPr>
                <w:rStyle w:val="IndexLink"/>
                <w:rtl w:val="true"/>
              </w:rPr>
              <w:t>]</w:t>
              <w:tab/>
            </w:r>
            <w:r>
              <w:rPr>
                <w:rStyle w:val="IndexLink"/>
              </w:rPr>
              <w:t>332</w:t>
            </w:r>
          </w:hyperlink>
        </w:p>
        <w:p>
          <w:pPr>
            <w:pStyle w:val="Contents6"/>
            <w:tabs>
              <w:tab w:val="clear" w:pos="7609"/>
              <w:tab w:val="right" w:pos="9026" w:leader="dot"/>
            </w:tabs>
            <w:rPr/>
          </w:pPr>
          <w:hyperlink w:anchor="__RefHeading___Toc6530284_3224264995">
            <w:r>
              <w:rPr>
                <w:webHidden/>
                <w:rStyle w:val="IndexLink"/>
                <w:rtl w:val="true"/>
              </w:rPr>
              <w:t>[</w:t>
            </w:r>
            <w:r>
              <w:rPr>
                <w:rStyle w:val="IndexLink"/>
              </w:rPr>
              <w:t>3</w:t>
            </w:r>
            <w:r>
              <w:rPr>
                <w:rStyle w:val="IndexLink"/>
                <w:rtl w:val="true"/>
              </w:rPr>
              <w:t xml:space="preserve">- </w:t>
            </w:r>
            <w:r>
              <w:rPr>
                <w:rStyle w:val="IndexLink"/>
                <w:rtl w:val="true"/>
              </w:rPr>
              <w:t>زیادة الحِبَرة</w:t>
            </w:r>
            <w:r>
              <w:rPr>
                <w:rStyle w:val="IndexLink"/>
                <w:rtl w:val="true"/>
              </w:rPr>
              <w:t>]</w:t>
              <w:tab/>
            </w:r>
            <w:r>
              <w:rPr>
                <w:rStyle w:val="IndexLink"/>
              </w:rPr>
              <w:t>337</w:t>
            </w:r>
          </w:hyperlink>
        </w:p>
        <w:p>
          <w:pPr>
            <w:pStyle w:val="Contents6"/>
            <w:tabs>
              <w:tab w:val="clear" w:pos="7609"/>
              <w:tab w:val="right" w:pos="9026" w:leader="dot"/>
            </w:tabs>
            <w:rPr/>
          </w:pPr>
          <w:hyperlink w:anchor="__RefHeading___Toc6530286_3224264995">
            <w:r>
              <w:rPr>
                <w:webHidden/>
                <w:rStyle w:val="IndexLink"/>
                <w:rtl w:val="true"/>
              </w:rPr>
              <w:t>[</w:t>
            </w:r>
            <w:r>
              <w:rPr>
                <w:rStyle w:val="IndexLink"/>
              </w:rPr>
              <w:t>4</w:t>
            </w:r>
            <w:r>
              <w:rPr>
                <w:rStyle w:val="IndexLink"/>
                <w:rtl w:val="true"/>
              </w:rPr>
              <w:t xml:space="preserve">- </w:t>
            </w:r>
            <w:r>
              <w:rPr>
                <w:rStyle w:val="IndexLink"/>
                <w:rtl w:val="true"/>
              </w:rPr>
              <w:t>استحباب خرقة للفخذین</w:t>
            </w:r>
            <w:r>
              <w:rPr>
                <w:rStyle w:val="IndexLink"/>
                <w:rtl w:val="true"/>
              </w:rPr>
              <w:t>]</w:t>
              <w:tab/>
            </w:r>
            <w:r>
              <w:rPr>
                <w:rStyle w:val="IndexLink"/>
              </w:rPr>
              <w:t>346</w:t>
            </w:r>
          </w:hyperlink>
        </w:p>
        <w:p>
          <w:pPr>
            <w:pStyle w:val="Contents6"/>
            <w:tabs>
              <w:tab w:val="clear" w:pos="7609"/>
              <w:tab w:val="right" w:pos="9026" w:leader="dot"/>
            </w:tabs>
            <w:rPr/>
          </w:pPr>
          <w:hyperlink w:anchor="__RefHeading___Toc6530288_3224264995">
            <w:r>
              <w:rPr>
                <w:webHidden/>
                <w:rStyle w:val="IndexLink"/>
                <w:rtl w:val="true"/>
              </w:rPr>
              <w:t>[</w:t>
            </w:r>
            <w:r>
              <w:rPr>
                <w:rStyle w:val="IndexLink"/>
              </w:rPr>
              <w:t>5</w:t>
            </w:r>
            <w:r>
              <w:rPr>
                <w:rStyle w:val="IndexLink"/>
                <w:rtl w:val="true"/>
              </w:rPr>
              <w:t xml:space="preserve">- </w:t>
            </w:r>
            <w:r>
              <w:rPr>
                <w:rStyle w:val="IndexLink"/>
                <w:rtl w:val="true"/>
              </w:rPr>
              <w:t>استحباب لفافة أُخری لثدیی المرأة</w:t>
            </w:r>
            <w:r>
              <w:rPr>
                <w:rStyle w:val="IndexLink"/>
                <w:rtl w:val="true"/>
              </w:rPr>
              <w:t>]</w:t>
              <w:tab/>
            </w:r>
            <w:r>
              <w:rPr>
                <w:rStyle w:val="IndexLink"/>
              </w:rPr>
              <w:t>347</w:t>
            </w:r>
          </w:hyperlink>
        </w:p>
        <w:p>
          <w:pPr>
            <w:pStyle w:val="Contents6"/>
            <w:tabs>
              <w:tab w:val="clear" w:pos="7609"/>
              <w:tab w:val="right" w:pos="9026" w:leader="dot"/>
            </w:tabs>
            <w:rPr/>
          </w:pPr>
          <w:hyperlink w:anchor="__RefHeading___Toc6530290_3224264995">
            <w:r>
              <w:rPr>
                <w:webHidden/>
                <w:rStyle w:val="IndexLink"/>
                <w:rtl w:val="true"/>
              </w:rPr>
              <w:t>[</w:t>
            </w:r>
            <w:r>
              <w:rPr>
                <w:rStyle w:val="IndexLink"/>
              </w:rPr>
              <w:t>6</w:t>
            </w:r>
            <w:r>
              <w:rPr>
                <w:rStyle w:val="IndexLink"/>
                <w:rtl w:val="true"/>
              </w:rPr>
              <w:t xml:space="preserve">- </w:t>
            </w:r>
            <w:r>
              <w:rPr>
                <w:rStyle w:val="IndexLink"/>
                <w:rtl w:val="true"/>
              </w:rPr>
              <w:t>استحباب العمامة للرجل</w:t>
            </w:r>
            <w:r>
              <w:rPr>
                <w:rStyle w:val="IndexLink"/>
                <w:rtl w:val="true"/>
              </w:rPr>
              <w:t>]</w:t>
              <w:tab/>
            </w:r>
            <w:r>
              <w:rPr>
                <w:rStyle w:val="IndexLink"/>
              </w:rPr>
              <w:t>348</w:t>
            </w:r>
          </w:hyperlink>
        </w:p>
        <w:p>
          <w:pPr>
            <w:pStyle w:val="Contents6"/>
            <w:tabs>
              <w:tab w:val="clear" w:pos="7609"/>
              <w:tab w:val="right" w:pos="9026" w:leader="dot"/>
            </w:tabs>
            <w:rPr/>
          </w:pPr>
          <w:hyperlink w:anchor="__RefHeading___Toc6530292_3224264995">
            <w:r>
              <w:rPr>
                <w:webHidden/>
                <w:rStyle w:val="IndexLink"/>
                <w:rtl w:val="true"/>
              </w:rPr>
              <w:t>[</w:t>
            </w:r>
            <w:r>
              <w:rPr>
                <w:rStyle w:val="IndexLink"/>
              </w:rPr>
              <w:t>7</w:t>
            </w:r>
            <w:r>
              <w:rPr>
                <w:rStyle w:val="IndexLink"/>
                <w:rtl w:val="true"/>
              </w:rPr>
              <w:t xml:space="preserve">- </w:t>
            </w:r>
            <w:r>
              <w:rPr>
                <w:rStyle w:val="IndexLink"/>
                <w:rtl w:val="true"/>
              </w:rPr>
              <w:t>استحباب النمط للمرأة</w:t>
            </w:r>
            <w:r>
              <w:rPr>
                <w:rStyle w:val="IndexLink"/>
                <w:rtl w:val="true"/>
              </w:rPr>
              <w:t>]</w:t>
              <w:tab/>
            </w:r>
            <w:r>
              <w:rPr>
                <w:rStyle w:val="IndexLink"/>
              </w:rPr>
              <w:t>348</w:t>
            </w:r>
          </w:hyperlink>
        </w:p>
        <w:p>
          <w:pPr>
            <w:pStyle w:val="Contents6"/>
            <w:tabs>
              <w:tab w:val="clear" w:pos="7609"/>
              <w:tab w:val="right" w:pos="9026" w:leader="dot"/>
            </w:tabs>
            <w:rPr/>
          </w:pPr>
          <w:hyperlink w:anchor="__RefHeading___Toc6530294_3224264995">
            <w:r>
              <w:rPr>
                <w:webHidden/>
                <w:rStyle w:val="IndexLink"/>
                <w:rtl w:val="true"/>
              </w:rPr>
              <w:t>[</w:t>
            </w:r>
            <w:r>
              <w:rPr>
                <w:rStyle w:val="IndexLink"/>
              </w:rPr>
              <w:t>8</w:t>
            </w:r>
            <w:r>
              <w:rPr>
                <w:rStyle w:val="IndexLink"/>
                <w:rtl w:val="true"/>
              </w:rPr>
              <w:t xml:space="preserve">- </w:t>
            </w:r>
            <w:r>
              <w:rPr>
                <w:rStyle w:val="IndexLink"/>
                <w:rtl w:val="true"/>
              </w:rPr>
              <w:t>استحباب القناع للمرأة</w:t>
            </w:r>
            <w:r>
              <w:rPr>
                <w:rStyle w:val="IndexLink"/>
                <w:rtl w:val="true"/>
              </w:rPr>
              <w:t>]</w:t>
              <w:tab/>
            </w:r>
            <w:r>
              <w:rPr>
                <w:rStyle w:val="IndexLink"/>
              </w:rPr>
              <w:t>350</w:t>
            </w:r>
          </w:hyperlink>
        </w:p>
        <w:p>
          <w:pPr>
            <w:pStyle w:val="Contents6"/>
            <w:tabs>
              <w:tab w:val="clear" w:pos="7609"/>
              <w:tab w:val="right" w:pos="9026" w:leader="dot"/>
            </w:tabs>
            <w:rPr/>
          </w:pPr>
          <w:hyperlink w:anchor="__RefHeading___Toc6530296_3224264995">
            <w:r>
              <w:rPr>
                <w:webHidden/>
                <w:rStyle w:val="IndexLink"/>
                <w:rtl w:val="true"/>
              </w:rPr>
              <w:t>[</w:t>
            </w:r>
            <w:r>
              <w:rPr>
                <w:rStyle w:val="IndexLink"/>
              </w:rPr>
              <w:t>9</w:t>
            </w:r>
            <w:r>
              <w:rPr>
                <w:rStyle w:val="IndexLink"/>
                <w:rtl w:val="true"/>
              </w:rPr>
              <w:t xml:space="preserve">- </w:t>
            </w:r>
            <w:r>
              <w:rPr>
                <w:rStyle w:val="IndexLink"/>
                <w:rtl w:val="true"/>
              </w:rPr>
              <w:t>استحباب نثر الذریرة علی الکفن</w:t>
            </w:r>
            <w:r>
              <w:rPr>
                <w:rStyle w:val="IndexLink"/>
                <w:rtl w:val="true"/>
              </w:rPr>
              <w:t>]</w:t>
              <w:tab/>
            </w:r>
            <w:r>
              <w:rPr>
                <w:rStyle w:val="IndexLink"/>
              </w:rPr>
              <w:t>350</w:t>
            </w:r>
          </w:hyperlink>
        </w:p>
        <w:p>
          <w:pPr>
            <w:pStyle w:val="Contents6"/>
            <w:tabs>
              <w:tab w:val="clear" w:pos="7609"/>
              <w:tab w:val="right" w:pos="9026" w:leader="dot"/>
            </w:tabs>
            <w:rPr/>
          </w:pPr>
          <w:hyperlink w:anchor="__RefHeading___Toc6530298_3224264995">
            <w:r>
              <w:rPr>
                <w:webHidden/>
                <w:rStyle w:val="IndexLink"/>
                <w:rtl w:val="true"/>
              </w:rPr>
              <w:t>[</w:t>
            </w:r>
            <w:r>
              <w:rPr>
                <w:rStyle w:val="IndexLink"/>
              </w:rPr>
              <w:t>10</w:t>
            </w:r>
            <w:r>
              <w:rPr>
                <w:rStyle w:val="IndexLink"/>
                <w:rtl w:val="true"/>
              </w:rPr>
              <w:t xml:space="preserve">- </w:t>
            </w:r>
            <w:r>
              <w:rPr>
                <w:rStyle w:val="IndexLink"/>
                <w:rtl w:val="true"/>
              </w:rPr>
              <w:t>استحباب جعل جریدتین مع المیت</w:t>
            </w:r>
            <w:r>
              <w:rPr>
                <w:rStyle w:val="IndexLink"/>
                <w:rtl w:val="true"/>
              </w:rPr>
              <w:t>]</w:t>
              <w:tab/>
            </w:r>
            <w:r>
              <w:rPr>
                <w:rStyle w:val="IndexLink"/>
              </w:rPr>
              <w:t>351</w:t>
            </w:r>
          </w:hyperlink>
        </w:p>
        <w:p>
          <w:pPr>
            <w:pStyle w:val="Contents6"/>
            <w:tabs>
              <w:tab w:val="clear" w:pos="7609"/>
              <w:tab w:val="right" w:pos="9026" w:leader="dot"/>
            </w:tabs>
            <w:rPr/>
          </w:pPr>
          <w:hyperlink w:anchor="__RefHeading___Toc6530300_3224264995">
            <w:r>
              <w:rPr>
                <w:webHidden/>
                <w:rStyle w:val="IndexLink"/>
                <w:rtl w:val="true"/>
              </w:rPr>
              <w:t>[</w:t>
            </w:r>
            <w:r>
              <w:rPr>
                <w:rStyle w:val="IndexLink"/>
              </w:rPr>
              <w:t>11</w:t>
            </w:r>
            <w:r>
              <w:rPr>
                <w:rStyle w:val="IndexLink"/>
                <w:rtl w:val="true"/>
              </w:rPr>
              <w:t xml:space="preserve">- </w:t>
            </w:r>
            <w:r>
              <w:rPr>
                <w:rStyle w:val="IndexLink"/>
                <w:rtl w:val="true"/>
              </w:rPr>
              <w:t>استحباب کتابة اسم المیّت و الشهادتین علی الکفن و الجریدتین</w:t>
            </w:r>
            <w:r>
              <w:rPr>
                <w:rStyle w:val="IndexLink"/>
                <w:rtl w:val="true"/>
              </w:rPr>
              <w:t>]</w:t>
              <w:tab/>
            </w:r>
            <w:r>
              <w:rPr>
                <w:rStyle w:val="IndexLink"/>
              </w:rPr>
              <w:t>361</w:t>
            </w:r>
          </w:hyperlink>
        </w:p>
        <w:p>
          <w:pPr>
            <w:pStyle w:val="Contents6"/>
            <w:tabs>
              <w:tab w:val="clear" w:pos="7609"/>
              <w:tab w:val="right" w:pos="9026" w:leader="dot"/>
            </w:tabs>
            <w:rPr/>
          </w:pPr>
          <w:hyperlink w:anchor="__RefHeading___Toc6530302_3224264995">
            <w:r>
              <w:rPr>
                <w:webHidden/>
                <w:rStyle w:val="IndexLink"/>
                <w:rtl w:val="true"/>
              </w:rPr>
              <w:t>[</w:t>
            </w:r>
            <w:r>
              <w:rPr>
                <w:rStyle w:val="IndexLink"/>
              </w:rPr>
              <w:t>12</w:t>
            </w:r>
            <w:r>
              <w:rPr>
                <w:rStyle w:val="IndexLink"/>
                <w:rtl w:val="true"/>
              </w:rPr>
              <w:t xml:space="preserve">- </w:t>
            </w:r>
            <w:r>
              <w:rPr>
                <w:rStyle w:val="IndexLink"/>
                <w:rtl w:val="true"/>
              </w:rPr>
              <w:t>استحباب الکتابة بالتربة الحسینیّة</w:t>
            </w:r>
            <w:r>
              <w:rPr>
                <w:rStyle w:val="IndexLink"/>
                <w:rtl w:val="true"/>
              </w:rPr>
              <w:t>]</w:t>
              <w:tab/>
            </w:r>
            <w:r>
              <w:rPr>
                <w:rStyle w:val="IndexLink"/>
              </w:rPr>
              <w:t>365</w:t>
            </w:r>
          </w:hyperlink>
        </w:p>
        <w:p>
          <w:pPr>
            <w:pStyle w:val="Contents6"/>
            <w:tabs>
              <w:tab w:val="clear" w:pos="7609"/>
              <w:tab w:val="right" w:pos="9026" w:leader="dot"/>
            </w:tabs>
            <w:rPr/>
          </w:pPr>
          <w:hyperlink w:anchor="__RefHeading___Toc6530304_3224264995">
            <w:r>
              <w:rPr>
                <w:webHidden/>
                <w:rStyle w:val="IndexLink"/>
                <w:rtl w:val="true"/>
              </w:rPr>
              <w:t>[</w:t>
            </w:r>
            <w:r>
              <w:rPr>
                <w:rStyle w:val="IndexLink"/>
              </w:rPr>
              <w:t>13</w:t>
            </w:r>
            <w:r>
              <w:rPr>
                <w:rStyle w:val="IndexLink"/>
                <w:rtl w:val="true"/>
              </w:rPr>
              <w:t xml:space="preserve">- </w:t>
            </w:r>
            <w:r>
              <w:rPr>
                <w:rStyle w:val="IndexLink"/>
                <w:rtl w:val="true"/>
              </w:rPr>
              <w:t>استحباب سحق الکافور بالید</w:t>
            </w:r>
            <w:r>
              <w:rPr>
                <w:rStyle w:val="IndexLink"/>
                <w:rtl w:val="true"/>
              </w:rPr>
              <w:t>]</w:t>
              <w:tab/>
            </w:r>
            <w:r>
              <w:rPr>
                <w:rStyle w:val="IndexLink"/>
              </w:rPr>
              <w:t>366</w:t>
            </w:r>
          </w:hyperlink>
        </w:p>
        <w:p>
          <w:pPr>
            <w:pStyle w:val="Contents6"/>
            <w:tabs>
              <w:tab w:val="clear" w:pos="7609"/>
              <w:tab w:val="right" w:pos="9026" w:leader="dot"/>
            </w:tabs>
            <w:rPr/>
          </w:pPr>
          <w:hyperlink w:anchor="__RefHeading___Toc6530306_3224264995">
            <w:r>
              <w:rPr>
                <w:webHidden/>
                <w:rStyle w:val="IndexLink"/>
                <w:rtl w:val="true"/>
              </w:rPr>
              <w:t>[</w:t>
            </w:r>
            <w:r>
              <w:rPr>
                <w:rStyle w:val="IndexLink"/>
              </w:rPr>
              <w:t>14</w:t>
            </w:r>
            <w:r>
              <w:rPr>
                <w:rStyle w:val="IndexLink"/>
                <w:rtl w:val="true"/>
              </w:rPr>
              <w:t xml:space="preserve">- </w:t>
            </w:r>
            <w:r>
              <w:rPr>
                <w:rStyle w:val="IndexLink"/>
                <w:rtl w:val="true"/>
              </w:rPr>
              <w:t>استحباب جعل فاضل الکافور علی صدر المیت</w:t>
            </w:r>
            <w:r>
              <w:rPr>
                <w:rStyle w:val="IndexLink"/>
                <w:rtl w:val="true"/>
              </w:rPr>
              <w:t>]</w:t>
              <w:tab/>
            </w:r>
            <w:r>
              <w:rPr>
                <w:rStyle w:val="IndexLink"/>
              </w:rPr>
              <w:t>367</w:t>
            </w:r>
          </w:hyperlink>
        </w:p>
        <w:p>
          <w:pPr>
            <w:pStyle w:val="Contents6"/>
            <w:tabs>
              <w:tab w:val="clear" w:pos="7609"/>
              <w:tab w:val="right" w:pos="9026" w:leader="dot"/>
            </w:tabs>
            <w:rPr/>
          </w:pPr>
          <w:hyperlink w:anchor="__RefHeading___Toc6530308_3224264995">
            <w:r>
              <w:rPr>
                <w:webHidden/>
                <w:rStyle w:val="IndexLink"/>
                <w:rtl w:val="true"/>
              </w:rPr>
              <w:t>[</w:t>
            </w:r>
            <w:r>
              <w:rPr>
                <w:rStyle w:val="IndexLink"/>
              </w:rPr>
              <w:t>15</w:t>
            </w:r>
            <w:r>
              <w:rPr>
                <w:rStyle w:val="IndexLink"/>
                <w:rtl w:val="true"/>
              </w:rPr>
              <w:t xml:space="preserve">- </w:t>
            </w:r>
            <w:r>
              <w:rPr>
                <w:rStyle w:val="IndexLink"/>
                <w:rtl w:val="true"/>
              </w:rPr>
              <w:t>استحباب خیاطة الکفن بخیوطه</w:t>
            </w:r>
            <w:r>
              <w:rPr>
                <w:rStyle w:val="IndexLink"/>
                <w:rtl w:val="true"/>
              </w:rPr>
              <w:t>]</w:t>
              <w:tab/>
            </w:r>
            <w:r>
              <w:rPr>
                <w:rStyle w:val="IndexLink"/>
              </w:rPr>
              <w:t>367</w:t>
            </w:r>
          </w:hyperlink>
        </w:p>
        <w:p>
          <w:pPr>
            <w:pStyle w:val="Contents6"/>
            <w:tabs>
              <w:tab w:val="clear" w:pos="7609"/>
              <w:tab w:val="right" w:pos="9026" w:leader="dot"/>
            </w:tabs>
            <w:rPr/>
          </w:pPr>
          <w:hyperlink w:anchor="__RefHeading___Toc6530310_3224264995">
            <w:r>
              <w:rPr>
                <w:webHidden/>
                <w:rStyle w:val="IndexLink"/>
                <w:rtl w:val="true"/>
              </w:rPr>
              <w:t>[</w:t>
            </w:r>
            <w:r>
              <w:rPr>
                <w:rStyle w:val="IndexLink"/>
              </w:rPr>
              <w:t>16</w:t>
            </w:r>
            <w:r>
              <w:rPr>
                <w:rStyle w:val="IndexLink"/>
                <w:rtl w:val="true"/>
              </w:rPr>
              <w:t xml:space="preserve">- </w:t>
            </w:r>
            <w:r>
              <w:rPr>
                <w:rStyle w:val="IndexLink"/>
                <w:rtl w:val="true"/>
              </w:rPr>
              <w:t>استحباب التکفین بالقطن</w:t>
            </w:r>
            <w:r>
              <w:rPr>
                <w:rStyle w:val="IndexLink"/>
                <w:rtl w:val="true"/>
              </w:rPr>
              <w:t>]</w:t>
              <w:tab/>
            </w:r>
            <w:r>
              <w:rPr>
                <w:rStyle w:val="IndexLink"/>
              </w:rPr>
              <w:t>368</w:t>
            </w:r>
          </w:hyperlink>
        </w:p>
        <w:p>
          <w:pPr>
            <w:pStyle w:val="Contents6"/>
            <w:tabs>
              <w:tab w:val="clear" w:pos="7609"/>
              <w:tab w:val="right" w:pos="9026" w:leader="dot"/>
            </w:tabs>
            <w:rPr/>
          </w:pPr>
          <w:hyperlink w:anchor="__RefHeading___Toc6530312_3224264995">
            <w:r>
              <w:rPr>
                <w:webHidden/>
                <w:rStyle w:val="IndexLink"/>
                <w:rtl w:val="true"/>
              </w:rPr>
              <w:t>[</w:t>
            </w:r>
            <w:r>
              <w:rPr>
                <w:rStyle w:val="IndexLink"/>
                <w:rtl w:val="true"/>
              </w:rPr>
              <w:t>ما یکره فی التکفین</w:t>
            </w:r>
            <w:r>
              <w:rPr>
                <w:rStyle w:val="IndexLink"/>
                <w:rtl w:val="true"/>
              </w:rPr>
              <w:t>]</w:t>
              <w:tab/>
            </w:r>
            <w:r>
              <w:rPr>
                <w:rStyle w:val="IndexLink"/>
              </w:rPr>
              <w:t>368</w:t>
            </w:r>
          </w:hyperlink>
        </w:p>
        <w:p>
          <w:pPr>
            <w:pStyle w:val="Contents6"/>
            <w:tabs>
              <w:tab w:val="clear" w:pos="7609"/>
              <w:tab w:val="right" w:pos="9026" w:leader="dot"/>
            </w:tabs>
            <w:rPr/>
          </w:pPr>
          <w:hyperlink w:anchor="__RefHeading___Toc6530314_3224264995">
            <w:r>
              <w:rPr>
                <w:webHidden/>
                <w:rStyle w:val="IndexLink"/>
                <w:rtl w:val="true"/>
              </w:rPr>
              <w:t>[</w:t>
            </w:r>
            <w:r>
              <w:rPr>
                <w:rStyle w:val="IndexLink"/>
              </w:rPr>
              <w:t>1</w:t>
            </w:r>
            <w:r>
              <w:rPr>
                <w:rStyle w:val="IndexLink"/>
                <w:rtl w:val="true"/>
              </w:rPr>
              <w:t xml:space="preserve">- </w:t>
            </w:r>
            <w:r>
              <w:rPr>
                <w:rStyle w:val="IndexLink"/>
                <w:rtl w:val="true"/>
              </w:rPr>
              <w:t>کراهة التکفین بالکَتّان</w:t>
            </w:r>
            <w:r>
              <w:rPr>
                <w:rStyle w:val="IndexLink"/>
                <w:rtl w:val="true"/>
              </w:rPr>
              <w:t>]</w:t>
              <w:tab/>
            </w:r>
            <w:r>
              <w:rPr>
                <w:rStyle w:val="IndexLink"/>
              </w:rPr>
              <w:t>368</w:t>
            </w:r>
          </w:hyperlink>
        </w:p>
        <w:p>
          <w:pPr>
            <w:pStyle w:val="Contents6"/>
            <w:tabs>
              <w:tab w:val="clear" w:pos="7609"/>
              <w:tab w:val="right" w:pos="9026" w:leader="dot"/>
            </w:tabs>
            <w:rPr/>
          </w:pPr>
          <w:hyperlink w:anchor="__RefHeading___Toc6530316_3224264995">
            <w:r>
              <w:rPr>
                <w:webHidden/>
                <w:rStyle w:val="IndexLink"/>
                <w:rtl w:val="true"/>
              </w:rPr>
              <w:t>[</w:t>
            </w:r>
            <w:r>
              <w:rPr>
                <w:rStyle w:val="IndexLink"/>
              </w:rPr>
              <w:t>2</w:t>
            </w:r>
            <w:r>
              <w:rPr>
                <w:rStyle w:val="IndexLink"/>
                <w:rtl w:val="true"/>
              </w:rPr>
              <w:t xml:space="preserve">- </w:t>
            </w:r>
            <w:r>
              <w:rPr>
                <w:rStyle w:val="IndexLink"/>
                <w:rtl w:val="true"/>
              </w:rPr>
              <w:t>کراهة جعل الأکمام المبتدأة للقمیص</w:t>
            </w:r>
            <w:r>
              <w:rPr>
                <w:rStyle w:val="IndexLink"/>
                <w:rtl w:val="true"/>
              </w:rPr>
              <w:t>]</w:t>
              <w:tab/>
            </w:r>
            <w:r>
              <w:rPr>
                <w:rStyle w:val="IndexLink"/>
              </w:rPr>
              <w:t>369</w:t>
            </w:r>
          </w:hyperlink>
        </w:p>
        <w:p>
          <w:pPr>
            <w:pStyle w:val="Contents6"/>
            <w:tabs>
              <w:tab w:val="clear" w:pos="7609"/>
              <w:tab w:val="right" w:pos="9026" w:leader="dot"/>
            </w:tabs>
            <w:rPr/>
          </w:pPr>
          <w:hyperlink w:anchor="__RefHeading___Toc6530318_3224264995">
            <w:r>
              <w:rPr>
                <w:webHidden/>
                <w:rStyle w:val="IndexLink"/>
                <w:rtl w:val="true"/>
              </w:rPr>
              <w:t>[</w:t>
            </w:r>
            <w:r>
              <w:rPr>
                <w:rStyle w:val="IndexLink"/>
              </w:rPr>
              <w:t>3</w:t>
            </w:r>
            <w:r>
              <w:rPr>
                <w:rStyle w:val="IndexLink"/>
                <w:rtl w:val="true"/>
              </w:rPr>
              <w:t xml:space="preserve">- </w:t>
            </w:r>
            <w:r>
              <w:rPr>
                <w:rStyle w:val="IndexLink"/>
                <w:rtl w:val="true"/>
              </w:rPr>
              <w:t>کراهة الکِتابة علی الکفن بالسواد</w:t>
            </w:r>
            <w:r>
              <w:rPr>
                <w:rStyle w:val="IndexLink"/>
                <w:rtl w:val="true"/>
              </w:rPr>
              <w:t>]</w:t>
              <w:tab/>
            </w:r>
            <w:r>
              <w:rPr>
                <w:rStyle w:val="IndexLink"/>
              </w:rPr>
              <w:t>370</w:t>
            </w:r>
          </w:hyperlink>
        </w:p>
        <w:p>
          <w:pPr>
            <w:pStyle w:val="Contents6"/>
            <w:tabs>
              <w:tab w:val="clear" w:pos="7609"/>
              <w:tab w:val="right" w:pos="9026" w:leader="dot"/>
            </w:tabs>
            <w:rPr/>
          </w:pPr>
          <w:hyperlink w:anchor="__RefHeading___Toc6530320_3224264995">
            <w:r>
              <w:rPr>
                <w:webHidden/>
                <w:rStyle w:val="IndexLink"/>
                <w:rtl w:val="true"/>
              </w:rPr>
              <w:t>[</w:t>
            </w:r>
            <w:r>
              <w:rPr>
                <w:rStyle w:val="IndexLink"/>
              </w:rPr>
              <w:t>4</w:t>
            </w:r>
            <w:r>
              <w:rPr>
                <w:rStyle w:val="IndexLink"/>
                <w:rtl w:val="true"/>
              </w:rPr>
              <w:t xml:space="preserve">- </w:t>
            </w:r>
            <w:r>
              <w:rPr>
                <w:rStyle w:val="IndexLink"/>
                <w:rtl w:val="true"/>
              </w:rPr>
              <w:t>کراهة جعل الکافور فی سمعه و بصره</w:t>
            </w:r>
            <w:r>
              <w:rPr>
                <w:rStyle w:val="IndexLink"/>
                <w:rtl w:val="true"/>
              </w:rPr>
              <w:t>]</w:t>
              <w:tab/>
            </w:r>
            <w:r>
              <w:rPr>
                <w:rStyle w:val="IndexLink"/>
              </w:rPr>
              <w:t>371</w:t>
            </w:r>
          </w:hyperlink>
        </w:p>
        <w:p>
          <w:pPr>
            <w:pStyle w:val="Contents6"/>
            <w:tabs>
              <w:tab w:val="clear" w:pos="7609"/>
              <w:tab w:val="right" w:pos="9026" w:leader="dot"/>
            </w:tabs>
            <w:rPr/>
          </w:pPr>
          <w:hyperlink w:anchor="__RefHeading___Toc6530322_3224264995">
            <w:r>
              <w:rPr>
                <w:webHidden/>
                <w:rStyle w:val="IndexLink"/>
                <w:rtl w:val="true"/>
              </w:rPr>
              <w:t>[</w:t>
            </w:r>
            <w:r>
              <w:rPr>
                <w:rStyle w:val="IndexLink"/>
                <w:rtl w:val="true"/>
              </w:rPr>
              <w:t>کراهة تجمیر الأکفان</w:t>
            </w:r>
            <w:r>
              <w:rPr>
                <w:rStyle w:val="IndexLink"/>
                <w:rtl w:val="true"/>
              </w:rPr>
              <w:t>]</w:t>
              <w:tab/>
            </w:r>
            <w:r>
              <w:rPr>
                <w:rStyle w:val="IndexLink"/>
              </w:rPr>
              <w:t>371</w:t>
            </w:r>
          </w:hyperlink>
        </w:p>
        <w:p>
          <w:pPr>
            <w:pStyle w:val="Contents6"/>
            <w:tabs>
              <w:tab w:val="clear" w:pos="7609"/>
              <w:tab w:val="right" w:pos="9026" w:leader="dot"/>
            </w:tabs>
            <w:rPr/>
          </w:pPr>
          <w:hyperlink w:anchor="__RefHeading___Toc6530324_3224264995">
            <w:r>
              <w:rPr>
                <w:webHidden/>
                <w:rStyle w:val="IndexLink"/>
                <w:rtl w:val="true"/>
              </w:rPr>
              <w:t>[</w:t>
            </w:r>
            <w:r>
              <w:rPr>
                <w:rStyle w:val="IndexLink"/>
                <w:rtl w:val="true"/>
              </w:rPr>
              <w:t>فروع</w:t>
            </w:r>
            <w:r>
              <w:rPr>
                <w:rStyle w:val="IndexLink"/>
                <w:rtl w:val="true"/>
              </w:rPr>
              <w:t>]</w:t>
              <w:tab/>
            </w:r>
            <w:r>
              <w:rPr>
                <w:rStyle w:val="IndexLink"/>
              </w:rPr>
              <w:t>372</w:t>
            </w:r>
          </w:hyperlink>
        </w:p>
        <w:p>
          <w:pPr>
            <w:pStyle w:val="Contents6"/>
            <w:tabs>
              <w:tab w:val="clear" w:pos="7609"/>
              <w:tab w:val="right" w:pos="9026" w:leader="dot"/>
            </w:tabs>
            <w:rPr/>
          </w:pPr>
          <w:hyperlink w:anchor="__RefHeading___Toc6530326_3224264995">
            <w:r>
              <w:rPr>
                <w:webHidden/>
                <w:rStyle w:val="IndexLink"/>
                <w:rtl w:val="true"/>
              </w:rPr>
              <w:t>[</w:t>
            </w:r>
            <w:r>
              <w:rPr>
                <w:rStyle w:val="IndexLink"/>
                <w:rtl w:val="true"/>
              </w:rPr>
              <w:t>کفن المرأة واجب علی زوجها</w:t>
            </w:r>
            <w:r>
              <w:rPr>
                <w:rStyle w:val="IndexLink"/>
                <w:rtl w:val="true"/>
              </w:rPr>
              <w:t>]</w:t>
              <w:tab/>
            </w:r>
            <w:r>
              <w:rPr>
                <w:rStyle w:val="IndexLink"/>
              </w:rPr>
              <w:t>372</w:t>
            </w:r>
          </w:hyperlink>
        </w:p>
        <w:p>
          <w:pPr>
            <w:pStyle w:val="Contents6"/>
            <w:tabs>
              <w:tab w:val="clear" w:pos="7609"/>
              <w:tab w:val="right" w:pos="9026" w:leader="dot"/>
            </w:tabs>
            <w:rPr/>
          </w:pPr>
          <w:hyperlink w:anchor="__RefHeading___Toc6530328_3224264995">
            <w:r>
              <w:rPr>
                <w:webHidden/>
                <w:rStyle w:val="IndexLink"/>
                <w:rtl w:val="true"/>
              </w:rPr>
              <w:t>[</w:t>
            </w:r>
            <w:r>
              <w:rPr>
                <w:rStyle w:val="IndexLink"/>
                <w:rtl w:val="true"/>
              </w:rPr>
              <w:t>یقدّم الکفن الواجب ثم الدیون ثم الوصایا ثم المیراث</w:t>
            </w:r>
            <w:r>
              <w:rPr>
                <w:rStyle w:val="IndexLink"/>
                <w:rtl w:val="true"/>
              </w:rPr>
              <w:t>]</w:t>
              <w:tab/>
            </w:r>
            <w:r>
              <w:rPr>
                <w:rStyle w:val="IndexLink"/>
              </w:rPr>
              <w:t>381</w:t>
            </w:r>
          </w:hyperlink>
        </w:p>
        <w:p>
          <w:pPr>
            <w:pStyle w:val="Contents6"/>
            <w:tabs>
              <w:tab w:val="clear" w:pos="7609"/>
              <w:tab w:val="right" w:pos="9026" w:leader="dot"/>
            </w:tabs>
            <w:rPr/>
          </w:pPr>
          <w:hyperlink w:anchor="__RefHeading___Toc6530330_3224264995">
            <w:r>
              <w:rPr>
                <w:webHidden/>
                <w:rStyle w:val="IndexLink"/>
                <w:rtl w:val="true"/>
              </w:rPr>
              <w:t>[</w:t>
            </w:r>
            <w:r>
              <w:rPr>
                <w:rStyle w:val="IndexLink"/>
                <w:rtl w:val="true"/>
              </w:rPr>
              <w:t>یستحبّ للمسلمین بذل الکفن للمیّت لو فقد</w:t>
            </w:r>
            <w:r>
              <w:rPr>
                <w:rStyle w:val="IndexLink"/>
                <w:rtl w:val="true"/>
              </w:rPr>
              <w:t>]</w:t>
              <w:tab/>
            </w:r>
            <w:r>
              <w:rPr>
                <w:rStyle w:val="IndexLink"/>
              </w:rPr>
              <w:t>386</w:t>
            </w:r>
          </w:hyperlink>
        </w:p>
        <w:p>
          <w:pPr>
            <w:pStyle w:val="Contents6"/>
            <w:tabs>
              <w:tab w:val="clear" w:pos="7609"/>
              <w:tab w:val="right" w:pos="9026" w:leader="dot"/>
            </w:tabs>
            <w:rPr/>
          </w:pPr>
          <w:hyperlink w:anchor="__RefHeading___Toc6530332_3224264995">
            <w:r>
              <w:rPr>
                <w:webHidden/>
                <w:rStyle w:val="IndexLink"/>
                <w:rtl w:val="true"/>
              </w:rPr>
              <w:t>[</w:t>
            </w:r>
            <w:r>
              <w:rPr>
                <w:rStyle w:val="IndexLink"/>
                <w:rtl w:val="true"/>
              </w:rPr>
              <w:t>لو خرج من المیت نجاسة</w:t>
            </w:r>
            <w:r>
              <w:rPr>
                <w:rStyle w:val="IndexLink"/>
                <w:rtl w:val="true"/>
              </w:rPr>
              <w:t>]</w:t>
              <w:tab/>
            </w:r>
            <w:r>
              <w:rPr>
                <w:rStyle w:val="IndexLink"/>
              </w:rPr>
              <w:t>392</w:t>
            </w:r>
          </w:hyperlink>
        </w:p>
        <w:p>
          <w:pPr>
            <w:pStyle w:val="Contents6"/>
            <w:tabs>
              <w:tab w:val="clear" w:pos="7609"/>
              <w:tab w:val="right" w:pos="9026" w:leader="dot"/>
            </w:tabs>
            <w:rPr/>
          </w:pPr>
          <w:hyperlink w:anchor="__RefHeading___Toc6530334_3224264995">
            <w:r>
              <w:rPr>
                <w:webHidden/>
                <w:rStyle w:val="IndexLink"/>
                <w:rtl w:val="true"/>
              </w:rPr>
              <w:t>[</w:t>
            </w:r>
            <w:r>
              <w:rPr>
                <w:rStyle w:val="IndexLink"/>
                <w:rtl w:val="true"/>
              </w:rPr>
              <w:t>لو أصابت النجاسة الکفن بعد وضعه فی القبر</w:t>
            </w:r>
            <w:r>
              <w:rPr>
                <w:rStyle w:val="IndexLink"/>
                <w:rtl w:val="true"/>
              </w:rPr>
              <w:t>]</w:t>
              <w:tab/>
            </w:r>
            <w:r>
              <w:rPr>
                <w:rStyle w:val="IndexLink"/>
              </w:rPr>
              <w:t>396</w:t>
            </w:r>
          </w:hyperlink>
        </w:p>
        <w:p>
          <w:pPr>
            <w:pStyle w:val="Contents6"/>
            <w:tabs>
              <w:tab w:val="clear" w:pos="7609"/>
              <w:tab w:val="right" w:pos="9026" w:leader="dot"/>
            </w:tabs>
            <w:rPr/>
          </w:pPr>
          <w:hyperlink w:anchor="__RefHeading___Toc6530336_3224264995">
            <w:r>
              <w:rPr>
                <w:webHidden/>
                <w:rStyle w:val="IndexLink"/>
                <w:rtl w:val="true"/>
              </w:rPr>
              <w:t>[</w:t>
            </w:r>
            <w:r>
              <w:rPr>
                <w:rStyle w:val="IndexLink"/>
                <w:rtl w:val="true"/>
              </w:rPr>
              <w:t>یجب أن یطرح مع المیت فی الکفن کلّ ما سقط من شعره و جسمه و ظفره و جلده</w:t>
            </w:r>
            <w:r>
              <w:rPr>
                <w:rStyle w:val="IndexLink"/>
                <w:rtl w:val="true"/>
              </w:rPr>
              <w:t>]</w:t>
              <w:tab/>
            </w:r>
            <w:r>
              <w:rPr>
                <w:rStyle w:val="IndexLink"/>
              </w:rPr>
              <w:t>399</w:t>
            </w:r>
          </w:hyperlink>
        </w:p>
        <w:p>
          <w:pPr>
            <w:pStyle w:val="Contents6"/>
            <w:tabs>
              <w:tab w:val="clear" w:pos="7609"/>
              <w:tab w:val="right" w:pos="9026" w:leader="dot"/>
            </w:tabs>
            <w:rPr/>
          </w:pPr>
          <w:hyperlink w:anchor="__RefHeading___Toc6530338_3224264995">
            <w:r>
              <w:rPr>
                <w:webHidden/>
                <w:rStyle w:val="IndexLink"/>
                <w:rtl w:val="true"/>
              </w:rPr>
              <w:t>[</w:t>
            </w:r>
            <w:r>
              <w:rPr>
                <w:rStyle w:val="IndexLink"/>
                <w:rtl w:val="true"/>
              </w:rPr>
              <w:t>الشهید فی المعرکة یصلّی علیه من غیر غسل و لا کفن</w:t>
            </w:r>
            <w:r>
              <w:rPr>
                <w:rStyle w:val="IndexLink"/>
                <w:rtl w:val="true"/>
              </w:rPr>
              <w:t>]</w:t>
              <w:tab/>
            </w:r>
            <w:r>
              <w:rPr>
                <w:rStyle w:val="IndexLink"/>
              </w:rPr>
              <w:t>400</w:t>
            </w:r>
          </w:hyperlink>
        </w:p>
        <w:p>
          <w:pPr>
            <w:pStyle w:val="Contents6"/>
            <w:tabs>
              <w:tab w:val="clear" w:pos="7609"/>
              <w:tab w:val="right" w:pos="9026" w:leader="dot"/>
            </w:tabs>
            <w:rPr/>
          </w:pPr>
          <w:hyperlink w:anchor="__RefHeading___Toc6530340_3224264995">
            <w:r>
              <w:rPr>
                <w:webHidden/>
                <w:rStyle w:val="IndexLink"/>
                <w:rtl w:val="true"/>
              </w:rPr>
              <w:t>[</w:t>
            </w:r>
            <w:r>
              <w:rPr>
                <w:rStyle w:val="IndexLink"/>
                <w:rtl w:val="true"/>
              </w:rPr>
              <w:t>صدر المیّت کالمیّت فی جمیع أحکامه</w:t>
            </w:r>
            <w:r>
              <w:rPr>
                <w:rStyle w:val="IndexLink"/>
                <w:rtl w:val="true"/>
              </w:rPr>
              <w:t>]</w:t>
              <w:tab/>
            </w:r>
            <w:r>
              <w:rPr>
                <w:rStyle w:val="IndexLink"/>
              </w:rPr>
              <w:t>408</w:t>
            </w:r>
          </w:hyperlink>
        </w:p>
        <w:p>
          <w:pPr>
            <w:pStyle w:val="Contents6"/>
            <w:tabs>
              <w:tab w:val="clear" w:pos="7609"/>
              <w:tab w:val="right" w:pos="9026" w:leader="dot"/>
            </w:tabs>
            <w:rPr/>
          </w:pPr>
          <w:hyperlink w:anchor="__RefHeading___Toc6530342_3224264995">
            <w:r>
              <w:rPr>
                <w:webHidden/>
                <w:rStyle w:val="IndexLink"/>
                <w:rtl w:val="true"/>
              </w:rPr>
              <w:t>[</w:t>
            </w:r>
            <w:r>
              <w:rPr>
                <w:rStyle w:val="IndexLink"/>
                <w:rtl w:val="true"/>
              </w:rPr>
              <w:t>ذات العظم و السقط لأربعة أشهر حکمها کالصدر إلّا فی الصلاة</w:t>
            </w:r>
            <w:r>
              <w:rPr>
                <w:rStyle w:val="IndexLink"/>
                <w:rtl w:val="true"/>
              </w:rPr>
              <w:t>]</w:t>
              <w:tab/>
            </w:r>
            <w:r>
              <w:rPr>
                <w:rStyle w:val="IndexLink"/>
              </w:rPr>
              <w:t>412</w:t>
            </w:r>
          </w:hyperlink>
        </w:p>
        <w:p>
          <w:pPr>
            <w:pStyle w:val="Contents6"/>
            <w:tabs>
              <w:tab w:val="clear" w:pos="7609"/>
              <w:tab w:val="right" w:pos="9026" w:leader="dot"/>
            </w:tabs>
            <w:rPr/>
          </w:pPr>
          <w:hyperlink w:anchor="__RefHeading___Toc6530344_3224264995">
            <w:r>
              <w:rPr>
                <w:webHidden/>
                <w:rStyle w:val="IndexLink"/>
                <w:rtl w:val="true"/>
              </w:rPr>
              <w:t>[</w:t>
            </w:r>
            <w:r>
              <w:rPr>
                <w:rStyle w:val="IndexLink"/>
                <w:rtl w:val="true"/>
              </w:rPr>
              <w:t>و القطعة الخالیة عن العظم تلفّ فی خرقة و تدفن</w:t>
            </w:r>
            <w:r>
              <w:rPr>
                <w:rStyle w:val="IndexLink"/>
                <w:rtl w:val="true"/>
              </w:rPr>
              <w:t>]</w:t>
              <w:tab/>
            </w:r>
            <w:r>
              <w:rPr>
                <w:rStyle w:val="IndexLink"/>
              </w:rPr>
              <w:t>420</w:t>
            </w:r>
          </w:hyperlink>
        </w:p>
        <w:p>
          <w:pPr>
            <w:pStyle w:val="Contents6"/>
            <w:tabs>
              <w:tab w:val="clear" w:pos="7609"/>
              <w:tab w:val="right" w:pos="9026" w:leader="dot"/>
            </w:tabs>
            <w:rPr/>
          </w:pPr>
          <w:hyperlink w:anchor="__RefHeading___Toc6530346_3224264995">
            <w:r>
              <w:rPr>
                <w:webHidden/>
                <w:rStyle w:val="IndexLink"/>
                <w:rtl w:val="true"/>
              </w:rPr>
              <w:t>[</w:t>
            </w:r>
            <w:r>
              <w:rPr>
                <w:rStyle w:val="IndexLink"/>
                <w:rtl w:val="true"/>
              </w:rPr>
              <w:t>و کذا السقط لأقلّ من أربعة</w:t>
            </w:r>
            <w:r>
              <w:rPr>
                <w:rStyle w:val="IndexLink"/>
                <w:rtl w:val="true"/>
              </w:rPr>
              <w:t>]</w:t>
              <w:tab/>
            </w:r>
            <w:r>
              <w:rPr>
                <w:rStyle w:val="IndexLink"/>
              </w:rPr>
              <w:t>421</w:t>
            </w:r>
          </w:hyperlink>
        </w:p>
        <w:p>
          <w:pPr>
            <w:pStyle w:val="Contents6"/>
            <w:tabs>
              <w:tab w:val="clear" w:pos="7609"/>
              <w:tab w:val="right" w:pos="9026" w:leader="dot"/>
            </w:tabs>
            <w:rPr/>
          </w:pPr>
          <w:hyperlink w:anchor="__RefHeading___Toc6530348_3224264995">
            <w:r>
              <w:rPr>
                <w:webHidden/>
                <w:rStyle w:val="IndexLink"/>
                <w:rtl w:val="true"/>
              </w:rPr>
              <w:t>[</w:t>
            </w:r>
            <w:r>
              <w:rPr>
                <w:rStyle w:val="IndexLink"/>
                <w:rtl w:val="true"/>
              </w:rPr>
              <w:t>یؤمر من وجب قتله بالاغتسال أوّلًا ثمّ یقتل من دون غسل</w:t>
            </w:r>
            <w:r>
              <w:rPr>
                <w:rStyle w:val="IndexLink"/>
                <w:rtl w:val="true"/>
              </w:rPr>
              <w:t>]</w:t>
              <w:tab/>
            </w:r>
            <w:r>
              <w:rPr>
                <w:rStyle w:val="IndexLink"/>
              </w:rPr>
              <w:t>423</w:t>
            </w:r>
          </w:hyperlink>
        </w:p>
        <w:p>
          <w:pPr>
            <w:pStyle w:val="Contents4"/>
            <w:tabs>
              <w:tab w:val="clear" w:pos="8176"/>
              <w:tab w:val="right" w:pos="9026" w:leader="dot"/>
            </w:tabs>
            <w:rPr/>
          </w:pPr>
          <w:hyperlink w:anchor="__RefHeading___Toc6530350_3224264995">
            <w:r>
              <w:rPr>
                <w:webHidden/>
                <w:rStyle w:val="IndexLink"/>
                <w:rtl w:val="true"/>
              </w:rPr>
              <w:t>[</w:t>
            </w:r>
            <w:r>
              <w:rPr>
                <w:rStyle w:val="IndexLink"/>
                <w:rtl w:val="true"/>
              </w:rPr>
              <w:t xml:space="preserve">غسل مسّ المیّت </w:t>
            </w:r>
            <w:r>
              <w:rPr>
                <w:rStyle w:val="IndexLink"/>
                <w:rtl w:val="true"/>
              </w:rPr>
              <w:t>«</w:t>
            </w:r>
            <w:r>
              <w:rPr>
                <w:rStyle w:val="IndexLink"/>
              </w:rPr>
              <w:t>1</w:t>
            </w:r>
            <w:r>
              <w:rPr>
                <w:rStyle w:val="IndexLink"/>
                <w:rtl w:val="true"/>
              </w:rPr>
              <w:t>»]</w:t>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42_126890"/>
      <w:bookmarkStart w:id="1" w:name="pg13042_126890"/>
      <w:bookmarkEnd w:id="1"/>
    </w:p>
    <w:p>
      <w:pPr>
        <w:pStyle w:val="Heading2"/>
        <w:numPr>
          <w:ilvl w:val="1"/>
          <w:numId w:val="1"/>
        </w:numPr>
        <w:rPr/>
      </w:pPr>
      <w:bookmarkStart w:id="2" w:name="pg13042_126890"/>
      <w:bookmarkStart w:id="3" w:name="__RefHeading___Toc653005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دزفولی، مرتضی بن محمد امین انصاری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بزرگداشت شیخ اعظم انصاری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در کنگره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الشیخ الأعظم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30060_3224264995"/>
      <w:bookmarkStart w:id="6" w:name="_Toc2"/>
      <w:bookmarkEnd w:id="5"/>
      <w:r>
        <w:rPr>
          <w:rtl w:val="true"/>
        </w:rPr>
        <w:t>اشارة</w:t>
      </w:r>
      <w:bookmarkStart w:id="7" w:name="pg13042_126896"/>
      <w:bookmarkEnd w:id="6"/>
    </w:p>
    <w:p>
      <w:pPr>
        <w:pStyle w:val="Heading2"/>
        <w:numPr>
          <w:ilvl w:val="1"/>
          <w:numId w:val="1"/>
        </w:numPr>
        <w:rPr/>
      </w:pPr>
      <w:bookmarkStart w:id="8" w:name="__RefHeading___Toc6530062_3224264995"/>
      <w:bookmarkStart w:id="9" w:name="_Toc3"/>
      <w:bookmarkEnd w:id="7"/>
      <w:bookmarkEnd w:id="8"/>
      <w:r>
        <w:rPr>
          <w:rtl w:val="true"/>
        </w:rPr>
        <w:t>[</w:t>
      </w:r>
      <w:r>
        <w:rPr>
          <w:rtl w:val="true"/>
        </w:rPr>
        <w:t>تتمة شرح کتاب الطهارة من الإرشاد</w:t>
      </w:r>
      <w:r>
        <w:rPr>
          <w:rtl w:val="true"/>
        </w:rPr>
        <w:t>]</w:t>
      </w:r>
      <w:bookmarkEnd w:id="9"/>
    </w:p>
    <w:p>
      <w:pPr>
        <w:pStyle w:val="Heading3"/>
        <w:numPr>
          <w:ilvl w:val="2"/>
          <w:numId w:val="1"/>
        </w:numPr>
        <w:rPr/>
      </w:pPr>
      <w:bookmarkStart w:id="10" w:name="__RefHeading___Toc6530064_3224264995"/>
      <w:bookmarkStart w:id="11" w:name="_Toc4"/>
      <w:bookmarkEnd w:id="10"/>
      <w:r>
        <w:rPr>
          <w:rtl w:val="true"/>
        </w:rPr>
        <w:t>[</w:t>
      </w:r>
      <w:r>
        <w:rPr>
          <w:rtl w:val="true"/>
        </w:rPr>
        <w:t>تتمة النظر الثالث فی أسباب الغسل</w:t>
      </w:r>
      <w:r>
        <w:rPr>
          <w:rtl w:val="true"/>
        </w:rPr>
        <w:t>]</w:t>
      </w:r>
      <w:bookmarkEnd w:id="11"/>
    </w:p>
    <w:p>
      <w:pPr>
        <w:pStyle w:val="Heading4"/>
        <w:numPr>
          <w:ilvl w:val="3"/>
          <w:numId w:val="1"/>
        </w:numPr>
        <w:rPr/>
      </w:pPr>
      <w:bookmarkStart w:id="12" w:name="__RefHeading___Toc6530066_3224264995"/>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4" w:name="__RefHeading___Toc6530068_3224264995"/>
      <w:bookmarkStart w:id="15" w:name="_Toc6"/>
      <w:bookmarkEnd w:id="14"/>
      <w:r>
        <w:rPr>
          <w:rtl w:val="true"/>
        </w:rPr>
        <w:t>[</w:t>
      </w:r>
      <w:r>
        <w:rPr>
          <w:rtl w:val="true"/>
        </w:rPr>
        <w:t>المقصد الثالث فی الاستحاضة و النفاس</w:t>
      </w:r>
      <w:r>
        <w:rPr>
          <w:rtl w:val="true"/>
        </w:rPr>
        <w:t>]</w:t>
      </w:r>
      <w:bookmarkEnd w:id="15"/>
    </w:p>
    <w:p>
      <w:pPr>
        <w:pStyle w:val="Heading5"/>
        <w:numPr>
          <w:ilvl w:val="4"/>
          <w:numId w:val="1"/>
        </w:numPr>
        <w:rPr/>
      </w:pPr>
      <w:bookmarkStart w:id="16" w:name="__RefHeading___Toc6530070_3224264995"/>
      <w:bookmarkStart w:id="17" w:name="_Toc7"/>
      <w:bookmarkEnd w:id="16"/>
      <w:r>
        <w:rPr>
          <w:rtl w:val="true"/>
        </w:rPr>
        <w:t>اشارة</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الاستحاضة و النفاس</w:t>
      </w:r>
      <w:r>
        <w:rPr>
          <w:rFonts w:eastAsia="IRNazanin" w:cs="IRNazanin"/>
          <w:color w:val="111111"/>
          <w:sz w:val="28"/>
          <w:szCs w:val="28"/>
          <w:rtl w:val="true"/>
          <w:lang w:bidi="fa-IR"/>
        </w:rPr>
        <w:t>)</w:t>
      </w:r>
    </w:p>
    <w:p>
      <w:pPr>
        <w:pStyle w:val="Heading5"/>
        <w:numPr>
          <w:ilvl w:val="4"/>
          <w:numId w:val="1"/>
        </w:numPr>
        <w:rPr/>
      </w:pPr>
      <w:bookmarkStart w:id="18" w:name="__RefHeading___Toc6530072_3224264995"/>
      <w:bookmarkStart w:id="19" w:name="_Toc8"/>
      <w:bookmarkEnd w:id="18"/>
      <w:r>
        <w:rPr>
          <w:rtl w:val="true"/>
        </w:rPr>
        <w:t>[</w:t>
      </w:r>
      <w:r>
        <w:rPr>
          <w:rtl w:val="true"/>
        </w:rPr>
        <w:t>أما الاستحاضة</w:t>
      </w:r>
      <w:r>
        <w:rPr>
          <w:rtl w:val="true"/>
        </w:rPr>
        <w:t>]</w:t>
      </w:r>
      <w:bookmarkEnd w:id="19"/>
    </w:p>
    <w:p>
      <w:pPr>
        <w:pStyle w:val="Heading6"/>
        <w:numPr>
          <w:ilvl w:val="5"/>
          <w:numId w:val="1"/>
        </w:numPr>
        <w:rPr/>
      </w:pPr>
      <w:bookmarkStart w:id="20" w:name="__RefHeading___Toc6530074_3224264995"/>
      <w:bookmarkStart w:id="21" w:name="_Toc9"/>
      <w:bookmarkEnd w:id="20"/>
      <w:r>
        <w:rPr>
          <w:rtl w:val="true"/>
        </w:rPr>
        <w:t>[</w:t>
      </w:r>
      <w:r>
        <w:rPr>
          <w:rtl w:val="true"/>
        </w:rPr>
        <w:t>أحکام الاستحاضة</w:t>
      </w:r>
      <w:r>
        <w:rPr>
          <w:rtl w:val="true"/>
        </w:rPr>
        <w:t>]</w:t>
      </w:r>
      <w:bookmarkEnd w:id="21"/>
    </w:p>
    <w:p>
      <w:pPr>
        <w:pStyle w:val="Heading6"/>
        <w:numPr>
          <w:ilvl w:val="5"/>
          <w:numId w:val="1"/>
        </w:numPr>
        <w:rPr/>
      </w:pPr>
      <w:bookmarkStart w:id="22" w:name="__RefHeading___Toc6530076_3224264995"/>
      <w:bookmarkStart w:id="23" w:name="_Toc10"/>
      <w:bookmarkEnd w:id="22"/>
      <w:r>
        <w:rPr>
          <w:rtl w:val="true"/>
        </w:rPr>
        <w:t>اشارة</w:t>
      </w:r>
      <w:bookmarkEnd w:id="2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الکلام فی الاستحاضة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الاستحاضة، فهی فی الأصل استفعال من الحیض،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استُحیضت المرأة بالبناء للمجهول فهی تستحاض، کذلک، لا تستحیض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استمرّ بها الدم بعد أیّامها فهی مستحاضة، کما فی الصحاح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أنّه لم یسمع استعماله بالبناء للمعلوم، و ظاهر غیر واحد من أهل اللغة منهم الزمخشری و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الاستحاضة تخرج من عِرْقٍ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العاذل</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تسمیة ذلک العِرْق بالعاذل؛ لأنّه سبب لعذل المرأة، أی ملامتها عند زوجها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24" w:name="pg13042_126897"/>
    </w:p>
    <w:p>
      <w:pPr>
        <w:pStyle w:val="BookText"/>
        <w:rPr/>
      </w:pPr>
      <w:bookmarkEnd w:id="24"/>
      <w:r>
        <w:rPr>
          <w:rFonts w:ascii="IRNazanin" w:hAnsi="IRNazanin" w:eastAsia="IRNazanin"/>
          <w:color w:val="111111"/>
          <w:sz w:val="28"/>
          <w:sz w:val="28"/>
          <w:szCs w:val="28"/>
          <w:rtl w:val="true"/>
          <w:lang w:bidi="fa-IR"/>
        </w:rPr>
        <w:t>صفات دم الاستحاضة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الصفرة و البرودة و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إطلاق الاستحاضة علی نفس الدم کما فی کلام جماعة </w:t>
      </w:r>
      <w:r>
        <w:rPr>
          <w:rStyle w:val="FootnoteAnchor"/>
          <w:rtl w:val="true"/>
        </w:rPr>
        <w:footnoteReference w:id="5"/>
      </w:r>
      <w:r>
        <w:rPr>
          <w:rFonts w:ascii="IRNazanin" w:hAnsi="IRNazanin" w:eastAsia="IRNazanin"/>
          <w:color w:val="111111"/>
          <w:sz w:val="28"/>
          <w:sz w:val="28"/>
          <w:szCs w:val="28"/>
          <w:rtl w:val="true"/>
          <w:lang w:bidi="fa-IR"/>
        </w:rPr>
        <w:t>لیس حقیقة شرعیّة و لا متشرّعیّة، بل هو إمّا علی المجاز أو الحقیقة الفقهائیّة، کما سیجی‌ء</w:t>
      </w:r>
      <w:r>
        <w:rPr>
          <w:rFonts w:eastAsia="IRNazanin" w:cs="IRNazanin"/>
          <w:color w:val="111111"/>
          <w:sz w:val="28"/>
          <w:szCs w:val="28"/>
          <w:rtl w:val="true"/>
          <w:lang w:bidi="fa-IR"/>
        </w:rPr>
        <w:t>.</w:t>
      </w:r>
    </w:p>
    <w:p>
      <w:pPr>
        <w:pStyle w:val="Heading6"/>
        <w:numPr>
          <w:ilvl w:val="5"/>
          <w:numId w:val="1"/>
        </w:numPr>
        <w:rPr/>
      </w:pPr>
      <w:bookmarkStart w:id="25" w:name="__RefHeading___Toc6530078_3224264995"/>
      <w:bookmarkStart w:id="26" w:name="_Toc11"/>
      <w:bookmarkEnd w:id="25"/>
      <w:r>
        <w:rPr>
          <w:rtl w:val="true"/>
        </w:rPr>
        <w:t>[</w:t>
      </w:r>
      <w:r>
        <w:rPr>
          <w:rtl w:val="true"/>
        </w:rPr>
        <w:t>وصف دم الاستحاضة</w:t>
      </w:r>
      <w:r>
        <w:rPr>
          <w:rtl w:val="true"/>
        </w:rPr>
        <w:t>]</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الاستحاضة فی الأغلب أصفر بارد 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عن الإصباح </w:t>
      </w:r>
      <w:r>
        <w:rPr>
          <w:rStyle w:val="FootnoteAnchor"/>
          <w:rtl w:val="true"/>
        </w:rPr>
        <w:footnoteReference w:id="6"/>
      </w:r>
      <w:r>
        <w:rPr>
          <w:rFonts w:ascii="IRNazanin" w:hAnsi="IRNazanin" w:eastAsia="IRNazanin"/>
          <w:color w:val="111111"/>
          <w:sz w:val="28"/>
          <w:sz w:val="28"/>
          <w:szCs w:val="28"/>
          <w:rtl w:val="true"/>
          <w:lang w:bidi="fa-IR"/>
        </w:rPr>
        <w:t xml:space="preserve">و جمل العلم و العمل </w:t>
      </w:r>
      <w:r>
        <w:rPr>
          <w:rStyle w:val="FootnoteAnchor"/>
          <w:rtl w:val="true"/>
        </w:rPr>
        <w:footnoteReference w:id="7"/>
      </w:r>
      <w:r>
        <w:rPr>
          <w:rFonts w:ascii="IRNazanin" w:hAnsi="IRNazanin" w:eastAsia="IRNazanin"/>
          <w:color w:val="111111"/>
          <w:sz w:val="28"/>
          <w:sz w:val="28"/>
          <w:szCs w:val="28"/>
          <w:rtl w:val="true"/>
          <w:lang w:bidi="fa-IR"/>
        </w:rPr>
        <w:t xml:space="preserve">و المراسم </w:t>
      </w:r>
      <w:r>
        <w:rPr>
          <w:rStyle w:val="FootnoteAnchor"/>
          <w:rtl w:val="true"/>
        </w:rPr>
        <w:footnoteReference w:id="8"/>
      </w:r>
      <w:r>
        <w:rPr>
          <w:rFonts w:ascii="Amiri" w:hAnsi="Amiri" w:eastAsia="Amiri" w:cs="Amiri"/>
          <w:color w:val="111111"/>
          <w:sz w:val="28"/>
          <w:sz w:val="28"/>
          <w:szCs w:val="28"/>
          <w:rtl w:val="true"/>
          <w:lang w:bidi="ar-SA"/>
        </w:rPr>
        <w:t xml:space="preserve">و المهذّب </w:t>
      </w:r>
      <w:r>
        <w:rPr>
          <w:rStyle w:val="FootnoteAnchor"/>
          <w:rtl w:val="true"/>
        </w:rPr>
        <w:footnoteReference w:id="9"/>
      </w:r>
      <w:r>
        <w:rPr>
          <w:rFonts w:ascii="IRNazanin" w:hAnsi="IRNazanin" w:eastAsia="IRNazanin"/>
          <w:color w:val="111111"/>
          <w:sz w:val="28"/>
          <w:sz w:val="28"/>
          <w:szCs w:val="28"/>
          <w:rtl w:val="true"/>
          <w:lang w:bidi="fa-IR"/>
        </w:rPr>
        <w:t xml:space="preserve">و الغنیة </w:t>
      </w:r>
      <w:r>
        <w:rPr>
          <w:rStyle w:val="FootnoteAnchor"/>
          <w:rtl w:val="true"/>
        </w:rPr>
        <w:footnoteReference w:id="10"/>
      </w:r>
      <w:r>
        <w:rPr>
          <w:rFonts w:ascii="IRNazanin" w:hAnsi="IRNazanin" w:eastAsia="IRNazanin"/>
          <w:color w:val="111111"/>
          <w:sz w:val="28"/>
          <w:sz w:val="28"/>
          <w:szCs w:val="28"/>
          <w:rtl w:val="true"/>
          <w:lang w:bidi="fa-IR"/>
        </w:rPr>
        <w:t xml:space="preserve">و الوسیلة </w:t>
      </w:r>
      <w:r>
        <w:rPr>
          <w:rStyle w:val="FootnoteAnchor"/>
          <w:rtl w:val="true"/>
        </w:rPr>
        <w:footnoteReference w:id="11"/>
      </w:r>
      <w:r>
        <w:rPr>
          <w:rFonts w:ascii="IRNazanin" w:hAnsi="IRNazanin" w:eastAsia="IRNazanin"/>
          <w:color w:val="111111"/>
          <w:sz w:val="28"/>
          <w:sz w:val="28"/>
          <w:szCs w:val="28"/>
          <w:rtl w:val="true"/>
          <w:lang w:bidi="fa-IR"/>
        </w:rPr>
        <w:t xml:space="preserve">و الکافی </w:t>
      </w:r>
      <w:r>
        <w:rPr>
          <w:rStyle w:val="FootnoteAnchor"/>
          <w:rtl w:val="true"/>
        </w:rPr>
        <w:footnoteReference w:id="12"/>
      </w:r>
      <w:r>
        <w:rPr>
          <w:rFonts w:ascii="IRNazanin" w:hAnsi="IRNazanin" w:eastAsia="IRNazanin"/>
          <w:color w:val="111111"/>
          <w:sz w:val="28"/>
          <w:sz w:val="28"/>
          <w:szCs w:val="28"/>
          <w:rtl w:val="true"/>
          <w:lang w:bidi="fa-IR"/>
        </w:rPr>
        <w:t xml:space="preserve">و کتب المحقّق </w:t>
      </w:r>
      <w:r>
        <w:rPr>
          <w:rStyle w:val="FootnoteAnchor"/>
          <w:rtl w:val="true"/>
        </w:rPr>
        <w:footnoteReference w:id="13"/>
      </w:r>
      <w:r>
        <w:rPr>
          <w:rFonts w:ascii="Amiri" w:hAnsi="Amiri" w:eastAsia="Amiri" w:cs="Amiri"/>
          <w:color w:val="111111"/>
          <w:sz w:val="28"/>
          <w:sz w:val="28"/>
          <w:szCs w:val="28"/>
          <w:rtl w:val="true"/>
          <w:lang w:bidi="ar-SA"/>
        </w:rPr>
        <w:t xml:space="preserve">و المصنّف </w:t>
      </w:r>
      <w:r>
        <w:rPr>
          <w:rStyle w:val="FootnoteAnchor"/>
          <w:rtl w:val="true"/>
        </w:rPr>
        <w:footnoteReference w:id="14"/>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5"/>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6"/>
      </w:r>
      <w:r>
        <w:rPr>
          <w:rFonts w:ascii="IRNazanin" w:hAnsi="IRNazanin" w:eastAsia="IRNazanin"/>
          <w:color w:val="111111"/>
          <w:sz w:val="28"/>
          <w:sz w:val="28"/>
          <w:szCs w:val="28"/>
          <w:rtl w:val="true"/>
          <w:lang w:bidi="fa-IR"/>
        </w:rPr>
        <w:t xml:space="preserve">و غیرهم </w:t>
      </w:r>
      <w:r>
        <w:rPr>
          <w:rStyle w:val="FootnoteAnchor"/>
          <w:rtl w:val="true"/>
        </w:rPr>
        <w:footnoteReference w:id="17"/>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المبسوط </w:t>
      </w:r>
      <w:r>
        <w:rPr>
          <w:rStyle w:val="FootnoteAnchor"/>
          <w:rtl w:val="true"/>
        </w:rPr>
        <w:footnoteReference w:id="18"/>
      </w:r>
      <w:r>
        <w:rPr>
          <w:rFonts w:ascii="IRNazanin" w:hAnsi="IRNazanin" w:eastAsia="IRNazanin"/>
          <w:color w:val="111111"/>
          <w:sz w:val="28"/>
          <w:sz w:val="28"/>
          <w:szCs w:val="28"/>
          <w:rtl w:val="true"/>
          <w:lang w:bidi="fa-IR"/>
        </w:rPr>
        <w:t xml:space="preserve">و المصباح </w:t>
      </w:r>
      <w:r>
        <w:rPr>
          <w:rStyle w:val="FootnoteAnchor"/>
          <w:rtl w:val="true"/>
        </w:rPr>
        <w:footnoteReference w:id="19"/>
      </w:r>
      <w:r>
        <w:rPr>
          <w:rFonts w:ascii="IRNazanin" w:hAnsi="IRNazanin" w:eastAsia="IRNazanin"/>
          <w:color w:val="111111"/>
          <w:sz w:val="28"/>
          <w:sz w:val="28"/>
          <w:szCs w:val="28"/>
          <w:rtl w:val="true"/>
          <w:lang w:bidi="fa-IR"/>
        </w:rPr>
        <w:t xml:space="preserve">و مختصره </w:t>
      </w:r>
      <w:r>
        <w:rPr>
          <w:rStyle w:val="FootnoteAnchor"/>
          <w:rtl w:val="true"/>
        </w:rPr>
        <w:footnoteReference w:id="20"/>
      </w:r>
      <w:r>
        <w:rPr>
          <w:rFonts w:ascii="IRNazanin" w:hAnsi="IRNazanin" w:eastAsia="IRNazanin"/>
          <w:color w:val="111111"/>
          <w:sz w:val="28"/>
          <w:sz w:val="28"/>
          <w:szCs w:val="28"/>
          <w:rtl w:val="true"/>
          <w:lang w:bidi="fa-IR"/>
        </w:rPr>
        <w:t xml:space="preserve">و الاقتصاد </w:t>
      </w:r>
      <w:r>
        <w:rPr>
          <w:rStyle w:val="FootnoteAnchor"/>
          <w:rtl w:val="true"/>
        </w:rPr>
        <w:footnoteReference w:id="21"/>
      </w: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المقنعة </w:t>
      </w:r>
      <w:r>
        <w:rPr>
          <w:rStyle w:val="FootnoteAnchor"/>
          <w:rtl w:val="true"/>
        </w:rPr>
        <w:footnoteReference w:id="23"/>
      </w:r>
      <w:r>
        <w:rPr>
          <w:rFonts w:ascii="IRNazanin" w:hAnsi="IRNazanin" w:eastAsia="IRNazanin"/>
          <w:color w:val="111111"/>
          <w:sz w:val="28"/>
          <w:sz w:val="28"/>
          <w:szCs w:val="28"/>
          <w:rtl w:val="true"/>
          <w:lang w:bidi="fa-IR"/>
        </w:rPr>
        <w:t xml:space="preserve">علی الأخیرین کما عن الإسکافی </w:t>
      </w:r>
      <w:r>
        <w:rPr>
          <w:rStyle w:val="FootnoteAnchor"/>
          <w:rtl w:val="true"/>
        </w:rPr>
        <w:footnoteReference w:id="24"/>
      </w:r>
      <w:r>
        <w:rPr>
          <w:rFonts w:ascii="IRNazanin" w:hAnsi="IRNazanin" w:eastAsia="IRNazanin"/>
          <w:color w:val="111111"/>
          <w:sz w:val="28"/>
          <w:sz w:val="28"/>
          <w:szCs w:val="28"/>
          <w:rtl w:val="true"/>
          <w:lang w:bidi="fa-IR"/>
        </w:rPr>
        <w:t>بزیادة 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الوصفین الأوّلین قوله علیه السلام فی حسنة حفص بن البختری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الحیض حارّ عبیط أسود، له دفع و حرارة، و دم الاستحاضة أصفر بارد، فإذا کان للدم حرارة و دفع و سواد فلتدع الصلاة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الرقّة، فالمحکیّ عن ظاهر المعتبر </w:t>
      </w:r>
      <w:r>
        <w:rPr>
          <w:rStyle w:val="FootnoteAnchor"/>
          <w:rtl w:val="true"/>
        </w:rPr>
        <w:footnoteReference w:id="26"/>
      </w:r>
      <w:r>
        <w:rPr>
          <w:rFonts w:ascii="IRNazanin" w:hAnsi="IRNazanin" w:eastAsia="IRNazanin"/>
          <w:color w:val="111111"/>
          <w:sz w:val="28"/>
          <w:sz w:val="28"/>
          <w:szCs w:val="28"/>
          <w:rtl w:val="true"/>
          <w:lang w:bidi="fa-IR"/>
        </w:rPr>
        <w:t xml:space="preserve">و الذکری </w:t>
      </w:r>
      <w:r>
        <w:rPr>
          <w:rStyle w:val="FootnoteAnchor"/>
          <w:rtl w:val="true"/>
        </w:rPr>
        <w:footnoteReference w:id="27"/>
      </w:r>
      <w:r>
        <w:rPr>
          <w:rFonts w:ascii="IRNazanin" w:hAnsi="IRNazanin" w:eastAsia="IRNazanin"/>
          <w:color w:val="111111"/>
          <w:sz w:val="28"/>
          <w:sz w:val="28"/>
          <w:szCs w:val="28"/>
          <w:rtl w:val="true"/>
          <w:lang w:bidi="fa-IR"/>
        </w:rPr>
        <w:t>التردّد فیها؛ لنسبتها إلی الشیخین، و لعلّه لعدم الظفر له 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صحیحة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النفساء تدع الصلاة ما دامت تری دماً عبیطاً إلی ثلاثین یوماً، فإذا رَقّ و کانت صفرة اغتسلت</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الروایة کما تری غیر معمول بها، بل و لا دالّة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المحکیّ عن دعائم الإسلام فی تفسیر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دمها یکون رقیقاً یعلوه صفرة، و دم الحیض إلی السواد و له غلظة، و دم الحیض حارّ یخرج بحرارة شدیدة، و دم الاستحاضة بارد یسیل و هی لا تعلم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الحیض کَدِر غلیظ مُنْتِن، و دم الاستحاضة دم رقیق</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ضعفهما منجبر بالشهرة المؤیّدة بالاستقراء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یستفاد هذا الوصف من توصیف دم الحیض بکونه عبیطاً فی الحسنة السابقة </w:t>
      </w:r>
      <w:r>
        <w:rPr>
          <w:rStyle w:val="FootnoteAnchor"/>
          <w:rtl w:val="true"/>
        </w:rPr>
        <w:footnoteReference w:id="31"/>
      </w:r>
      <w:r>
        <w:rPr>
          <w:rFonts w:ascii="IRNazanin" w:hAnsi="IRNazanin" w:eastAsia="IRNazanin"/>
          <w:color w:val="111111"/>
          <w:sz w:val="28"/>
          <w:sz w:val="28"/>
          <w:szCs w:val="28"/>
          <w:rtl w:val="true"/>
          <w:lang w:bidi="fa-IR"/>
        </w:rPr>
        <w:t xml:space="preserve">، و نحوها، و کون الاستحاضة دماً فاسداً فی روایة إسحاق بن جریر </w:t>
      </w:r>
      <w:r>
        <w:rPr>
          <w:rStyle w:val="FootnoteAnchor"/>
          <w:rtl w:val="true"/>
        </w:rPr>
        <w:footnoteReference w:id="32"/>
      </w:r>
      <w:r>
        <w:rPr>
          <w:rFonts w:ascii="IRNazanin" w:hAnsi="IRNazanin" w:eastAsia="IRNazanin"/>
          <w:color w:val="111111"/>
          <w:sz w:val="28"/>
          <w:sz w:val="28"/>
          <w:szCs w:val="28"/>
          <w:rtl w:val="true"/>
          <w:lang w:bidi="fa-IR"/>
        </w:rPr>
        <w:t xml:space="preserve">فإنّ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الجدید، و الدم ما دام صحیحاً لا یخلو عن غلظة و لا یفسد إلّا بعد رقّته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اعتبره المصنّف هنا و فی القواعد </w:t>
      </w:r>
      <w:r>
        <w:rPr>
          <w:rStyle w:val="FootnoteAnchor"/>
          <w:rtl w:val="true"/>
        </w:rPr>
        <w:footnoteReference w:id="33"/>
      </w:r>
      <w:r>
        <w:rPr>
          <w:rFonts w:ascii="IRNazanin" w:hAnsi="IRNazanin" w:eastAsia="IRNazanin"/>
          <w:color w:val="111111"/>
          <w:sz w:val="28"/>
          <w:sz w:val="28"/>
          <w:szCs w:val="28"/>
          <w:rtl w:val="true"/>
          <w:lang w:bidi="fa-IR"/>
        </w:rPr>
        <w:t xml:space="preserve">، کما عن الروضتین </w:t>
      </w:r>
      <w:r>
        <w:rPr>
          <w:rStyle w:val="FootnoteAnchor"/>
          <w:rtl w:val="true"/>
        </w:rPr>
        <w:footnoteReference w:id="34"/>
      </w:r>
      <w:r>
        <w:rPr>
          <w:rFonts w:ascii="IRNazanin" w:hAnsi="IRNazanin" w:eastAsia="IRNazanin"/>
          <w:color w:val="111111"/>
          <w:sz w:val="28"/>
          <w:sz w:val="28"/>
          <w:szCs w:val="28"/>
          <w:rtl w:val="true"/>
          <w:lang w:bidi="fa-IR"/>
        </w:rPr>
        <w:t xml:space="preserve">و شرح القواعد </w:t>
      </w:r>
      <w:r>
        <w:rPr>
          <w:rStyle w:val="FootnoteAnchor"/>
          <w:rtl w:val="true"/>
        </w:rPr>
        <w:footnoteReference w:id="35"/>
      </w:r>
      <w:r>
        <w:rPr>
          <w:rFonts w:ascii="IRNazanin" w:hAnsi="IRNazanin" w:eastAsia="IRNazanin"/>
          <w:color w:val="111111"/>
          <w:sz w:val="28"/>
          <w:sz w:val="28"/>
          <w:szCs w:val="28"/>
          <w:rtl w:val="true"/>
          <w:lang w:bidi="fa-IR"/>
        </w:rPr>
        <w:t xml:space="preserve">، و لعلّ بمعناه ما عن النهایة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المبسوط </w:t>
      </w:r>
      <w:r>
        <w:rPr>
          <w:rStyle w:val="FootnoteAnchor"/>
          <w:rtl w:val="true"/>
        </w:rPr>
        <w:footnoteReference w:id="37"/>
      </w:r>
      <w:r>
        <w:rPr>
          <w:rFonts w:ascii="IRNazanin" w:hAnsi="IRNazanin" w:eastAsia="IRNazanin"/>
          <w:color w:val="111111"/>
          <w:sz w:val="28"/>
          <w:sz w:val="28"/>
          <w:szCs w:val="28"/>
          <w:rtl w:val="true"/>
          <w:lang w:bidi="fa-IR"/>
        </w:rPr>
        <w:t xml:space="preserve">و المقنع </w:t>
      </w:r>
      <w:r>
        <w:rPr>
          <w:rStyle w:val="FootnoteAnchor"/>
          <w:rtl w:val="true"/>
        </w:rPr>
        <w:footnoteReference w:id="38"/>
      </w:r>
      <w:r>
        <w:rPr>
          <w:rFonts w:ascii="IRNazanin" w:hAnsi="IRNazanin" w:eastAsia="IRNazanin"/>
          <w:color w:val="111111"/>
          <w:sz w:val="28"/>
          <w:sz w:val="28"/>
          <w:szCs w:val="28"/>
          <w:rtl w:val="true"/>
          <w:lang w:bidi="fa-IR"/>
        </w:rPr>
        <w:t>و الفقیه حاکیاً عن رسالة أبیه رضوان اللّٰه علیهما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 لا یحسّ بخروجه،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خلاف فیه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اعتبار الدفع فی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توقّف صاحب المدارک فیه من جهة عدم الظفر له بمستند </w:t>
      </w:r>
      <w:r>
        <w:rPr>
          <w:rStyle w:val="FootnoteAnchor"/>
          <w:rtl w:val="true"/>
        </w:rPr>
        <w:footnoteReference w:id="40"/>
      </w:r>
      <w:r>
        <w:rPr>
          <w:rFonts w:ascii="Amiri" w:hAnsi="Amiri" w:eastAsia="Amiri" w:cs="Amiri"/>
          <w:color w:val="111111"/>
          <w:sz w:val="28"/>
          <w:sz w:val="28"/>
          <w:szCs w:val="28"/>
          <w:rtl w:val="true"/>
          <w:lang w:bidi="ar-SA"/>
        </w:rPr>
        <w:t>لیس 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الاستحاضة قد تکون بغیر هذه الصفات، کما أنّ الحیض قد یکون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أکثر ما ورد من الروایات فی بیان أوصاف الاستحاضة </w:t>
      </w:r>
      <w:r>
        <w:rPr>
          <w:rStyle w:val="FootnoteAnchor"/>
          <w:rtl w:val="true"/>
        </w:rPr>
        <w:footnoteReference w:id="41"/>
      </w:r>
      <w:r>
        <w:rPr>
          <w:rFonts w:ascii="IRNazanin" w:hAnsi="IRNazanin" w:eastAsia="IRNazanin"/>
          <w:color w:val="111111"/>
          <w:sz w:val="28"/>
          <w:sz w:val="28"/>
          <w:szCs w:val="28"/>
          <w:rtl w:val="true"/>
          <w:lang w:bidi="fa-IR"/>
        </w:rPr>
        <w:t xml:space="preserve">سوقها فی مقام تمییز الاستحاضة من الحیض عند تردّد الدم بینهما، فلا یدلّ علی تمییز الاستحاضة بها من غیر الحیض حیث یعلم انتفاء الحیض، إلّا أنّ ظاهر بعض آخر منها ذلک، مثل ما دلّ علی وجوب التوضّؤ برؤیة الصفرة مطلقاً </w:t>
      </w:r>
      <w:r>
        <w:rPr>
          <w:rStyle w:val="FootnoteAnchor"/>
          <w:rtl w:val="true"/>
        </w:rPr>
        <w:footnoteReference w:id="42"/>
      </w:r>
      <w:r>
        <w:rPr>
          <w:rFonts w:ascii="IRNazanin" w:hAnsi="IRNazanin" w:eastAsia="IRNazanin"/>
          <w:color w:val="111111"/>
          <w:sz w:val="28"/>
          <w:sz w:val="28"/>
          <w:szCs w:val="28"/>
          <w:rtl w:val="true"/>
          <w:lang w:bidi="fa-IR"/>
        </w:rPr>
        <w:t xml:space="preserve">فیدلّ علی کونه حدثاً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تقسیمه إلی القلیل و الکثیر و المتوسّط لعدم القول بالفصل، لکن دلالتها علی کون الخارج من الصغیرة أو الیائسة أو الناقص عن الثلاثة استحاضة فی محلّ المنع</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 استفادة کون مطلق ما بصفات الاستحاضة بمجرّد امتناع</w:t>
      </w:r>
    </w:p>
    <w:p>
      <w:pPr>
        <w:pStyle w:val="BookText"/>
        <w:rPr/>
      </w:pPr>
      <w:r>
        <w:rPr>
          <w:rFonts w:ascii="IRNazanin" w:hAnsi="IRNazanin" w:eastAsia="IRNazanin"/>
          <w:color w:val="111111"/>
          <w:sz w:val="28"/>
          <w:sz w:val="28"/>
          <w:szCs w:val="28"/>
          <w:rtl w:val="true"/>
          <w:lang w:bidi="fa-IR"/>
        </w:rPr>
        <w:t xml:space="preserve">کونها حیضاً لأحد الموانع،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مطلقاً أو بشرط التوالی علی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بقرح و لا جرح،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العادة مع تجاوز العشرة أو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أیّام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الأقوال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یتعلّق علیه أحکام الاستحاضة، کنزح ماء البئر، و عدم العفو عن قلیله، و نحو ذلک، و یتعلّق بصاحبتها أحکام المستحاضة، إلّا أنّ الإشکال فی ما لم یتّصف بها ممّا امتنع کونه حیضاً؛ فإنّ بعض أفراده ممّا لم یثبت له من النصّ أحکام الاستحاضة، کالخارج من الیائسة أو الصغیرة و الناقص عن ثلاثة، و بعضه ممّا لم یدلّ الدلیل إلّا علی ثبوت أحکام المستحاضة لصاحبته کلا أو بعضاً مع ثبوت الباقی بعدم القول بالفصل، و هذا لا یستلزم کون الدم استحاضة و المرأة مستحاضة، بل ظاهر بعض الأخبار وفاقاً للعرف العامّ عدم کون جمیع ما ذکر من أفراد الدم استحاضة، و هو المطابق أیضاً لما تقدّم من الجوهری </w:t>
      </w:r>
      <w:r>
        <w:rPr>
          <w:rStyle w:val="FootnoteAnchor"/>
          <w:rtl w:val="true"/>
        </w:rPr>
        <w:footnoteReference w:id="45"/>
      </w:r>
      <w:r>
        <w:rPr>
          <w:rFonts w:ascii="IRNazanin" w:hAnsi="IRNazanin" w:eastAsia="IRNazanin"/>
          <w:color w:val="111111"/>
          <w:sz w:val="28"/>
          <w:sz w:val="28"/>
          <w:szCs w:val="28"/>
          <w:rtl w:val="true"/>
          <w:lang w:bidi="fa-IR"/>
        </w:rPr>
        <w:t xml:space="preserve">، بل عرّفه به بعض الأصحاب کالمفید فی المقنعة </w:t>
      </w:r>
      <w:r>
        <w:rPr>
          <w:rStyle w:val="FootnoteAnchor"/>
          <w:rtl w:val="true"/>
        </w:rPr>
        <w:footnoteReference w:id="46"/>
      </w:r>
      <w:r>
        <w:rPr>
          <w:rFonts w:ascii="IRNazanin" w:hAnsi="IRNazanin" w:eastAsia="IRNazanin"/>
          <w:color w:val="111111"/>
          <w:sz w:val="28"/>
          <w:sz w:val="28"/>
          <w:szCs w:val="28"/>
          <w:rtl w:val="true"/>
          <w:lang w:bidi="fa-IR"/>
        </w:rPr>
        <w:t xml:space="preserve">و ابن حمزة فی الوسیلة </w:t>
      </w:r>
      <w:r>
        <w:rPr>
          <w:rStyle w:val="FootnoteAnchor"/>
          <w:rtl w:val="true"/>
        </w:rPr>
        <w:footnoteReference w:id="47"/>
      </w:r>
      <w:r>
        <w:rPr>
          <w:rFonts w:ascii="IRNazanin" w:hAnsi="IRNazanin" w:eastAsia="IRNazanin"/>
          <w:color w:val="111111"/>
          <w:sz w:val="28"/>
          <w:sz w:val="28"/>
          <w:szCs w:val="28"/>
          <w:rtl w:val="true"/>
          <w:lang w:bidi="fa-IR"/>
        </w:rPr>
        <w:t>، حیث أخذا فی تعریف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مرئیّة بعد أیّام الحیض</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لیس بجرح و لا قرح و لا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ما یکون استحاضة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یکون صاحبه فی حکم المستحاضة فی کلّ الأحکام حتّی فی تأخیر الحدّ عنها، أو فی خصوص ما یتوقّف علی الطهارة من دون أن یکون الدم فی حکم الاستحاضة، و لا یلزم من ذلک کون الدم محکوماً بالاستحاضة أو بأحکامها، کما لا یخفی؛ و لذا ورد فی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بمنزلة المستحاضة </w:t>
      </w:r>
      <w:r>
        <w:rPr>
          <w:rStyle w:val="FootnoteAnchor"/>
          <w:rtl w:val="true"/>
        </w:rPr>
        <w:footnoteReference w:id="48"/>
      </w:r>
      <w:r>
        <w:rPr>
          <w:rFonts w:ascii="IRNazanin" w:hAnsi="IRNazanin" w:eastAsia="IRNazanin"/>
          <w:color w:val="111111"/>
          <w:sz w:val="28"/>
          <w:sz w:val="28"/>
          <w:szCs w:val="28"/>
          <w:rtl w:val="true"/>
          <w:lang w:bidi="fa-IR"/>
        </w:rPr>
        <w:t xml:space="preserve">، أو أنّها تصنع کما تصنع المستحاضة </w:t>
      </w:r>
      <w:r>
        <w:rPr>
          <w:rStyle w:val="FootnoteAnchor"/>
          <w:rtl w:val="true"/>
        </w:rPr>
        <w:footnoteReference w:id="49"/>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یدلّ دلیل علی الحکم علیه بشی‌ءٍ من ذلک، کدم الصغیرة و الیائسة و الناقص عن الثلاثة، إلّا أنّ ظاهر المحقّق فی الشرائع </w:t>
      </w:r>
      <w:r>
        <w:rPr>
          <w:rStyle w:val="FootnoteAnchor"/>
          <w:rtl w:val="true"/>
        </w:rPr>
        <w:footnoteReference w:id="50"/>
      </w:r>
      <w:r>
        <w:rPr>
          <w:rFonts w:ascii="IRNazanin" w:hAnsi="IRNazanin" w:eastAsia="IRNazanin"/>
          <w:color w:val="111111"/>
          <w:sz w:val="28"/>
          <w:sz w:val="28"/>
          <w:szCs w:val="28"/>
          <w:rtl w:val="true"/>
          <w:lang w:bidi="fa-IR"/>
        </w:rPr>
        <w:t xml:space="preserve">، و المصنّف، و الشهیدین </w:t>
      </w:r>
      <w:r>
        <w:rPr>
          <w:rStyle w:val="FootnoteAnchor"/>
          <w:rtl w:val="true"/>
        </w:rPr>
        <w:footnoteReference w:id="51"/>
      </w:r>
      <w:r>
        <w:rPr>
          <w:rFonts w:ascii="IRNazanin" w:hAnsi="IRNazanin" w:eastAsia="IRNazanin"/>
          <w:color w:val="111111"/>
          <w:sz w:val="28"/>
          <w:sz w:val="28"/>
          <w:szCs w:val="28"/>
          <w:rtl w:val="true"/>
          <w:lang w:bidi="fa-IR"/>
        </w:rPr>
        <w:t xml:space="preserve">، و المحقّق الثانی </w:t>
      </w:r>
      <w:r>
        <w:rPr>
          <w:rStyle w:val="FootnoteAnchor"/>
          <w:rtl w:val="true"/>
        </w:rPr>
        <w:footnoteReference w:id="52"/>
      </w:r>
      <w:r>
        <w:rPr>
          <w:rFonts w:ascii="IRNazanin" w:hAnsi="IRNazanin" w:eastAsia="IRNazanin"/>
          <w:color w:val="111111"/>
          <w:sz w:val="28"/>
          <w:sz w:val="28"/>
          <w:szCs w:val="28"/>
          <w:rtl w:val="true"/>
          <w:lang w:bidi="fa-IR"/>
        </w:rPr>
        <w:t>، و معظم من تأخّر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عدا دم الحیض و النفاس ممّا لیس بقرح و لا جرح بل لا یعلم کونه قرحاً أو جرحاً، یحکم علیه بالاستحاضة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نهایة 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یعبّر بالاستحاضة عن کلّ دم غیر دمی الحیض و النفاس، خارجٍ عن الفرج ممّا لیس بعُذْرَةٍ و لا قَرْح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یعبّر بها عن الدم المتّصل بالحیض، و بهذا الاعتبار ینقسم إلی المبتدأة و المضطربة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شرح الوحید علی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دمٍ یکون أقلّ من ثلاثة أیّام، و لم یکن من قَرْحٍ أو جُرْحٍ، فهو استحاضة عند الفقهاء،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لانحصاره فیما ذکر، یعنی الحیض و النفاس؛ إذ لا یخرج من المرأة إلّا أن یکون من قَرْحٍ أو جُرْحٍ أو عِرق العاذل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یوجد دمٌ غیر ما ذکر بالاستقراء و قول أهل الخبرة و حکم العقل، فلا یجب فی الحکم بکونه استحاضة تقییده بما إذا کان بصفة الاستحاضة، لما عرفت </w:t>
      </w:r>
      <w:r>
        <w:rPr>
          <w:rStyle w:val="FootnoteAnchor"/>
          <w:rtl w:val="true"/>
        </w:rPr>
        <w:footnoteReference w:id="5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أمکن کونه استحاضة و امتنع کونه حیضاً فهو من الاستحاضة، و لذا استدلّ فی المعتبر </w:t>
      </w:r>
      <w:r>
        <w:rPr>
          <w:rStyle w:val="FootnoteAnchor"/>
          <w:rtl w:val="true"/>
        </w:rPr>
        <w:footnoteReference w:id="55"/>
      </w:r>
      <w:r>
        <w:rPr>
          <w:rFonts w:ascii="IRNazanin" w:hAnsi="IRNazanin" w:eastAsia="IRNazanin"/>
          <w:color w:val="111111"/>
          <w:sz w:val="28"/>
          <w:sz w:val="28"/>
          <w:szCs w:val="28"/>
          <w:rtl w:val="true"/>
          <w:lang w:bidi="fa-IR"/>
        </w:rPr>
        <w:t>علی کون الدماء المذکورة استحاضة بما تقدّم منه فی باب الحیض من امتناع کونها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استخراج هذه القاعدة من ظواهر الأخبار فی غایة الصعوبة، سیّما مع تصریحهم بأنّ الاستحاضة إنّما تکون لآفة </w:t>
      </w:r>
      <w:r>
        <w:rPr>
          <w:rStyle w:val="FootnoteAnchor"/>
          <w:rtl w:val="true"/>
        </w:rPr>
        <w:footnoteReference w:id="56"/>
      </w:r>
      <w:r>
        <w:rPr>
          <w:rFonts w:ascii="IRNazanin" w:hAnsi="IRNazanin" w:eastAsia="IRNazanin"/>
          <w:color w:val="111111"/>
          <w:sz w:val="28"/>
          <w:sz w:val="28"/>
          <w:szCs w:val="28"/>
          <w:rtl w:val="true"/>
          <w:lang w:bidi="fa-IR"/>
        </w:rPr>
        <w:t>، فتکون أصالة العدم بالنسبة إلیها و إلی القُروح و الجُروح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 الأخبار، مثل قوله علیه السلام فی مرسلة یونس، القصیرة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مرّ بها من یوم رأت الدم عشرة أیام و لم تر الدم، فذلک الیوم و الیومان الذی رأته لم یکن من الحیض، إنّما کان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قَرحة فی جوفها، و إمّا من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الآتیة فی حیض الحامل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لم یکن حیضاً</w:t>
      </w:r>
    </w:p>
    <w:p>
      <w:pPr>
        <w:pStyle w:val="BookText"/>
        <w:rPr/>
      </w:pPr>
      <w:r>
        <w:rPr>
          <w:rFonts w:ascii="IRNazanin" w:hAnsi="IRNazanin" w:eastAsia="IRNazanin"/>
          <w:color w:val="111111"/>
          <w:sz w:val="28"/>
          <w:sz w:val="28"/>
          <w:szCs w:val="28"/>
          <w:rtl w:val="true"/>
          <w:lang w:bidi="fa-IR"/>
        </w:rPr>
        <w:t>أو نفاساً فإنّما ذلک من فتق فی الرحم</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موارد الدماء الممتنعة کونها حیضاً، التی تعرّض لها الشارع ابتداءً أو فی جواب السؤال، و حَکَم بکونها استحاضة حقیقةً أو حکمیّة، أو کون صاحبها مستحاضة، مع احتمال وجود دمٍ آخر فی الجوف غیر الحیض و الاستحاضة، عدم الاعتناء بهذا الاحتمال فی کلّ ما امتنع کونه حیضاً و إن لم یتعرّض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فیحصل حدسٌ قطعیٌّ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تعرّض الإمام للدم الخارج عن الیائسة الفاقدة لصفات الاستحاضة، یحکم بکونها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حکم علی الصفرة مطلقاً بکونها حدثاً کما تقدّم استفادة ذلک من بعض الأخبار فیکون الحمرة الممتنعة کونها حیضاً کذلک بطریق أولی،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فی بعض روایات حیض الحامل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ذلک یعنی ذلک الدم لیس من الرحم و لا من الطمث فلتتوضّأ عند کلّ صلاة</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فرّع علیه السلام وجوب التوضؤ برؤیة ذلک الدم علی عدم کونه خارجاً من الرحم و معدوداً من الطمث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فربما یشکل الحکم فی الصغیرة فی أنّ الدم الخارج منها مطلقاً محکوم بالاستحاضة، حتّی لو خرج و هی قریبة العهد من الرضاع، أو لها حدّ خاصّ موکول إلی العرف أو غیره؟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الإشکال فی أنّه لو اشتبه الاستحاضة بالعذرة فهل یعتبر التطوّق،</w:t>
      </w:r>
    </w:p>
    <w:p>
      <w:pPr>
        <w:pStyle w:val="BookText"/>
        <w:rPr/>
      </w:pPr>
      <w:r>
        <w:rPr>
          <w:rFonts w:ascii="IRNazanin" w:hAnsi="IRNazanin" w:eastAsia="IRNazanin"/>
          <w:color w:val="111111"/>
          <w:sz w:val="28"/>
          <w:sz w:val="28"/>
          <w:szCs w:val="28"/>
          <w:rtl w:val="true"/>
          <w:lang w:bidi="fa-IR"/>
        </w:rPr>
        <w:t xml:space="preserve">أو اشتبه بالقَرْح فهل یعتبر بالجانب؟ و الاعتبار بهما غیر بعید؛ لما یستفاد من الأخبار أنّ التطوّق من خواصّ العُذْرَة، و کذا الجانب للقَرْحَة، لکن المحکیّ عن الإسکافی کما تقدّم فی مسألة القَرْحَة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الحیض من الجانب الأیمن، و الاستحاضة من الأیسر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ظاهر المصنّف هنا أنّ الحمل لیس من موانع الحیض حتّی یکون وجوده کسائر موانع الحیض دلیلًا علی الاستحاضة، و هذا هو المشهور کما عن جماعة </w:t>
      </w:r>
      <w:r>
        <w:rPr>
          <w:rStyle w:val="FootnoteAnchor"/>
          <w:rtl w:val="true"/>
        </w:rPr>
        <w:footnoteReference w:id="62"/>
      </w:r>
      <w:r>
        <w:rPr>
          <w:rFonts w:ascii="IRNazanin" w:hAnsi="IRNazanin" w:eastAsia="IRNazanin"/>
          <w:color w:val="111111"/>
          <w:sz w:val="28"/>
          <w:sz w:val="28"/>
          <w:szCs w:val="28"/>
          <w:rtl w:val="true"/>
          <w:lang w:bidi="fa-IR"/>
        </w:rPr>
        <w:t xml:space="preserve">، و حکی عن الصدوقین </w:t>
      </w:r>
      <w:r>
        <w:rPr>
          <w:rStyle w:val="FootnoteAnchor"/>
          <w:rtl w:val="true"/>
        </w:rPr>
        <w:footnoteReference w:id="63"/>
      </w:r>
      <w:r>
        <w:rPr>
          <w:rFonts w:ascii="Amiri" w:hAnsi="Amiri" w:eastAsia="Amiri" w:cs="Amiri"/>
          <w:color w:val="111111"/>
          <w:sz w:val="28"/>
          <w:sz w:val="28"/>
          <w:szCs w:val="28"/>
          <w:rtl w:val="true"/>
          <w:lang w:bidi="ar-SA"/>
        </w:rPr>
        <w:t xml:space="preserve">و السیّد، مدّعیاً علیه الإجماع فی الناصریّات </w:t>
      </w:r>
      <w:r>
        <w:rPr>
          <w:rStyle w:val="FootnoteAnchor"/>
          <w:rtl w:val="true"/>
        </w:rPr>
        <w:footnoteReference w:id="64"/>
      </w:r>
      <w:r>
        <w:rPr>
          <w:rFonts w:ascii="IRNazanin" w:hAnsi="IRNazanin" w:eastAsia="IRNazanin"/>
          <w:color w:val="111111"/>
          <w:sz w:val="28"/>
          <w:sz w:val="28"/>
          <w:szCs w:val="28"/>
          <w:rtl w:val="true"/>
          <w:lang w:bidi="fa-IR"/>
        </w:rPr>
        <w:t xml:space="preserve">، و تبعهم المصنّف فی جملة من کتبه </w:t>
      </w:r>
      <w:r>
        <w:rPr>
          <w:rStyle w:val="FootnoteAnchor"/>
          <w:rtl w:val="true"/>
        </w:rPr>
        <w:footnoteReference w:id="65"/>
      </w:r>
      <w:r>
        <w:rPr>
          <w:rFonts w:ascii="IRNazanin" w:hAnsi="IRNazanin" w:eastAsia="IRNazanin"/>
          <w:color w:val="111111"/>
          <w:sz w:val="28"/>
          <w:sz w:val="28"/>
          <w:szCs w:val="28"/>
          <w:rtl w:val="true"/>
          <w:lang w:bidi="fa-IR"/>
        </w:rPr>
        <w:t xml:space="preserve">و الشهیدان فی الذکری </w:t>
      </w:r>
      <w:r>
        <w:rPr>
          <w:rStyle w:val="FootnoteAnchor"/>
          <w:rtl w:val="true"/>
        </w:rPr>
        <w:footnoteReference w:id="66"/>
      </w:r>
      <w:r>
        <w:rPr>
          <w:rFonts w:ascii="IRNazanin" w:hAnsi="IRNazanin" w:eastAsia="IRNazanin"/>
          <w:color w:val="111111"/>
          <w:sz w:val="28"/>
          <w:sz w:val="28"/>
          <w:szCs w:val="28"/>
          <w:rtl w:val="true"/>
          <w:lang w:bidi="fa-IR"/>
        </w:rPr>
        <w:t xml:space="preserve">و الدروس </w:t>
      </w:r>
      <w:r>
        <w:rPr>
          <w:rStyle w:val="FootnoteAnchor"/>
          <w:rtl w:val="true"/>
        </w:rPr>
        <w:footnoteReference w:id="67"/>
      </w:r>
      <w:r>
        <w:rPr>
          <w:rFonts w:ascii="IRNazanin" w:hAnsi="IRNazanin" w:eastAsia="IRNazanin"/>
          <w:color w:val="111111"/>
          <w:sz w:val="28"/>
          <w:sz w:val="28"/>
          <w:szCs w:val="28"/>
          <w:rtl w:val="true"/>
          <w:lang w:bidi="fa-IR"/>
        </w:rPr>
        <w:t xml:space="preserve">و المسالک </w:t>
      </w:r>
      <w:r>
        <w:rPr>
          <w:rStyle w:val="FootnoteAnchor"/>
          <w:rtl w:val="true"/>
        </w:rPr>
        <w:footnoteReference w:id="68"/>
      </w:r>
      <w:r>
        <w:rPr>
          <w:rFonts w:ascii="IRNazanin" w:hAnsi="IRNazanin" w:eastAsia="IRNazanin"/>
          <w:color w:val="111111"/>
          <w:sz w:val="28"/>
          <w:sz w:val="28"/>
          <w:szCs w:val="28"/>
          <w:rtl w:val="true"/>
          <w:lang w:bidi="fa-IR"/>
        </w:rPr>
        <w:t xml:space="preserve">و المحقّق الثانی فی بعض کتبه </w:t>
      </w:r>
      <w:r>
        <w:rPr>
          <w:rStyle w:val="FootnoteAnchor"/>
          <w:rtl w:val="true"/>
        </w:rPr>
        <w:footnoteReference w:id="69"/>
      </w:r>
      <w:r>
        <w:rPr>
          <w:rFonts w:ascii="IRNazanin" w:hAnsi="IRNazanin" w:eastAsia="IRNazanin"/>
          <w:color w:val="111111"/>
          <w:sz w:val="28"/>
          <w:sz w:val="28"/>
          <w:szCs w:val="28"/>
          <w:rtl w:val="true"/>
          <w:lang w:bidi="fa-IR"/>
        </w:rPr>
        <w:t xml:space="preserve">و جماعة من متأخّری المتأخّرین </w:t>
      </w:r>
      <w:r>
        <w:rPr>
          <w:rStyle w:val="FootnoteAnchor"/>
          <w:rtl w:val="true"/>
        </w:rPr>
        <w:footnoteReference w:id="70"/>
      </w:r>
      <w:r>
        <w:rPr>
          <w:rFonts w:ascii="IRNazanin" w:hAnsi="IRNazanin" w:eastAsia="IRNazanin"/>
          <w:color w:val="111111"/>
          <w:sz w:val="28"/>
          <w:sz w:val="28"/>
          <w:szCs w:val="28"/>
          <w:rtl w:val="true"/>
          <w:lang w:bidi="fa-IR"/>
        </w:rPr>
        <w:t>، و هو الأقوی؛ لاستصحاب الحالة السابقة أعنی</w:t>
      </w:r>
    </w:p>
    <w:p>
      <w:pPr>
        <w:pStyle w:val="BookText"/>
        <w:rPr/>
      </w:pPr>
      <w:r>
        <w:rPr>
          <w:rFonts w:ascii="IRNazanin" w:hAnsi="IRNazanin" w:eastAsia="IRNazanin"/>
          <w:color w:val="111111"/>
          <w:sz w:val="28"/>
          <w:sz w:val="28"/>
          <w:szCs w:val="28"/>
          <w:rtl w:val="true"/>
          <w:lang w:bidi="fa-IR"/>
        </w:rPr>
        <w:t>کونها بحیث تحیض کلّ شهر لولا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الحالة تعدّ عرفاً أمراً متیقّناً فی السابق مشکوک الارتفاع فی اللاحق، و هو حاکم علی أصالة عدم الحیض، إلّا أن یقال بأنّه لا یثبت کون الدم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لصدق الحیض لغةً و عرفاً، و عمومات ترک الصلاة أیّام أقرائها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خصوص الأخبار المستفیضة بل المتواترة، مثل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الحبلی تری الدم تترک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الحبلی ربما قذفت الدم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 و نحوها موثّقة أبی بصیر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الحبلی تری الدم و هی حامل کما کانت تری قبل ذلک فی کلّ شهر، هل تترک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الصلاة إذا دام</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و الظاهر أنّ المراد بدوامه مقابل انقطاعه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ابن مسلم عن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الحبلی تری الدم کما کانت تری أیام حیضها مستقیماً فی کلّ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عن الصلاة کما کانت تصنع فی حیضها، فإذا طهرت صلّت</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الحبلی ربما طمثت؟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ذلک أنّ الولد فی بطن امّه غذاؤه</w:t>
      </w:r>
    </w:p>
    <w:p>
      <w:pPr>
        <w:pStyle w:val="BookText"/>
        <w:rPr/>
      </w:pPr>
      <w:r>
        <w:rPr>
          <w:rFonts w:ascii="IRNazanin" w:hAnsi="IRNazanin" w:eastAsia="IRNazanin"/>
          <w:color w:val="111111"/>
          <w:sz w:val="28"/>
          <w:sz w:val="28"/>
          <w:szCs w:val="28"/>
          <w:rtl w:val="true"/>
          <w:lang w:bidi="fa-IR"/>
        </w:rPr>
        <w:t>الدم، فربما کثر ففضل عنه، فإذا فضل دفقته، فإذا دفقته حرمت علیها الصلاة</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کذلک تأخّرت الولادة</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زریق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سأل أبا عبد اللّٰه علیه السلام، عن امرأة حاملة رأت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رأت الدم و قد أصابها الطلق فرأته و هی تمخض،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حتّی یخرج رأس الولد، فإذا خرج رأسه لم یجب علیها الصلاة، و کلّ ما ترکته من الصلاة فی تلک الحال لوجع أو لما فیه من الشدّة و الجهد قضته إذا خرجت من نفاسها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الفرق بین دم الحامل و دم المخاض؟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الحامل قذفت بدم الحیض، و هذه قذفت بالمخاض إلی أن یخرج بعض الولد، فعند ذلک یصیر دم النفاس و الحیض، فأمّا ما لم یکن حیضاً أو نفاساً فإنّما ذلک من فتقٍ فی الرحم </w:t>
      </w:r>
      <w:r>
        <w:rPr>
          <w:rStyle w:val="FootnoteAnchor"/>
          <w:rtl w:val="true"/>
        </w:rPr>
        <w:footnoteReference w:id="78"/>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صفوان عن أبی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الحبلی تری الدم ثلاثة أیام أو أربعة أیام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عن الصلاة</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مرسلة حریز عن أبی جعفر و أبی عبد اللّٰه علیهما السلام فی الحبلی تری</w:t>
      </w:r>
    </w:p>
    <w:p>
      <w:pPr>
        <w:pStyle w:val="BookText"/>
        <w:rPr/>
      </w:pPr>
      <w:r>
        <w:rPr>
          <w:rFonts w:ascii="IRNazanin" w:hAnsi="IRNazanin" w:eastAsia="IRNazanin"/>
          <w:color w:val="111111"/>
          <w:sz w:val="28"/>
          <w:sz w:val="28"/>
          <w:szCs w:val="28"/>
          <w:rtl w:val="true"/>
          <w:lang w:bidi="fa-IR"/>
        </w:rPr>
        <w:t>الدم،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 الصلاة، فإنّه ربما بقی فی الرحم الدم و لم یخرج، و تلک الهراقة</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مضمرة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تری الدم فی الحبل،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أیامها التی کانت تحیض، فإذا زاد الدم علی الأیام التی کانت تقعد استظهرت بثلاثة أیام ثمّ هی مستحاضة</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للمحکی عن الإسکافی </w:t>
      </w:r>
      <w:r>
        <w:rPr>
          <w:rStyle w:val="FootnoteAnchor"/>
          <w:rtl w:val="true"/>
        </w:rPr>
        <w:footnoteReference w:id="83"/>
      </w:r>
      <w:r>
        <w:rPr>
          <w:rFonts w:ascii="IRNazanin" w:hAnsi="IRNazanin" w:eastAsia="IRNazanin"/>
          <w:color w:val="111111"/>
          <w:sz w:val="28"/>
          <w:sz w:val="28"/>
          <w:szCs w:val="28"/>
          <w:rtl w:val="true"/>
          <w:lang w:bidi="fa-IR"/>
        </w:rPr>
        <w:t xml:space="preserve">، و المفید </w:t>
      </w:r>
      <w:r>
        <w:rPr>
          <w:rStyle w:val="FootnoteAnchor"/>
          <w:rtl w:val="true"/>
        </w:rPr>
        <w:footnoteReference w:id="84"/>
      </w:r>
      <w:r>
        <w:rPr>
          <w:rFonts w:ascii="Amiri" w:hAnsi="Amiri" w:eastAsia="Amiri" w:cs="Amiri"/>
          <w:color w:val="111111"/>
          <w:sz w:val="28"/>
          <w:sz w:val="28"/>
          <w:szCs w:val="28"/>
          <w:rtl w:val="true"/>
          <w:lang w:bidi="ar-SA"/>
        </w:rPr>
        <w:t xml:space="preserve">، و الحلیّ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فی الشرائع </w:t>
      </w:r>
      <w:r>
        <w:rPr>
          <w:rStyle w:val="FootnoteAnchor"/>
          <w:rtl w:val="true"/>
        </w:rPr>
        <w:footnoteReference w:id="86"/>
      </w:r>
      <w:r>
        <w:rPr>
          <w:rFonts w:ascii="IRNazanin" w:hAnsi="IRNazanin" w:eastAsia="IRNazanin"/>
          <w:color w:val="111111"/>
          <w:sz w:val="28"/>
          <w:sz w:val="28"/>
          <w:szCs w:val="28"/>
          <w:rtl w:val="true"/>
          <w:lang w:bidi="fa-IR"/>
        </w:rPr>
        <w:t xml:space="preserve">، و نسبه فی النافع إلی أشهر الروایات </w:t>
      </w:r>
      <w:r>
        <w:rPr>
          <w:rStyle w:val="FootnoteAnchor"/>
          <w:rtl w:val="true"/>
        </w:rPr>
        <w:footnoteReference w:id="87"/>
      </w:r>
      <w:r>
        <w:rPr>
          <w:rFonts w:ascii="IRNazanin" w:hAnsi="IRNazanin" w:eastAsia="IRNazanin"/>
          <w:color w:val="111111"/>
          <w:sz w:val="28"/>
          <w:sz w:val="28"/>
          <w:szCs w:val="28"/>
          <w:rtl w:val="true"/>
          <w:lang w:bidi="fa-IR"/>
        </w:rPr>
        <w:t>و لعلّه لأصالة عدم الحیض، و للإجماع علی صحّة طلاق الحامل و عدم صحّة طلاق الحائض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الحامل بحائض</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السکونی عن جعفر عن أبیه صلوات اللّٰه علیهما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لیجعل حیضاً مع الحبل،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إذا رأت الدم و هی حامل لا تدع الصلاة، إلّا أن تری علی رأس الولد إذا ضربها الطلق و رأت الدم ترکت الصلاة</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مقرن، المحکیّة عن علل الصدوق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سلمان رضوان اللّٰه علیه سأل علیّاً علیه السلام عن رزق الولد فی بطن 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حبس علیه الحیضة، فجعلها رزقه فی بطن امّه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حمید بن المثنّی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الحبلی تری الدفقة و الدفقتین من الدم فی الأیام و فی الشهر و الشهرین،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الهراقة، لیس تمسک هذه عن الصلاة</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الأخبار المستفیضة بل المتواترة فی استبراء السبایا بحیضة </w:t>
      </w:r>
      <w:r>
        <w:rPr>
          <w:rStyle w:val="FootnoteAnchor"/>
          <w:rtl w:val="true"/>
        </w:rPr>
        <w:footnoteReference w:id="91"/>
      </w:r>
      <w:r>
        <w:rPr>
          <w:rFonts w:ascii="IRNazanin" w:hAnsi="IRNazanin" w:eastAsia="IRNazanin"/>
          <w:color w:val="111111"/>
          <w:sz w:val="28"/>
          <w:sz w:val="28"/>
          <w:szCs w:val="28"/>
          <w:rtl w:val="true"/>
          <w:lang w:bidi="fa-IR"/>
        </w:rPr>
        <w:t xml:space="preserve">، و کذا الجواری المنتقلة ببیعٍ أو غیره </w:t>
      </w:r>
      <w:r>
        <w:rPr>
          <w:rStyle w:val="FootnoteAnchor"/>
          <w:rtl w:val="true"/>
        </w:rPr>
        <w:footnoteReference w:id="92"/>
      </w:r>
      <w:r>
        <w:rPr>
          <w:rFonts w:ascii="Amiri" w:hAnsi="Amiri" w:eastAsia="Amiri" w:cs="Amiri"/>
          <w:color w:val="111111"/>
          <w:sz w:val="28"/>
          <w:sz w:val="28"/>
          <w:szCs w:val="28"/>
          <w:rtl w:val="true"/>
          <w:lang w:bidi="ar-SA"/>
        </w:rPr>
        <w:t xml:space="preserve">، و الموطوءة بالزنا </w:t>
      </w:r>
      <w:r>
        <w:rPr>
          <w:rStyle w:val="FootnoteAnchor"/>
          <w:rtl w:val="true"/>
        </w:rPr>
        <w:footnoteReference w:id="93"/>
      </w:r>
      <w:r>
        <w:rPr>
          <w:rFonts w:ascii="IRNazanin" w:hAnsi="IRNazanin" w:eastAsia="IRNazanin"/>
          <w:color w:val="111111"/>
          <w:sz w:val="28"/>
          <w:sz w:val="28"/>
          <w:szCs w:val="28"/>
          <w:rtl w:val="true"/>
          <w:lang w:bidi="fa-IR"/>
        </w:rPr>
        <w:t xml:space="preserve">، و الأمة المحلّلة للغیر </w:t>
      </w:r>
      <w:r>
        <w:rPr>
          <w:rStyle w:val="FootnoteAnchor"/>
          <w:rtl w:val="true"/>
        </w:rPr>
        <w:footnoteReference w:id="94"/>
      </w:r>
      <w:r>
        <w:rPr>
          <w:rFonts w:ascii="IRNazanin" w:hAnsi="IRNazanin" w:eastAsia="IRNazanin"/>
          <w:color w:val="111111"/>
          <w:sz w:val="28"/>
          <w:sz w:val="28"/>
          <w:szCs w:val="28"/>
          <w:rtl w:val="true"/>
          <w:lang w:bidi="fa-IR"/>
        </w:rPr>
        <w:t xml:space="preserve">، و فی عدّة المسترابة بالحمل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الجمیع نظر؛ أمّا الأصل فلاندفاعه بما مرّ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الروایات، فالأُولی منها ضعیفة، لا تصحّ لتخصیص العمومات و مکافئة الأدلة الخاصة المعتضدة بالشهرة و حکایة الإجماع و شهادة النسوان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الثانیة إنّما تدلّ علی حبس الحیضة عن أن تدفع مجموعها، فلا ینافی بقاء مقدار الکفایة و دفع الزائد، کما صرّح به فی حسنة سلیمان بن خالد المتقدّمة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الثالثة، فلا تنافی المختار؛ لاعتبار التوالی فی الحیض إلی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 الاستبراء و الاعتداد فیکفی فی حکمتها غلبة عدم الاجتماع؛ لأنّ مقتضی الطبیعة عدم زیادة الدم عن المقدار الذی خلق لتربیة الولد و تغذیته، و هذا المقدار لا بدّ من احتباسه حال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زاد علی ذلک المقدار فیندفق،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من شرط الحیض عدم الحمل کما یقوله الخصم لم یحکم بحیضیّة ما تراه المستبرأة و المعتدّة إلّا بعد تحقّق عدم کونها حاملًا، فلو توقّف معرفة عدم کونها حاملًا علی تحقّق حیضها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یدفع بأنّ معرفة کونها حاملًا یتوقّف علی رؤیة دمٍ علم استجماعه لشرائط الحیض عدا عدم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الحیض أمارة لعدم الحمل ممّا لا ینکر، فاحتاط الشارع للأنساب تارة بثلاث حیضات، و أُخری خفّف الاحتیاط لبعض الحِکَم، مثل تسهیل الأمر علی الرجل أو المرأة فاکتفی بواحدة أو ثنتین، و لو امتنع اجتماع الحیض و الحمل لاکتفی فی الکلّ بواحدة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 قولین آخرین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الخلاف مدّعیاً الإجماع علیه، حاصراً للخلاف بین أصحابنا فی غیره </w:t>
      </w:r>
      <w:r>
        <w:rPr>
          <w:rStyle w:val="FootnoteAnchor"/>
          <w:rtl w:val="true"/>
        </w:rPr>
        <w:footnoteReference w:id="97"/>
      </w:r>
      <w:r>
        <w:rPr>
          <w:rFonts w:ascii="IRNazanin" w:hAnsi="IRNazanin" w:eastAsia="IRNazanin"/>
          <w:color w:val="111111"/>
          <w:sz w:val="28"/>
          <w:sz w:val="28"/>
          <w:szCs w:val="28"/>
          <w:rtl w:val="true"/>
          <w:lang w:bidi="fa-IR"/>
        </w:rPr>
        <w:t>، و عن السرائر مدّعیاً أنّه مذهب الأکثر</w:t>
      </w:r>
    </w:p>
    <w:p>
      <w:pPr>
        <w:pStyle w:val="BookText"/>
        <w:rPr/>
      </w:pPr>
      <w:r>
        <w:rPr>
          <w:rFonts w:ascii="Amiri" w:hAnsi="Amiri" w:eastAsia="Amiri" w:cs="Amiri"/>
          <w:color w:val="111111"/>
          <w:sz w:val="28"/>
          <w:sz w:val="28"/>
          <w:szCs w:val="28"/>
          <w:rtl w:val="true"/>
          <w:lang w:bidi="ar-SA"/>
        </w:rPr>
        <w:t xml:space="preserve">و المحصّلین </w:t>
      </w:r>
      <w:r>
        <w:rPr>
          <w:rStyle w:val="FootnoteAnchor"/>
          <w:rtl w:val="true"/>
        </w:rPr>
        <w:footnoteReference w:id="98"/>
      </w:r>
      <w:r>
        <w:rPr>
          <w:rFonts w:ascii="IRNazanin" w:hAnsi="IRNazanin" w:eastAsia="IRNazanin"/>
          <w:color w:val="111111"/>
          <w:sz w:val="28"/>
          <w:sz w:val="28"/>
          <w:szCs w:val="28"/>
          <w:rtl w:val="true"/>
          <w:lang w:bidi="fa-IR"/>
        </w:rPr>
        <w:t>، و هو عدم اجتماع الحیض و الحمل المستبین دون ما لم یستبن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المناط فی الاستبانة ما ذکره فی الاستبصار من مضیّ مقدار عشرین یوماً من عادتها </w:t>
      </w:r>
      <w:r>
        <w:rPr>
          <w:rStyle w:val="FootnoteAnchor"/>
          <w:rtl w:val="true"/>
        </w:rPr>
        <w:footnoteReference w:id="99"/>
      </w:r>
      <w:r>
        <w:rPr>
          <w:rFonts w:ascii="IRNazanin" w:hAnsi="IRNazanin" w:eastAsia="IRNazanin"/>
          <w:color w:val="111111"/>
          <w:sz w:val="28"/>
          <w:sz w:val="28"/>
          <w:szCs w:val="28"/>
          <w:rtl w:val="true"/>
          <w:lang w:bidi="fa-IR"/>
        </w:rPr>
        <w:t>فلعلّه استند فی هذا التفصیل إلی الجمع بین الأخبار؛ لشهادة مصحّحة الصحّاف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ولدی تری الدم و هی حامل، کیف تصنع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الحامل الدم بعد ما یمضی عشرون یوماً من الوقت الذی کانت تری فیه الدم من الشهر الذی کانت تقعد فیه؛ فإنّ ذلک لیس من الرحم و لا من الطمث، فلتتوضّأ و تحتشی بکرسف و تصلیّ، و إذا رأت الحامل الدم قبل الوقت الذی کانت تری فیه الدم بقلیل أو فی الوقت من ذلک الشهر، فإنّه من الحیضة، فلتمسک عن الصلاة عدد أیّامها التی کانت تقعد فی حیضها، فإن انقطع عنها الدم قبل ذلک فلتغتسل و لتصلّ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المذکور فی الروایة لیس إلّا التفصیل بین تأخّر الدم عن العادة بعشرین و عدمه، و هو القول الآخر المحکی عن الشیخ فی النهایة </w:t>
      </w:r>
      <w:r>
        <w:rPr>
          <w:rStyle w:val="FootnoteAnchor"/>
          <w:rtl w:val="true"/>
        </w:rPr>
        <w:footnoteReference w:id="101"/>
      </w:r>
      <w:r>
        <w:rPr>
          <w:rFonts w:ascii="IRNazanin" w:hAnsi="IRNazanin" w:eastAsia="IRNazanin"/>
          <w:color w:val="111111"/>
          <w:sz w:val="28"/>
          <w:sz w:val="28"/>
          <w:szCs w:val="28"/>
          <w:rtl w:val="true"/>
          <w:lang w:bidi="fa-IR"/>
        </w:rPr>
        <w:t xml:space="preserve">و کتابی الأخبار </w:t>
      </w:r>
      <w:r>
        <w:rPr>
          <w:rStyle w:val="FootnoteAnchor"/>
          <w:rtl w:val="true"/>
        </w:rPr>
        <w:footnoteReference w:id="102"/>
      </w:r>
      <w:r>
        <w:rPr>
          <w:rFonts w:ascii="IRNazanin" w:hAnsi="IRNazanin" w:eastAsia="IRNazanin"/>
          <w:color w:val="111111"/>
          <w:sz w:val="28"/>
          <w:sz w:val="28"/>
          <w:szCs w:val="28"/>
          <w:rtl w:val="true"/>
          <w:lang w:bidi="fa-IR"/>
        </w:rPr>
        <w:t>من دون فرق بین استبانة الحمل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مکافأته لما تقدّم من الأخبار منع واضح</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یجمع بین أخبار الطرفین بحمل أخبار المنع علی ما إذا لم یتّصف</w:t>
      </w:r>
    </w:p>
    <w:p>
      <w:pPr>
        <w:pStyle w:val="BookText"/>
        <w:rPr/>
      </w:pPr>
      <w:r>
        <w:rPr>
          <w:rFonts w:ascii="IRNazanin" w:hAnsi="IRNazanin" w:eastAsia="IRNazanin"/>
          <w:color w:val="111111"/>
          <w:sz w:val="28"/>
          <w:sz w:val="28"/>
          <w:szCs w:val="28"/>
          <w:rtl w:val="true"/>
          <w:lang w:bidi="fa-IR"/>
        </w:rPr>
        <w:t xml:space="preserve">الدم بصفات الحیض، و هو الظاهر من الصدوق فی الفقیه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الاستشهاد لهذا الجمع ببعض الأخبار المفصّلة، مثل قوله علیه السلام فی روایة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الحبلی تری الدم الیوم و الیومین،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دماً عبیطاً فلا تصلی ذینک الیومین، و إن کان صفرة فلتغتسل عند کلّ صلاتین</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الحبلی قد استبان حملها تری ما تری الحائض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الهراقة من الدم، إن کان دماً أحمر کثیراً فلا تصلی، و إن کان قلیلًا أصفر فلتتوضّأ</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الحامل إذا رأت الدم فی الحمل کما کانت تراه ترکت الصلاة، فإذا رأت أصفر </w:t>
      </w:r>
      <w:r>
        <w:rPr>
          <w:rStyle w:val="FootnoteAnchor"/>
          <w:rtl w:val="true"/>
        </w:rPr>
        <w:footnoteReference w:id="106"/>
      </w:r>
      <w:r>
        <w:rPr>
          <w:rFonts w:ascii="Amiri" w:hAnsi="Amiri" w:eastAsia="Amiri" w:cs="Amiri"/>
          <w:color w:val="111111"/>
          <w:sz w:val="28"/>
          <w:sz w:val="28"/>
          <w:szCs w:val="28"/>
          <w:rtl w:val="true"/>
          <w:lang w:bidi="ar-SA"/>
        </w:rPr>
        <w:t>لم تدع الصلاة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التفصیل بین المتّصف بصفة الحیض و غیره إنّما هو فی تحیّض المرأة قبل إکمال الثلاثة، فلا دلالة فیها علی التفصیل فی الدم من حیث الحیضیّة الواقعیّة، 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الیوم و الیومین فی الروایة، مع أنّ الحیض لا ینقص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الکثرة و القلّة فی الروایة الثانیة إشارة إلی انقطاع الدم بعد زمان یسیر و عدمه، فعدم التحیّض فی القلیل من حیث عدم استمرار الدم و توالیه فی الثلاثة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تقیید أخبار المنع لمسلوب الصفة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أخبار الجواز بما تراه فی العادة کما استقربه فی الحدائق، زاعماً أنّ أخبار المسألة ما بین مطلقٍ و مقیّد، و الواجب بمقتضی القاعدة المقرّرة حمل مطلقها علی مقیّدها،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یظهر أنّ ما اشتهر بینهم من القول بحیضها مطلقاً لیس بذلک </w:t>
      </w:r>
      <w:r>
        <w:rPr>
          <w:rStyle w:val="FootnoteAnchor"/>
          <w:rtl w:val="true"/>
        </w:rPr>
        <w:footnoteReference w:id="10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فی بعض تلک الأخبار إنّما وقع فی السؤال، و علی فرض وروده فی الجواب فلا تنافی بینه و بین المطلقات حتّی یوجب تقییدها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دم الاستحاضة ینقسم بحسب قلّته و کثرته و توسّطه إلی ثلاثة مختلفة فی الأحکام، و حیث لا طریق عادة إلی معرفتها إلّا بالفحص و الاعتبار، وجب علی المستحاضة اعتبار الدم؛ لتعرف کونه من أیّ الثلاثة، کما فی المنتهی </w:t>
      </w:r>
      <w:r>
        <w:rPr>
          <w:rStyle w:val="FootnoteAnchor"/>
          <w:rtl w:val="true"/>
        </w:rPr>
        <w:footnoteReference w:id="109"/>
      </w:r>
      <w:r>
        <w:rPr>
          <w:rFonts w:ascii="IRNazanin" w:hAnsi="IRNazanin" w:eastAsia="IRNazanin"/>
          <w:color w:val="111111"/>
          <w:sz w:val="28"/>
          <w:sz w:val="28"/>
          <w:szCs w:val="28"/>
          <w:rtl w:val="true"/>
          <w:lang w:bidi="fa-IR"/>
        </w:rPr>
        <w:t xml:space="preserve">و الذکری </w:t>
      </w:r>
      <w:r>
        <w:rPr>
          <w:rStyle w:val="FootnoteAnchor"/>
          <w:rtl w:val="true"/>
        </w:rPr>
        <w:footnoteReference w:id="110"/>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11"/>
      </w:r>
      <w:r>
        <w:rPr>
          <w:rFonts w:ascii="IRNazanin" w:hAnsi="IRNazanin" w:eastAsia="IRNazanin"/>
          <w:color w:val="111111"/>
          <w:sz w:val="28"/>
          <w:sz w:val="28"/>
          <w:szCs w:val="28"/>
          <w:rtl w:val="true"/>
          <w:lang w:bidi="fa-IR"/>
        </w:rPr>
        <w:t>، و إن کان الشبهات الموضوعیّة یجوز فیها العمل بالأُصول قبل الفحص و الاعتبار، فلو لم تعتبره مع الإمکان فسدت عبادتها؛ لعدم علمها بما یجب علیها من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غفلتها عن ذلک و أتت بوظیفتها الواجبة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کفایة الاحتیاط عن الاعتبار مطلقاً، أو بشرط موافقته للاستصحاب، و عدمها مطلقاً، وجوهٌ، خیرها أوسطها، ثمّ أوّلها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کفایة الاستصحاب عنه مع مخالفته للاحتیاط لو سبقت القلّة، أو أصالة عدم زیادة الدم عن حدّ القلیلة و إن لم تسبق، فالأقوی العدم؛ لما مرّ</w:t>
      </w:r>
    </w:p>
    <w:p>
      <w:pPr>
        <w:pStyle w:val="BookText"/>
        <w:rPr/>
      </w:pPr>
      <w:r>
        <w:rPr>
          <w:rFonts w:ascii="IRNazanin" w:hAnsi="IRNazanin" w:eastAsia="IRNazanin"/>
          <w:color w:val="111111"/>
          <w:sz w:val="28"/>
          <w:sz w:val="28"/>
          <w:szCs w:val="28"/>
          <w:rtl w:val="true"/>
          <w:lang w:bidi="fa-IR"/>
        </w:rPr>
        <w:t>نظیره فی الاستبراء، و لعلّه یستفاد من بعض أخبار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عجزت عن الاعتبار مباشرةً أو استنابة، فالأقوی الرجوع إلی الحالة السابقة، أو أصالة عدم زیادة الدم إن لم یسبق حالةٌ، بل و إن سبقت الکثرة؛ بناءً علی عدم اعتبار الاستصحاب فی التدریجیّات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انقسام الدم إلی الأقسام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یخلو إمّا أن یکون بحیث إذا وضعت الکرسف، یعنی القطنة، لم یثقبه أی لم یغمسه و لم ینفذ من باطنه الذی یلی من باطن الفرج إلی ظاهره الذی یلی الخرقة المشدودة فوقه، و إمّا أن یثقبه بحیث یغمسه مستوعباً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لا یکون بحیث یسیل من الکرسف المغموس إلی غیره لو کان علیه، و إمّا أن یکون بحیث یسیل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تسمّی استحاضة قلیلة، و الثانی متوسّطة، و الثالث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عبائر الأصحاب فی بیان مناط القلّة و الکثرة و التوسّط</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الفقیه حاکیاً عن رسالة أبیه </w:t>
      </w:r>
      <w:r>
        <w:rPr>
          <w:rStyle w:val="FootnoteAnchor"/>
          <w:rtl w:val="true"/>
        </w:rPr>
        <w:footnoteReference w:id="112"/>
      </w:r>
      <w:r>
        <w:rPr>
          <w:rFonts w:ascii="IRNazanin" w:hAnsi="IRNazanin" w:eastAsia="IRNazanin"/>
          <w:color w:val="111111"/>
          <w:sz w:val="28"/>
          <w:sz w:val="28"/>
          <w:szCs w:val="28"/>
          <w:rtl w:val="true"/>
          <w:lang w:bidi="fa-IR"/>
        </w:rPr>
        <w:t xml:space="preserve">و الخلاف </w:t>
      </w:r>
      <w:r>
        <w:rPr>
          <w:rStyle w:val="FootnoteAnchor"/>
          <w:rtl w:val="true"/>
        </w:rPr>
        <w:footnoteReference w:id="113"/>
      </w:r>
      <w:r>
        <w:rPr>
          <w:rFonts w:ascii="IRNazanin" w:hAnsi="IRNazanin" w:eastAsia="IRNazanin"/>
          <w:color w:val="111111"/>
          <w:sz w:val="28"/>
          <w:sz w:val="28"/>
          <w:szCs w:val="28"/>
          <w:rtl w:val="true"/>
          <w:lang w:bidi="fa-IR"/>
        </w:rPr>
        <w:t xml:space="preserve">و الغنیة </w:t>
      </w:r>
      <w:r>
        <w:rPr>
          <w:rStyle w:val="FootnoteAnchor"/>
          <w:rtl w:val="true"/>
        </w:rPr>
        <w:footnoteReference w:id="114"/>
      </w:r>
      <w:r>
        <w:rPr>
          <w:rFonts w:ascii="IRNazanin" w:hAnsi="IRNazanin" w:eastAsia="IRNazanin"/>
          <w:color w:val="111111"/>
          <w:sz w:val="28"/>
          <w:sz w:val="28"/>
          <w:szCs w:val="28"/>
          <w:rtl w:val="true"/>
          <w:lang w:bidi="fa-IR"/>
        </w:rPr>
        <w:t xml:space="preserve">و السرائر </w:t>
      </w:r>
      <w:r>
        <w:rPr>
          <w:rStyle w:val="FootnoteAnchor"/>
          <w:rtl w:val="true"/>
        </w:rPr>
        <w:footnoteReference w:id="115"/>
      </w:r>
      <w:r>
        <w:rPr>
          <w:rFonts w:ascii="IRNazanin" w:hAnsi="IRNazanin" w:eastAsia="IRNazanin"/>
          <w:color w:val="111111"/>
          <w:sz w:val="28"/>
          <w:sz w:val="28"/>
          <w:szCs w:val="28"/>
          <w:rtl w:val="true"/>
          <w:lang w:bidi="fa-IR"/>
        </w:rPr>
        <w:t xml:space="preserve">و الشرائع </w:t>
      </w:r>
      <w:r>
        <w:rPr>
          <w:rStyle w:val="FootnoteAnchor"/>
          <w:rtl w:val="true"/>
        </w:rPr>
        <w:footnoteReference w:id="116"/>
      </w:r>
      <w:r>
        <w:rPr>
          <w:rFonts w:ascii="IRNazanin" w:hAnsi="IRNazanin" w:eastAsia="IRNazanin"/>
          <w:color w:val="111111"/>
          <w:sz w:val="28"/>
          <w:sz w:val="28"/>
          <w:szCs w:val="28"/>
          <w:rtl w:val="true"/>
          <w:lang w:bidi="fa-IR"/>
        </w:rPr>
        <w:t xml:space="preserve">و الدروس </w:t>
      </w:r>
      <w:r>
        <w:rPr>
          <w:rStyle w:val="FootnoteAnchor"/>
          <w:rtl w:val="true"/>
        </w:rPr>
        <w:footnoteReference w:id="117"/>
      </w:r>
      <w:r>
        <w:rPr>
          <w:rFonts w:ascii="Amiri" w:hAnsi="Amiri" w:eastAsia="Amiri" w:cs="Amiri"/>
          <w:color w:val="111111"/>
          <w:sz w:val="28"/>
          <w:sz w:val="28"/>
          <w:szCs w:val="28"/>
          <w:rtl w:val="true"/>
          <w:lang w:bidi="ar-SA"/>
        </w:rPr>
        <w:t xml:space="preserve">و الجعفریّة </w:t>
      </w:r>
      <w:r>
        <w:rPr>
          <w:rStyle w:val="FootnoteAnchor"/>
          <w:rtl w:val="true"/>
        </w:rPr>
        <w:footnoteReference w:id="118"/>
      </w:r>
      <w:r>
        <w:rPr>
          <w:rFonts w:ascii="IRNazanin" w:hAnsi="IRNazanin" w:eastAsia="IRNazanin"/>
          <w:color w:val="111111"/>
          <w:sz w:val="28"/>
          <w:sz w:val="28"/>
          <w:szCs w:val="28"/>
          <w:rtl w:val="true"/>
          <w:lang w:bidi="fa-IR"/>
        </w:rPr>
        <w:t xml:space="preserve">و موضع من المدارک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إناطة القلّة بعدم ثقب الکرسف، و المتوسّطة بالثقب و عدم السیلان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المصباح </w:t>
      </w:r>
      <w:r>
        <w:rPr>
          <w:rStyle w:val="FootnoteAnchor"/>
          <w:rtl w:val="true"/>
        </w:rPr>
        <w:footnoteReference w:id="121"/>
      </w:r>
      <w:r>
        <w:rPr>
          <w:rFonts w:ascii="IRNazanin" w:hAnsi="IRNazanin" w:eastAsia="IRNazanin"/>
          <w:color w:val="111111"/>
          <w:sz w:val="28"/>
          <w:sz w:val="28"/>
          <w:szCs w:val="28"/>
          <w:rtl w:val="true"/>
          <w:lang w:bidi="fa-IR"/>
        </w:rPr>
        <w:t xml:space="preserve">و مختصره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القلیل ما لا یظهر علی القطنة، و المتوسّطة ما یظهر علیها من الجانب الآخر و لا یسیل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الکتاب کما عن المختلف </w:t>
      </w:r>
      <w:r>
        <w:rPr>
          <w:rStyle w:val="FootnoteAnchor"/>
          <w:rtl w:val="true"/>
        </w:rPr>
        <w:footnoteReference w:id="123"/>
      </w:r>
      <w:r>
        <w:rPr>
          <w:rFonts w:ascii="IRNazanin" w:hAnsi="IRNazanin" w:eastAsia="IRNazanin"/>
          <w:color w:val="111111"/>
          <w:sz w:val="28"/>
          <w:sz w:val="28"/>
          <w:szCs w:val="28"/>
          <w:rtl w:val="true"/>
          <w:lang w:bidi="fa-IR"/>
        </w:rPr>
        <w:t xml:space="preserve">و التحریر </w:t>
      </w:r>
      <w:r>
        <w:rPr>
          <w:rStyle w:val="FootnoteAnchor"/>
          <w:rtl w:val="true"/>
        </w:rPr>
        <w:footnoteReference w:id="124"/>
      </w:r>
      <w:r>
        <w:rPr>
          <w:rFonts w:ascii="Amiri" w:hAnsi="Amiri" w:eastAsia="Amiri" w:cs="Amiri"/>
          <w:color w:val="111111"/>
          <w:sz w:val="28"/>
          <w:sz w:val="28"/>
          <w:szCs w:val="28"/>
          <w:rtl w:val="true"/>
          <w:lang w:bidi="ar-SA"/>
        </w:rPr>
        <w:t xml:space="preserve">و التبصرة </w:t>
      </w:r>
      <w:r>
        <w:rPr>
          <w:rStyle w:val="FootnoteAnchor"/>
          <w:rtl w:val="true"/>
        </w:rPr>
        <w:footnoteReference w:id="125"/>
      </w:r>
      <w:r>
        <w:rPr>
          <w:rFonts w:ascii="IRNazanin" w:hAnsi="IRNazanin" w:eastAsia="IRNazanin"/>
          <w:color w:val="111111"/>
          <w:sz w:val="28"/>
          <w:sz w:val="28"/>
          <w:szCs w:val="28"/>
          <w:rtl w:val="true"/>
          <w:lang w:bidi="fa-IR"/>
        </w:rPr>
        <w:t xml:space="preserve">و التلخیص </w:t>
      </w:r>
      <w:r>
        <w:rPr>
          <w:rStyle w:val="FootnoteAnchor"/>
          <w:rtl w:val="true"/>
        </w:rPr>
        <w:footnoteReference w:id="126"/>
      </w:r>
      <w:r>
        <w:rPr>
          <w:rFonts w:ascii="IRNazanin" w:hAnsi="IRNazanin" w:eastAsia="IRNazanin"/>
          <w:color w:val="111111"/>
          <w:sz w:val="28"/>
          <w:sz w:val="28"/>
          <w:szCs w:val="28"/>
          <w:rtl w:val="true"/>
          <w:lang w:bidi="fa-IR"/>
        </w:rPr>
        <w:t xml:space="preserve">و البیان </w:t>
      </w:r>
      <w:r>
        <w:rPr>
          <w:rStyle w:val="FootnoteAnchor"/>
          <w:rtl w:val="true"/>
        </w:rPr>
        <w:footnoteReference w:id="127"/>
      </w:r>
      <w:r>
        <w:rPr>
          <w:rFonts w:ascii="Amiri" w:hAnsi="Amiri" w:eastAsia="Amiri" w:cs="Amiri"/>
          <w:color w:val="111111"/>
          <w:sz w:val="28"/>
          <w:sz w:val="28"/>
          <w:szCs w:val="28"/>
          <w:rtl w:val="true"/>
          <w:lang w:bidi="ar-SA"/>
        </w:rPr>
        <w:t xml:space="preserve">و اللمعة </w:t>
      </w:r>
      <w:r>
        <w:rPr>
          <w:rStyle w:val="FootnoteAnchor"/>
          <w:rtl w:val="true"/>
        </w:rPr>
        <w:footnoteReference w:id="128"/>
      </w:r>
      <w:r>
        <w:rPr>
          <w:rFonts w:ascii="IRNazanin" w:hAnsi="IRNazanin" w:eastAsia="IRNazanin"/>
          <w:color w:val="111111"/>
          <w:sz w:val="28"/>
          <w:sz w:val="28"/>
          <w:szCs w:val="28"/>
          <w:rtl w:val="true"/>
          <w:lang w:bidi="fa-IR"/>
        </w:rPr>
        <w:t xml:space="preserve">و الموجز الحاوی </w:t>
      </w:r>
      <w:r>
        <w:rPr>
          <w:rStyle w:val="FootnoteAnchor"/>
          <w:rtl w:val="true"/>
        </w:rPr>
        <w:footnoteReference w:id="129"/>
      </w:r>
      <w:r>
        <w:rPr>
          <w:rFonts w:ascii="IRNazanin" w:hAnsi="IRNazanin" w:eastAsia="IRNazanin"/>
          <w:color w:val="111111"/>
          <w:sz w:val="28"/>
          <w:sz w:val="28"/>
          <w:szCs w:val="28"/>
          <w:rtl w:val="true"/>
          <w:lang w:bidi="fa-IR"/>
        </w:rPr>
        <w:t xml:space="preserve">و کشف الالتباس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إناطة القلّة و قسیمیها بالغمس مع السیلان و بدونه، و عدمه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المراد بالعنوانات الثلاثة واحد کما نبّه علیه جامع المقاصد </w:t>
      </w:r>
      <w:r>
        <w:rPr>
          <w:rStyle w:val="FootnoteAnchor"/>
          <w:rtl w:val="true"/>
        </w:rPr>
        <w:footnoteReference w:id="131"/>
      </w:r>
      <w:r>
        <w:rPr>
          <w:rFonts w:ascii="IRNazanin" w:hAnsi="IRNazanin" w:eastAsia="IRNazanin"/>
          <w:color w:val="111111"/>
          <w:sz w:val="28"/>
          <w:sz w:val="28"/>
          <w:szCs w:val="28"/>
          <w:rtl w:val="true"/>
          <w:lang w:bidi="fa-IR"/>
        </w:rPr>
        <w:t xml:space="preserve">و تلمیذه شارح الجعفریة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الثقب و الغمس و الظهور واحد</w:t>
      </w:r>
      <w:r>
        <w:rPr>
          <w:rFonts w:eastAsia="IRNazanin" w:cs="IRNazanin"/>
          <w:color w:val="111111"/>
          <w:sz w:val="28"/>
          <w:szCs w:val="28"/>
          <w:rtl w:val="true"/>
          <w:lang w:bidi="fa-IR"/>
        </w:rPr>
        <w:t>.</w:t>
      </w:r>
      <w:bookmarkStart w:id="27" w:name="pg13042_126916"/>
    </w:p>
    <w:p>
      <w:pPr>
        <w:pStyle w:val="BookText"/>
        <w:rPr/>
      </w:pPr>
      <w:bookmarkEnd w:id="27"/>
      <w:r>
        <w:rPr>
          <w:rFonts w:ascii="Amiri" w:hAnsi="Amiri" w:eastAsia="Amiri" w:cs="Amiri"/>
          <w:color w:val="111111"/>
          <w:sz w:val="28"/>
          <w:sz w:val="28"/>
          <w:szCs w:val="28"/>
          <w:rtl w:val="true"/>
          <w:lang w:bidi="ar-SA"/>
        </w:rPr>
        <w:t>و یؤیّده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قدّس سرّه فی المنتهی </w:t>
      </w:r>
      <w:r>
        <w:rPr>
          <w:rStyle w:val="FootnoteAnchor"/>
          <w:rtl w:val="true"/>
        </w:rPr>
        <w:footnoteReference w:id="133"/>
      </w:r>
      <w:r>
        <w:rPr>
          <w:rFonts w:ascii="IRNazanin" w:hAnsi="IRNazanin" w:eastAsia="IRNazanin"/>
          <w:color w:val="111111"/>
          <w:sz w:val="28"/>
          <w:sz w:val="28"/>
          <w:szCs w:val="28"/>
          <w:rtl w:val="true"/>
          <w:lang w:bidi="fa-IR"/>
        </w:rPr>
        <w:t xml:space="preserve">تبعاً للمحقّق فی المعتبر </w:t>
      </w:r>
      <w:r>
        <w:rPr>
          <w:rStyle w:val="FootnoteAnchor"/>
          <w:rtl w:val="true"/>
        </w:rPr>
        <w:footnoteReference w:id="134"/>
      </w:r>
      <w:r>
        <w:rPr>
          <w:rFonts w:ascii="IRNazanin" w:hAnsi="IRNazanin" w:eastAsia="IRNazanin"/>
          <w:color w:val="111111"/>
          <w:sz w:val="28"/>
          <w:sz w:val="28"/>
          <w:szCs w:val="28"/>
          <w:rtl w:val="true"/>
          <w:lang w:bidi="fa-IR"/>
        </w:rPr>
        <w:t xml:space="preserve">أناطَ القلّةَ بعدم الظهور، و التوسّط بالغمس، و یشیر إلیه أیضاً ما عن الذکری، حیث زاد علی عدم الثقب فی القلیلة عدم الظهور </w:t>
      </w:r>
      <w:r>
        <w:rPr>
          <w:rStyle w:val="FootnoteAnchor"/>
          <w:rtl w:val="true"/>
        </w:rPr>
        <w:footnoteReference w:id="135"/>
      </w:r>
      <w:r>
        <w:rPr>
          <w:rFonts w:ascii="IRNazanin" w:hAnsi="IRNazanin" w:eastAsia="IRNazanin"/>
          <w:color w:val="111111"/>
          <w:sz w:val="28"/>
          <w:sz w:val="28"/>
          <w:szCs w:val="28"/>
          <w:rtl w:val="true"/>
          <w:lang w:bidi="fa-IR"/>
        </w:rPr>
        <w:t>فإنّ الظاهر أنّ زیادة الظهور للإیضاح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ما ذکر یرجع ما فی المقنعة </w:t>
      </w:r>
      <w:r>
        <w:rPr>
          <w:rStyle w:val="FootnoteAnchor"/>
          <w:rtl w:val="true"/>
        </w:rPr>
        <w:footnoteReference w:id="136"/>
      </w:r>
      <w:r>
        <w:rPr>
          <w:rFonts w:ascii="IRNazanin" w:hAnsi="IRNazanin" w:eastAsia="IRNazanin"/>
          <w:color w:val="111111"/>
          <w:sz w:val="28"/>
          <w:sz w:val="28"/>
          <w:szCs w:val="28"/>
          <w:rtl w:val="true"/>
          <w:lang w:bidi="fa-IR"/>
        </w:rPr>
        <w:t xml:space="preserve">و النهایة </w:t>
      </w:r>
      <w:r>
        <w:rPr>
          <w:rStyle w:val="FootnoteAnchor"/>
          <w:rtl w:val="true"/>
        </w:rPr>
        <w:footnoteReference w:id="137"/>
      </w:r>
      <w:r>
        <w:rPr>
          <w:rFonts w:ascii="IRNazanin" w:hAnsi="IRNazanin" w:eastAsia="IRNazanin"/>
          <w:color w:val="111111"/>
          <w:sz w:val="28"/>
          <w:sz w:val="28"/>
          <w:szCs w:val="28"/>
          <w:rtl w:val="true"/>
          <w:lang w:bidi="fa-IR"/>
        </w:rPr>
        <w:t xml:space="preserve">و المراسم </w:t>
      </w:r>
      <w:r>
        <w:rPr>
          <w:rStyle w:val="FootnoteAnchor"/>
          <w:rtl w:val="true"/>
        </w:rPr>
        <w:footnoteReference w:id="138"/>
      </w:r>
      <w:r>
        <w:rPr>
          <w:rFonts w:ascii="IRNazanin" w:hAnsi="IRNazanin" w:eastAsia="IRNazanin"/>
          <w:color w:val="111111"/>
          <w:sz w:val="28"/>
          <w:sz w:val="28"/>
          <w:szCs w:val="28"/>
          <w:rtl w:val="true"/>
          <w:lang w:bidi="fa-IR"/>
        </w:rPr>
        <w:t xml:space="preserve">و الوسیلة </w:t>
      </w:r>
      <w:r>
        <w:rPr>
          <w:rStyle w:val="FootnoteAnchor"/>
          <w:rtl w:val="true"/>
        </w:rPr>
        <w:footnoteReference w:id="139"/>
      </w:r>
      <w:r>
        <w:rPr>
          <w:rFonts w:ascii="IRNazanin" w:hAnsi="IRNazanin" w:eastAsia="IRNazanin"/>
          <w:color w:val="111111"/>
          <w:sz w:val="28"/>
          <w:sz w:val="28"/>
          <w:szCs w:val="28"/>
          <w:rtl w:val="true"/>
          <w:lang w:bidi="fa-IR"/>
        </w:rPr>
        <w:t>من التعبیر عن القلیلة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تری الدم غیر راشح، و عن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تراه راشحاً غیر سائل، و زاد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عدم الظهور علی عدم الرشح، و الظاهر کون العطف للإیضاح، ففیه إشارة إلی اتّحاد المراد، مع أنَّ الرشح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اتّحاد مناط تثلیث الأقسام</w:t>
      </w:r>
    </w:p>
    <w:p>
      <w:pPr>
        <w:pStyle w:val="Heading6"/>
        <w:numPr>
          <w:ilvl w:val="5"/>
          <w:numId w:val="1"/>
        </w:numPr>
        <w:rPr/>
      </w:pPr>
      <w:bookmarkStart w:id="28" w:name="__RefHeading___Toc6530080_3224264995"/>
      <w:bookmarkStart w:id="29" w:name="_Toc12"/>
      <w:bookmarkEnd w:id="28"/>
      <w:r>
        <w:rPr>
          <w:rtl w:val="true"/>
        </w:rPr>
        <w:t>[</w:t>
      </w:r>
      <w:r>
        <w:rPr>
          <w:rtl w:val="true"/>
        </w:rPr>
        <w:t>الاستحاضة القلیلة</w:t>
      </w:r>
      <w:r>
        <w:rPr>
          <w:rtl w:val="true"/>
        </w:rPr>
        <w:t>]</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إشکالٌ فی المقام فإنّما هو فی تثلیث الأحکام، و المشهور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الدم لا یغمس القطنة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جمیعها، کما فی المسالک </w:t>
      </w:r>
      <w:r>
        <w:rPr>
          <w:rStyle w:val="FootnoteAnchor"/>
          <w:rtl w:val="true"/>
        </w:rPr>
        <w:footnoteReference w:id="140"/>
      </w:r>
      <w:r>
        <w:rPr>
          <w:rFonts w:ascii="IRNazanin" w:hAnsi="IRNazanin" w:eastAsia="IRNazanin"/>
          <w:color w:val="111111"/>
          <w:sz w:val="28"/>
          <w:sz w:val="28"/>
          <w:szCs w:val="28"/>
          <w:rtl w:val="true"/>
          <w:lang w:bidi="fa-IR"/>
        </w:rPr>
        <w:t xml:space="preserve">تبعاً للمحقّق الثانی فی فوائد الشرائع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بقی منه شی‌ءٌ فی الخارج و إن قلّ،</w:t>
      </w:r>
    </w:p>
    <w:p>
      <w:pPr>
        <w:pStyle w:val="BookText"/>
        <w:rPr/>
      </w:pPr>
      <w:r>
        <w:rPr>
          <w:rFonts w:ascii="IRNazanin" w:hAnsi="IRNazanin" w:eastAsia="IRNazanin"/>
          <w:color w:val="111111"/>
          <w:sz w:val="28"/>
          <w:sz w:val="28"/>
          <w:szCs w:val="28"/>
          <w:rtl w:val="true"/>
          <w:lang w:bidi="fa-IR"/>
        </w:rPr>
        <w:t xml:space="preserve">فالاستحاضة قلیلة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تجدید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لکلّ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نسبه فی محکیّ التذکرة </w:t>
      </w:r>
      <w:r>
        <w:rPr>
          <w:rStyle w:val="FootnoteAnchor"/>
          <w:rtl w:val="true"/>
        </w:rPr>
        <w:footnoteReference w:id="142"/>
      </w:r>
      <w:r>
        <w:rPr>
          <w:rFonts w:ascii="IRNazanin" w:hAnsi="IRNazanin" w:eastAsia="IRNazanin"/>
          <w:color w:val="111111"/>
          <w:sz w:val="28"/>
          <w:sz w:val="28"/>
          <w:szCs w:val="28"/>
          <w:rtl w:val="true"/>
          <w:lang w:bidi="fa-IR"/>
        </w:rPr>
        <w:t xml:space="preserve">و المعتبر إلی علمائنا إلّا ابن أبی عقیل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محکیّ الناصریّات </w:t>
      </w:r>
      <w:r>
        <w:rPr>
          <w:rStyle w:val="FootnoteAnchor"/>
          <w:rtl w:val="true"/>
        </w:rPr>
        <w:footnoteReference w:id="144"/>
      </w:r>
      <w:r>
        <w:rPr>
          <w:rFonts w:ascii="IRNazanin" w:hAnsi="IRNazanin" w:eastAsia="IRNazanin"/>
          <w:color w:val="111111"/>
          <w:sz w:val="28"/>
          <w:sz w:val="28"/>
          <w:szCs w:val="28"/>
          <w:rtl w:val="true"/>
          <w:lang w:bidi="fa-IR"/>
        </w:rPr>
        <w:t xml:space="preserve">و الخلاف </w:t>
      </w:r>
      <w:r>
        <w:rPr>
          <w:rStyle w:val="FootnoteAnchor"/>
          <w:rtl w:val="true"/>
        </w:rPr>
        <w:footnoteReference w:id="14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46"/>
      </w:r>
      <w:r>
        <w:rPr>
          <w:rFonts w:ascii="IRNazanin" w:hAnsi="IRNazanin" w:eastAsia="IRNazanin"/>
          <w:color w:val="111111"/>
          <w:sz w:val="28"/>
          <w:sz w:val="28"/>
          <w:szCs w:val="28"/>
          <w:rtl w:val="true"/>
          <w:lang w:bidi="fa-IR"/>
        </w:rPr>
        <w:t xml:space="preserve">و ظاهر الغنیة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لقوله علیه السلام فی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الدم لا یثقب الکرسف توضّأت و دخلت المسجد و صلَّت کلَّ صلاةٍ بوضوء</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الطامث تقعد بعدد أیّامها،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تستظهر بیوم أو یومین، ثمّ هی مستحاضة فلتغتسل و تستوثق من نفسها، و تصلیّ کلّ صلاة بوضوء ما لم ینفذ الدم، فإذا نفذ اغتسلت و صلّت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و فی معناها الرضوی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الحامل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إن رأت دماً کثیراً أحمر فلا تصلی، و إن کان قلیلًا أصفر فلیس علیها إلّا الوضوء</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مضافاً إلی العمومات المستفیضة الدالّة علی وجوب الوضوء مع صفرة الدم </w:t>
      </w:r>
      <w:r>
        <w:rPr>
          <w:rStyle w:val="FootnoteAnchor"/>
          <w:rtl w:val="true"/>
        </w:rPr>
        <w:footnoteReference w:id="152"/>
      </w:r>
      <w:r>
        <w:rPr>
          <w:rFonts w:ascii="IRNazanin" w:hAnsi="IRNazanin" w:eastAsia="IRNazanin"/>
          <w:color w:val="111111"/>
          <w:sz w:val="28"/>
          <w:sz w:val="28"/>
          <w:szCs w:val="28"/>
          <w:rtl w:val="true"/>
          <w:lang w:bidi="fa-IR"/>
        </w:rPr>
        <w:t xml:space="preserve">، الملازمة غالباً لقلّته، کما اعترف به غیر واحد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ظهر من جمیع ذلک ضعف ما عن العمانی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هذا القسم من الدم حدثاً؛ استصحاباً للطهارة و تمسّکاً بما دلّ علی حصر نواقض الوضوء، و 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اعتداد به </w:t>
      </w:r>
      <w:r>
        <w:rPr>
          <w:rStyle w:val="FootnoteAnchor"/>
          <w:rtl w:val="true"/>
        </w:rPr>
        <w:footnoteReference w:id="155"/>
      </w:r>
      <w:r>
        <w:rPr>
          <w:rFonts w:ascii="IRNazanin" w:hAnsi="IRNazanin" w:eastAsia="IRNazanin"/>
          <w:color w:val="111111"/>
          <w:sz w:val="28"/>
          <w:sz w:val="28"/>
          <w:szCs w:val="28"/>
          <w:rtl w:val="true"/>
          <w:lang w:bidi="fa-IR"/>
        </w:rPr>
        <w:t>، و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متروک </w:t>
      </w:r>
      <w:r>
        <w:rPr>
          <w:rStyle w:val="FootnoteAnchor"/>
          <w:rtl w:val="true"/>
        </w:rPr>
        <w:footnoteReference w:id="156"/>
      </w:r>
      <w:r>
        <w:rPr>
          <w:rFonts w:ascii="IRNazanin" w:hAnsi="IRNazanin" w:eastAsia="IRNazanin"/>
          <w:color w:val="111111"/>
          <w:sz w:val="28"/>
          <w:sz w:val="28"/>
          <w:szCs w:val="28"/>
          <w:rtl w:val="true"/>
          <w:lang w:bidi="fa-IR"/>
        </w:rPr>
        <w:t>، و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الإجماع علی خلافه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خلاف الإسکافی المحکیّ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ثقب الدم فالأغسال الثلاثة، و إلّا فغسل واحد للیوم و اللیلة مرّة </w:t>
      </w:r>
      <w:r>
        <w:rPr>
          <w:rStyle w:val="FootnoteAnchor"/>
          <w:rtl w:val="true"/>
        </w:rPr>
        <w:footnoteReference w:id="158"/>
      </w:r>
      <w:r>
        <w:rPr>
          <w:rFonts w:ascii="IRNazanin" w:hAnsi="IRNazanin" w:eastAsia="IRNazanin"/>
          <w:color w:val="111111"/>
          <w:sz w:val="28"/>
          <w:sz w:val="28"/>
          <w:szCs w:val="28"/>
          <w:rtl w:val="true"/>
          <w:lang w:bidi="fa-IR"/>
        </w:rPr>
        <w:t>استناداً إلی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متی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بقدر حیضها، و تستظهر بیومین، فإن انقطع الدم و إلّا اغتسلت و احتشت و استثفرت و صلّت، و إن جاز الدم الکرسف تعصّبت و اغتسلت ثمّ صلّت الغداة بغسل، و الظهر و العصر بغسل، و المغرب و العشاء بغسل، و إن لم یجز الدم الکرسف صلّت بغسل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سواء</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 المضمرة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إذا ثقب الدم الکرسف اغتسلت لکلّ صلاتین و للفجر غسلًا، و إن لم یجز الدم الکرسف فعلیها الغسل کلّ یوم مرّةً، و الوضوء لکلّ صلاة، و إن أراد زوجها أن یأتیها فحین تغتسل، هذا إذا کان دماً عبیطاً، و إن کانت صفرة فعلیها الوضوء</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لکنّهما محمولتان سیّما بعد ما عرفت من شذوذ هذا القول علی المتوسّطة و الکثیرة؛ جمعاً بینها و بین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صریح بعض الأخبار </w:t>
      </w:r>
      <w:r>
        <w:rPr>
          <w:rStyle w:val="FootnoteAnchor"/>
          <w:rtl w:val="true"/>
        </w:rPr>
        <w:footnoteReference w:id="161"/>
      </w:r>
      <w:r>
        <w:rPr>
          <w:rFonts w:ascii="IRNazanin" w:hAnsi="IRNazanin" w:eastAsia="IRNazanin"/>
          <w:color w:val="111111"/>
          <w:sz w:val="28"/>
          <w:sz w:val="28"/>
          <w:szCs w:val="28"/>
          <w:rtl w:val="true"/>
          <w:lang w:bidi="fa-IR"/>
        </w:rPr>
        <w:t xml:space="preserve">و کثیر من معاقد الإجماعات وجوب الوضوء لکلّ صلاة </w:t>
      </w:r>
      <w:r>
        <w:rPr>
          <w:rStyle w:val="FootnoteAnchor"/>
          <w:rtl w:val="true"/>
        </w:rPr>
        <w:footnoteReference w:id="162"/>
      </w:r>
      <w:r>
        <w:rPr>
          <w:rFonts w:ascii="IRNazanin" w:hAnsi="IRNazanin" w:eastAsia="IRNazanin"/>
          <w:color w:val="111111"/>
          <w:sz w:val="28"/>
          <w:sz w:val="28"/>
          <w:szCs w:val="28"/>
          <w:rtl w:val="true"/>
          <w:lang w:bidi="fa-IR"/>
        </w:rPr>
        <w:t xml:space="preserve">، فلا تجمع بین صلاتین بوضوء واحد، سواء کانا فرضین أو نفلین أو مختلفین، کما صرّح به فی المنتهی، و نسب التعمیم للفرضین و النفلین إلی علمائنا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مع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الاقتصار فی إباحة الصلاة لدائم الحدث علی القدر المتیقّن؛ لأنّ المستفاد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دم الاستحاضة مطلقاً حدثاً موجباً للطهارة، و قد ادّعی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المسلمین علی کونها موجبة للطهارة </w:t>
      </w:r>
      <w:r>
        <w:rPr>
          <w:rStyle w:val="FootnoteAnchor"/>
          <w:rtl w:val="true"/>
        </w:rPr>
        <w:footnoteReference w:id="164"/>
      </w:r>
      <w:r>
        <w:rPr>
          <w:rFonts w:ascii="IRNazanin" w:hAnsi="IRNazanin" w:eastAsia="IRNazanin"/>
          <w:color w:val="111111"/>
          <w:sz w:val="28"/>
          <w:sz w:val="28"/>
          <w:szCs w:val="28"/>
          <w:rtl w:val="true"/>
          <w:lang w:bidi="fa-IR"/>
        </w:rPr>
        <w:t>، و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کونها حدثاً </w:t>
      </w:r>
      <w:r>
        <w:rPr>
          <w:rStyle w:val="FootnoteAnchor"/>
          <w:rtl w:val="true"/>
        </w:rPr>
        <w:footnoteReference w:id="165"/>
      </w:r>
      <w:r>
        <w:rPr>
          <w:rFonts w:ascii="IRNazanin" w:hAnsi="IRNazanin" w:eastAsia="IRNazanin"/>
          <w:color w:val="111111"/>
          <w:sz w:val="28"/>
          <w:sz w:val="28"/>
          <w:szCs w:val="28"/>
          <w:rtl w:val="true"/>
          <w:lang w:bidi="fa-IR"/>
        </w:rPr>
        <w:t>، و فی شرح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کونها من النواقض </w:t>
      </w:r>
      <w:r>
        <w:rPr>
          <w:rStyle w:val="FootnoteAnchor"/>
          <w:rtl w:val="true"/>
        </w:rPr>
        <w:footnoteReference w:id="166"/>
      </w:r>
      <w:r>
        <w:rPr>
          <w:rFonts w:ascii="IRNazanin" w:hAnsi="IRNazanin" w:eastAsia="IRNazanin"/>
          <w:color w:val="111111"/>
          <w:sz w:val="28"/>
          <w:sz w:val="28"/>
          <w:szCs w:val="28"/>
          <w:rtl w:val="true"/>
          <w:lang w:bidi="fa-IR"/>
        </w:rPr>
        <w:t>، فالثابت من الأدلّة هو عدم تأثیر</w:t>
      </w:r>
    </w:p>
    <w:p>
      <w:pPr>
        <w:pStyle w:val="BookText"/>
        <w:rPr/>
      </w:pPr>
      <w:r>
        <w:rPr>
          <w:rFonts w:ascii="IRNazanin" w:hAnsi="IRNazanin" w:eastAsia="IRNazanin"/>
          <w:color w:val="111111"/>
          <w:sz w:val="28"/>
          <w:sz w:val="28"/>
          <w:szCs w:val="28"/>
          <w:rtl w:val="true"/>
          <w:lang w:bidi="fa-IR"/>
        </w:rPr>
        <w:t>الحدث الواقع بعد الوضوء و فی أثنائه بالنسبة إلی صلاة واحدة، بل هذا الوجه هی العمدة، و إلّا فیمکن حمل الأخبار بل بعض معاقد الإجماع علی إرادة وجوب تجدید الوضوء فی کلّ وقت للصلاة، کما یظهر من بعضها، مثل قوله علیه السلام فی روایة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رأت دماً صبیباً فلتغتسل عند وقت کلّ صلاة، و إن رأت صفرة فلتتوضّأ و لتصلّ</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و قوله علیه السلام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تمّت ثلاثون یوماً فرأت دماً صبیباً اغتسلت و استثفرت و احتشت فی کلّ صلاة، فإذا رأت صفرة توضّأت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 إلی غیر ذلک ممّا ورد مورد الغالب فی ذلک الزمان من التفریق بین الظهرین و العشاءَین، مضافاً إلی کثیر من الأخبار الدالّة علی إیجاب الصفرة للوضوء بقولٍ مطلق، مع ورودها فی مقام البیان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بعض الأخبار فی تجدید الوضوء لکلّ فرد من الصلاة ممّا لا ینکر، فإذا انضمّ ذلک إلی ظهور معاقد الإجماعات التی لا یجری فیها ما احتمل فی الأخبار، لعدم الشاهد منها، بل شهادة بعضها الآخر علی إرادة ظاهرها زال الإشکال فی المسألة، و لم یَحتَج إلی ما تقدّم من وجوب الاقتصار علی المتیقّن؛ لإمکان الخدشة فیه بمنع ثبوت حدثیّة الاستحاضة من الأدلّة إلّا بمعنی کونه موجباً للوضوء فی الجملة لا مطلقاً، فکون الخارج بعد الوضوء مؤثّراً فی المنع علی الإطلاق إلّا ما خرج بالدلیل یحتاج إلی الدلیل، فصارت العمدة فی التجدید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 الإجماع، و المتیقّن</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التجدید لکلّ صلاة فریضة إذ هو المنساق من الأخبار بل من معاقد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إرادة الوجوب الشرطی من وجوب الوضوء حتّی یشمل النفلین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أنّها إذا توضّأت لفریضة جاز فعل نوافلها إمّا لاستظهار دخول نوافل کلّ صلاة فی إطلاق اسمها؛ لأنّها من توابعها و متمّماتها، و إمّا لأصالة عدم کون الخارج بعد الوضوء موجباً للوضوء بالنسبة إلی غیر فرض آخر؛ لما عرفت من عدم الدلیل علی إیجابه الوضوء مطلقاً حتّی یقتصر فی مخالفته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یبعد القول علی هذا بجواز مطلق النافلة بذلک الوضوء، کما عن المبسوط </w:t>
      </w:r>
      <w:r>
        <w:rPr>
          <w:rStyle w:val="FootnoteAnchor"/>
          <w:rtl w:val="true"/>
        </w:rPr>
        <w:footnoteReference w:id="170"/>
      </w:r>
      <w:r>
        <w:rPr>
          <w:rFonts w:ascii="Amiri" w:hAnsi="Amiri" w:eastAsia="Amiri" w:cs="Amiri"/>
          <w:color w:val="111111"/>
          <w:sz w:val="28"/>
          <w:sz w:val="28"/>
          <w:szCs w:val="28"/>
          <w:rtl w:val="true"/>
          <w:lang w:bidi="ar-SA"/>
        </w:rPr>
        <w:t xml:space="preserve">و المهذّب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توضّأت المستحاضة للفرض جاز أن تصلی به من النوافل ما أرادت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الشیخ الاستدلال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لعلّه أشار إلی ما ذکرنا من الوجه، و سیجی‌ء مثله عن المحقّق فی مسألة انقطاع دم المستحاضة </w:t>
      </w:r>
      <w:r>
        <w:rPr>
          <w:rStyle w:val="FootnoteAnchor"/>
          <w:rtl w:val="true"/>
        </w:rPr>
        <w:footnoteReference w:id="173"/>
      </w:r>
      <w:r>
        <w:rPr>
          <w:rFonts w:ascii="IRNazanin" w:hAnsi="IRNazanin" w:eastAsia="IRNazanin"/>
          <w:color w:val="111111"/>
          <w:sz w:val="28"/>
          <w:sz w:val="28"/>
          <w:szCs w:val="28"/>
          <w:rtl w:val="true"/>
          <w:lang w:bidi="fa-IR"/>
        </w:rPr>
        <w:t>، و ربما یلتزم بهذا القول کلّ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سیأتی بعدم وجوب معاقبة الصلاة للوضوء؛ لأنّه یبعد أن یلتزم بأنّ الخارج بعد الوضوء قادح بالنسبة إلی النافلة و إن کان غیر قادح بالنسبة إلی الفریضة، لکن هذا</w:t>
      </w:r>
    </w:p>
    <w:p>
      <w:pPr>
        <w:pStyle w:val="BookText"/>
        <w:rPr/>
      </w:pPr>
      <w:r>
        <w:rPr>
          <w:rFonts w:ascii="IRNazanin" w:hAnsi="IRNazanin" w:eastAsia="IRNazanin"/>
          <w:color w:val="111111"/>
          <w:sz w:val="28"/>
          <w:sz w:val="28"/>
          <w:szCs w:val="28"/>
          <w:rtl w:val="true"/>
          <w:lang w:bidi="fa-IR"/>
        </w:rPr>
        <w:t>الاستبعاد لازم أیضاً علی ما قوّیناه؛ فإنّه یجوز لها حینئذٍ أن تصلی النوافل ما شاءت و لا یجوز لها الدخول فی الفریضة عقیب الفریضة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جرأة علی إنکار استفادة حدثیّة طبیعة الاستحاضة من کلمات الأصحاب، فلا بدّ من الاقتصار فی العفو عن الخارج بعد الطهارة علی المتیقّن، و هو رفع حکم الحدث بالنسبة إلی صلاة واحدة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علیها مع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القطنة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العفو عن نجاستها و لو کانت أقلّ من درهم فی محمول فی باطن لا یتمّ الصلاة فیه، إلّا أنّ ظاهر المصنّف قدّس سرّه کما عن الناصریّات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وجوب إبدالها عند کلّ صلاة، و عن ولده قدّس سرّه فی شرح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المسلمین علی وجوب التغییر </w:t>
      </w:r>
      <w:r>
        <w:rPr>
          <w:rStyle w:val="FootnoteAnchor"/>
          <w:rtl w:val="true"/>
        </w:rPr>
        <w:footnoteReference w:id="175"/>
      </w:r>
      <w:r>
        <w:rPr>
          <w:rFonts w:ascii="IRNazanin" w:hAnsi="IRNazanin" w:eastAsia="IRNazanin"/>
          <w:color w:val="111111"/>
          <w:sz w:val="28"/>
          <w:sz w:val="28"/>
          <w:szCs w:val="28"/>
          <w:rtl w:val="true"/>
          <w:lang w:bidi="fa-IR"/>
        </w:rPr>
        <w:t xml:space="preserve">، و ربما یستفاد من بعض الأخبار الآتیة فی المتوسّطة و الکثیرة، لکن دعوی عدم القول بالفصل کما عن المحقّق البهبهانی قدّس سرّه </w:t>
      </w:r>
      <w:r>
        <w:rPr>
          <w:rStyle w:val="FootnoteAnchor"/>
          <w:rtl w:val="true"/>
        </w:rPr>
        <w:footnoteReference w:id="176"/>
      </w:r>
      <w:r>
        <w:rPr>
          <w:rFonts w:ascii="IRNazanin" w:hAnsi="IRNazanin" w:eastAsia="IRNazanin"/>
          <w:color w:val="111111"/>
          <w:sz w:val="28"/>
          <w:sz w:val="28"/>
          <w:szCs w:val="28"/>
          <w:rtl w:val="true"/>
          <w:lang w:bidi="fa-IR"/>
        </w:rPr>
        <w:t xml:space="preserve">و تبعه فی الریاض </w:t>
      </w:r>
      <w:r>
        <w:rPr>
          <w:rStyle w:val="FootnoteAnchor"/>
          <w:rtl w:val="true"/>
        </w:rPr>
        <w:footnoteReference w:id="177"/>
      </w:r>
      <w:r>
        <w:rPr>
          <w:rFonts w:ascii="IRNazanin" w:hAnsi="IRNazanin" w:eastAsia="IRNazanin"/>
          <w:color w:val="111111"/>
          <w:sz w:val="28"/>
          <w:sz w:val="28"/>
          <w:szCs w:val="28"/>
          <w:rtl w:val="true"/>
          <w:lang w:bidi="fa-IR"/>
        </w:rPr>
        <w:t xml:space="preserve">ممنوعة، کما اعترف بعض مشایخنا </w:t>
      </w:r>
      <w:r>
        <w:rPr>
          <w:rStyle w:val="FootnoteAnchor"/>
          <w:rtl w:val="true"/>
        </w:rPr>
        <w:footnoteReference w:id="178"/>
      </w:r>
      <w:r>
        <w:rPr>
          <w:rFonts w:ascii="IRNazanin" w:hAnsi="IRNazanin" w:eastAsia="IRNazanin"/>
          <w:color w:val="111111"/>
          <w:sz w:val="28"/>
          <w:sz w:val="28"/>
          <w:szCs w:val="28"/>
          <w:rtl w:val="true"/>
          <w:lang w:bidi="fa-IR"/>
        </w:rPr>
        <w:t>، مع قوّة احتمال کون القلیلة أخفّ من حیث الخبث کما هی أخفّ من حیث الحدث، مع أنّ ظاهر تلک الأخبار کما سیجی‌ء لا یدلّ علی أزید من تغییر القطنة عند کلّ غسل لا کلّ صلاة، بل ظاهر بعض الأخبار عدم وجوب طرح الکرسف</w:t>
      </w:r>
      <w:r>
        <w:rPr>
          <w:rFonts w:eastAsia="IRNazanin" w:cs="IRNazanin"/>
          <w:color w:val="111111"/>
          <w:sz w:val="28"/>
          <w:szCs w:val="28"/>
          <w:rtl w:val="true"/>
          <w:lang w:bidi="fa-IR"/>
        </w:rPr>
        <w:t>.</w:t>
      </w:r>
      <w:bookmarkStart w:id="30" w:name="pg13042_126923"/>
    </w:p>
    <w:p>
      <w:pPr>
        <w:pStyle w:val="BookText"/>
        <w:rPr/>
      </w:pPr>
      <w:bookmarkEnd w:id="30"/>
      <w:r>
        <w:rPr>
          <w:rFonts w:ascii="IRNazanin" w:hAnsi="IRNazanin" w:eastAsia="IRNazanin"/>
          <w:color w:val="111111"/>
          <w:sz w:val="28"/>
          <w:sz w:val="28"/>
          <w:szCs w:val="28"/>
          <w:rtl w:val="true"/>
          <w:lang w:bidi="fa-IR"/>
        </w:rPr>
        <w:t>و لو أُرید من تغییر القطنة أنّها إذا أخرجتها لأجل الملاحظة فیجب إبدالها، أمکن تنزیل ذلک علی الغالب من استلزام وضعها ثانیاً لتلویث ظاهر الفرج، لکن إرادة هذا المعنی لا تخلو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بعض ما ذکرنا یظهر وجوب غسل ما ظهر من الفرج، و هو ما یبدو منه عند القعود علی القدمین کما فی الروض </w:t>
      </w:r>
      <w:r>
        <w:rPr>
          <w:rStyle w:val="FootnoteAnchor"/>
          <w:rtl w:val="true"/>
        </w:rPr>
        <w:footnoteReference w:id="179"/>
      </w:r>
      <w:r>
        <w:rPr>
          <w:rFonts w:ascii="IRNazanin" w:hAnsi="IRNazanin" w:eastAsia="IRNazanin"/>
          <w:color w:val="111111"/>
          <w:sz w:val="28"/>
          <w:sz w:val="28"/>
          <w:szCs w:val="28"/>
          <w:rtl w:val="true"/>
          <w:lang w:bidi="fa-IR"/>
        </w:rPr>
        <w:t xml:space="preserve">و عن النهایة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المحکیّ عن المشایخ الثلاثة </w:t>
      </w:r>
      <w:r>
        <w:rPr>
          <w:rStyle w:val="FootnoteAnchor"/>
          <w:rtl w:val="true"/>
        </w:rPr>
        <w:footnoteReference w:id="181"/>
      </w:r>
      <w:r>
        <w:rPr>
          <w:rFonts w:ascii="Amiri" w:hAnsi="Amiri" w:eastAsia="Amiri" w:cs="Amiri"/>
          <w:color w:val="111111"/>
          <w:sz w:val="28"/>
          <w:sz w:val="28"/>
          <w:szCs w:val="28"/>
          <w:rtl w:val="true"/>
          <w:lang w:bidi="ar-SA"/>
        </w:rPr>
        <w:t xml:space="preserve">و سلّار </w:t>
      </w:r>
      <w:r>
        <w:rPr>
          <w:rStyle w:val="FootnoteAnchor"/>
          <w:rtl w:val="true"/>
        </w:rPr>
        <w:footnoteReference w:id="182"/>
      </w:r>
      <w:r>
        <w:rPr>
          <w:rFonts w:ascii="Amiri" w:hAnsi="Amiri" w:eastAsia="Amiri" w:cs="Amiri"/>
          <w:color w:val="111111"/>
          <w:sz w:val="28"/>
          <w:sz w:val="28"/>
          <w:szCs w:val="28"/>
          <w:rtl w:val="true"/>
          <w:lang w:bidi="ar-SA"/>
        </w:rPr>
        <w:t xml:space="preserve">و ابن حمزة </w:t>
      </w:r>
      <w:r>
        <w:rPr>
          <w:rStyle w:val="FootnoteAnchor"/>
          <w:rtl w:val="true"/>
        </w:rPr>
        <w:footnoteReference w:id="183"/>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تغییر الخرقة، بل نسبه کاشف اللثام إلی الأکثر </w:t>
      </w:r>
      <w:r>
        <w:rPr>
          <w:rStyle w:val="FootnoteAnchor"/>
          <w:rtl w:val="true"/>
        </w:rPr>
        <w:footnoteReference w:id="185"/>
      </w:r>
      <w:r>
        <w:rPr>
          <w:rFonts w:ascii="IRNazanin" w:hAnsi="IRNazanin" w:eastAsia="IRNazanin"/>
          <w:color w:val="111111"/>
          <w:sz w:val="28"/>
          <w:sz w:val="28"/>
          <w:szCs w:val="28"/>
          <w:rtl w:val="true"/>
          <w:lang w:bidi="fa-IR"/>
        </w:rPr>
        <w:t>، و هو کذلک مع تلوّثها بالدم بناءً علی إلحاقها بالقطنة فی عدم العفو</w:t>
      </w:r>
      <w:r>
        <w:rPr>
          <w:rFonts w:eastAsia="IRNazanin" w:cs="IRNazanin"/>
          <w:color w:val="111111"/>
          <w:sz w:val="28"/>
          <w:szCs w:val="28"/>
          <w:rtl w:val="true"/>
          <w:lang w:bidi="fa-IR"/>
        </w:rPr>
        <w:t>.</w:t>
      </w:r>
    </w:p>
    <w:p>
      <w:pPr>
        <w:pStyle w:val="Heading6"/>
        <w:numPr>
          <w:ilvl w:val="5"/>
          <w:numId w:val="1"/>
        </w:numPr>
        <w:rPr/>
      </w:pPr>
      <w:bookmarkStart w:id="31" w:name="__RefHeading___Toc6530082_3224264995"/>
      <w:bookmarkStart w:id="32" w:name="_Toc13"/>
      <w:bookmarkEnd w:id="31"/>
      <w:r>
        <w:rPr>
          <w:rtl w:val="true"/>
        </w:rPr>
        <w:t>[</w:t>
      </w:r>
      <w:r>
        <w:rPr>
          <w:rtl w:val="true"/>
        </w:rPr>
        <w:t>الاستحاضة المتوسطة</w:t>
      </w:r>
      <w:r>
        <w:rPr>
          <w:rtl w:val="true"/>
        </w:rPr>
        <w:t>]</w:t>
      </w:r>
      <w:bookmarkEnd w:id="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 التلوّث فلا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ثقب الدم الکرسف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 باطناً و صارت الاستحاضة 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ذلک </w:t>
      </w:r>
      <w:r>
        <w:rPr>
          <w:rStyle w:val="FootnoteAnchor"/>
          <w:rtl w:val="true"/>
        </w:rPr>
        <w:footnoteReference w:id="186"/>
      </w:r>
      <w:r>
        <w:rPr>
          <w:rFonts w:ascii="IRNazanin" w:hAnsi="IRNazanin" w:eastAsia="IRNazanin"/>
          <w:color w:val="111111"/>
          <w:sz w:val="28"/>
          <w:sz w:val="28"/>
          <w:szCs w:val="28"/>
          <w:rtl w:val="true"/>
          <w:lang w:bidi="fa-IR"/>
        </w:rPr>
        <w:t>تغییر 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کالقطنة عند الأکثر؛ لملاقاتها لها غالباً، و لم یذکره فی الناصریّات و الجمل و شرحه و المهذّب و الغنیة، إلّا أنّ الظاهر عدم الخلاف فی إلحاقها بالقطنة التی ادّعی فخر الإسلام فی شرح</w:t>
      </w:r>
    </w:p>
    <w:p>
      <w:pPr>
        <w:pStyle w:val="BookText"/>
        <w:rPr/>
      </w:pPr>
      <w:r>
        <w:rPr>
          <w:rFonts w:ascii="IRNazanin" w:hAnsi="IRNazanin" w:eastAsia="IRNazanin"/>
          <w:color w:val="111111"/>
          <w:sz w:val="28"/>
          <w:sz w:val="28"/>
          <w:szCs w:val="28"/>
          <w:rtl w:val="true"/>
          <w:lang w:bidi="fa-IR"/>
        </w:rPr>
        <w:t xml:space="preserve">الکتاب إجماع المسلمین علی وجوب تغییرها </w:t>
      </w:r>
      <w:r>
        <w:rPr>
          <w:rStyle w:val="FootnoteAnchor"/>
          <w:rtl w:val="true"/>
        </w:rPr>
        <w:footnoteReference w:id="187"/>
      </w:r>
      <w:r>
        <w:rPr>
          <w:rFonts w:ascii="IRNazanin" w:hAnsi="IRNazanin" w:eastAsia="IRNazanin"/>
          <w:color w:val="111111"/>
          <w:sz w:val="28"/>
          <w:sz w:val="28"/>
          <w:szCs w:val="28"/>
          <w:rtl w:val="true"/>
          <w:lang w:bidi="fa-IR"/>
        </w:rPr>
        <w:t xml:space="preserve">، بل ادّعی بعضٌ دخولها فی معقد ذلک الإجماع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حتّی من القدیمین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الناصریّات </w:t>
      </w:r>
      <w:r>
        <w:rPr>
          <w:rStyle w:val="FootnoteAnchor"/>
          <w:rtl w:val="true"/>
        </w:rPr>
        <w:footnoteReference w:id="190"/>
      </w:r>
      <w:r>
        <w:rPr>
          <w:rFonts w:ascii="IRNazanin" w:hAnsi="IRNazanin" w:eastAsia="IRNazanin"/>
          <w:color w:val="111111"/>
          <w:sz w:val="28"/>
          <w:sz w:val="28"/>
          <w:szCs w:val="28"/>
          <w:rtl w:val="true"/>
          <w:lang w:bidi="fa-IR"/>
        </w:rPr>
        <w:t xml:space="preserve">و الخلاف </w:t>
      </w:r>
      <w:r>
        <w:rPr>
          <w:rStyle w:val="FootnoteAnchor"/>
          <w:rtl w:val="true"/>
        </w:rPr>
        <w:footnoteReference w:id="191"/>
      </w:r>
      <w:r>
        <w:rPr>
          <w:rFonts w:ascii="IRNazanin" w:hAnsi="IRNazanin" w:eastAsia="IRNazanin"/>
          <w:color w:val="111111"/>
          <w:sz w:val="28"/>
          <w:sz w:val="28"/>
          <w:szCs w:val="28"/>
          <w:rtl w:val="true"/>
          <w:lang w:bidi="fa-IR"/>
        </w:rPr>
        <w:t xml:space="preserve">و ظاهر الغنیة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و لا إشکال فیه بعد اتّفاق النصوص و الفتاوی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الخلاف فی الاکتفاء به أو وجوب غسلین آخرین للظهرین و العشاءین، فعَن الصدوقین </w:t>
      </w:r>
      <w:r>
        <w:rPr>
          <w:rStyle w:val="FootnoteAnchor"/>
          <w:rtl w:val="true"/>
        </w:rPr>
        <w:footnoteReference w:id="193"/>
      </w:r>
      <w:r>
        <w:rPr>
          <w:rFonts w:ascii="IRNazanin" w:hAnsi="IRNazanin" w:eastAsia="IRNazanin"/>
          <w:color w:val="111111"/>
          <w:sz w:val="28"/>
          <w:sz w:val="28"/>
          <w:szCs w:val="28"/>
          <w:rtl w:val="true"/>
          <w:lang w:bidi="fa-IR"/>
        </w:rPr>
        <w:t xml:space="preserve">، و المشایخ الثلاثة </w:t>
      </w:r>
      <w:r>
        <w:rPr>
          <w:rStyle w:val="FootnoteAnchor"/>
          <w:rtl w:val="true"/>
        </w:rPr>
        <w:footnoteReference w:id="194"/>
      </w:r>
      <w:r>
        <w:rPr>
          <w:rFonts w:ascii="Amiri" w:hAnsi="Amiri" w:eastAsia="Amiri" w:cs="Amiri"/>
          <w:color w:val="111111"/>
          <w:sz w:val="28"/>
          <w:sz w:val="28"/>
          <w:szCs w:val="28"/>
          <w:rtl w:val="true"/>
          <w:lang w:bidi="ar-SA"/>
        </w:rPr>
        <w:t xml:space="preserve">، و سلّار </w:t>
      </w:r>
      <w:r>
        <w:rPr>
          <w:rStyle w:val="FootnoteAnchor"/>
          <w:rtl w:val="true"/>
        </w:rPr>
        <w:footnoteReference w:id="195"/>
      </w:r>
      <w:r>
        <w:rPr>
          <w:rFonts w:ascii="IRNazanin" w:hAnsi="IRNazanin" w:eastAsia="IRNazanin"/>
          <w:color w:val="111111"/>
          <w:sz w:val="28"/>
          <w:sz w:val="28"/>
          <w:szCs w:val="28"/>
          <w:rtl w:val="true"/>
          <w:lang w:bidi="fa-IR"/>
        </w:rPr>
        <w:t xml:space="preserve">، و القاضی </w:t>
      </w:r>
      <w:r>
        <w:rPr>
          <w:rStyle w:val="FootnoteAnchor"/>
          <w:rtl w:val="true"/>
        </w:rPr>
        <w:footnoteReference w:id="196"/>
      </w:r>
      <w:r>
        <w:rPr>
          <w:rFonts w:ascii="Amiri" w:hAnsi="Amiri" w:eastAsia="Amiri" w:cs="Amiri"/>
          <w:color w:val="111111"/>
          <w:sz w:val="28"/>
          <w:sz w:val="28"/>
          <w:szCs w:val="28"/>
          <w:rtl w:val="true"/>
          <w:lang w:bidi="ar-SA"/>
        </w:rPr>
        <w:t xml:space="preserve">، و ابن حمزة </w:t>
      </w:r>
      <w:r>
        <w:rPr>
          <w:rStyle w:val="FootnoteAnchor"/>
          <w:rtl w:val="true"/>
        </w:rPr>
        <w:footnoteReference w:id="197"/>
      </w:r>
      <w:r>
        <w:rPr>
          <w:rFonts w:ascii="IRNazanin" w:hAnsi="IRNazanin" w:eastAsia="IRNazanin"/>
          <w:color w:val="111111"/>
          <w:sz w:val="28"/>
          <w:sz w:val="28"/>
          <w:szCs w:val="28"/>
          <w:rtl w:val="true"/>
          <w:lang w:bidi="fa-IR"/>
        </w:rPr>
        <w:t xml:space="preserve">، و الحلبی </w:t>
      </w:r>
      <w:r>
        <w:rPr>
          <w:rStyle w:val="FootnoteAnchor"/>
          <w:rtl w:val="true"/>
        </w:rPr>
        <w:footnoteReference w:id="198"/>
      </w:r>
      <w:r>
        <w:rPr>
          <w:rFonts w:ascii="Amiri" w:hAnsi="Amiri" w:eastAsia="Amiri" w:cs="Amiri"/>
          <w:color w:val="111111"/>
          <w:sz w:val="28"/>
          <w:sz w:val="28"/>
          <w:szCs w:val="28"/>
          <w:rtl w:val="true"/>
          <w:lang w:bidi="ar-SA"/>
        </w:rPr>
        <w:t xml:space="preserve">، و ابن زهرة </w:t>
      </w:r>
      <w:r>
        <w:rPr>
          <w:rStyle w:val="FootnoteAnchor"/>
          <w:rtl w:val="true"/>
        </w:rPr>
        <w:footnoteReference w:id="199"/>
      </w:r>
      <w:r>
        <w:rPr>
          <w:rFonts w:ascii="Amiri" w:hAnsi="Amiri" w:eastAsia="Amiri" w:cs="Amiri"/>
          <w:color w:val="111111"/>
          <w:sz w:val="28"/>
          <w:sz w:val="28"/>
          <w:szCs w:val="28"/>
          <w:rtl w:val="true"/>
          <w:lang w:bidi="ar-SA"/>
        </w:rPr>
        <w:t xml:space="preserve">، و الحلیّ </w:t>
      </w:r>
      <w:r>
        <w:rPr>
          <w:rStyle w:val="FootnoteAnchor"/>
          <w:rtl w:val="true"/>
        </w:rPr>
        <w:footnoteReference w:id="200"/>
      </w:r>
      <w:r>
        <w:rPr>
          <w:rFonts w:ascii="IRNazanin" w:hAnsi="IRNazanin" w:eastAsia="IRNazanin"/>
          <w:color w:val="111111"/>
          <w:sz w:val="28"/>
          <w:sz w:val="28"/>
          <w:szCs w:val="28"/>
          <w:rtl w:val="true"/>
          <w:lang w:bidi="fa-IR"/>
        </w:rPr>
        <w:t>، و المحقّق فی غیر</w:t>
      </w:r>
    </w:p>
    <w:p>
      <w:pPr>
        <w:pStyle w:val="BookText"/>
        <w:rPr/>
      </w:pPr>
      <w:r>
        <w:rPr>
          <w:rFonts w:ascii="IRNazanin" w:hAnsi="IRNazanin" w:eastAsia="IRNazanin"/>
          <w:color w:val="111111"/>
          <w:sz w:val="28"/>
          <w:sz w:val="28"/>
          <w:szCs w:val="28"/>
          <w:rtl w:val="true"/>
          <w:lang w:bidi="fa-IR"/>
        </w:rPr>
        <w:t xml:space="preserve">المعتبر </w:t>
      </w:r>
      <w:r>
        <w:rPr>
          <w:rStyle w:val="FootnoteAnchor"/>
          <w:rtl w:val="true"/>
        </w:rPr>
        <w:footnoteReference w:id="201"/>
      </w:r>
      <w:r>
        <w:rPr>
          <w:rFonts w:ascii="IRNazanin" w:hAnsi="IRNazanin" w:eastAsia="IRNazanin"/>
          <w:color w:val="111111"/>
          <w:sz w:val="28"/>
          <w:sz w:val="28"/>
          <w:szCs w:val="28"/>
          <w:rtl w:val="true"/>
          <w:lang w:bidi="fa-IR"/>
        </w:rPr>
        <w:t xml:space="preserve">، و المصنّف فی غیر المنتهی </w:t>
      </w:r>
      <w:r>
        <w:rPr>
          <w:rStyle w:val="FootnoteAnchor"/>
          <w:rtl w:val="true"/>
        </w:rPr>
        <w:footnoteReference w:id="202"/>
      </w:r>
      <w:r>
        <w:rPr>
          <w:rFonts w:ascii="IRNazanin" w:hAnsi="IRNazanin" w:eastAsia="IRNazanin"/>
          <w:color w:val="111111"/>
          <w:sz w:val="28"/>
          <w:sz w:val="28"/>
          <w:szCs w:val="28"/>
          <w:rtl w:val="true"/>
          <w:lang w:bidi="fa-IR"/>
        </w:rPr>
        <w:t xml:space="preserve">، و الشهیدین </w:t>
      </w:r>
      <w:r>
        <w:rPr>
          <w:rStyle w:val="FootnoteAnchor"/>
          <w:rtl w:val="true"/>
        </w:rPr>
        <w:footnoteReference w:id="203"/>
      </w:r>
      <w:r>
        <w:rPr>
          <w:rFonts w:ascii="IRNazanin" w:hAnsi="IRNazanin" w:eastAsia="IRNazanin"/>
          <w:color w:val="111111"/>
          <w:sz w:val="28"/>
          <w:sz w:val="28"/>
          <w:szCs w:val="28"/>
          <w:rtl w:val="true"/>
          <w:lang w:bidi="fa-IR"/>
        </w:rPr>
        <w:t xml:space="preserve">، و المحقّق الثانی </w:t>
      </w:r>
      <w:r>
        <w:rPr>
          <w:rStyle w:val="FootnoteAnchor"/>
          <w:rtl w:val="true"/>
        </w:rPr>
        <w:footnoteReference w:id="204"/>
      </w:r>
      <w:r>
        <w:rPr>
          <w:rFonts w:ascii="IRNazanin" w:hAnsi="IRNazanin" w:eastAsia="IRNazanin"/>
          <w:color w:val="111111"/>
          <w:sz w:val="28"/>
          <w:sz w:val="28"/>
          <w:szCs w:val="28"/>
          <w:rtl w:val="true"/>
          <w:lang w:bidi="fa-IR"/>
        </w:rPr>
        <w:t xml:space="preserve">و غیرهم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بغسل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ما تقدّم فی القلیلة من روایتی زرارة و سماعة </w:t>
      </w:r>
      <w:r>
        <w:rPr>
          <w:rStyle w:val="FootnoteAnchor"/>
          <w:rtl w:val="true"/>
        </w:rPr>
        <w:footnoteReference w:id="206"/>
      </w:r>
      <w:r>
        <w:rPr>
          <w:rFonts w:ascii="IRNazanin" w:hAnsi="IRNazanin" w:eastAsia="IRNazanin"/>
          <w:color w:val="111111"/>
          <w:sz w:val="28"/>
          <w:sz w:val="28"/>
          <w:szCs w:val="28"/>
          <w:rtl w:val="true"/>
          <w:lang w:bidi="fa-IR"/>
        </w:rPr>
        <w:t>بناءً علی أنّ المراد بالجواز فیهما التعدّی عن الکرسف إلی غیره، و یکون المراد بعدم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انغماس الکرسف، بقرینة الإجماع من غیر الإسکافی علی عدم وجوب الغسل فی القلیلة، مضافاً إلی شهادة ذیل روایة سماعة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عدم التعرّض فیها لبیان ما یغتسل له من الصلوات بعد انعقاد الإجماع بل الضرورة کما عرفت علی أنّه لصلاة الفجر، کما لا یقدح ضعف السند لو کان بعد الانجبار بما عرفت من الشهرة العظیمة و الإجماعات المنقولة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أیضاً بروایة الصحّاف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رأت الحامل الدم قبل الوقت الذی کانت تری فیه الدم بقلیل أو فی الوقت من ذلک الشهر فإنّه من الحیضة، فلتمسک عن الصلاة عدد أیّامها التی کانت تقعد فی حیضها، فإذا انقطع عنها الدم قبل ذلک فلتغتسل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لتصلّ، و إن لم ینقطع الدم عنها إلّا بعد ما تمضی الأیّام التی کانت تری فیها الدم بیوم أو یومین فلتغتسل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p>
    <w:p>
      <w:pPr>
        <w:pStyle w:val="BookText"/>
        <w:rPr/>
      </w:pPr>
      <w:r>
        <w:rPr>
          <w:rFonts w:ascii="IRNazanin" w:hAnsi="IRNazanin" w:eastAsia="IRNazanin"/>
          <w:color w:val="111111"/>
          <w:sz w:val="28"/>
          <w:sz w:val="28"/>
          <w:szCs w:val="28"/>
          <w:rtl w:val="true"/>
          <w:lang w:bidi="fa-IR"/>
        </w:rPr>
        <w:t>تحتشی و تستثفر و تصلیّ الظهر و العصر، ثمّ لتنظر فإن کان الدم فیما بینها و بین المغرب لا یسیل من خلف الکرسف فلتتوضّأ و لتصلّ عند وقت کلّ صلاة ما لم تطرح الکرسف عنها، فإن طرحت الکرسف فسال عنها الدم وجب علیها الغسل، و إن طرحت الکرسف و لم یسل الدم فلتتوضّأ و لتصلّ و لا غسل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الدم إذا أمسکت الکرسف یسیل من خلف الکرسف صبیباً لا یرقأ فإنّ علیها أن تغتسل فی کلّ یوم و لیلة ثلاث مرّات و تحتشی و تصلیّ، و تغتسل للفجر، و تغتسل للظهر و العصر، و تغتسل للمغرب و العشاء، و کذلک تفعل المستحاضة؛ فإنّها إذا فعلت ذلک أذهب اللّٰه بالدم عنها </w:t>
      </w:r>
      <w:r>
        <w:rPr>
          <w:rStyle w:val="FootnoteAnchor"/>
          <w:rtl w:val="true"/>
        </w:rPr>
        <w:footnoteReference w:id="208"/>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أنّه علیه السلام علّق الأغسال الثلاثة علی سیلان الدم من خلف الکرسف صبیباً لا یرقأ، فإطلاق الغسل فیما إذا طرح الکرسف و سال الدم محمول علی الغسل الواحد،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یظهر من الروایة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أمسکت الکرسف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طرحت الکرسف 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الظاهر أنّه قسیم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الدم فیما بینها و بین المغرب لا یسیل من خلف الکرسف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فقسم کلّاً من صورتی طرح الکرسف و إمساکها إلی قسمین، فی أحدهما الوضوء و فی الآخر الغسل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لو لم تکن ظاهرة فی خلاف المطلوب؛ من جهة أنّ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طرحت الکرسف فسال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جنس الغسل، نظیر التوضّؤ فی مقابله، فلا دلالة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یتّجه الاستدلال له بقوله علیه السلام فی روایة عبد الرحمن بن أبی عبد اللّٰه، عن أبی عبد اللّٰه علیه السلام فی حدث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لتستدخل کرسفاً فإذا ظهر الدم علی الکرسف فلتغتسل، ثمّ تضع کرسفاً آخر ثمّ تصلی، فإذا کان دماً سائلًا فلتؤخّر الصلاة إلی الصلاة ثمّ تجمع بین الصلاتین بغسل واحد </w:t>
      </w:r>
      <w:r>
        <w:rPr>
          <w:rStyle w:val="FootnoteAnchor"/>
          <w:rtl w:val="true"/>
        </w:rPr>
        <w:footnoteReference w:id="21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بناءً علی تعلّق الأغسال الثلاثة بسیلان الدم، فیعلم منه إرادة المتوسّطة فی الفقرة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الاستدلال بمصحّحة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رأت دماً صبیباً اغتسلت و استثفرت و احتشت فی وقت کلّ صلاة، فإذا رأت صفرة توضّأت</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نحوها روایة یونس بن یعقوب </w:t>
      </w:r>
      <w:r>
        <w:rPr>
          <w:rStyle w:val="FootnoteAnchor"/>
          <w:rtl w:val="true"/>
        </w:rPr>
        <w:footnoteReference w:id="213"/>
      </w:r>
      <w:r>
        <w:rPr>
          <w:rFonts w:ascii="IRNazanin" w:hAnsi="IRNazanin" w:eastAsia="IRNazanin"/>
          <w:color w:val="111111"/>
          <w:sz w:val="28"/>
          <w:sz w:val="28"/>
          <w:szCs w:val="28"/>
          <w:rtl w:val="true"/>
          <w:lang w:bidi="fa-IR"/>
        </w:rPr>
        <w:t xml:space="preserve">بناءً علی إهمال ذکر المتوسّطة فی الروایتین لندرتها کما فی شرح المفاتیح </w:t>
      </w:r>
      <w:r>
        <w:rPr>
          <w:rStyle w:val="FootnoteAnchor"/>
          <w:rtl w:val="true"/>
        </w:rPr>
        <w:footnoteReference w:id="214"/>
      </w:r>
      <w:r>
        <w:rPr>
          <w:rFonts w:ascii="IRNazanin" w:hAnsi="IRNazanin" w:eastAsia="IRNazanin"/>
          <w:color w:val="111111"/>
          <w:sz w:val="28"/>
          <w:sz w:val="28"/>
          <w:szCs w:val="28"/>
          <w:rtl w:val="true"/>
          <w:lang w:bidi="fa-IR"/>
        </w:rPr>
        <w:t>،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المراد بالصبیب مقابل القلیل، کما أنّه قد یطلق القلیل علی مطلق الاستحاضة فی مقابل الحیض، کما فی قوله علیه السلام فی الحامل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دماً کثیراً فلا تصلّین، و إن کان قلیلًا فلتغتسل عند کلّ صلاتین</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صفرة فلتغتسل عند کلّ صلاتین</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المعتمد فی الاستدلال روایتا زرارة و سماعة المتقدّمتان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بإزائهما ما یعارضهما مثل صحیحة معاویة بن عمّار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جازت أیّامها و رأت الدم یثقب الکرسف اغتسلت للظهر و العصر، تؤخّر هذه و تعجّل هذه، و للمغرب و العشاء غسلًا، تؤخّر هذه و تعجّل هذه و تغتسل للصبح</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فی روایة زرارة المتقدّمة فی القلیلة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نفذ الدم اغتسلت و صلّت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فإن المراد بالنفوذ فیها و الثقب فی الأُولی، ما یرادف الجواز فی روایتی زرارة و سماعة، و لذا قابل فی روایة سماعة بین الثقب و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أصرح من ذلک، قوله علیه السلام فی روایة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تمسک قطنة، فإنْ صَبَغَ القطنة دمٌ لا ینقطع، فلتجمع بین کلّ صلاتین بغسل</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إناطة الأغسال بمجرّد صبغ الدم للقطنة، و لا ینافیه توصیف الدم بعدم الانقطاع کما لا یخفی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فی مرسلة یونس الطویلة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فلتدع الصلاة أیّام أقرائها ثمّ تغتسل و تتوضّأ لکلّ صلاة،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سال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 xml:space="preserve">المثعب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IRNazanin" w:hAnsi="IRNazanin" w:eastAsia="IRNazanin"/>
          <w:color w:val="111111"/>
          <w:sz w:val="28"/>
          <w:sz w:val="28"/>
          <w:szCs w:val="28"/>
          <w:rtl w:val="true"/>
          <w:lang w:bidi="fa-IR"/>
        </w:rPr>
        <w:t>، فإنّ الظاهر أنّ المراد بالاغتسال للاستحاضة لکلّ صلاة لا للحیض، بل ترکه للظهور و إلّا لزم أن یکتفی فی مقام البیان بالوضوء للاستحاضة الکثیرة، و حینئذٍ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عموم الحکم لصورتی السیلان و العدم،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عمومات وجوب الأغسال الثلاثة علی المستحاضة بقول مطلق </w:t>
      </w:r>
      <w:r>
        <w:rPr>
          <w:rStyle w:val="FootnoteAnchor"/>
          <w:rtl w:val="true"/>
        </w:rPr>
        <w:footnoteReference w:id="224"/>
      </w:r>
      <w:r>
        <w:rPr>
          <w:rFonts w:ascii="IRNazanin" w:hAnsi="IRNazanin" w:eastAsia="IRNazanin"/>
          <w:color w:val="111111"/>
          <w:sz w:val="28"/>
          <w:sz w:val="28"/>
          <w:szCs w:val="28"/>
          <w:rtl w:val="true"/>
          <w:lang w:bidi="fa-IR"/>
        </w:rPr>
        <w:t>،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روایتی زرارة و سماعة أصرح دلالة علی تثلیث أقسام المستحاضة، فیتعیّن تقیید الروایات المتقدّمة، مع إمکان دعوی انصرافها إلی الغالب من أنّ الدم إذا ثقب الکرسف سال منه، بل صحیحة معاویة صریحة فی الکثیرة، لقوله علیه السلام بعد الأمر بالاغتسال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تحتشی و تستثفر و لا تحنی، و تضمّ فخذیها فی المسجد و سائر جسدها خارج</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بذلک ضعف القول بتثنیة أقسام المستحاضة بین القلیلة و الکثیرة، کما عن القدیمین </w:t>
      </w:r>
      <w:r>
        <w:rPr>
          <w:rStyle w:val="FootnoteAnchor"/>
          <w:rtl w:val="true"/>
        </w:rPr>
        <w:footnoteReference w:id="226"/>
      </w:r>
      <w:r>
        <w:rPr>
          <w:rFonts w:ascii="IRNazanin" w:hAnsi="IRNazanin" w:eastAsia="IRNazanin"/>
          <w:color w:val="111111"/>
          <w:sz w:val="28"/>
          <w:sz w:val="28"/>
          <w:szCs w:val="28"/>
          <w:rtl w:val="true"/>
          <w:lang w:bidi="fa-IR"/>
        </w:rPr>
        <w:t xml:space="preserve">و صاحب الفاخر </w:t>
      </w:r>
      <w:r>
        <w:rPr>
          <w:rStyle w:val="FootnoteAnchor"/>
          <w:rtl w:val="true"/>
        </w:rPr>
        <w:footnoteReference w:id="227"/>
      </w:r>
      <w:r>
        <w:rPr>
          <w:rFonts w:ascii="IRNazanin" w:hAnsi="IRNazanin" w:eastAsia="IRNazanin"/>
          <w:color w:val="111111"/>
          <w:sz w:val="28"/>
          <w:sz w:val="28"/>
          <w:szCs w:val="28"/>
          <w:rtl w:val="true"/>
          <w:lang w:bidi="fa-IR"/>
        </w:rPr>
        <w:t xml:space="preserve">و المحقّق فی المعتبر </w:t>
      </w:r>
      <w:r>
        <w:rPr>
          <w:rStyle w:val="FootnoteAnchor"/>
          <w:rtl w:val="true"/>
        </w:rPr>
        <w:footnoteReference w:id="228"/>
      </w:r>
      <w:r>
        <w:rPr>
          <w:rFonts w:ascii="Amiri" w:hAnsi="Amiri" w:eastAsia="Amiri" w:cs="Amiri"/>
          <w:color w:val="111111"/>
          <w:sz w:val="28"/>
          <w:sz w:val="28"/>
          <w:szCs w:val="28"/>
          <w:rtl w:val="true"/>
          <w:lang w:bidi="ar-SA"/>
        </w:rPr>
        <w:t xml:space="preserve">و المصنّف قدّس سرّه فی المنتهی </w:t>
      </w:r>
      <w:r>
        <w:rPr>
          <w:rStyle w:val="FootnoteAnchor"/>
          <w:rtl w:val="true"/>
        </w:rPr>
        <w:footnoteReference w:id="229"/>
      </w:r>
      <w:r>
        <w:rPr>
          <w:rFonts w:ascii="IRNazanin" w:hAnsi="IRNazanin" w:eastAsia="IRNazanin"/>
          <w:color w:val="111111"/>
          <w:sz w:val="28"/>
          <w:sz w:val="28"/>
          <w:szCs w:val="28"/>
          <w:rtl w:val="true"/>
          <w:lang w:bidi="fa-IR"/>
        </w:rPr>
        <w:t xml:space="preserve">، و قد رجعا عنه فی باقی کتبهما </w:t>
      </w:r>
      <w:r>
        <w:rPr>
          <w:rStyle w:val="FootnoteAnchor"/>
          <w:rtl w:val="true"/>
        </w:rPr>
        <w:footnoteReference w:id="230"/>
      </w:r>
      <w:r>
        <w:rPr>
          <w:rFonts w:ascii="IRNazanin" w:hAnsi="IRNazanin" w:eastAsia="IRNazanin"/>
          <w:color w:val="111111"/>
          <w:sz w:val="28"/>
          <w:sz w:val="28"/>
          <w:szCs w:val="28"/>
          <w:rtl w:val="true"/>
          <w:lang w:bidi="fa-IR"/>
        </w:rPr>
        <w:t>، و تبعهم من متأخّری المتأخّرین</w:t>
      </w:r>
    </w:p>
    <w:p>
      <w:pPr>
        <w:pStyle w:val="BookText"/>
        <w:rPr/>
      </w:pPr>
      <w:r>
        <w:rPr>
          <w:rFonts w:ascii="IRNazanin" w:hAnsi="IRNazanin" w:eastAsia="IRNazanin"/>
          <w:color w:val="111111"/>
          <w:sz w:val="28"/>
          <w:sz w:val="28"/>
          <w:szCs w:val="28"/>
          <w:rtl w:val="true"/>
          <w:lang w:bidi="fa-IR"/>
        </w:rPr>
        <w:t xml:space="preserve">جماعة کالمحقّق الأردبیلی </w:t>
      </w:r>
      <w:r>
        <w:rPr>
          <w:rStyle w:val="FootnoteAnchor"/>
          <w:rtl w:val="true"/>
        </w:rPr>
        <w:footnoteReference w:id="231"/>
      </w:r>
      <w:r>
        <w:rPr>
          <w:rFonts w:ascii="IRNazanin" w:hAnsi="IRNazanin" w:eastAsia="IRNazanin"/>
          <w:color w:val="111111"/>
          <w:sz w:val="28"/>
          <w:sz w:val="28"/>
          <w:szCs w:val="28"/>
          <w:rtl w:val="true"/>
          <w:lang w:bidi="fa-IR"/>
        </w:rPr>
        <w:t xml:space="preserve">و تلمیذیه صاحب المعالم </w:t>
      </w:r>
      <w:r>
        <w:rPr>
          <w:rStyle w:val="FootnoteAnchor"/>
          <w:rtl w:val="true"/>
        </w:rPr>
        <w:footnoteReference w:id="232"/>
      </w:r>
      <w:r>
        <w:rPr>
          <w:rFonts w:ascii="IRNazanin" w:hAnsi="IRNazanin" w:eastAsia="IRNazanin"/>
          <w:color w:val="111111"/>
          <w:sz w:val="28"/>
          <w:sz w:val="28"/>
          <w:szCs w:val="28"/>
          <w:rtl w:val="true"/>
          <w:lang w:bidi="fa-IR"/>
        </w:rPr>
        <w:t xml:space="preserve">و المدارک </w:t>
      </w:r>
      <w:r>
        <w:rPr>
          <w:rStyle w:val="FootnoteAnchor"/>
          <w:rtl w:val="true"/>
        </w:rPr>
        <w:footnoteReference w:id="233"/>
      </w:r>
      <w:r>
        <w:rPr>
          <w:rFonts w:ascii="IRNazanin" w:hAnsi="IRNazanin" w:eastAsia="IRNazanin"/>
          <w:color w:val="111111"/>
          <w:sz w:val="28"/>
          <w:sz w:val="28"/>
          <w:szCs w:val="28"/>
          <w:rtl w:val="true"/>
          <w:lang w:bidi="fa-IR"/>
        </w:rPr>
        <w:t xml:space="preserve">و شیخنا البهائی فی الحبل </w:t>
      </w:r>
      <w:r>
        <w:rPr>
          <w:rStyle w:val="FootnoteAnchor"/>
          <w:rtl w:val="true"/>
        </w:rPr>
        <w:footnoteReference w:id="234"/>
      </w:r>
      <w:r>
        <w:rPr>
          <w:rFonts w:ascii="IRNazanin" w:hAnsi="IRNazanin" w:eastAsia="IRNazanin"/>
          <w:color w:val="111111"/>
          <w:sz w:val="28"/>
          <w:sz w:val="28"/>
          <w:szCs w:val="28"/>
          <w:rtl w:val="true"/>
          <w:lang w:bidi="fa-IR"/>
        </w:rPr>
        <w:t xml:space="preserve">و صاحب الذخیرة </w:t>
      </w:r>
      <w:r>
        <w:rPr>
          <w:rStyle w:val="FootnoteAnchor"/>
          <w:rtl w:val="true"/>
        </w:rPr>
        <w:footnoteReference w:id="235"/>
      </w:r>
      <w:r>
        <w:rPr>
          <w:rFonts w:ascii="IRNazanin" w:hAnsi="IRNazanin" w:eastAsia="IRNazanin"/>
          <w:color w:val="111111"/>
          <w:sz w:val="28"/>
          <w:sz w:val="28"/>
          <w:szCs w:val="28"/>
          <w:rtl w:val="true"/>
          <w:lang w:bidi="fa-IR"/>
        </w:rPr>
        <w:t xml:space="preserve">، و مال إلیه فی الروض </w:t>
      </w:r>
      <w:r>
        <w:rPr>
          <w:rStyle w:val="FootnoteAnchor"/>
          <w:rtl w:val="true"/>
        </w:rPr>
        <w:footnoteReference w:id="236"/>
      </w:r>
      <w:r>
        <w:rPr>
          <w:rFonts w:ascii="IRNazanin" w:hAnsi="IRNazanin" w:eastAsia="IRNazanin"/>
          <w:color w:val="111111"/>
          <w:sz w:val="28"/>
          <w:sz w:val="28"/>
          <w:szCs w:val="28"/>
          <w:rtl w:val="true"/>
          <w:lang w:bidi="fa-IR"/>
        </w:rPr>
        <w:t>، و هو أحوط</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إشکال و لا خلاف فی وجوب الوضوء لما عدا صلاة الفجر من الصلوات، و إنّما الخلاف فی وجوبه لها إمّا من جهة الخلاف فی وجوبه مع کلّ غسل، و إمّا لخصوصیّة فی هذا المقام؛ و لذا قال بوجوبه من اکتفی بالغسل عن الوضوء کالسیّد فی الجمل </w:t>
      </w:r>
      <w:r>
        <w:rPr>
          <w:rStyle w:val="FootnoteAnchor"/>
          <w:rtl w:val="true"/>
        </w:rPr>
        <w:footnoteReference w:id="237"/>
      </w:r>
      <w:r>
        <w:rPr>
          <w:rFonts w:ascii="IRNazanin" w:hAnsi="IRNazanin" w:eastAsia="IRNazanin"/>
          <w:color w:val="111111"/>
          <w:sz w:val="28"/>
          <w:sz w:val="28"/>
          <w:szCs w:val="28"/>
          <w:rtl w:val="true"/>
          <w:lang w:bidi="fa-IR"/>
        </w:rPr>
        <w:t xml:space="preserve">، و نفاه بعض من لم یکتفِ بالغسل عن الوضوء، کما عن الشیخ </w:t>
      </w:r>
      <w:r>
        <w:rPr>
          <w:rStyle w:val="FootnoteAnchor"/>
          <w:rtl w:val="true"/>
        </w:rPr>
        <w:footnoteReference w:id="238"/>
      </w:r>
      <w:r>
        <w:rPr>
          <w:rFonts w:ascii="IRNazanin" w:hAnsi="IRNazanin" w:eastAsia="IRNazanin"/>
          <w:color w:val="111111"/>
          <w:sz w:val="28"/>
          <w:sz w:val="28"/>
          <w:szCs w:val="28"/>
          <w:rtl w:val="true"/>
          <w:lang w:bidi="fa-IR"/>
        </w:rPr>
        <w:t xml:space="preserve">و الصدوقین </w:t>
      </w:r>
      <w:r>
        <w:rPr>
          <w:rStyle w:val="FootnoteAnchor"/>
          <w:rtl w:val="true"/>
        </w:rPr>
        <w:footnoteReference w:id="239"/>
      </w:r>
      <w:r>
        <w:rPr>
          <w:rFonts w:ascii="IRNazanin" w:hAnsi="IRNazanin" w:eastAsia="IRNazanin"/>
          <w:color w:val="111111"/>
          <w:sz w:val="28"/>
          <w:sz w:val="28"/>
          <w:szCs w:val="28"/>
          <w:rtl w:val="true"/>
          <w:lang w:bidi="fa-IR"/>
        </w:rPr>
        <w:t xml:space="preserve">و القاضی </w:t>
      </w:r>
      <w:r>
        <w:rPr>
          <w:rStyle w:val="FootnoteAnchor"/>
          <w:rtl w:val="true"/>
        </w:rPr>
        <w:footnoteReference w:id="240"/>
      </w:r>
      <w:r>
        <w:rPr>
          <w:rFonts w:ascii="IRNazanin" w:hAnsi="IRNazanin" w:eastAsia="IRNazanin"/>
          <w:color w:val="111111"/>
          <w:sz w:val="28"/>
          <w:sz w:val="28"/>
          <w:szCs w:val="28"/>
          <w:rtl w:val="true"/>
          <w:lang w:bidi="fa-IR"/>
        </w:rPr>
        <w:t xml:space="preserve">و الحلبی </w:t>
      </w:r>
      <w:r>
        <w:rPr>
          <w:rStyle w:val="FootnoteAnchor"/>
          <w:rtl w:val="true"/>
        </w:rPr>
        <w:footnoteReference w:id="241"/>
      </w:r>
      <w:r>
        <w:rPr>
          <w:rFonts w:ascii="Amiri" w:hAnsi="Amiri" w:eastAsia="Amiri" w:cs="Amiri"/>
          <w:color w:val="111111"/>
          <w:sz w:val="28"/>
          <w:sz w:val="28"/>
          <w:szCs w:val="28"/>
          <w:rtl w:val="true"/>
          <w:lang w:bidi="ar-SA"/>
        </w:rPr>
        <w:t xml:space="preserve">و ابن زهرة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عبائرهم ما فی 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إنّما یجب</w:t>
      </w:r>
    </w:p>
    <w:p>
      <w:pPr>
        <w:pStyle w:val="BookText"/>
        <w:rPr/>
      </w:pPr>
      <w:r>
        <w:rPr>
          <w:rFonts w:ascii="IRNazanin" w:hAnsi="IRNazanin" w:eastAsia="IRNazanin"/>
          <w:color w:val="111111"/>
          <w:sz w:val="28"/>
          <w:sz w:val="28"/>
          <w:szCs w:val="28"/>
          <w:rtl w:val="true"/>
          <w:lang w:bidi="fa-IR"/>
        </w:rPr>
        <w:t xml:space="preserve">علیها الغسل لصلاة الغداة، و لا یجب علیها لغیرها من الصلوات، فلا ینافی وجوب الوضوء لصلاة الغداة أیضاً </w:t>
      </w:r>
      <w:r>
        <w:rPr>
          <w:rStyle w:val="FootnoteAnchor"/>
          <w:rtl w:val="true"/>
        </w:rPr>
        <w:footnoteReference w:id="24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فالأقوی وجوب الوضوء، إمّا لما تقدّم من وجوب الوضوء فی کلّ غسل غیر الجنابة، و إمّا لظاهر روایة سماعة، و ذیل مرسلة یونس المتقدّمتین </w:t>
      </w:r>
      <w:r>
        <w:rPr>
          <w:rStyle w:val="FootnoteAnchor"/>
          <w:rtl w:val="true"/>
        </w:rPr>
        <w:footnoteReference w:id="244"/>
      </w:r>
      <w:r>
        <w:rPr>
          <w:rFonts w:ascii="IRNazanin" w:hAnsi="IRNazanin" w:eastAsia="IRNazanin"/>
          <w:color w:val="111111"/>
          <w:sz w:val="28"/>
          <w:sz w:val="28"/>
          <w:szCs w:val="28"/>
          <w:rtl w:val="true"/>
          <w:lang w:bidi="fa-IR"/>
        </w:rPr>
        <w:t>، هذا مضافاً إلی استصحاب المنع عن الدخول فی العبادة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أکثر الفتاوی و معقد إجماع الناصریّات </w:t>
      </w:r>
      <w:r>
        <w:rPr>
          <w:rStyle w:val="FootnoteAnchor"/>
          <w:rtl w:val="true"/>
        </w:rPr>
        <w:footnoteReference w:id="245"/>
      </w:r>
      <w:r>
        <w:rPr>
          <w:rFonts w:ascii="IRNazanin" w:hAnsi="IRNazanin" w:eastAsia="IRNazanin"/>
          <w:color w:val="111111"/>
          <w:sz w:val="28"/>
          <w:sz w:val="28"/>
          <w:szCs w:val="28"/>
          <w:rtl w:val="true"/>
          <w:lang w:bidi="fa-IR"/>
        </w:rPr>
        <w:t xml:space="preserve">کون غسل المتوسّطة لصلاة الغداة خاصة، و لازمه اعتبار رؤیة الدم قبل صلاة الفجر، فلو رأته بعدها سقط الغسل فی ذلک الیوم للظهرین و العشاءَین، و إن احتمل وجوبه بالنسبة إلی صلاة الغداة المستقبلة و بالنسبة إلی قضاء صلاة غداة الیوم لو فاتت منه، و قد عدّ الشهید فی البیان </w:t>
      </w:r>
      <w:r>
        <w:rPr>
          <w:rStyle w:val="FootnoteAnchor"/>
          <w:rtl w:val="true"/>
        </w:rPr>
        <w:footnoteReference w:id="246"/>
      </w:r>
      <w:r>
        <w:rPr>
          <w:rFonts w:ascii="IRNazanin" w:hAnsi="IRNazanin" w:eastAsia="IRNazanin"/>
          <w:color w:val="111111"/>
          <w:sz w:val="28"/>
          <w:sz w:val="28"/>
          <w:szCs w:val="28"/>
          <w:rtl w:val="true"/>
          <w:lang w:bidi="fa-IR"/>
        </w:rPr>
        <w:t xml:space="preserve">الاستحاضة المتوسّطة بالنسبة إلی ما عدا الصبح من أفراد الحدث الأصغر فی بیان موجبات الوضوء، و هو الظاهر من جامع المقاصد فی مسألة وجوب الغسل للصوم مع غمس القطنة </w:t>
      </w:r>
      <w:r>
        <w:rPr>
          <w:rStyle w:val="FootnoteAnchor"/>
          <w:rtl w:val="true"/>
        </w:rPr>
        <w:footnoteReference w:id="247"/>
      </w:r>
      <w:r>
        <w:rPr>
          <w:rFonts w:ascii="IRNazanin" w:hAnsi="IRNazanin" w:eastAsia="IRNazanin"/>
          <w:color w:val="111111"/>
          <w:sz w:val="28"/>
          <w:sz w:val="28"/>
          <w:szCs w:val="28"/>
          <w:rtl w:val="true"/>
          <w:lang w:bidi="fa-IR"/>
        </w:rPr>
        <w:t xml:space="preserve">، و الشهید الثانی فی الروضة فی هذا المقام </w:t>
      </w:r>
      <w:r>
        <w:rPr>
          <w:rStyle w:val="FootnoteAnchor"/>
          <w:rtl w:val="true"/>
        </w:rPr>
        <w:footnoteReference w:id="248"/>
      </w:r>
      <w:r>
        <w:rPr>
          <w:rFonts w:ascii="IRNazanin" w:hAnsi="IRNazanin" w:eastAsia="IRNazanin"/>
          <w:color w:val="111111"/>
          <w:sz w:val="28"/>
          <w:sz w:val="28"/>
          <w:szCs w:val="28"/>
          <w:rtl w:val="true"/>
          <w:lang w:bidi="fa-IR"/>
        </w:rPr>
        <w:t xml:space="preserve">، و تبعه محشّیها </w:t>
      </w:r>
      <w:r>
        <w:rPr>
          <w:rStyle w:val="FootnoteAnchor"/>
          <w:rtl w:val="true"/>
        </w:rPr>
        <w:footnoteReference w:id="249"/>
      </w:r>
      <w:r>
        <w:rPr>
          <w:rFonts w:ascii="IRNazanin" w:hAnsi="IRNazanin" w:eastAsia="IRNazanin"/>
          <w:color w:val="111111"/>
          <w:sz w:val="28"/>
          <w:sz w:val="28"/>
          <w:szCs w:val="28"/>
          <w:rtl w:val="true"/>
          <w:lang w:bidi="fa-IR"/>
        </w:rPr>
        <w:t xml:space="preserve">و شارحها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شارح المفاتیح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المتراءی من ظاهر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دخل لهذا الغسل فی باب الصلوات، لکن المحکیّ عن فخر الإسلام فی شرح الکتاب </w:t>
      </w:r>
      <w:r>
        <w:rPr>
          <w:rStyle w:val="FootnoteAnchor"/>
          <w:rtl w:val="true"/>
        </w:rPr>
        <w:footnoteReference w:id="252"/>
      </w:r>
      <w:r>
        <w:rPr>
          <w:rFonts w:ascii="IRNazanin" w:hAnsi="IRNazanin" w:eastAsia="IRNazanin"/>
          <w:color w:val="111111"/>
          <w:sz w:val="28"/>
          <w:sz w:val="28"/>
          <w:szCs w:val="28"/>
          <w:rtl w:val="true"/>
          <w:lang w:bidi="fa-IR"/>
        </w:rPr>
        <w:t>النصّ علی أنّ غسل المستحاضة للوقت لا للصلاة، و فرّع علیه شارح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الغسل حینئذٍ إن تجدّد الغمس قبل طلوع الشمس و إن کان بعد الصلاة </w:t>
      </w:r>
      <w:r>
        <w:rPr>
          <w:rStyle w:val="FootnoteAnchor"/>
          <w:rtl w:val="true"/>
        </w:rPr>
        <w:footnoteReference w:id="253"/>
      </w:r>
      <w:r>
        <w:rPr>
          <w:rFonts w:ascii="IRNazanin" w:hAnsi="IRNazanin" w:eastAsia="IRNazanin"/>
          <w:color w:val="111111"/>
          <w:sz w:val="28"/>
          <w:sz w:val="28"/>
          <w:szCs w:val="28"/>
          <w:rtl w:val="true"/>
          <w:lang w:bidi="fa-IR"/>
        </w:rPr>
        <w:t>، و ظاهره أنّ هذا الغسل له مدخل فی الصلوات التی بعدها و إلّا فلا وجه لوجوبه بعد الصلاة وجوباً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استظهر فی کشف اللثام فی موجبات الوضوء علی وجه یظهر منه أنّه من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لغسل صلاة الغداة مدخلًا فی استباحة ما عداها من الصلوات، حتّی أنّها لو لم تغتسل لصلاة الصبح لزمها الغسل إذا أرادت الصلوات الباقیة </w:t>
      </w:r>
      <w:r>
        <w:rPr>
          <w:rStyle w:val="FootnoteAnchor"/>
          <w:rtl w:val="true"/>
        </w:rPr>
        <w:footnoteReference w:id="25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الظاهر أیضاً من شرح المفاتیح؛ حیث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غسل المتوسّطة له مدخلیّة فی جمیع ذلک الیوم، لأنّ المتوسّطة حدث أکبر بالنسبة إلیها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ظاهر جامع المقاصد؛ حیث ذکر فی موجبات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انقطع دم المتوسّطة للبرء فی وقت صلوات الظهرین أو العشاءین، وجب</w:t>
      </w:r>
    </w:p>
    <w:p>
      <w:pPr>
        <w:pStyle w:val="BookText"/>
        <w:rPr/>
      </w:pPr>
      <w:r>
        <w:rPr>
          <w:rFonts w:ascii="IRNazanin" w:hAnsi="IRNazanin" w:eastAsia="IRNazanin"/>
          <w:color w:val="111111"/>
          <w:sz w:val="28"/>
          <w:sz w:val="28"/>
          <w:szCs w:val="28"/>
          <w:rtl w:val="true"/>
          <w:lang w:bidi="fa-IR"/>
        </w:rPr>
        <w:t xml:space="preserve">الغسل إذا کان فی وقت الصبح یوجبه </w:t>
      </w:r>
      <w:r>
        <w:rPr>
          <w:rStyle w:val="FootnoteAnchor"/>
          <w:rtl w:val="true"/>
        </w:rPr>
        <w:footnoteReference w:id="25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کونه حدثاً أکبر بالنسبة إلی غیر الصبح لم یجب الغسل عند انقطاعه لبقیّة الصلوات، و منه یعلم أنّ ذلک مقتضی إطلاق کلّ من أوجب الغسل لانقطاع دم المستحاضة للبرء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الروض </w:t>
      </w:r>
      <w:r>
        <w:rPr>
          <w:rStyle w:val="FootnoteAnchor"/>
          <w:rtl w:val="true"/>
        </w:rPr>
        <w:footnoteReference w:id="257"/>
      </w:r>
      <w:r>
        <w:rPr>
          <w:rFonts w:ascii="IRNazanin" w:hAnsi="IRNazanin" w:eastAsia="IRNazanin"/>
          <w:color w:val="111111"/>
          <w:sz w:val="28"/>
          <w:sz w:val="28"/>
          <w:szCs w:val="28"/>
          <w:rtl w:val="true"/>
          <w:lang w:bidi="fa-IR"/>
        </w:rPr>
        <w:t xml:space="preserve">و المقاصد العلیّة </w:t>
      </w:r>
      <w:r>
        <w:rPr>
          <w:rStyle w:val="FootnoteAnchor"/>
          <w:rtl w:val="true"/>
        </w:rPr>
        <w:footnoteReference w:id="258"/>
      </w:r>
      <w:r>
        <w:rPr>
          <w:rFonts w:ascii="IRNazanin" w:hAnsi="IRNazanin" w:eastAsia="IRNazanin"/>
          <w:color w:val="111111"/>
          <w:sz w:val="28"/>
          <w:sz w:val="28"/>
          <w:szCs w:val="28"/>
          <w:rtl w:val="true"/>
          <w:lang w:bidi="fa-IR"/>
        </w:rPr>
        <w:t>فی موجبات الوضوء جعل المتوسّطة بالنسبة إلی ما عدا الصبح کالکثیرة بالنسبة إلی العصر و العشاء، بل ما ذکرنا مقتضی ما سیجی‌ء من اتّفاقهم علی أنّ المستحاضة لو أخلّت بما علیها لم تصحّ صلاتها، فحینئذٍ لو ترکت صلاة الصبح عمداً أو نسیاناً و ترکت الغسل أیضاً ثمّ صلّت الظهر بلا غسل مع نسیان فوات الصبح أو عمداً علی القول بعدم الترتیب بطل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الغسل لصلاة الغداة خاصّة و الوضوء للبواقی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به عدم وجوب غسل آخر لما عداها فی مقابل الکثیرة، لا أنّ أثر الغسل مختصّ بها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الروایات الواردة فی المتوسّطة هو کون غسلها لجمیع الصلوات، و أنّ هذا الدم المتجاوز عن حدّ القلیلة الغیر البالغ حدّ الکثیرة یوجب غسلًا واحداً بالنسبة إلی جمیع الصلوات الخمس إن استمرّ بها هذا الدم أو حدث فی أوقاتها، کما هو صریح روایتی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یجز الدم الکرسف فعلیها الغسل کلّ یوم مرّة،</w:t>
      </w:r>
    </w:p>
    <w:p>
      <w:pPr>
        <w:pStyle w:val="BookText"/>
        <w:rPr/>
      </w:pPr>
      <w:r>
        <w:rPr>
          <w:rFonts w:ascii="IRNazanin" w:hAnsi="IRNazanin" w:eastAsia="IRNazanin"/>
          <w:color w:val="111111"/>
          <w:sz w:val="28"/>
          <w:sz w:val="28"/>
          <w:szCs w:val="28"/>
          <w:rtl w:val="true"/>
          <w:lang w:bidi="fa-IR"/>
        </w:rPr>
        <w:t>و الوضوء لکلّ صلاة</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یتلوهما فی الظهور روایة زرارة المتقدّمة حیث إنّ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بغسل واحد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أنّها تصلی الخمس بغسل واحد؛ قبالًا لذات الدم الکثیر حیث إنّها تصلی الخمس بثلاث 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تقدیمه عند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أوّل الصلوات، فلا یصدق علی من استمرّ بها الدم المتوسّط أنّها صلّت الخمس بالغسل إلّا إذا اغتسلت عند صلاة الفجر، و حینئذٍ فلو تجدّد الغمس بعد صلاة الفجر وجب الغسل للظهرین، کما أنّه لو تجدّد بعد صلاة الظهرین وجب الغسل للعشاءین، فما فی النصوص من فعل الخمس بغسل واحد </w:t>
      </w:r>
      <w:r>
        <w:rPr>
          <w:rStyle w:val="FootnoteAnchor"/>
          <w:rtl w:val="true"/>
        </w:rPr>
        <w:footnoteReference w:id="261"/>
      </w:r>
      <w:r>
        <w:rPr>
          <w:rFonts w:ascii="IRNazanin" w:hAnsi="IRNazanin" w:eastAsia="IRNazanin"/>
          <w:color w:val="111111"/>
          <w:sz w:val="28"/>
          <w:sz w:val="28"/>
          <w:szCs w:val="28"/>
          <w:rtl w:val="true"/>
          <w:lang w:bidi="fa-IR"/>
        </w:rPr>
        <w:t>، و ما فی الفتاوی من الغسل لصلاة الغداة، محمول علی من استمرّ بها الدم المتوسّط فی جمیع أوقات الصلاة، کما أنّ حکمهم بوجوب ثلاثة أغسال علی ذات الکثیرة محمول علی من استمرّ بها الکثرة فی جمیع الصلوات، فلا ینافیه وجوب الغسل للعصر فقط أو للعشاء فقط إذا حدثت الکثرة بعد فعل الظهر أو المغرب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إطلاق باقی الأخبار التی استدلّوا بها علی حکم المتوسّطة، مثل قوله علیه السلام فی 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نفذ الدم اغتسلت و صلّت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و قوله علیه السلام فی روایة الجعفی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ظهر الدم علی الکرسف</w:t>
      </w:r>
    </w:p>
    <w:p>
      <w:pPr>
        <w:pStyle w:val="BookText"/>
        <w:rPr/>
      </w:pPr>
      <w:r>
        <w:rPr>
          <w:rFonts w:ascii="IRNazanin" w:hAnsi="IRNazanin" w:eastAsia="IRNazanin"/>
          <w:color w:val="111111"/>
          <w:sz w:val="28"/>
          <w:sz w:val="28"/>
          <w:szCs w:val="28"/>
          <w:rtl w:val="true"/>
          <w:lang w:bidi="fa-IR"/>
        </w:rPr>
        <w:t>أعادت الغسل و أعادت الکرسف</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و قوله علیه السلام فی روایة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ظهر الدم علی الکرسف فلتغتسل ثمّ تضع کرسفاً آخر ثمّ تصلی، فإذا کان دماً سائلًا فلتؤخّر الصلاة إلی الصلاة ثمّ تصلی صلاتین بغسل واحد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الأخبار علی ما ذکرنا واضحة جدّاً، و لا ینافیها شی‌ء، عدا ما یتراءی من ظهور تخصیص هذا الغسل فی الفتاوی و معاقد الإجماع بکونه لصلاة الغداة، و هو الذی دعا بعض مشایخنا المعاصرین </w:t>
      </w:r>
      <w:r>
        <w:rPr>
          <w:rStyle w:val="FootnoteAnchor"/>
          <w:rtl w:val="true"/>
        </w:rPr>
        <w:footnoteReference w:id="265"/>
      </w:r>
      <w:r>
        <w:rPr>
          <w:rFonts w:ascii="IRNazanin" w:hAnsi="IRNazanin" w:eastAsia="IRNazanin"/>
          <w:color w:val="111111"/>
          <w:sz w:val="28"/>
          <w:sz w:val="28"/>
          <w:szCs w:val="28"/>
          <w:rtl w:val="true"/>
          <w:lang w:bidi="fa-IR"/>
        </w:rPr>
        <w:t xml:space="preserve">إلی المبالغة فی تضعیف ما قوّیناه تبعاً لغیر واحد من مشایخه کصاحب الریاض </w:t>
      </w:r>
      <w:r>
        <w:rPr>
          <w:rStyle w:val="FootnoteAnchor"/>
          <w:rtl w:val="true"/>
        </w:rPr>
        <w:footnoteReference w:id="266"/>
      </w:r>
      <w:r>
        <w:rPr>
          <w:rFonts w:ascii="IRNazanin" w:hAnsi="IRNazanin" w:eastAsia="IRNazanin"/>
          <w:color w:val="111111"/>
          <w:sz w:val="28"/>
          <w:sz w:val="28"/>
          <w:szCs w:val="28"/>
          <w:rtl w:val="true"/>
          <w:lang w:bidi="fa-IR"/>
        </w:rPr>
        <w:t xml:space="preserve">و کاشف الغطاء </w:t>
      </w:r>
      <w:r>
        <w:rPr>
          <w:rStyle w:val="FootnoteAnchor"/>
          <w:rtl w:val="true"/>
        </w:rPr>
        <w:footnoteReference w:id="267"/>
      </w:r>
      <w:r>
        <w:rPr>
          <w:rFonts w:ascii="IRNazanin" w:hAnsi="IRNazanin" w:eastAsia="IRNazanin"/>
          <w:color w:val="111111"/>
          <w:sz w:val="28"/>
          <w:sz w:val="28"/>
          <w:szCs w:val="28"/>
          <w:rtl w:val="true"/>
          <w:lang w:bidi="fa-IR"/>
        </w:rPr>
        <w:t xml:space="preserve">و ولده الفقیه فی شرح رسالته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 یظهر منه هذا القول الشیخ علی فی حاشیة الروضة، بل یظهر منه أنّه مذهب غیره، بل مذهب الکلّ؛ حیث علّق علی قوله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تأخّر الغمس عن الصلاة فکالأوّل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کالقسم الأوّل بالنسبة إلی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لا ینافی وجوب الغسل بالنسبة إلی الظهرین و العشاءین؛ فإنّ حکمها مبنیّ علی اعتبار أوقات الصلاة و عدم اعتبارها </w:t>
      </w:r>
      <w:r>
        <w:rPr>
          <w:rStyle w:val="FootnoteAnchor"/>
          <w:rtl w:val="true"/>
        </w:rPr>
        <w:footnoteReference w:id="26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فی شرح العبارة و إن کان خلاف الظاهر إلّا أنّ المقصود من</w:t>
      </w:r>
    </w:p>
    <w:p>
      <w:pPr>
        <w:pStyle w:val="BookText"/>
        <w:rPr/>
      </w:pPr>
      <w:r>
        <w:rPr>
          <w:rFonts w:ascii="IRNazanin" w:hAnsi="IRNazanin" w:eastAsia="IRNazanin"/>
          <w:color w:val="111111"/>
          <w:sz w:val="28"/>
          <w:sz w:val="28"/>
          <w:szCs w:val="28"/>
          <w:rtl w:val="true"/>
          <w:lang w:bidi="fa-IR"/>
        </w:rPr>
        <w:t>ذکره إظهار موافقته لمن ذکرنا، بل حکایته موافقة غیره أیضاً،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السیّد العلّامة 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فی الاستحاضة الوسطی وجوب غسلٍ واحد لصلاة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عبائرهم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الغسل غایته خصوص صلاة الغداة فلا یتوقّف علیه صحّة باقی الصلوات، و ربما احتمل أن یکون ذلک لجمیع الخمس فیتوقّف علیه صحّة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رأته فی غیر وقت الفجر احتمل وجوب الغسل، و الأصل و العمومات تنفی ذلک، و قد صرّح بعضهم بنفیه و هو ظاهر الباقین، انتهی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 منافاة هذا التخصیص لما ذکرنا إن کان من جهة ظهوره فی اختصاص أثر الغسل بصلاة الغداة و عدم شرکة غیرها معها، فقد عرفت خلاف ذلک من جماعة </w:t>
      </w:r>
      <w:r>
        <w:rPr>
          <w:rStyle w:val="FootnoteAnchor"/>
          <w:rtl w:val="true"/>
        </w:rPr>
        <w:footnoteReference w:id="271"/>
      </w:r>
      <w:r>
        <w:rPr>
          <w:rFonts w:ascii="IRNazanin" w:hAnsi="IRNazanin" w:eastAsia="IRNazanin"/>
          <w:color w:val="111111"/>
          <w:sz w:val="28"/>
          <w:sz w:val="28"/>
          <w:szCs w:val="28"/>
          <w:rtl w:val="true"/>
          <w:lang w:bidi="fa-IR"/>
        </w:rPr>
        <w:t xml:space="preserve">، بین مصرّحٍ بکون دم المتوسّطة مطلقاً حدثاً أکبر بالنسبة إلی جمیع الصلوات، و بین مقیّدٍ له؛ لتعیینهم الغسل بما یوجب الغسل لصلاة الفجر أو بما یوجد فی جزءٍ من وقتها و إن کان بعد فعلها، کما فهمه شارح الروضة من محکیّ شرح الإرشاد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فقد عبّر هؤلاء کغیرهم بوجوب الغسل لصلاة الغداة، فتعیّن أن یراد به نفی وجوب غسلٍ آخر بعد 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جهة تعیینهم الغسل لصلاة الغداة، الظاهر فی عدم ثبوته لغیرها مطلقاً، مثل ما لو تأخّر الغمس عن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 إن لم یصرّح به من المعبّرین بالعبارة المذکورة إلّا</w:t>
      </w:r>
      <w:bookmarkStart w:id="33" w:name="pg13042_126937"/>
    </w:p>
    <w:p>
      <w:pPr>
        <w:pStyle w:val="BookText"/>
        <w:rPr/>
      </w:pPr>
      <w:bookmarkEnd w:id="33"/>
      <w:r>
        <w:rPr>
          <w:rFonts w:ascii="IRNazanin" w:hAnsi="IRNazanin" w:eastAsia="IRNazanin"/>
          <w:color w:val="111111"/>
          <w:sz w:val="28"/>
          <w:sz w:val="28"/>
          <w:szCs w:val="28"/>
          <w:rtl w:val="true"/>
          <w:lang w:bidi="fa-IR"/>
        </w:rPr>
        <w:t xml:space="preserve">نفر یسیر کصاحب الریاض و جماعة ممّن وافقه </w:t>
      </w:r>
      <w:r>
        <w:rPr>
          <w:rStyle w:val="FootnoteAnchor"/>
          <w:rtl w:val="true"/>
        </w:rPr>
        <w:footnoteReference w:id="273"/>
      </w:r>
      <w:r>
        <w:rPr>
          <w:rFonts w:ascii="IRNazanin" w:hAnsi="IRNazanin" w:eastAsia="IRNazanin"/>
          <w:color w:val="111111"/>
          <w:sz w:val="28"/>
          <w:sz w:val="28"/>
          <w:szCs w:val="28"/>
          <w:rtl w:val="true"/>
          <w:lang w:bidi="fa-IR"/>
        </w:rPr>
        <w:t>، إلّا أنّک قد عرفت أنّ هذا التعبیر منهم من جهة فرضهم الکلام علی من استمرّ بها الدم المتوسّط، کما أنّ حکمهم بوجوب أغسال ثلاثة علی ذات الدم الکثیر بالنسبة إلی من استمرّ بها الدم، فلا ینافی أنّه لو فرض الکثرة بعد الظهرین وجب غسل واحد للعشاءین، أو بعد الصبح وجب غسلان للظهرین و العشاءین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عدم تحقّق الإجماع علی خلاف الوجه الذی قوّیناه، بل و لا الشهرة و إن تراءی ذلک من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به لا یخلو عن قوّة، مع أنّه مقتضی أصالة عدم إباحة الصلاة و بقاء تأثیر الدم المتوسّطة و عدم ارتفاعه إلّا بالغسل مع الوضوء،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یسل الدم عن القطنة،</w:t>
      </w:r>
    </w:p>
    <w:p>
      <w:pPr>
        <w:pStyle w:val="Heading6"/>
        <w:numPr>
          <w:ilvl w:val="5"/>
          <w:numId w:val="1"/>
        </w:numPr>
        <w:rPr/>
      </w:pPr>
      <w:bookmarkStart w:id="34" w:name="__RefHeading___Toc6530084_3224264995"/>
      <w:bookmarkStart w:id="35" w:name="_Toc14"/>
      <w:bookmarkEnd w:id="34"/>
      <w:r>
        <w:rPr>
          <w:rtl w:val="true"/>
        </w:rPr>
        <w:t>[</w:t>
      </w:r>
      <w:r>
        <w:rPr>
          <w:rtl w:val="true"/>
        </w:rPr>
        <w:t>الاستحاضة الکثیرة</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سال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ما ذکر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المتوسّطة شیئان آخران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للظهر و العصر، تجمع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الاستحباب، بأن تؤخّر الاولی إلی آخر وقت فضیلتها و أوّل وقت فضیلة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للمغرب و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تجمع بینهما کذلک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إشکال و لا خلاف فی وجوب الأغسال الثلاثة، و الأخبار عموماً و خصوصاً مستفیضة أو متواترة، و إنّما الخلاف فی کفایة الأغسال عن الوضوء، کما عن ظاهر الصدوقین </w:t>
      </w:r>
      <w:r>
        <w:rPr>
          <w:rStyle w:val="FootnoteAnchor"/>
          <w:rtl w:val="true"/>
        </w:rPr>
        <w:footnoteReference w:id="275"/>
      </w:r>
      <w:r>
        <w:rPr>
          <w:rFonts w:ascii="Amiri" w:hAnsi="Amiri" w:eastAsia="Amiri" w:cs="Amiri"/>
          <w:color w:val="111111"/>
          <w:sz w:val="28"/>
          <w:sz w:val="28"/>
          <w:szCs w:val="28"/>
          <w:rtl w:val="true"/>
          <w:lang w:bidi="ar-SA"/>
        </w:rPr>
        <w:t xml:space="preserve">و السیّد فی الناصریّة </w:t>
      </w:r>
      <w:r>
        <w:rPr>
          <w:rStyle w:val="FootnoteAnchor"/>
          <w:rtl w:val="true"/>
        </w:rPr>
        <w:footnoteReference w:id="27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277"/>
      </w:r>
      <w:r>
        <w:rPr>
          <w:rFonts w:ascii="Amiri" w:hAnsi="Amiri" w:eastAsia="Amiri" w:cs="Amiri"/>
          <w:color w:val="111111"/>
          <w:sz w:val="28"/>
          <w:sz w:val="28"/>
          <w:szCs w:val="28"/>
          <w:rtl w:val="true"/>
          <w:lang w:bidi="ar-SA"/>
        </w:rPr>
        <w:t xml:space="preserve">و ابن زهرة </w:t>
      </w:r>
      <w:r>
        <w:rPr>
          <w:rStyle w:val="FootnoteAnchor"/>
          <w:rtl w:val="true"/>
        </w:rPr>
        <w:footnoteReference w:id="278"/>
      </w:r>
      <w:r>
        <w:rPr>
          <w:rFonts w:ascii="Amiri" w:hAnsi="Amiri" w:eastAsia="Amiri" w:cs="Amiri"/>
          <w:color w:val="111111"/>
          <w:sz w:val="28"/>
          <w:sz w:val="28"/>
          <w:szCs w:val="28"/>
          <w:rtl w:val="true"/>
          <w:lang w:bidi="ar-SA"/>
        </w:rPr>
        <w:t xml:space="preserve">و ابن حمزة </w:t>
      </w:r>
      <w:r>
        <w:rPr>
          <w:rStyle w:val="FootnoteAnchor"/>
          <w:rtl w:val="true"/>
        </w:rPr>
        <w:footnoteReference w:id="279"/>
      </w:r>
      <w:r>
        <w:rPr>
          <w:rFonts w:ascii="IRNazanin" w:hAnsi="IRNazanin" w:eastAsia="IRNazanin"/>
          <w:color w:val="111111"/>
          <w:sz w:val="28"/>
          <w:sz w:val="28"/>
          <w:szCs w:val="28"/>
          <w:rtl w:val="true"/>
          <w:lang w:bidi="fa-IR"/>
        </w:rPr>
        <w:t xml:space="preserve">و الحلبی </w:t>
      </w:r>
      <w:r>
        <w:rPr>
          <w:rStyle w:val="FootnoteAnchor"/>
          <w:rtl w:val="true"/>
        </w:rPr>
        <w:footnoteReference w:id="280"/>
      </w:r>
      <w:r>
        <w:rPr>
          <w:rFonts w:ascii="IRNazanin" w:hAnsi="IRNazanin" w:eastAsia="IRNazanin"/>
          <w:color w:val="111111"/>
          <w:sz w:val="28"/>
          <w:sz w:val="28"/>
          <w:szCs w:val="28"/>
          <w:rtl w:val="true"/>
          <w:lang w:bidi="fa-IR"/>
        </w:rPr>
        <w:t xml:space="preserve">و القاضی </w:t>
      </w:r>
      <w:r>
        <w:rPr>
          <w:rStyle w:val="FootnoteAnchor"/>
          <w:rtl w:val="true"/>
        </w:rPr>
        <w:footnoteReference w:id="281"/>
      </w:r>
      <w:r>
        <w:rPr>
          <w:rFonts w:ascii="Amiri" w:hAnsi="Amiri" w:eastAsia="Amiri" w:cs="Amiri"/>
          <w:color w:val="111111"/>
          <w:sz w:val="28"/>
          <w:sz w:val="28"/>
          <w:szCs w:val="28"/>
          <w:rtl w:val="true"/>
          <w:lang w:bidi="ar-SA"/>
        </w:rPr>
        <w:t xml:space="preserve">و سلّار </w:t>
      </w:r>
      <w:r>
        <w:rPr>
          <w:rStyle w:val="FootnoteAnchor"/>
          <w:rtl w:val="true"/>
        </w:rPr>
        <w:footnoteReference w:id="282"/>
      </w:r>
      <w:r>
        <w:rPr>
          <w:rFonts w:ascii="IRNazanin" w:hAnsi="IRNazanin" w:eastAsia="IRNazanin"/>
          <w:color w:val="111111"/>
          <w:sz w:val="28"/>
          <w:sz w:val="28"/>
          <w:szCs w:val="28"/>
          <w:rtl w:val="true"/>
          <w:lang w:bidi="fa-IR"/>
        </w:rPr>
        <w:t xml:space="preserve">، أو وجوب الوضوء مع کلّ غسل کما عن المقنعة </w:t>
      </w:r>
      <w:r>
        <w:rPr>
          <w:rStyle w:val="FootnoteAnchor"/>
          <w:rtl w:val="true"/>
        </w:rPr>
        <w:footnoteReference w:id="283"/>
      </w:r>
      <w:r>
        <w:rPr>
          <w:rFonts w:ascii="IRNazanin" w:hAnsi="IRNazanin" w:eastAsia="IRNazanin"/>
          <w:color w:val="111111"/>
          <w:sz w:val="28"/>
          <w:sz w:val="28"/>
          <w:szCs w:val="28"/>
          <w:rtl w:val="true"/>
          <w:lang w:bidi="fa-IR"/>
        </w:rPr>
        <w:t xml:space="preserve">و الجمل </w:t>
      </w:r>
      <w:r>
        <w:rPr>
          <w:rStyle w:val="FootnoteAnchor"/>
          <w:rtl w:val="true"/>
        </w:rPr>
        <w:footnoteReference w:id="284"/>
      </w:r>
      <w:r>
        <w:rPr>
          <w:rFonts w:ascii="IRNazanin" w:hAnsi="IRNazanin" w:eastAsia="IRNazanin"/>
          <w:color w:val="111111"/>
          <w:sz w:val="28"/>
          <w:sz w:val="28"/>
          <w:szCs w:val="28"/>
          <w:rtl w:val="true"/>
          <w:lang w:bidi="fa-IR"/>
        </w:rPr>
        <w:t xml:space="preserve">و المعتبر </w:t>
      </w:r>
      <w:r>
        <w:rPr>
          <w:rStyle w:val="FootnoteAnchor"/>
          <w:rtl w:val="true"/>
        </w:rPr>
        <w:footnoteReference w:id="285"/>
      </w:r>
      <w:r>
        <w:rPr>
          <w:rFonts w:ascii="IRNazanin" w:hAnsi="IRNazanin" w:eastAsia="IRNazanin"/>
          <w:color w:val="111111"/>
          <w:sz w:val="28"/>
          <w:sz w:val="28"/>
          <w:szCs w:val="28"/>
          <w:rtl w:val="true"/>
          <w:lang w:bidi="fa-IR"/>
        </w:rPr>
        <w:t xml:space="preserve">و ابن طاوس </w:t>
      </w:r>
      <w:r>
        <w:rPr>
          <w:rStyle w:val="FootnoteAnchor"/>
          <w:rtl w:val="true"/>
        </w:rPr>
        <w:footnoteReference w:id="286"/>
      </w:r>
      <w:r>
        <w:rPr>
          <w:rFonts w:ascii="IRNazanin" w:hAnsi="IRNazanin" w:eastAsia="IRNazanin"/>
          <w:color w:val="111111"/>
          <w:sz w:val="28"/>
          <w:sz w:val="28"/>
          <w:szCs w:val="28"/>
          <w:rtl w:val="true"/>
          <w:lang w:bidi="fa-IR"/>
        </w:rPr>
        <w:t xml:space="preserve">و شارح المفاتیح </w:t>
      </w:r>
      <w:r>
        <w:rPr>
          <w:rStyle w:val="FootnoteAnchor"/>
          <w:rtl w:val="true"/>
        </w:rPr>
        <w:footnoteReference w:id="287"/>
      </w:r>
      <w:r>
        <w:rPr>
          <w:rFonts w:ascii="IRNazanin" w:hAnsi="IRNazanin" w:eastAsia="IRNazanin"/>
          <w:color w:val="111111"/>
          <w:sz w:val="28"/>
          <w:sz w:val="28"/>
          <w:szCs w:val="28"/>
          <w:rtl w:val="true"/>
          <w:lang w:bidi="fa-IR"/>
        </w:rPr>
        <w:t xml:space="preserve">و سیّد الریاض </w:t>
      </w:r>
      <w:r>
        <w:rPr>
          <w:rStyle w:val="FootnoteAnchor"/>
          <w:rtl w:val="true"/>
        </w:rPr>
        <w:footnoteReference w:id="288"/>
      </w:r>
      <w:r>
        <w:rPr>
          <w:rFonts w:ascii="IRNazanin" w:hAnsi="IRNazanin" w:eastAsia="IRNazanin"/>
          <w:color w:val="111111"/>
          <w:sz w:val="28"/>
          <w:sz w:val="28"/>
          <w:szCs w:val="28"/>
          <w:rtl w:val="true"/>
          <w:lang w:bidi="fa-IR"/>
        </w:rPr>
        <w:t xml:space="preserve">، أو لکلّ صلاة کما عن السرائر </w:t>
      </w:r>
      <w:r>
        <w:rPr>
          <w:rStyle w:val="FootnoteAnchor"/>
          <w:rtl w:val="true"/>
        </w:rPr>
        <w:footnoteReference w:id="289"/>
      </w:r>
      <w:r>
        <w:rPr>
          <w:rFonts w:ascii="IRNazanin" w:hAnsi="IRNazanin" w:eastAsia="IRNazanin"/>
          <w:color w:val="111111"/>
          <w:sz w:val="28"/>
          <w:sz w:val="28"/>
          <w:szCs w:val="28"/>
          <w:rtl w:val="true"/>
          <w:lang w:bidi="fa-IR"/>
        </w:rPr>
        <w:t xml:space="preserve">و النافع </w:t>
      </w:r>
      <w:r>
        <w:rPr>
          <w:rStyle w:val="FootnoteAnchor"/>
          <w:rtl w:val="true"/>
        </w:rPr>
        <w:footnoteReference w:id="290"/>
      </w:r>
      <w:r>
        <w:rPr>
          <w:rFonts w:ascii="IRNazanin" w:hAnsi="IRNazanin" w:eastAsia="IRNazanin"/>
          <w:color w:val="111111"/>
          <w:sz w:val="28"/>
          <w:sz w:val="28"/>
          <w:szCs w:val="28"/>
          <w:rtl w:val="true"/>
          <w:lang w:bidi="fa-IR"/>
        </w:rPr>
        <w:t xml:space="preserve">و الشرائع </w:t>
      </w:r>
      <w:r>
        <w:rPr>
          <w:rStyle w:val="FootnoteAnchor"/>
          <w:rtl w:val="true"/>
        </w:rPr>
        <w:footnoteReference w:id="291"/>
      </w:r>
      <w:r>
        <w:rPr>
          <w:rFonts w:ascii="IRNazanin" w:hAnsi="IRNazanin" w:eastAsia="IRNazanin"/>
          <w:color w:val="111111"/>
          <w:sz w:val="28"/>
          <w:sz w:val="28"/>
          <w:szCs w:val="28"/>
          <w:rtl w:val="true"/>
          <w:lang w:bidi="fa-IR"/>
        </w:rPr>
        <w:t xml:space="preserve">و کتب المصنّف </w:t>
      </w:r>
      <w:r>
        <w:rPr>
          <w:rStyle w:val="FootnoteAnchor"/>
          <w:rtl w:val="true"/>
        </w:rPr>
        <w:footnoteReference w:id="292"/>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9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المختلف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و عن المدارک </w:t>
      </w:r>
      <w:r>
        <w:rPr>
          <w:rStyle w:val="FootnoteAnchor"/>
          <w:rtl w:val="true"/>
        </w:rPr>
        <w:footnoteReference w:id="296"/>
      </w:r>
      <w:r>
        <w:rPr>
          <w:rFonts w:ascii="IRNazanin" w:hAnsi="IRNazanin" w:eastAsia="IRNazanin"/>
          <w:color w:val="111111"/>
          <w:sz w:val="28"/>
          <w:sz w:val="28"/>
          <w:szCs w:val="28"/>
          <w:rtl w:val="true"/>
          <w:lang w:bidi="fa-IR"/>
        </w:rPr>
        <w:t xml:space="preserve">و الذخیرة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علیه عامّة المتأخّرین،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خیرها أوسطها؛ لما تقدّم من عدم کفایة الغسل عن الوضوء و عدم الدلیل علی الأخیر، مع ورود الأخبار فی مقام البیان، عدا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نقض القلیل من هذا الدم للوضوء یوجب نقض الکثیر منه له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 یخفی، کما فی التمسّک بعموم آیة الوضوء </w:t>
      </w:r>
      <w:r>
        <w:rPr>
          <w:rStyle w:val="FootnoteAnchor"/>
          <w:rtl w:val="true"/>
        </w:rPr>
        <w:footnoteReference w:id="298"/>
      </w:r>
      <w:r>
        <w:rPr>
          <w:rFonts w:ascii="IRNazanin" w:hAnsi="IRNazanin" w:eastAsia="IRNazanin"/>
          <w:color w:val="111111"/>
          <w:sz w:val="28"/>
          <w:sz w:val="28"/>
          <w:szCs w:val="28"/>
          <w:rtl w:val="true"/>
          <w:lang w:bidi="fa-IR"/>
        </w:rPr>
        <w:t>، و ذکر الشارح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الصحیحة دلّت علی المشهور </w:t>
      </w:r>
      <w:r>
        <w:rPr>
          <w:rStyle w:val="FootnoteAnchor"/>
          <w:rtl w:val="true"/>
        </w:rPr>
        <w:footnoteReference w:id="299"/>
      </w:r>
      <w:r>
        <w:rPr>
          <w:rFonts w:ascii="IRNazanin" w:hAnsi="IRNazanin" w:eastAsia="IRNazanin"/>
          <w:color w:val="111111"/>
          <w:sz w:val="28"/>
          <w:sz w:val="28"/>
          <w:szCs w:val="28"/>
          <w:rtl w:val="true"/>
          <w:lang w:bidi="fa-IR"/>
        </w:rPr>
        <w:t xml:space="preserve">، و لم نعثر علی واحد منها کما اعترف به المحقّق الأردبیلی </w:t>
      </w:r>
      <w:r>
        <w:rPr>
          <w:rStyle w:val="FootnoteAnchor"/>
          <w:rtl w:val="true"/>
        </w:rPr>
        <w:footnoteReference w:id="300"/>
      </w:r>
      <w:r>
        <w:rPr>
          <w:rFonts w:ascii="IRNazanin" w:hAnsi="IRNazanin" w:eastAsia="IRNazanin"/>
          <w:color w:val="111111"/>
          <w:sz w:val="28"/>
          <w:sz w:val="28"/>
          <w:szCs w:val="28"/>
          <w:rtl w:val="true"/>
          <w:lang w:bidi="fa-IR"/>
        </w:rPr>
        <w:t xml:space="preserve">، و لمح إلیه جمال الملّة فی حاشیة الروضة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یحتمل ذلک فی قوله علیه السلام فی مرسلة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تغتسل و تتوضّأ لکلّ صلاة</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لکنّ الظاهر أنّ المراد بالاغتسال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الاستحاضة لا الحیض، و إلّا لزم السکوت عن غسل الاستحاضة مع أنّ بیانه أهمّ من الوضوء، و حینئذٍ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و تتوضّأ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الوضوء</w:t>
      </w:r>
    </w:p>
    <w:p>
      <w:pPr>
        <w:pStyle w:val="BookText"/>
        <w:rPr/>
      </w:pPr>
      <w:r>
        <w:rPr>
          <w:rFonts w:ascii="IRNazanin" w:hAnsi="IRNazanin" w:eastAsia="IRNazanin"/>
          <w:color w:val="111111"/>
          <w:sz w:val="28"/>
          <w:sz w:val="28"/>
          <w:szCs w:val="28"/>
          <w:rtl w:val="true"/>
          <w:lang w:bidi="fa-IR"/>
        </w:rPr>
        <w:t>الذی لا بدّ فی الغسل؛ بناءً علی جعل الظرف متعلّقاً بالمجموع، فهو محمول علی الاستحباب لا محالة؛ لما سیأتی من عدم وجوب الاغتسال لکلّ صلاة إجماعاً، و إنّما الکلام فی مشروعیّته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أُرید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الصلاة، تعیّن حمله علی الوجوب لکنّه یثبت المختار، و احتمال اختصاص الظرف بخصوص التوضّؤ فقط خلاف الظاهر، کما لا یخفی، فالقول بلزوم الوضوء زیادة علی الوضوء المجامع للغسل ضعیف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بالغ فی المعتبر فی تضعیفه قبل ما یختاره فی شرائعه </w:t>
      </w:r>
      <w:r>
        <w:rPr>
          <w:rStyle w:val="FootnoteAnchor"/>
          <w:rtl w:val="true"/>
        </w:rPr>
        <w:footnoteReference w:id="303"/>
      </w:r>
      <w:r>
        <w:rPr>
          <w:rFonts w:ascii="IRNazanin" w:hAnsi="IRNazanin" w:eastAsia="IRNazanin"/>
          <w:color w:val="111111"/>
          <w:sz w:val="28"/>
          <w:sz w:val="28"/>
          <w:szCs w:val="28"/>
          <w:rtl w:val="true"/>
          <w:lang w:bidi="fa-IR"/>
        </w:rPr>
        <w:t>حیث إنّه بعد ما حکی عن المفید أوسط الأقوال، و عن الصدوقین و السیّد و الشیخ الاقتصار علی الأغسال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غالطٌ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هذه مع الأغسال وضوءٌ لکلّ صلاةٍ، و لم یذهب إلی ذلک أحد من طائفتنا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یکون غلطه لما ذکره الشیخ فی المبسوط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المستحاضة لا تجمع بین فرضین بوضوء، فظنّ انسحابه علی مواضعها، و لیس علی ما ظنّ، بل ذلک مختصّ بالموضع الذی یقتصر فیه علی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اختاره المفید هو الوجه، و هو لازم للشیخ أبی جعفر قدّس سرّه؛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غسل لا بدّ معه من الوضوء إلّا غسل الجنابة، و إذا کان المراد بغسل الاستحاضة الطهارة، لم یحصل المراد به إلّا مع الوضوء، و أمّا علم الهدی فلا یلزمه ذلک؛ لأنّ الغسل عنده یکفی عن الوضوء </w:t>
      </w:r>
      <w:r>
        <w:rPr>
          <w:rStyle w:val="FootnoteAnchor"/>
          <w:rtl w:val="true"/>
        </w:rPr>
        <w:footnoteReference w:id="3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بالوضوء لکلّ صلاة ضعیف و إن کان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أحوط، لکن فیه نظر؛ بناءً علی وجوب معاقبة الصلاتین للغسل و عدم التراخی بینهما، فلو توضّأت فی أثناء الإقامة کان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صریح بعضٍ </w:t>
      </w:r>
      <w:r>
        <w:rPr>
          <w:rStyle w:val="FootnoteAnchor"/>
          <w:rtl w:val="true"/>
        </w:rPr>
        <w:footnoteReference w:id="306"/>
      </w:r>
      <w:r>
        <w:rPr>
          <w:rFonts w:ascii="IRNazanin" w:hAnsi="IRNazanin" w:eastAsia="IRNazanin"/>
          <w:color w:val="111111"/>
          <w:sz w:val="28"/>
          <w:sz w:val="28"/>
          <w:szCs w:val="28"/>
          <w:rtl w:val="true"/>
          <w:lang w:bidi="fa-IR"/>
        </w:rPr>
        <w:t xml:space="preserve">و ظاهر آخرین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تغییر القطنة عند کلّ صلاة؛ حیث ذکروا تغییر القطنة عند کلّ صلاة فی القلیلة، و ذکروا فی الکثیرة أنّه یلزمها زیادة علی ما یلزمها فی القلیلة و المتوسّطة غسلان للظهرین و العشاءَین، إلّا أنّ ما دلّ علی وجوب التغییر و الإبدال هنا لا یفید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ظهر الدم علی الکرسف أعادت الغسل و أعادت الکرسف</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و روایة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ظهر علی الکرسف فلتغتسل ثمّ تضع کرسفاً آخر ثمّ تصلی</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أنّه لولا الإجماعات المنقولة علی وجوب التغییر عند کلّ صلاة فی القلیلة کان الحکم فیها مجالًا للنظر</w:t>
      </w:r>
      <w:r>
        <w:rPr>
          <w:rFonts w:eastAsia="IRNazanin" w:cs="IRNazanin"/>
          <w:color w:val="111111"/>
          <w:sz w:val="28"/>
          <w:szCs w:val="28"/>
          <w:rtl w:val="true"/>
          <w:lang w:bidi="fa-IR"/>
        </w:rPr>
        <w:t>.</w:t>
      </w:r>
      <w:bookmarkStart w:id="36" w:name="pg13042_126942"/>
    </w:p>
    <w:p>
      <w:pPr>
        <w:pStyle w:val="Heading6"/>
        <w:numPr>
          <w:ilvl w:val="5"/>
          <w:numId w:val="1"/>
        </w:numPr>
        <w:rPr/>
      </w:pPr>
      <w:bookmarkStart w:id="37" w:name="__RefHeading___Toc6530086_3224264995"/>
      <w:bookmarkStart w:id="38" w:name="_Toc15"/>
      <w:bookmarkEnd w:id="36"/>
      <w:bookmarkEnd w:id="37"/>
      <w:r>
        <w:rPr>
          <w:rtl w:val="true"/>
        </w:rPr>
        <w:t>[</w:t>
      </w:r>
      <w:r>
        <w:rPr>
          <w:rtl w:val="true"/>
        </w:rPr>
        <w:t>تنبیهات الاستحاضة</w:t>
      </w:r>
      <w:r>
        <w:rPr>
          <w:rtl w:val="true"/>
        </w:rPr>
        <w:t>]</w:t>
      </w:r>
      <w:bookmarkEnd w:id="38"/>
    </w:p>
    <w:p>
      <w:pPr>
        <w:pStyle w:val="Heading6"/>
        <w:numPr>
          <w:ilvl w:val="5"/>
          <w:numId w:val="1"/>
        </w:numPr>
        <w:rPr/>
      </w:pPr>
      <w:bookmarkStart w:id="39" w:name="__RefHeading___Toc6530088_3224264995"/>
      <w:bookmarkStart w:id="40" w:name="_Toc16"/>
      <w:bookmarkEnd w:id="39"/>
      <w:r>
        <w:rPr>
          <w:rtl w:val="true"/>
        </w:rPr>
        <w:t>اشارة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التنبیه علی أُمورٍ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التنبیه علی أُمور لا یتمّ بیان أحکام المستحاضة إلّا بها</w:t>
      </w:r>
      <w:r>
        <w:rPr>
          <w:rFonts w:eastAsia="IRNazanin" w:cs="IRNazanin"/>
          <w:color w:val="111111"/>
          <w:sz w:val="28"/>
          <w:szCs w:val="28"/>
          <w:rtl w:val="true"/>
          <w:lang w:bidi="fa-IR"/>
        </w:rPr>
        <w:t>.</w:t>
      </w:r>
    </w:p>
    <w:p>
      <w:pPr>
        <w:pStyle w:val="Heading6"/>
        <w:numPr>
          <w:ilvl w:val="5"/>
          <w:numId w:val="1"/>
        </w:numPr>
        <w:rPr/>
      </w:pPr>
      <w:bookmarkStart w:id="41" w:name="__RefHeading___Toc6530090_3224264995"/>
      <w:bookmarkStart w:id="42" w:name="_Toc17"/>
      <w:bookmarkEnd w:id="41"/>
      <w:r>
        <w:rPr>
          <w:rtl w:val="true"/>
        </w:rPr>
        <w:t xml:space="preserve">الأوّل </w:t>
      </w:r>
      <w:r>
        <w:rPr>
          <w:rtl w:val="true"/>
        </w:rPr>
        <w:t>[</w:t>
      </w:r>
      <w:r>
        <w:rPr>
          <w:rtl w:val="true"/>
        </w:rPr>
        <w:t>العبرة فی کثرة الدم و قلته</w:t>
      </w:r>
      <w:r>
        <w:rPr>
          <w:rtl w:val="true"/>
        </w:rPr>
        <w:t>]</w:t>
      </w:r>
      <w:bookmarkEnd w:id="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الاعتبار فی کثرة الدم و قلّته بأوقات الصلاة، اختاره فی الموجز </w:t>
      </w:r>
      <w:r>
        <w:rPr>
          <w:rStyle w:val="FootnoteAnchor"/>
          <w:rtl w:val="true"/>
        </w:rPr>
        <w:footnoteReference w:id="311"/>
      </w:r>
      <w:r>
        <w:rPr>
          <w:rFonts w:ascii="IRNazanin" w:hAnsi="IRNazanin" w:eastAsia="IRNazanin"/>
          <w:color w:val="111111"/>
          <w:sz w:val="28"/>
          <w:sz w:val="28"/>
          <w:szCs w:val="28"/>
          <w:rtl w:val="true"/>
          <w:lang w:bidi="fa-IR"/>
        </w:rPr>
        <w:t xml:space="preserve">و کشف الالتباس </w:t>
      </w:r>
      <w:r>
        <w:rPr>
          <w:rStyle w:val="FootnoteAnchor"/>
          <w:rtl w:val="true"/>
        </w:rPr>
        <w:footnoteReference w:id="312"/>
      </w:r>
      <w:r>
        <w:rPr>
          <w:rFonts w:ascii="IRNazanin" w:hAnsi="IRNazanin" w:eastAsia="IRNazanin"/>
          <w:color w:val="111111"/>
          <w:sz w:val="28"/>
          <w:sz w:val="28"/>
          <w:szCs w:val="28"/>
          <w:rtl w:val="true"/>
          <w:lang w:bidi="fa-IR"/>
        </w:rPr>
        <w:t xml:space="preserve">و جمال الدین فی حاشیة الروضة </w:t>
      </w:r>
      <w:r>
        <w:rPr>
          <w:rStyle w:val="FootnoteAnchor"/>
          <w:rtl w:val="true"/>
        </w:rPr>
        <w:footnoteReference w:id="313"/>
      </w:r>
      <w:r>
        <w:rPr>
          <w:rFonts w:ascii="IRNazanin" w:hAnsi="IRNazanin" w:eastAsia="IRNazanin"/>
          <w:color w:val="111111"/>
          <w:sz w:val="28"/>
          <w:sz w:val="28"/>
          <w:szCs w:val="28"/>
          <w:rtl w:val="true"/>
          <w:lang w:bidi="fa-IR"/>
        </w:rPr>
        <w:t xml:space="preserve">تبعاً لصریح الدروس </w:t>
      </w:r>
      <w:r>
        <w:rPr>
          <w:rStyle w:val="FootnoteAnchor"/>
          <w:rtl w:val="true"/>
        </w:rPr>
        <w:footnoteReference w:id="314"/>
      </w:r>
      <w:r>
        <w:rPr>
          <w:rFonts w:ascii="IRNazanin" w:hAnsi="IRNazanin" w:eastAsia="IRNazanin"/>
          <w:color w:val="111111"/>
          <w:sz w:val="28"/>
          <w:sz w:val="28"/>
          <w:szCs w:val="28"/>
          <w:rtl w:val="true"/>
          <w:lang w:bidi="fa-IR"/>
        </w:rPr>
        <w:t xml:space="preserve">و ظاهر الذکری، حاکیاً 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 و لعلّه المصنّف فی التذکرة </w:t>
      </w:r>
      <w:r>
        <w:rPr>
          <w:rStyle w:val="FootnoteAnchor"/>
          <w:rtl w:val="true"/>
        </w:rPr>
        <w:footnoteReference w:id="316"/>
      </w:r>
      <w:r>
        <w:rPr>
          <w:rFonts w:ascii="IRNazanin" w:hAnsi="IRNazanin" w:eastAsia="IRNazanin"/>
          <w:color w:val="111111"/>
          <w:sz w:val="28"/>
          <w:sz w:val="28"/>
          <w:szCs w:val="28"/>
          <w:rtl w:val="true"/>
          <w:lang w:bidi="fa-IR"/>
        </w:rPr>
        <w:t xml:space="preserve">کما سیجی‌ء و استظهره فی الذکری </w:t>
      </w:r>
      <w:r>
        <w:rPr>
          <w:rStyle w:val="FootnoteAnchor"/>
          <w:rtl w:val="true"/>
        </w:rPr>
        <w:footnoteReference w:id="317"/>
      </w:r>
      <w:r>
        <w:rPr>
          <w:rFonts w:ascii="IRNazanin" w:hAnsi="IRNazanin" w:eastAsia="IRNazanin"/>
          <w:color w:val="111111"/>
          <w:sz w:val="28"/>
          <w:sz w:val="28"/>
          <w:szCs w:val="28"/>
          <w:rtl w:val="true"/>
          <w:lang w:bidi="fa-IR"/>
        </w:rPr>
        <w:t>من قوله علیه السلام فی روایة الصحّاف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لتنظر فإن کان الدم فیما بینها و بین المغرب لا یسیل</w:t>
      </w:r>
    </w:p>
    <w:p>
      <w:pPr>
        <w:pStyle w:val="BookText"/>
        <w:rPr/>
      </w:pPr>
      <w:r>
        <w:rPr>
          <w:rFonts w:ascii="IRNazanin" w:hAnsi="IRNazanin" w:eastAsia="IRNazanin"/>
          <w:color w:val="111111"/>
          <w:sz w:val="28"/>
          <w:sz w:val="28"/>
          <w:szCs w:val="28"/>
          <w:rtl w:val="true"/>
          <w:lang w:bidi="fa-IR"/>
        </w:rPr>
        <w:t xml:space="preserve">من خلف الکرسف فلتتوضّأ و لتصلّ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غسل علیها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الأخبار الواردة فی هذا الباب أنّ وظیفة کلّ حالة عند وجودها فی وقت الصلاة الذی هو وقت الخطاب بتلک الوظیفة،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ضرورة أنّ الأخبار إنّما تدلّ علی سببیّة الدم بأقسامه لوجوب وظیفته فی وقت الصلاة، و لا تدلّ علی أنّ وجود السبب فی الصلاة موجب لوظیفته المقرّرة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یدّعی أنّ ظاهر الأخبار أنّه متی تحقّقت کثرة الدم فی وقت ما، کفی ذلک فی وجوب الأغسال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انقطع بعد ذلک، لکنّه إفراط لا یرجع إلی محصّل، کما لا یخفی، کما أنّ الأوّل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فی معنی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تحقّق الدم الکثیر لم تجز الصلاة معه إلّا بغسل، فإذا اغتسل له ارتفع حکمه بالنسبة إلی غیر ما اغتسلت له من الصلوات، و فی المتجدّد بعد الغسل، ما تراه فی أثناء الغسل؛ لأنّه معفوّ بالنسبة إلی ما یغتسل له من العبادة دون غیرها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فحال هذا الدم الکثیر حال القلیل من غیر تفاوت، و هذا هو الظاهر من روایة الصحّاف، دون ما ذکره فی الدروس </w:t>
      </w:r>
      <w:r>
        <w:rPr>
          <w:rStyle w:val="FootnoteAnchor"/>
          <w:rtl w:val="true"/>
        </w:rPr>
        <w:footnoteReference w:id="319"/>
      </w:r>
      <w:r>
        <w:rPr>
          <w:rFonts w:ascii="IRNazanin" w:hAnsi="IRNazanin" w:eastAsia="IRNazanin"/>
          <w:color w:val="111111"/>
          <w:sz w:val="28"/>
          <w:sz w:val="28"/>
          <w:szCs w:val="28"/>
          <w:rtl w:val="true"/>
          <w:lang w:bidi="fa-IR"/>
        </w:rPr>
        <w:t xml:space="preserve">و الذکری </w:t>
      </w:r>
      <w:r>
        <w:rPr>
          <w:rStyle w:val="FootnoteAnchor"/>
          <w:rtl w:val="true"/>
        </w:rPr>
        <w:footnoteReference w:id="320"/>
      </w:r>
      <w:r>
        <w:rPr>
          <w:rFonts w:ascii="IRNazanin" w:hAnsi="IRNazanin" w:eastAsia="IRNazanin"/>
          <w:color w:val="111111"/>
          <w:sz w:val="28"/>
          <w:sz w:val="28"/>
          <w:szCs w:val="28"/>
          <w:rtl w:val="true"/>
          <w:lang w:bidi="fa-IR"/>
        </w:rPr>
        <w:t xml:space="preserve">کما اعترف به جماعة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فالأقوی أنّه لا عبرة بوقت الصلاة کما فی غیرها من الأحداث، و أنّ الکثرة متی حصلت کفت فی وجوب الغسل و إن کانت منقطعة فی وقت الصلاة، فلو حصلت بعد صلاة الفجر و انقطعت قبل الظهر وجب الغسل للظهرین، وفاقاً للمحکیّ عن المصنّف </w:t>
      </w:r>
      <w:r>
        <w:rPr>
          <w:rStyle w:val="FootnoteAnchor"/>
          <w:rtl w:val="true"/>
        </w:rPr>
        <w:footnoteReference w:id="322"/>
      </w:r>
      <w:r>
        <w:rPr>
          <w:rFonts w:ascii="IRNazanin" w:hAnsi="IRNazanin" w:eastAsia="IRNazanin"/>
          <w:color w:val="111111"/>
          <w:sz w:val="28"/>
          <w:sz w:val="28"/>
          <w:szCs w:val="28"/>
          <w:rtl w:val="true"/>
          <w:lang w:bidi="fa-IR"/>
        </w:rPr>
        <w:t xml:space="preserve">و الشهیدین فی البیان </w:t>
      </w:r>
      <w:r>
        <w:rPr>
          <w:rStyle w:val="FootnoteAnchor"/>
          <w:rtl w:val="true"/>
        </w:rPr>
        <w:footnoteReference w:id="323"/>
      </w:r>
      <w:r>
        <w:rPr>
          <w:rFonts w:ascii="Amiri" w:hAnsi="Amiri" w:eastAsia="Amiri" w:cs="Amiri"/>
          <w:color w:val="111111"/>
          <w:sz w:val="28"/>
          <w:sz w:val="28"/>
          <w:szCs w:val="28"/>
          <w:rtl w:val="true"/>
          <w:lang w:bidi="ar-SA"/>
        </w:rPr>
        <w:t xml:space="preserve">و الروضة </w:t>
      </w:r>
      <w:r>
        <w:rPr>
          <w:rStyle w:val="FootnoteAnchor"/>
          <w:rtl w:val="true"/>
        </w:rPr>
        <w:footnoteReference w:id="32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325"/>
      </w:r>
      <w:r>
        <w:rPr>
          <w:rFonts w:ascii="IRNazanin" w:hAnsi="IRNazanin" w:eastAsia="IRNazanin"/>
          <w:color w:val="111111"/>
          <w:sz w:val="28"/>
          <w:sz w:val="28"/>
          <w:szCs w:val="28"/>
          <w:rtl w:val="true"/>
          <w:lang w:bidi="fa-IR"/>
        </w:rPr>
        <w:t xml:space="preserve">و جماعة من متأخّری المتأخّرین کصاحبی المدارک </w:t>
      </w:r>
      <w:r>
        <w:rPr>
          <w:rStyle w:val="FootnoteAnchor"/>
          <w:rtl w:val="true"/>
        </w:rPr>
        <w:footnoteReference w:id="326"/>
      </w:r>
      <w:r>
        <w:rPr>
          <w:rFonts w:ascii="IRNazanin" w:hAnsi="IRNazanin" w:eastAsia="IRNazanin"/>
          <w:color w:val="111111"/>
          <w:sz w:val="28"/>
          <w:sz w:val="28"/>
          <w:szCs w:val="28"/>
          <w:rtl w:val="true"/>
          <w:lang w:bidi="fa-IR"/>
        </w:rPr>
        <w:t xml:space="preserve">و الکفایة </w:t>
      </w:r>
      <w:r>
        <w:rPr>
          <w:rStyle w:val="FootnoteAnchor"/>
          <w:rtl w:val="true"/>
        </w:rPr>
        <w:footnoteReference w:id="327"/>
      </w:r>
      <w:r>
        <w:rPr>
          <w:rFonts w:ascii="IRNazanin" w:hAnsi="IRNazanin" w:eastAsia="IRNazanin"/>
          <w:color w:val="111111"/>
          <w:sz w:val="28"/>
          <w:sz w:val="28"/>
          <w:szCs w:val="28"/>
          <w:rtl w:val="true"/>
          <w:lang w:bidi="fa-IR"/>
        </w:rPr>
        <w:t xml:space="preserve">و صاحب الحدائق </w:t>
      </w:r>
      <w:r>
        <w:rPr>
          <w:rStyle w:val="FootnoteAnchor"/>
          <w:rtl w:val="true"/>
        </w:rPr>
        <w:footnoteReference w:id="328"/>
      </w:r>
      <w:r>
        <w:rPr>
          <w:rFonts w:ascii="IRNazanin" w:hAnsi="IRNazanin" w:eastAsia="IRNazanin"/>
          <w:color w:val="111111"/>
          <w:sz w:val="28"/>
          <w:sz w:val="28"/>
          <w:szCs w:val="28"/>
          <w:rtl w:val="true"/>
          <w:lang w:bidi="fa-IR"/>
        </w:rPr>
        <w:t xml:space="preserve">و شارح المفاتیح </w:t>
      </w:r>
      <w:r>
        <w:rPr>
          <w:rStyle w:val="FootnoteAnchor"/>
          <w:rtl w:val="true"/>
        </w:rPr>
        <w:footnoteReference w:id="329"/>
      </w:r>
      <w:r>
        <w:rPr>
          <w:rFonts w:ascii="IRNazanin" w:hAnsi="IRNazanin" w:eastAsia="IRNazanin"/>
          <w:color w:val="111111"/>
          <w:sz w:val="28"/>
          <w:sz w:val="28"/>
          <w:szCs w:val="28"/>
          <w:rtl w:val="true"/>
          <w:lang w:bidi="fa-IR"/>
        </w:rPr>
        <w:t xml:space="preserve">و سیّد الریاض </w:t>
      </w:r>
      <w:r>
        <w:rPr>
          <w:rStyle w:val="FootnoteAnchor"/>
          <w:rtl w:val="true"/>
        </w:rPr>
        <w:footnoteReference w:id="330"/>
      </w:r>
      <w:r>
        <w:rPr>
          <w:rFonts w:ascii="Amiri" w:hAnsi="Amiri" w:eastAsia="Amiri" w:cs="Amiri"/>
          <w:color w:val="111111"/>
          <w:sz w:val="28"/>
          <w:sz w:val="28"/>
          <w:szCs w:val="28"/>
          <w:rtl w:val="true"/>
          <w:lang w:bidi="ar-SA"/>
        </w:rPr>
        <w:t xml:space="preserve">و شارح الروضة </w:t>
      </w:r>
      <w:r>
        <w:rPr>
          <w:rStyle w:val="FootnoteAnchor"/>
          <w:rtl w:val="true"/>
        </w:rPr>
        <w:footnoteReference w:id="331"/>
      </w:r>
      <w:r>
        <w:rPr>
          <w:rFonts w:ascii="IRNazanin" w:hAnsi="IRNazanin" w:eastAsia="IRNazanin"/>
          <w:color w:val="111111"/>
          <w:sz w:val="28"/>
          <w:sz w:val="28"/>
          <w:szCs w:val="28"/>
          <w:rtl w:val="true"/>
          <w:lang w:bidi="fa-IR"/>
        </w:rPr>
        <w:t>، مسنِداً له إلی ظاهر النصوص و الفتاوی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القول باعتبار أوقات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تحقّق الکثرة فعلًا فی الأوقات الثلاثة فی وجوب الأغسال، و لذا فرّع علیه غیر واحد کالشارح فی الروض </w:t>
      </w:r>
      <w:r>
        <w:rPr>
          <w:rStyle w:val="FootnoteAnchor"/>
          <w:rtl w:val="true"/>
        </w:rPr>
        <w:footnoteReference w:id="332"/>
      </w:r>
      <w:r>
        <w:rPr>
          <w:rFonts w:ascii="Amiri" w:hAnsi="Amiri" w:eastAsia="Amiri" w:cs="Amiri"/>
          <w:color w:val="111111"/>
          <w:sz w:val="28"/>
          <w:sz w:val="28"/>
          <w:szCs w:val="28"/>
          <w:rtl w:val="true"/>
          <w:lang w:bidi="ar-SA"/>
        </w:rPr>
        <w:t xml:space="preserve">و شارح الروضة </w:t>
      </w:r>
      <w:r>
        <w:rPr>
          <w:rStyle w:val="FootnoteAnchor"/>
          <w:rtl w:val="true"/>
        </w:rPr>
        <w:footnoteReference w:id="333"/>
      </w:r>
      <w:r>
        <w:rPr>
          <w:rFonts w:ascii="Amiri" w:hAnsi="Amiri" w:eastAsia="Amiri" w:cs="Amiri"/>
          <w:color w:val="111111"/>
          <w:sz w:val="28"/>
          <w:sz w:val="28"/>
          <w:szCs w:val="28"/>
          <w:rtl w:val="true"/>
          <w:lang w:bidi="ar-SA"/>
        </w:rPr>
        <w:t>أنّه لو تکثّر قبل الوقت ثمّ طرأت القلّة</w:t>
      </w:r>
    </w:p>
    <w:p>
      <w:pPr>
        <w:pStyle w:val="BookText"/>
        <w:rPr/>
      </w:pPr>
      <w:r>
        <w:rPr>
          <w:rFonts w:ascii="IRNazanin" w:hAnsi="IRNazanin" w:eastAsia="IRNazanin"/>
          <w:color w:val="111111"/>
          <w:sz w:val="28"/>
          <w:sz w:val="28"/>
          <w:szCs w:val="28"/>
          <w:rtl w:val="true"/>
          <w:lang w:bidi="fa-IR"/>
        </w:rPr>
        <w:t>فیه لم یجب الغسل علیها علی هذا القول ما لم یوجد فی الوقت متّصلة أو طارئة، و علی القول الآخر یجب الغسل للکثرة المتقدّمة و إن کانت قد اغتسلت فی أثنائها؛ لأنّ المتأخّر منها عن الغسل کافٍ فی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یستظهر من عبارتی الذکری و الموجز أنّ الذی یعتبر وقت الصلاة لا یوجب وجود تلک المرتبة فیه بالفعل بل یعمّمه لما بالفعل و لما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فی الکثرة و القلّة بأوقات الصلاة، فلو سبقت القلّة و طرأت الکثرة انتقل الحکم، فلو کانت الکثرة بعد الصبح اغتسلت للظهرین، و هل یتوقّف علیه صحّة الصوم؟ نظر، من سبق انعقاده، و من الحکم علی المستحاضة بوجوب الأغسال و جعلها شرطاً فی صحّة الصوم، و 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الصوم بین کثرته قبل فعل الظهرین أو بعد فعلهما، أمّا بالنسبة إلی الظهرین فلا یجب إن کثر بعدهما غسل لهما، بل إن استمرّ إلی العشاءین اغتسلت لهما قطعاً، و کذا إن انقطع مظنوناً عوده أو مشکوکاً فیه؛ لأصالة البقاء، و إن شفت منه بنی علی ما مرّ، و لو سبقت الکثرة فی الصبح اغتسلت له، فلو قلّ عند الظهر توضّأت و لو جوّزت عود الکثرة فالأجود الغسل؛ لأنّه کالحاصل، و إن علمت الشفاء کفاها الوضوء، و الطریق إلی علم الشفاء إمّا اعتیاده أو إخبار العارف، و یکفی غلبة الظنّ </w:t>
      </w:r>
      <w:r>
        <w:rPr>
          <w:rStyle w:val="FootnoteAnchor"/>
          <w:rtl w:val="true"/>
        </w:rPr>
        <w:footnoteReference w:id="33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الاعتبار بوقت الصلاة، فلو طرأت الکثرة أو القلّة فالحکم للموجود، و إن أمکن خلافه لا إن علم عوده </w:t>
      </w:r>
      <w:r>
        <w:rPr>
          <w:rStyle w:val="FootnoteAnchor"/>
          <w:rtl w:val="true"/>
        </w:rPr>
        <w:footnoteReference w:id="33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کاشف الالتباس فی شرحه علی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القلّة و الکثرة وقت الصلاة، فلو انتقلت ذات القلیل إلی الکثیر انتقل حکمها و بالعکس، إلّا أن تعلم عود الأوّل من طریق العادة قبل خروج وقت الصلاة، فلا ینتقل حکمها </w:t>
      </w:r>
      <w:r>
        <w:rPr>
          <w:rStyle w:val="FootnoteAnchor"/>
          <w:rtl w:val="true"/>
        </w:rPr>
        <w:footnoteReference w:id="33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الدم کثیراً فاغتسلت أوّل النهار و صلّت و صامت ثمّ انقطع قبل الزوال، لم یجب غسل آخر، لا للصوم و لا للصلاة إن کان للبرء، و لو کان لا له وجب، و لو کانت تعلم عوده لیلًا، أو قبل الفجر وجبت الأغسال الثلاثة </w:t>
      </w:r>
      <w:r>
        <w:rPr>
          <w:rStyle w:val="FootnoteAnchor"/>
          <w:rtl w:val="true"/>
        </w:rPr>
        <w:footnoteReference w:id="33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الدم الکثیر إذا انقطع دمها فی أثناء النهار للبرء لم یجب علیها بقیّة الأغسال، و لو انتقلت ذات الکثیر إلی القلیل و استمرّ، انتقل حکمها </w:t>
      </w:r>
      <w:r>
        <w:rPr>
          <w:rStyle w:val="FootnoteAnchor"/>
          <w:rtl w:val="true"/>
        </w:rPr>
        <w:footnoteReference w:id="33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العبارات کما تری ظاهرة فی کفایة وجود المرتبة فی الوقت و لو بالقوّة، و ظاهر عبارة المصنّف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الاستمرار الفعلی إلی الأوقات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سال وجب علیها مع ذلک غسل للظهر و العصر و غسل للمغرب و العشاء مع الاستمرار و إلّا فاثنان أو واحد </w:t>
      </w:r>
      <w:r>
        <w:rPr>
          <w:rStyle w:val="FootnoteAnchor"/>
          <w:rtl w:val="true"/>
        </w:rPr>
        <w:footnoteReference w:id="339"/>
      </w:r>
      <w:r>
        <w:rPr>
          <w:rFonts w:ascii="IRNazanin" w:hAnsi="IRNazanin" w:eastAsia="IRNazanin"/>
          <w:color w:val="111111"/>
          <w:sz w:val="28"/>
          <w:sz w:val="28"/>
          <w:szCs w:val="28"/>
          <w:rtl w:val="true"/>
          <w:lang w:bidi="fa-IR"/>
        </w:rPr>
        <w:t>و عطف علیه کاشف اللثام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وجدت بعد غسل الصبح و لو لحظة وجب اثنان، و کذا لو وجدت بعد غسل الظهرین و لو لحظة وجب الثالث ما لم تبرأ، کما</w:t>
      </w:r>
    </w:p>
    <w:p>
      <w:pPr>
        <w:pStyle w:val="BookText"/>
        <w:rPr/>
      </w:pPr>
      <w:r>
        <w:rPr>
          <w:rFonts w:ascii="IRNazanin" w:hAnsi="IRNazanin" w:eastAsia="IRNazanin"/>
          <w:color w:val="111111"/>
          <w:sz w:val="28"/>
          <w:sz w:val="28"/>
          <w:szCs w:val="28"/>
          <w:rtl w:val="true"/>
          <w:lang w:bidi="fa-IR"/>
        </w:rPr>
        <w:t xml:space="preserve">نصّ علیه فی التذکرة </w:t>
      </w:r>
      <w:r>
        <w:rPr>
          <w:rStyle w:val="FootnoteAnchor"/>
          <w:rtl w:val="true"/>
        </w:rPr>
        <w:footnoteReference w:id="34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علیه بتحقّق السیلان الموجب للغسل بإطلاق النصوص و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یوهم ظاهر العبارة اعتبار الاستمرار بمعنی أنّها إن لم یستمرّ إلی الظهر، و إن کانت بعد غسل الصبح إلی ما قبل الظهر بلحظة لم یجب الغسل الثانی، و کذا الثالث، و لعلّه غیر مراد </w:t>
      </w:r>
      <w:r>
        <w:rPr>
          <w:rStyle w:val="FootnoteAnchor"/>
          <w:rtl w:val="true"/>
        </w:rPr>
        <w:footnoteReference w:id="34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جمع الشارح فی الروض </w:t>
      </w:r>
      <w:r>
        <w:rPr>
          <w:rStyle w:val="FootnoteAnchor"/>
          <w:rtl w:val="true"/>
        </w:rPr>
        <w:footnoteReference w:id="342"/>
      </w:r>
      <w:r>
        <w:rPr>
          <w:rFonts w:ascii="IRNazanin" w:hAnsi="IRNazanin" w:eastAsia="IRNazanin"/>
          <w:color w:val="111111"/>
          <w:sz w:val="28"/>
          <w:sz w:val="28"/>
          <w:szCs w:val="28"/>
          <w:rtl w:val="true"/>
          <w:lang w:bidi="fa-IR"/>
        </w:rPr>
        <w:t>بین اعتبار استمرار الدم سائلًا إلی وقت العشاءَین فی وجوب الأغسال، فلو طرأت القلّة بعد الصبح فغسل واحد، أو بعد الظهرین فغسلان، و بین قوله بعدم الاعتبار فی کمّیة الدم بأوقات الصلاة، و أنّه کغیره من الأحداث متی حصل کفی فی وجوب الطهارة منها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بالاستمرار مقابل الانقطاع رأساً بعد غسل الصبح أو الظهرین، بحیث لا یوجد بعد الغسل أو فی أثنائه ما یوجب غسلًا آخر، لکنّه بعید، و مثله جارٍ فی عبارة القواعد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أیضاً حمل الاستمرار فیهما علی ما یعمّ الاستمرار الحکمی، بقرینة ما تقدّم </w:t>
      </w:r>
      <w:r>
        <w:rPr>
          <w:rStyle w:val="FootnoteAnchor"/>
          <w:rtl w:val="true"/>
        </w:rPr>
        <w:footnoteReference w:id="344"/>
      </w:r>
      <w:r>
        <w:rPr>
          <w:rFonts w:ascii="IRNazanin" w:hAnsi="IRNazanin" w:eastAsia="IRNazanin"/>
          <w:color w:val="111111"/>
          <w:sz w:val="28"/>
          <w:sz w:val="28"/>
          <w:szCs w:val="28"/>
          <w:rtl w:val="true"/>
          <w:lang w:bidi="fa-IR"/>
        </w:rPr>
        <w:t xml:space="preserve">عن التذکرة و النهایة کما صنعه کاشف اللثام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نسبة القول المختار إلی المصنّف محلّ نظر؛ إذ لم یظهر منه ذلک فیما رأینا من المنتهی و التذکرة و النهایة و القواعد، بل ظاهر </w:t>
      </w:r>
      <w:r>
        <w:rPr>
          <w:rStyle w:val="FootnoteAnchor"/>
          <w:rtl w:val="true"/>
        </w:rPr>
        <w:footnoteReference w:id="346"/>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الاستمرار فی الأوقات، الحقیقی أو الأعمّ منه، کما یشهد به حکمه فی الکتب الثلاثة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الدم إذا لم یستمرّ إلی الزوال و انقطع للبرء لم یجب بقیّة الأغسال </w:t>
      </w:r>
      <w:r>
        <w:rPr>
          <w:rStyle w:val="FootnoteAnchor"/>
          <w:rtl w:val="true"/>
        </w:rPr>
        <w:footnoteReference w:id="347"/>
      </w:r>
      <w:r>
        <w:rPr>
          <w:rFonts w:ascii="IRNazanin" w:hAnsi="IRNazanin" w:eastAsia="IRNazanin"/>
          <w:color w:val="111111"/>
          <w:sz w:val="28"/>
          <w:sz w:val="28"/>
          <w:szCs w:val="28"/>
          <w:rtl w:val="true"/>
          <w:lang w:bidi="fa-IR"/>
        </w:rPr>
        <w:t>،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نسبة ذلک القول إلی البیان کما وقع لجماعة </w:t>
      </w:r>
      <w:r>
        <w:rPr>
          <w:rStyle w:val="FootnoteAnchor"/>
          <w:rtl w:val="true"/>
        </w:rPr>
        <w:footnoteReference w:id="348"/>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349"/>
      </w:r>
      <w:r>
        <w:rPr>
          <w:rFonts w:ascii="IRNazanin" w:hAnsi="IRNazanin" w:eastAsia="IRNazanin"/>
          <w:color w:val="111111"/>
          <w:sz w:val="28"/>
          <w:sz w:val="28"/>
          <w:szCs w:val="28"/>
          <w:rtl w:val="true"/>
          <w:lang w:bidi="fa-IR"/>
        </w:rPr>
        <w:t>غیر صحیح؛ فإنّ المذکور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اختلفت دفعات الدم عملت علی أکثرها ما لم یکن لبرء </w:t>
      </w:r>
      <w:r>
        <w:rPr>
          <w:rStyle w:val="FootnoteAnchor"/>
          <w:rtl w:val="true"/>
        </w:rPr>
        <w:footnoteReference w:id="350"/>
      </w:r>
      <w:r>
        <w:rPr>
          <w:rFonts w:ascii="IRNazanin" w:hAnsi="IRNazanin" w:eastAsia="IRNazanin"/>
          <w:color w:val="111111"/>
          <w:sz w:val="28"/>
          <w:sz w:val="28"/>
          <w:szCs w:val="28"/>
          <w:rtl w:val="true"/>
          <w:lang w:bidi="fa-IR"/>
        </w:rPr>
        <w:t xml:space="preserve">، انتهی؛ بناءً علی أنّ المراد کما قیل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إذا کانت بحیث یقلّ دمها تارة و یکثر اخری فلتعمل علی أکثر أحوالها، فإن کانت فی الأغلب قلیلة الدم اعتبرت القلّة و إن کانت کثیرة الدم فی الأغلب اعتبرت الکثرة إلّا أن یعلم أنّ القلّة الطارئة للبرء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عین القول باعتبار الوقت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التفسیر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فما ذکره من کفایة الاستمرار الحکمی و جعله بمنزلة الفعلی خصوصاً مع الاکتفاء بمجرّد احتمال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جدّاً؛ إذ لا شاهد علیه إلّا ما ربما یستفاد من إطلاق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المرض الخاصّ موجب لهذه الأغسال الثلاثة إلی أن یحصل البرء و الشفاء، و أنّها إذا فعلتها عوفیت ممّا فیه </w:t>
      </w:r>
      <w:r>
        <w:rPr>
          <w:rStyle w:val="FootnoteAnchor"/>
          <w:rtl w:val="true"/>
        </w:rPr>
        <w:footnoteReference w:id="353"/>
      </w:r>
      <w:r>
        <w:rPr>
          <w:rFonts w:ascii="IRNazanin" w:hAnsi="IRNazanin" w:eastAsia="IRNazanin"/>
          <w:color w:val="111111"/>
          <w:sz w:val="28"/>
          <w:sz w:val="28"/>
          <w:szCs w:val="28"/>
          <w:rtl w:val="true"/>
          <w:lang w:bidi="fa-IR"/>
        </w:rPr>
        <w:t>، مع أنّه لا ریب فی صدق المستحاضة و المرأة الدامیة علیها قبل الشفاء، کصدق الحائض فی أیّام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کثیر من الأخبار أنّ الحدث الموجب للأغسال هو کونها دامیة لا نفس دمها، و لکنّ الإنصاف أنّه خلاف المستفاد من کلمات الأصحاب و معاقد إجماعاتهم فی کون دم الاستحاضة حدثاً أو ناقضاً أو موجباً للطهارة، کما یظهر ذلک من أکثر الأخبار، سیّما الواردة فی القلیلة؛ فإنّ الظاهر أنّ القلیلة و الکثیرة من باب واحد، کما أنّ کلیهما مع السلس و المبطون من باب واحد،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الأصل یقضی بالاقتصار فی الحکم بالحدثیّة علی نفس الدم؛ لأنّه المتیقّن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الخلاف فی کفایة الاستمرار الحکمی و عدمها علی القول باعتبار وقت الصلاة واضح، بل متحقّق، و أمّا علی القول المختار فیمکن تصویره فیما إذا رأت الکثرة قبل صلاة الفجر مع علمها بعوده لیلًا؛ فإنّ وجوب غسل الظهر علیها بسبب وجوده بالقوّة وقت الظهر عند من اعتبر الوقت، و یمکن القول به علی المختار، و سببه علی هذا القول تنزیل وجوده بالقوّة بعد </w:t>
      </w:r>
      <w:r>
        <w:rPr>
          <w:rStyle w:val="FootnoteAnchor"/>
          <w:rtl w:val="true"/>
        </w:rPr>
        <w:footnoteReference w:id="354"/>
      </w:r>
      <w:r>
        <w:rPr>
          <w:rFonts w:ascii="Amiri" w:hAnsi="Amiri" w:eastAsia="Amiri" w:cs="Amiri"/>
          <w:color w:val="111111"/>
          <w:sz w:val="28"/>
          <w:sz w:val="28"/>
          <w:szCs w:val="28"/>
          <w:rtl w:val="true"/>
          <w:lang w:bidi="ar-SA"/>
        </w:rPr>
        <w:t>غسل الفجر منزلة وجوده بالفعل بعد الغسل</w:t>
      </w:r>
      <w:r>
        <w:rPr>
          <w:rFonts w:eastAsia="Amiri" w:cs="Amiri" w:ascii="Amiri" w:hAnsi="Amiri"/>
          <w:color w:val="111111"/>
          <w:sz w:val="28"/>
          <w:szCs w:val="28"/>
          <w:rtl w:val="true"/>
          <w:lang w:bidi="ar-SA"/>
        </w:rPr>
        <w:t>.</w:t>
      </w:r>
      <w:bookmarkStart w:id="43" w:name="pg13042_126950"/>
    </w:p>
    <w:p>
      <w:pPr>
        <w:pStyle w:val="Heading6"/>
        <w:numPr>
          <w:ilvl w:val="5"/>
          <w:numId w:val="1"/>
        </w:numPr>
        <w:rPr/>
      </w:pPr>
      <w:bookmarkStart w:id="44" w:name="__RefHeading___Toc6530092_3224264995"/>
      <w:bookmarkStart w:id="45" w:name="_Toc18"/>
      <w:bookmarkEnd w:id="43"/>
      <w:bookmarkEnd w:id="44"/>
      <w:r>
        <w:rPr>
          <w:rtl w:val="true"/>
        </w:rPr>
        <w:t xml:space="preserve">الثانی </w:t>
      </w:r>
      <w:r>
        <w:rPr>
          <w:rtl w:val="true"/>
        </w:rPr>
        <w:t>[</w:t>
      </w:r>
      <w:r>
        <w:rPr>
          <w:rtl w:val="true"/>
        </w:rPr>
        <w:t>هل یجب الغسل بانقطاع الدم</w:t>
      </w:r>
      <w:r>
        <w:rPr>
          <w:rtl w:val="true"/>
        </w:rPr>
        <w:t>]</w:t>
      </w:r>
      <w:bookmarkEnd w:id="45"/>
    </w:p>
    <w:p>
      <w:pPr>
        <w:pStyle w:val="BookText"/>
        <w:rPr/>
      </w:pPr>
      <w:r>
        <w:rPr>
          <w:rFonts w:ascii="IRNazanin" w:hAnsi="IRNazanin" w:eastAsia="IRNazanin"/>
          <w:color w:val="111111"/>
          <w:sz w:val="28"/>
          <w:sz w:val="28"/>
          <w:szCs w:val="28"/>
          <w:rtl w:val="true"/>
          <w:lang w:bidi="fa-IR"/>
        </w:rPr>
        <w:t>قد صرّح المصنّف أنّه إذا انقطع دم الاستحاضة لم یجب علیها الغسل،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دم الاستحاضة لیس بموجب للغسل، فلو اغتسلت ذات الدم الکثیر للصبح و صلّت ثمّ انقطع الدم وقت الظهر لم یجب الغسل و اکتفت بالوضوء </w:t>
      </w:r>
      <w:r>
        <w:rPr>
          <w:rStyle w:val="FootnoteAnchor"/>
          <w:rtl w:val="true"/>
        </w:rPr>
        <w:footnoteReference w:id="35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انقطاع دمها للبرء یوجب الوضوء </w:t>
      </w:r>
      <w:r>
        <w:rPr>
          <w:rStyle w:val="FootnoteAnchor"/>
          <w:rtl w:val="true"/>
        </w:rPr>
        <w:footnoteReference w:id="356"/>
      </w:r>
      <w:r>
        <w:rPr>
          <w:rFonts w:ascii="IRNazanin" w:hAnsi="IRNazanin" w:eastAsia="IRNazanin"/>
          <w:color w:val="111111"/>
          <w:sz w:val="28"/>
          <w:sz w:val="28"/>
          <w:szCs w:val="28"/>
          <w:rtl w:val="true"/>
          <w:lang w:bidi="fa-IR"/>
        </w:rPr>
        <w:t xml:space="preserve">، انتهی، و قد مرّت عبارات التذکرة و النهایة و الموجز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أنّه إن قلنا باعتبار استمرار الکثرة إلی أوقات الصلاة حقیقة أو حکماً، فلا مناص عن الحکم بعدم الغسل لو انقطع للبرء قبل الوقت، کما عرفت من تصریح المصنّف، و أمّا انقطاعه للبرء بعد دخول الوقت فلا یرفع الوجوب المتحقّق قبله، سواء کانت قد اغتسلت فی أثناء هذا الدم أم لا؟ لأنّ المتأخّر منها کافٍ فی السببیّة کما حقّقه فی الذکری بعد ما حکی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انقطاع دمها یوجب الوضوء، و أنّ بعض الأصحاب قیّده بالبرء،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الاستحاضة فی نفسه حدث یوجب الوضوء وحده تارة، و الغسل أُخری، فإذا امتثلت؛ فإن کان حال الطهارة منقطعاً و استمرّ الانقطاع فلا وضوء و لا غسل؛ لأنّها فعلت موجبه، و إن خرج</w:t>
      </w:r>
    </w:p>
    <w:p>
      <w:pPr>
        <w:pStyle w:val="BookText"/>
        <w:rPr/>
      </w:pPr>
      <w:r>
        <w:rPr>
          <w:rFonts w:ascii="IRNazanin" w:hAnsi="IRNazanin" w:eastAsia="IRNazanin"/>
          <w:color w:val="111111"/>
          <w:sz w:val="28"/>
          <w:sz w:val="28"/>
          <w:szCs w:val="28"/>
          <w:rtl w:val="true"/>
          <w:lang w:bidi="fa-IR"/>
        </w:rPr>
        <w:t xml:space="preserve">بعدهما أو فی أثنائهما دم ثمّ انقطع إمّا فی الأثناء أو بعده، فإن کان انقطاع فترة فلا أثر له؛ لأنّه بعوده کالموجود دائماً، و إن کان انقطاع برء، فالأجود وجوب ما کان یوجبه الدم؛ لأنّ الشارع علّق علی دم الاستحاضة الوضوء و الغسل، و هذا دم الاستحاضة، و الطهارة الاولی کانت لما سلف قبلها من الدم، و لا یلزم من صحّة الصلاة مع الدم عدم تأثیره فی الحدث، و هذه المسألة لم نظفر فیها بنصّ من قِبَلِ أهل البیت علیهم السلام، و لکن ما أفتی به الشیخ هو قول العامّة؛ بناءً منهم علی أنّ حدث الاستحاضة یوجب الوضوء لا غیر فإذا انقطع بقی علی ما کان علیه، و لما </w:t>
      </w:r>
      <w:r>
        <w:rPr>
          <w:rStyle w:val="FootnoteAnchor"/>
          <w:rtl w:val="true"/>
        </w:rPr>
        <w:footnoteReference w:id="358"/>
      </w:r>
      <w:r>
        <w:rPr>
          <w:rFonts w:ascii="IRNazanin" w:hAnsi="IRNazanin" w:eastAsia="IRNazanin"/>
          <w:color w:val="111111"/>
          <w:sz w:val="28"/>
          <w:sz w:val="28"/>
          <w:szCs w:val="28"/>
          <w:rtl w:val="true"/>
          <w:lang w:bidi="fa-IR"/>
        </w:rPr>
        <w:t>کان الأصحاب یوجبون به الغسل فلیکن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لو لم تغتسل مع الکثرة للصبح مثلًا ثمّ دخل وقت الظهر، فإن کان باقیاً أجزأها غسل الظهرین </w:t>
      </w:r>
      <w:r>
        <w:rPr>
          <w:rStyle w:val="FootnoteAnchor"/>
          <w:rtl w:val="true"/>
        </w:rPr>
        <w:footnoteReference w:id="359"/>
      </w:r>
      <w:r>
        <w:rPr>
          <w:rFonts w:ascii="IRNazanin" w:hAnsi="IRNazanin" w:eastAsia="IRNazanin"/>
          <w:color w:val="111111"/>
          <w:sz w:val="28"/>
          <w:sz w:val="28"/>
          <w:szCs w:val="28"/>
          <w:rtl w:val="true"/>
          <w:lang w:bidi="fa-IR"/>
        </w:rPr>
        <w:t>لأنّه یرفع ما مضی من الحدث، و إن کان منقطعاً فالأجود وجوب الغسل، و کذا لو أهملت غسلی النهار و دخل اللیل، و لو أهملت غسل اللیل و اغتسلت للصبح و صامت أجزأ؛ لأنّه یأتی علی ما سلف، و إن کان الدم قد انقطع قبله وجب فعله علی ما قلناه، فلو أخلّت به بطل الصوم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نهایة الفاضل قرّب وجوب الغسل لو انقطع الدم قبل فعله إمّا لجنونها و إمّا لإخلالها </w:t>
      </w:r>
      <w:r>
        <w:rPr>
          <w:rStyle w:val="FootnoteAnchor"/>
          <w:rtl w:val="true"/>
        </w:rPr>
        <w:footnoteReference w:id="360"/>
      </w:r>
      <w:r>
        <w:rPr>
          <w:rFonts w:ascii="IRNazanin" w:hAnsi="IRNazanin" w:eastAsia="IRNazanin"/>
          <w:color w:val="111111"/>
          <w:sz w:val="28"/>
          <w:sz w:val="28"/>
          <w:szCs w:val="28"/>
          <w:rtl w:val="true"/>
          <w:lang w:bidi="fa-IR"/>
        </w:rPr>
        <w:t>، انتهت عبارة الذکری بعینها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دم الاستحاضة مطلقاً حدثاً، بل إن استمرّ</w:t>
      </w:r>
    </w:p>
    <w:p>
      <w:pPr>
        <w:pStyle w:val="BookText"/>
        <w:rPr/>
      </w:pPr>
      <w:r>
        <w:rPr>
          <w:rFonts w:ascii="IRNazanin" w:hAnsi="IRNazanin" w:eastAsia="IRNazanin"/>
          <w:color w:val="111111"/>
          <w:sz w:val="28"/>
          <w:sz w:val="28"/>
          <w:szCs w:val="28"/>
          <w:rtl w:val="true"/>
          <w:lang w:bidi="fa-IR"/>
        </w:rPr>
        <w:t>إلی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کلامه ککلام الشیخ فیما لو کان الدم موجوداً وقت الصلاة فاغتسلت له أو توضّأت ثمّ انقطع، فلا یرد علیه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الکلام فی مسألة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الدم المنقطع إن کان فی نفسه سبباً للطهارة فلا یسقط حکمه بالبرء، و إن کان استمراره سبباً سقط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فالدم الکثیر الموجود قبل الوقت لمّا کان بنفسه سبباً للغسل بعد الوقت عند من لم یعتبر أوقات الصلاة لم یسقط حکمه بالبرء، و عند من اعتبر الأوقات لمّا کان استمراره سبباً سقط حکمه لعدم الاستمرار، و أمّا الموجود بعد الوقت، فالوجه ما حقّقه فی الذکری من عدم سقوط حکمه بالانقطاع للبرء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انقطاع الدم لا حکم له إن کان لا للبرء، و إلّا وجب ما کان یجب سابقاً إن غسلًا و إن وضوءاً، و لو شکّت فی البرء فکالمستمرّ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انقطع الدم فی أثناء الصلاة لم یضرّ عند الشیخ، و هو حسن، و لو انقطع قبلها حکم بالوضوء، و هو قویّ إن کان السابق یوجبه، و إلّا فالأقوی الغسل </w:t>
      </w:r>
      <w:r>
        <w:rPr>
          <w:rStyle w:val="FootnoteAnchor"/>
          <w:rtl w:val="true"/>
        </w:rPr>
        <w:footnoteReference w:id="3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بین صدر العبارة و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بحمل الانقطاع فی الثانی علی الانقطاع لا للبرء، و إمّا بحمل مورد الأوّل علی ما قبل الوقت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ما عن الشیخ من إیجاب الانقطاع الوضوء </w:t>
      </w:r>
      <w:r>
        <w:rPr>
          <w:rStyle w:val="FootnoteAnchor"/>
          <w:rtl w:val="true"/>
        </w:rPr>
        <w:footnoteReference w:id="362"/>
      </w:r>
      <w:r>
        <w:rPr>
          <w:rFonts w:ascii="IRNazanin" w:hAnsi="IRNazanin" w:eastAsia="IRNazanin"/>
          <w:color w:val="111111"/>
          <w:sz w:val="28"/>
          <w:sz w:val="28"/>
          <w:szCs w:val="28"/>
          <w:rtl w:val="true"/>
          <w:lang w:bidi="fa-IR"/>
        </w:rPr>
        <w:t xml:space="preserve">إن أراد الانقطاع للبرء کما نصّ علیه فی القواعد </w:t>
      </w:r>
      <w:r>
        <w:rPr>
          <w:rStyle w:val="FootnoteAnchor"/>
          <w:rtl w:val="true"/>
        </w:rPr>
        <w:footnoteReference w:id="363"/>
      </w:r>
      <w:r>
        <w:rPr>
          <w:rFonts w:ascii="IRNazanin" w:hAnsi="IRNazanin" w:eastAsia="IRNazanin"/>
          <w:color w:val="111111"/>
          <w:sz w:val="28"/>
          <w:sz w:val="28"/>
          <w:szCs w:val="28"/>
          <w:rtl w:val="true"/>
          <w:lang w:bidi="fa-IR"/>
        </w:rPr>
        <w:t>، و أراد الأعمّ</w:t>
      </w:r>
    </w:p>
    <w:p>
      <w:pPr>
        <w:pStyle w:val="BookText"/>
        <w:rPr/>
      </w:pPr>
      <w:r>
        <w:rPr>
          <w:rFonts w:ascii="IRNazanin" w:hAnsi="IRNazanin" w:eastAsia="IRNazanin"/>
          <w:color w:val="111111"/>
          <w:sz w:val="28"/>
          <w:sz w:val="28"/>
          <w:szCs w:val="28"/>
          <w:rtl w:val="true"/>
          <w:lang w:bidi="fa-IR"/>
        </w:rPr>
        <w:t>من القلیل کما نصّ علیه صاحب الموجز و شارحه، قال فی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انقطع للبرء و لو فی الصلاة توضّأت و إن کان کثیراً، لا إن علمت قرب عوده </w:t>
      </w:r>
      <w:r>
        <w:rPr>
          <w:rStyle w:val="FootnoteAnchor"/>
          <w:rtl w:val="true"/>
        </w:rPr>
        <w:footnoteReference w:id="364"/>
      </w:r>
      <w:r>
        <w:rPr>
          <w:rFonts w:ascii="IRNazanin" w:hAnsi="IRNazanin" w:eastAsia="IRNazanin"/>
          <w:color w:val="111111"/>
          <w:sz w:val="28"/>
          <w:sz w:val="28"/>
          <w:szCs w:val="28"/>
          <w:rtl w:val="true"/>
          <w:lang w:bidi="fa-IR"/>
        </w:rPr>
        <w:t>، انتهی، و ذکر شارحه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للشهید فی دروسه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برأت وجب ما کان قبله من وضوء أو غسل </w:t>
      </w:r>
      <w:r>
        <w:rPr>
          <w:rStyle w:val="FootnoteAnchor"/>
          <w:rtl w:val="true"/>
        </w:rPr>
        <w:footnoteReference w:id="3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علی من اقتصر علی الوضوء إقامة الفرق بینه و بین الغسل، و قد وجّه الفرق کاشف اللثام و جمال الملّة فی حاشیة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الدم یوجب الوضوء مطلقاً و لا یوجب الغسل إلّا مع الاستمرار إلی وقت الصلاة فعلًا أو قوّة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الدم إنّما کان یوجب الوضوء فی ضمن الغسل، فإذا اختصّ ذلک بصورة الاستمرار لم یکن وجه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الرجوع فیه إلی العمومات الموجبة للوضوء علی المستحاضة کما تری؛ لأنّ الظاهر اختصاصها بالقلیلة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الکلام فی الدم المستمرّ إلی الوقت المنقطع بعد الغسل 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تقدیر اعتبار الاستمرار، و أمّا مع عدمه، فلا وجه لهذا الفرق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 مع انقطاع الدم فی غیر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ترتّب حکم علیه بعد الوقت؛ إذ لا یصدق علیها حینئذٍ عنوان المستحاضة الکثیرة الذی علّق علیه وجوب الأغسال، إلّا أنّ وجوب الوضوء لمّا کان مجمعاً علیه فلا مناص عن الالتزام به، و هذا یناسب</w:t>
      </w:r>
    </w:p>
    <w:p>
      <w:pPr>
        <w:pStyle w:val="BookText"/>
        <w:rPr/>
      </w:pPr>
      <w:r>
        <w:rPr>
          <w:rFonts w:ascii="IRNazanin" w:hAnsi="IRNazanin" w:eastAsia="IRNazanin"/>
          <w:color w:val="111111"/>
          <w:sz w:val="28"/>
          <w:sz w:val="28"/>
          <w:szCs w:val="28"/>
          <w:rtl w:val="true"/>
          <w:lang w:bidi="fa-IR"/>
        </w:rPr>
        <w:t>ما تقدّم فی مسألة کفایة الاستمرار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لم ندّع ما تقدّم فی تلک المسألة من أنّ المستفاد من الأخبار إناطة الأغسال و تعلّقها علی عنوان المستحاضة و المرأة الدامیة و ذات الدم السائل، بحیث یکون تحقّق هذا العنوان هو السبب من غیر مدخلیّة للدم حتّی تکون من رأت الکثرة و اغتسلت له عند الصبح لم یجب علیها الغسل للظهرین إذا علمت بعود الکثرة؛ إلّا أنّ دعوی کون المناط نفس الدم بحیث لا یکون لاستمراره و لو بالقوّة إلی وقت الصلاة، بحیث یصدق علیها عند دخول الوقت أنّها مستحاضة، مدخل فی ثبوت الأغسال، فکون حال الدم حال خروج المنیّ عریّة عن البیّنة، بل الإنصاف ظهور الأخبار فی اعتبار بقاء هذا الوصف عند دخول الوقت الذی ینجّز معه التکلیف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وجوب الأغسال مجموع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رؤیة الدم الکثیر الغیر المتعقّب بغسل، و استمراره و لو بالقوّة إلی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وجوبها مع فقد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فانقطاع الدم الکثیر للبرء قبل الوقت لا یوجب بعد الوقت سوی الوضوء؛ للإجماع علی کون دم الاستحاضة حدثاً فی الجملة، و لا یوجب غسلًا؛ للأصل و 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ما قدّمناه من أنّ المستفاد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الاستحاضة الکثیرة للغسل کسببیّة خروج المنیّ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سببیّة الانقطاع للغسل المستقبل، و أمّا الکلام فی ناقضیّته و ناقضیّة الانقطاع للفترة، للغسل الماضی، کما إذا اغتسلت فی الوقت ثمّ انقطع دمها للبرء أو للفترة، فتفصیله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الانقطاع إمّا أن یکون بعد الصلاة، و إمّا أن یکون فی أثنائها، و إمّا</w:t>
      </w:r>
    </w:p>
    <w:p>
      <w:pPr>
        <w:pStyle w:val="BookText"/>
        <w:rPr/>
      </w:pPr>
      <w:r>
        <w:rPr>
          <w:rFonts w:ascii="IRNazanin" w:hAnsi="IRNazanin" w:eastAsia="IRNazanin"/>
          <w:color w:val="111111"/>
          <w:sz w:val="28"/>
          <w:sz w:val="28"/>
          <w:szCs w:val="28"/>
          <w:rtl w:val="true"/>
          <w:lang w:bidi="fa-IR"/>
        </w:rPr>
        <w:t>أن یکون بینها و بین الطهارة، و إمّا أن یکون فی أثناء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فالانقطاع إمّا للبرء، و إمّا لفترة یعلم أنّها تسع الطهارة و الصلاة، أو أنّها لا تسعهما، أو یشکّ فیها، و إمّا متردّد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بعد الصلاة و الانقطاع للبرء أو لفترة تعلم أنّها تسع تجدید الطهارة و الصلاة، فالأقوی عدم وجوب الإعادة، و یحتمل فی الأوّل وجوبها لکشف الانقطاع عن تمکّنها عن فعل الصلاة مرفوعة الحدث، و أولی بالعدم لو شکّ فی السعة فضلًا عن القطع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إعادة الغسل و الصلاة، فهل یجب الغسل للصوم کما فی الذکری </w:t>
      </w:r>
      <w:r>
        <w:rPr>
          <w:rStyle w:val="FootnoteAnchor"/>
          <w:rtl w:val="true"/>
        </w:rPr>
        <w:footnoteReference w:id="367"/>
      </w:r>
      <w:r>
        <w:rPr>
          <w:rFonts w:ascii="IRNazanin" w:hAnsi="IRNazanin" w:eastAsia="IRNazanin"/>
          <w:color w:val="111111"/>
          <w:sz w:val="28"/>
          <w:sz w:val="28"/>
          <w:szCs w:val="28"/>
          <w:rtl w:val="true"/>
          <w:lang w:bidi="fa-IR"/>
        </w:rPr>
        <w:t>؟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ظهور حدثیّة هذا الدم، و لا ینافیها الحکم بأجزاء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الثابت توقّف الصوم علی الأغسال الواجبة للصلوات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انقطع فی أثناء الصلاة، فعن المبسوط </w:t>
      </w:r>
      <w:r>
        <w:rPr>
          <w:rStyle w:val="FootnoteAnchor"/>
          <w:rtl w:val="true"/>
        </w:rPr>
        <w:footnoteReference w:id="368"/>
      </w:r>
      <w:r>
        <w:rPr>
          <w:rFonts w:ascii="IRNazanin" w:hAnsi="IRNazanin" w:eastAsia="IRNazanin"/>
          <w:color w:val="111111"/>
          <w:sz w:val="28"/>
          <w:sz w:val="28"/>
          <w:szCs w:val="28"/>
          <w:rtl w:val="true"/>
          <w:lang w:bidi="fa-IR"/>
        </w:rPr>
        <w:t xml:space="preserve">و الخلاف </w:t>
      </w:r>
      <w:r>
        <w:rPr>
          <w:rStyle w:val="FootnoteAnchor"/>
          <w:rtl w:val="true"/>
        </w:rPr>
        <w:footnoteReference w:id="369"/>
      </w:r>
      <w:r>
        <w:rPr>
          <w:rFonts w:ascii="IRNazanin" w:hAnsi="IRNazanin" w:eastAsia="IRNazanin"/>
          <w:color w:val="111111"/>
          <w:sz w:val="28"/>
          <w:sz w:val="28"/>
          <w:szCs w:val="28"/>
          <w:rtl w:val="true"/>
          <w:lang w:bidi="fa-IR"/>
        </w:rPr>
        <w:t xml:space="preserve">و المنتهی </w:t>
      </w:r>
      <w:r>
        <w:rPr>
          <w:rStyle w:val="FootnoteAnchor"/>
          <w:rtl w:val="true"/>
        </w:rPr>
        <w:footnoteReference w:id="370"/>
      </w:r>
      <w:r>
        <w:rPr>
          <w:rFonts w:ascii="IRNazanin" w:hAnsi="IRNazanin" w:eastAsia="IRNazanin"/>
          <w:color w:val="111111"/>
          <w:sz w:val="28"/>
          <w:sz w:val="28"/>
          <w:szCs w:val="28"/>
          <w:rtl w:val="true"/>
          <w:lang w:bidi="fa-IR"/>
        </w:rPr>
        <w:t xml:space="preserve">و البیان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فیه نظر؛ بناءً علی الحکم بوجوب الإعادة مع الانقطاع قبل الصلاة؛ إذ لا فرق بین الصورتین، و التمسّک بعموم النهی عن الإبطال فی الصورة الاولی مع الاعتراف بالبطلان القهری فی الصورة الثانیة لا وجه له، کما لا وجه لاستصحاب الصحّة، مع أنّه لا یثبت وجوب الإکمال؛ لاحتمال</w:t>
      </w:r>
    </w:p>
    <w:p>
      <w:pPr>
        <w:pStyle w:val="BookText"/>
        <w:rPr/>
      </w:pPr>
      <w:r>
        <w:rPr>
          <w:rFonts w:ascii="IRNazanin" w:hAnsi="IRNazanin" w:eastAsia="IRNazanin"/>
          <w:color w:val="111111"/>
          <w:sz w:val="28"/>
          <w:sz w:val="28"/>
          <w:szCs w:val="28"/>
          <w:rtl w:val="true"/>
          <w:lang w:bidi="fa-IR"/>
        </w:rPr>
        <w:t xml:space="preserve">تجدید الطهارة و البناء، کما قیل فی المبطون </w:t>
      </w:r>
      <w:r>
        <w:rPr>
          <w:rStyle w:val="FootnoteAnchor"/>
          <w:rtl w:val="true"/>
        </w:rPr>
        <w:footnoteReference w:id="372"/>
      </w:r>
      <w:r>
        <w:rPr>
          <w:rFonts w:ascii="IRNazanin" w:hAnsi="IRNazanin" w:eastAsia="IRNazanin"/>
          <w:color w:val="111111"/>
          <w:sz w:val="28"/>
          <w:sz w:val="28"/>
          <w:szCs w:val="28"/>
          <w:rtl w:val="true"/>
          <w:lang w:bidi="fa-IR"/>
        </w:rPr>
        <w:t>، إلّا أن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حدث المبطون متخلّل بین أجزاء الصلاة، فیمکن البناء علی ما سبق منها، و الانقطاع هنا کاشف عن حدثیّة ما وقع قبل ذلک من الدم، فلا وجه للبناء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انقطع قبل الصلاة بعد الطهارة، فالمشهور عدم کفایة الطهارة السابقة؛ لما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دم الاستحاضة حدث، و إذا انقطع وجب له الوضوء </w:t>
      </w:r>
      <w:r>
        <w:rPr>
          <w:rStyle w:val="FootnoteAnchor"/>
          <w:rtl w:val="true"/>
        </w:rPr>
        <w:footnoteReference w:id="373"/>
      </w:r>
      <w:r>
        <w:rPr>
          <w:rFonts w:ascii="IRNazanin" w:hAnsi="IRNazanin" w:eastAsia="IRNazanin"/>
          <w:color w:val="111111"/>
          <w:sz w:val="28"/>
          <w:sz w:val="28"/>
          <w:szCs w:val="28"/>
          <w:rtl w:val="true"/>
          <w:lang w:bidi="fa-IR"/>
        </w:rPr>
        <w:t xml:space="preserve">، و مراده کما صرّح به جماعة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بالانقطاع یظهر حکم حدثیّة الدم المتخلّل بین الطهارة و الانقطاع؛ لأنّ العفو عنه مراعی بالاستمرار، و لیس مراده أنّ نفس الانقطاع حدث، فجعل الانقطاع موجباً من جهة أنّ به ینکشف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ضعف ما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 دمها بعد الطهارة معفوّ عنه، فلم یکن مؤثّراً فی نقض الطهارة، و الانقطاع لیس بحدث </w:t>
      </w:r>
      <w:r>
        <w:rPr>
          <w:rStyle w:val="FootnoteAnchor"/>
          <w:rtl w:val="true"/>
        </w:rPr>
        <w:footnoteReference w:id="375"/>
      </w:r>
      <w:r>
        <w:rPr>
          <w:rFonts w:ascii="IRNazanin" w:hAnsi="IRNazanin" w:eastAsia="IRNazanin"/>
          <w:color w:val="111111"/>
          <w:sz w:val="28"/>
          <w:sz w:val="28"/>
          <w:szCs w:val="28"/>
          <w:rtl w:val="true"/>
          <w:lang w:bidi="fa-IR"/>
        </w:rPr>
        <w:t>، و نحوه ما عن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انقطاع دم الاستحاضة لیس بحدث، فلو انقطع فی الصلاة أتمّتها، و إن فرغت من الوضوء و انقطع فی وقت واحد صلّت به </w:t>
      </w:r>
      <w:r>
        <w:rPr>
          <w:rStyle w:val="FootnoteAnchor"/>
          <w:rtl w:val="true"/>
        </w:rPr>
        <w:footnoteReference w:id="37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المعفوّ عنه الدم المستمرّ، فالانقطاع یکشف عن عدم</w:t>
      </w:r>
    </w:p>
    <w:p>
      <w:pPr>
        <w:pStyle w:val="BookText"/>
        <w:rPr/>
      </w:pPr>
      <w:r>
        <w:rPr>
          <w:rFonts w:ascii="IRNazanin" w:hAnsi="IRNazanin" w:eastAsia="IRNazanin"/>
          <w:color w:val="111111"/>
          <w:sz w:val="28"/>
          <w:sz w:val="28"/>
          <w:szCs w:val="28"/>
          <w:rtl w:val="true"/>
          <w:lang w:bidi="fa-IR"/>
        </w:rPr>
        <w:t>کونه ذلک المعفوّ عنه، و لذا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أظنّ أحداً قال بالعفو عن هذا الدم مع تعقّب الانقطاع، إنّما العفو عنه مع قید الاستمرار </w:t>
      </w:r>
      <w:r>
        <w:rPr>
          <w:rStyle w:val="FootnoteAnchor"/>
          <w:rtl w:val="true"/>
        </w:rPr>
        <w:footnoteReference w:id="37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لا ظهور الإجماع علی حدثیّة دم الاستحاضة بقول مطلق حتّی من المحقّق حیث 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بعد الطهارة، أمکن الخدشة فی حدثیّة مطلق دم الاستحاضة؛ لفقد العموم الدالّ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أنّه لمّا لم یکن بدّ من مراعاة ظاهر الاتّفاق وجب الاقتصار علی ما اتّفقوا علیه من ثبوت الوضوء، کما عن الشیخ </w:t>
      </w:r>
      <w:r>
        <w:rPr>
          <w:rStyle w:val="FootnoteAnchor"/>
          <w:rtl w:val="true"/>
        </w:rPr>
        <w:footnoteReference w:id="378"/>
      </w:r>
      <w:r>
        <w:rPr>
          <w:rFonts w:ascii="Amiri" w:hAnsi="Amiri" w:eastAsia="Amiri" w:cs="Amiri"/>
          <w:color w:val="111111"/>
          <w:sz w:val="28"/>
          <w:sz w:val="28"/>
          <w:szCs w:val="28"/>
          <w:rtl w:val="true"/>
          <w:lang w:bidi="ar-SA"/>
        </w:rPr>
        <w:t xml:space="preserve">و کتب المصنّف قدّس سرّه </w:t>
      </w:r>
      <w:r>
        <w:rPr>
          <w:rStyle w:val="FootnoteAnchor"/>
          <w:rtl w:val="true"/>
        </w:rPr>
        <w:footnoteReference w:id="379"/>
      </w:r>
      <w:r>
        <w:rPr>
          <w:rFonts w:ascii="IRNazanin" w:hAnsi="IRNazanin" w:eastAsia="IRNazanin"/>
          <w:color w:val="111111"/>
          <w:sz w:val="28"/>
          <w:sz w:val="28"/>
          <w:szCs w:val="28"/>
          <w:rtl w:val="true"/>
          <w:lang w:bidi="fa-IR"/>
        </w:rPr>
        <w:t xml:space="preserve">و الموجز </w:t>
      </w:r>
      <w:r>
        <w:rPr>
          <w:rStyle w:val="FootnoteAnchor"/>
          <w:rtl w:val="true"/>
        </w:rPr>
        <w:footnoteReference w:id="380"/>
      </w:r>
      <w:r>
        <w:rPr>
          <w:rFonts w:ascii="IRNazanin" w:hAnsi="IRNazanin" w:eastAsia="IRNazanin"/>
          <w:color w:val="111111"/>
          <w:sz w:val="28"/>
          <w:sz w:val="28"/>
          <w:szCs w:val="28"/>
          <w:rtl w:val="true"/>
          <w:lang w:bidi="fa-IR"/>
        </w:rPr>
        <w:t xml:space="preserve">و شرحه </w:t>
      </w:r>
      <w:r>
        <w:rPr>
          <w:rStyle w:val="FootnoteAnchor"/>
          <w:rtl w:val="true"/>
        </w:rPr>
        <w:footnoteReference w:id="381"/>
      </w:r>
      <w:r>
        <w:rPr>
          <w:rFonts w:ascii="IRNazanin" w:hAnsi="IRNazanin" w:eastAsia="IRNazanin"/>
          <w:color w:val="111111"/>
          <w:sz w:val="28"/>
          <w:sz w:val="28"/>
          <w:szCs w:val="28"/>
          <w:rtl w:val="true"/>
          <w:lang w:bidi="fa-IR"/>
        </w:rPr>
        <w:t xml:space="preserve">، دون الغسل إذا کانت کثیرة کما علیه الشهیدان </w:t>
      </w:r>
      <w:r>
        <w:rPr>
          <w:rStyle w:val="FootnoteAnchor"/>
          <w:rtl w:val="true"/>
        </w:rPr>
        <w:footnoteReference w:id="382"/>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383"/>
      </w:r>
      <w:r>
        <w:rPr>
          <w:rFonts w:ascii="Amiri" w:hAnsi="Amiri" w:eastAsia="Amiri" w:cs="Amiri"/>
          <w:color w:val="111111"/>
          <w:sz w:val="28"/>
          <w:sz w:val="28"/>
          <w:szCs w:val="28"/>
          <w:rtl w:val="true"/>
          <w:lang w:bidi="ar-SA"/>
        </w:rPr>
        <w:t xml:space="preserve">و جماعة </w:t>
      </w:r>
      <w:r>
        <w:rPr>
          <w:rStyle w:val="FootnoteAnchor"/>
          <w:rtl w:val="true"/>
        </w:rPr>
        <w:footnoteReference w:id="384"/>
      </w:r>
      <w:r>
        <w:rPr>
          <w:rFonts w:ascii="IRNazanin" w:hAnsi="IRNazanin" w:eastAsia="IRNazanin"/>
          <w:color w:val="111111"/>
          <w:sz w:val="28"/>
          <w:sz w:val="28"/>
          <w:szCs w:val="28"/>
          <w:rtl w:val="true"/>
          <w:lang w:bidi="fa-IR"/>
        </w:rPr>
        <w:t>بناءً علی أنّ الموجب له هو الدم المنقطع، و هو قد یوجب الوضوء و قد یوجب الغسل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هذا الدم الواقع عقیب الاغتسال أو فی أثنائه موجباً للغسل إلّا إذا استمرّ فعلًا أو بالقوّة إلی وقت صلاة أُخری فیوجب الغسل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استصحاب الأحکام الثابتة له بعد الطهارة و قبل رؤیة هذا الدم المنقطع ممّا یتوقّف صحّتها أو إباحتها علی الغسل دون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ذکرنا بین کون الانقطاع للبرء أو للفترة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أنّه لو علمت بالبرء فی آخر الوقت أو زمان فترة تسع الصلاة مع الطهارة الحقیقیّة، وجب انتظاره، کما صرّح به المصنّف فی النهایة </w:t>
      </w:r>
      <w:r>
        <w:rPr>
          <w:rStyle w:val="FootnoteAnchor"/>
          <w:rtl w:val="true"/>
        </w:rPr>
        <w:footnoteReference w:id="385"/>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الانقطاع للفترة لا یؤثّر فی الطهارة؛ لأنّه بعوده بعد ذلک کالموجود دائماً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إشکال فی عدم اعتبار الفترة إذا علم أنّها لا تسع الطهارة و الصلاة، و لو شکّت فیها، ففی البناء علی أصالة تأخّر العود وجهان، 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لإطلاق الأخبار و لزوم الحرج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انکشف طول الفترة فیمکن القول بکشف ذلک عن تکلیفها واقعاً بالصلاة مع الطهارة الحقیقیّة، کما أنّه لو قلنا بوجوب الإعادة فعاد قبل التمکّن من الطهارة و الصلاة کشف ذلک عن عدم منع ذلک الانقطاع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حکم ما لو انقطع الدم فی أثناء الطهارة، فلاحظ</w:t>
      </w:r>
      <w:r>
        <w:rPr>
          <w:rFonts w:eastAsia="IRNazanin" w:cs="IRNazanin"/>
          <w:color w:val="111111"/>
          <w:sz w:val="28"/>
          <w:szCs w:val="28"/>
          <w:rtl w:val="true"/>
          <w:lang w:bidi="fa-IR"/>
        </w:rPr>
        <w:t>.</w:t>
      </w:r>
      <w:bookmarkStart w:id="46" w:name="pg13042_126959"/>
    </w:p>
    <w:p>
      <w:pPr>
        <w:pStyle w:val="Heading6"/>
        <w:numPr>
          <w:ilvl w:val="5"/>
          <w:numId w:val="1"/>
        </w:numPr>
        <w:rPr/>
      </w:pPr>
      <w:bookmarkStart w:id="47" w:name="__RefHeading___Toc6530094_3224264995"/>
      <w:bookmarkStart w:id="48" w:name="_Toc19"/>
      <w:bookmarkEnd w:id="46"/>
      <w:bookmarkEnd w:id="47"/>
      <w:r>
        <w:rPr>
          <w:rtl w:val="true"/>
        </w:rPr>
        <w:t xml:space="preserve">الثالث </w:t>
      </w:r>
      <w:r>
        <w:rPr>
          <w:rtl w:val="true"/>
        </w:rPr>
        <w:t>[</w:t>
      </w:r>
      <w:r>
        <w:rPr>
          <w:rtl w:val="true"/>
        </w:rPr>
        <w:t>هل یجب الجمع بین الصلاتین بغسل واحد؟</w:t>
      </w:r>
      <w:r>
        <w:rPr>
          <w:rtl w:val="true"/>
        </w:rPr>
        <w:t>]</w:t>
      </w:r>
      <w:bookmarkEnd w:id="48"/>
    </w:p>
    <w:p>
      <w:pPr>
        <w:pStyle w:val="BookText"/>
        <w:rPr/>
      </w:pPr>
      <w:r>
        <w:rPr>
          <w:rFonts w:ascii="IRNazanin" w:hAnsi="IRNazanin" w:eastAsia="IRNazanin"/>
          <w:color w:val="111111"/>
          <w:sz w:val="28"/>
          <w:sz w:val="28"/>
          <w:szCs w:val="28"/>
          <w:rtl w:val="true"/>
          <w:lang w:bidi="fa-IR"/>
        </w:rPr>
        <w:t xml:space="preserve">ظاهر الأخبار و عبائر کثیر من الأصحاب </w:t>
      </w:r>
      <w:r>
        <w:rPr>
          <w:rStyle w:val="FootnoteAnchor"/>
          <w:rtl w:val="true"/>
        </w:rPr>
        <w:footnoteReference w:id="388"/>
      </w:r>
      <w:r>
        <w:rPr>
          <w:rFonts w:ascii="IRNazanin" w:hAnsi="IRNazanin" w:eastAsia="IRNazanin"/>
          <w:color w:val="111111"/>
          <w:sz w:val="28"/>
          <w:sz w:val="28"/>
          <w:szCs w:val="28"/>
          <w:rtl w:val="true"/>
          <w:lang w:bidi="fa-IR"/>
        </w:rPr>
        <w:t xml:space="preserve">کما عن صریح المقنعة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 بین الصلاتین بغسل واحد، إلّا أنّ الظاهر المنساق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للرخصة فی مقام توهّم وجوب خمسة أغسال، فلا یفید أزید من الجواز کما عن المصنّف فی المنتهی </w:t>
      </w:r>
      <w:r>
        <w:rPr>
          <w:rStyle w:val="FootnoteAnchor"/>
          <w:rtl w:val="true"/>
        </w:rPr>
        <w:footnoteReference w:id="390"/>
      </w:r>
      <w:r>
        <w:rPr>
          <w:rFonts w:ascii="IRNazanin" w:hAnsi="IRNazanin" w:eastAsia="IRNazanin"/>
          <w:color w:val="111111"/>
          <w:sz w:val="28"/>
          <w:sz w:val="28"/>
          <w:szCs w:val="28"/>
          <w:rtl w:val="true"/>
          <w:lang w:bidi="fa-IR"/>
        </w:rPr>
        <w:t xml:space="preserve">و الشهید </w:t>
      </w:r>
      <w:r>
        <w:rPr>
          <w:rStyle w:val="FootnoteAnchor"/>
          <w:rtl w:val="true"/>
        </w:rPr>
        <w:footnoteReference w:id="391"/>
      </w:r>
      <w:r>
        <w:rPr>
          <w:rFonts w:ascii="Amiri" w:hAnsi="Amiri" w:eastAsia="Amiri" w:cs="Amiri"/>
          <w:color w:val="111111"/>
          <w:sz w:val="28"/>
          <w:sz w:val="28"/>
          <w:szCs w:val="28"/>
          <w:rtl w:val="true"/>
          <w:lang w:bidi="ar-SA"/>
        </w:rPr>
        <w:t xml:space="preserve">و المحقّق </w:t>
      </w:r>
      <w:r>
        <w:rPr>
          <w:rStyle w:val="FootnoteAnchor"/>
          <w:rtl w:val="true"/>
        </w:rPr>
        <w:footnoteReference w:id="392"/>
      </w:r>
      <w:r>
        <w:rPr>
          <w:rFonts w:ascii="IRNazanin" w:hAnsi="IRNazanin" w:eastAsia="IRNazanin"/>
          <w:color w:val="111111"/>
          <w:sz w:val="28"/>
          <w:sz w:val="28"/>
          <w:szCs w:val="28"/>
          <w:rtl w:val="true"/>
          <w:lang w:bidi="fa-IR"/>
        </w:rPr>
        <w:t xml:space="preserve">الثانیین، مع دعوی الثانی کصاحب المدارک القطع بالجواز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تبعهم جماعة من متأخّری المتأخّرین کصاحب الذخیرة </w:t>
      </w:r>
      <w:r>
        <w:rPr>
          <w:rStyle w:val="FootnoteAnchor"/>
          <w:rtl w:val="true"/>
        </w:rPr>
        <w:footnoteReference w:id="394"/>
      </w:r>
      <w:r>
        <w:rPr>
          <w:rFonts w:ascii="IRNazanin" w:hAnsi="IRNazanin" w:eastAsia="IRNazanin"/>
          <w:color w:val="111111"/>
          <w:sz w:val="28"/>
          <w:sz w:val="28"/>
          <w:szCs w:val="28"/>
          <w:rtl w:val="true"/>
          <w:lang w:bidi="fa-IR"/>
        </w:rPr>
        <w:t xml:space="preserve">و شارح المفاتیح </w:t>
      </w:r>
      <w:r>
        <w:rPr>
          <w:rStyle w:val="FootnoteAnchor"/>
          <w:rtl w:val="true"/>
        </w:rPr>
        <w:footnoteReference w:id="395"/>
      </w:r>
      <w:r>
        <w:rPr>
          <w:rFonts w:ascii="IRNazanin" w:hAnsi="IRNazanin" w:eastAsia="IRNazanin"/>
          <w:color w:val="111111"/>
          <w:sz w:val="28"/>
          <w:sz w:val="28"/>
          <w:szCs w:val="28"/>
          <w:rtl w:val="true"/>
          <w:lang w:bidi="fa-IR"/>
        </w:rPr>
        <w:t>، بل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ذلک؛ 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علی الطهر عشر حسنات</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الاستشکال بأنّ الغسل الثانی غیر مبیح و لا رافع، و التجدید فی الغسل غیر 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التمسّک له ببعض الروایات، مثل مرسلة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تغتسل فی وقت کلّ صلاة</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و 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تغتسل و تتوضّأ لکلّ صلاة</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فی روایة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تمّت ثلاثون یوماً فرأت دماً صبیباً اغتسلت، و استثفرت، و احتشت بالکرسف فی وقت کلّ صلاة</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لیونس بن یعقوب واردة فی الاستظهار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تستظهر بعشرة أیّام فإذا رأت الدم دماً صبیباً فلتغتسل فی وقت کلّ صلاة</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دلالتها تأمّل، فالأحوط الجمع؛ بناءً علی ما هو المشهور من وجوب معاقبة الصلاتین للغسل</w:t>
      </w:r>
      <w:r>
        <w:rPr>
          <w:rFonts w:eastAsia="IRNazanin" w:cs="IRNazanin"/>
          <w:color w:val="111111"/>
          <w:sz w:val="28"/>
          <w:szCs w:val="28"/>
          <w:rtl w:val="true"/>
          <w:lang w:bidi="fa-IR"/>
        </w:rPr>
        <w:t>.</w:t>
      </w:r>
      <w:bookmarkStart w:id="49" w:name="pg13042_126961"/>
    </w:p>
    <w:p>
      <w:pPr>
        <w:pStyle w:val="Heading6"/>
        <w:numPr>
          <w:ilvl w:val="5"/>
          <w:numId w:val="1"/>
        </w:numPr>
        <w:rPr/>
      </w:pPr>
      <w:bookmarkStart w:id="50" w:name="__RefHeading___Toc6530096_3224264995"/>
      <w:bookmarkStart w:id="51" w:name="_Toc20"/>
      <w:bookmarkEnd w:id="49"/>
      <w:bookmarkEnd w:id="50"/>
      <w:r>
        <w:rPr>
          <w:rtl w:val="true"/>
        </w:rPr>
        <w:t xml:space="preserve">الرابع </w:t>
      </w:r>
      <w:r>
        <w:rPr>
          <w:rtl w:val="true"/>
        </w:rPr>
        <w:t>[</w:t>
      </w:r>
      <w:r>
        <w:rPr>
          <w:rtl w:val="true"/>
        </w:rPr>
        <w:t>المشهور وجوب تعاقب الصلاة للغسل و الاستدلال علیه</w:t>
      </w:r>
      <w:r>
        <w:rPr>
          <w:rtl w:val="true"/>
        </w:rPr>
        <w:t>]</w:t>
      </w:r>
      <w:bookmarkEnd w:id="51"/>
    </w:p>
    <w:p>
      <w:pPr>
        <w:pStyle w:val="BookText"/>
        <w:rPr/>
      </w:pPr>
      <w:r>
        <w:rPr>
          <w:rFonts w:ascii="IRNazanin" w:hAnsi="IRNazanin" w:eastAsia="IRNazanin"/>
          <w:color w:val="111111"/>
          <w:sz w:val="28"/>
          <w:sz w:val="28"/>
          <w:szCs w:val="28"/>
          <w:rtl w:val="true"/>
          <w:lang w:bidi="fa-IR"/>
        </w:rPr>
        <w:t>المشهور بین الأصحاب وجوب معاقبة الصلاة للغسل، بل قد یظهر نفی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بوجوب الاقتصار فی تسویغ الحدث الواقع بعد الغسل المخالف للأصل، علی مقدار الضرورة و بظاهر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 فی روایتی أبی المغراء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فلتغتسل عند کلّ صلاتین</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تغتسل عند صلاة الظهر</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 بناءً علی ما عن الحلیّ من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المقارنة؛ لأنّه فی لسان العرب لا یصغّر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للمقارنة، فکذلک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مع ترک التصغیر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التصغیر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یشعر به استفاضة الأخبار بالجمع بین الصلاتین بتأخیر الاولی و تعجیل الثانیة، فکأنّ أصل الجمع واجب و الخصوصیّة مستحبّة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 لا یخلو عن نظر؛ لکفایة الإطلاقات الواردة فی مقام البیان فی عدم وجوب الاقتصار علی مقدار الضرورة، و 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إضافته إلی الوقت، أی زمان حضور وقت کلّ صلاة</w:t>
      </w:r>
    </w:p>
    <w:p>
      <w:pPr>
        <w:pStyle w:val="BookText"/>
        <w:rPr/>
      </w:pPr>
      <w:r>
        <w:rPr>
          <w:rFonts w:ascii="IRNazanin" w:hAnsi="IRNazanin" w:eastAsia="IRNazanin"/>
          <w:color w:val="111111"/>
          <w:sz w:val="28"/>
          <w:sz w:val="28"/>
          <w:szCs w:val="28"/>
          <w:rtl w:val="true"/>
          <w:lang w:bidi="fa-IR"/>
        </w:rPr>
        <w:t>لا حضور فعلها، و لذا قال علیه السلام فی روایة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تغتسل عند المغرب فتصلی المغرب و العشاء، ثمّ تغتسل عند الصبح فتصلی الفجر</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هنا اختار کاشف اللثام </w:t>
      </w:r>
      <w:r>
        <w:rPr>
          <w:rStyle w:val="FootnoteAnchor"/>
          <w:rtl w:val="true"/>
        </w:rPr>
        <w:footnoteReference w:id="405"/>
      </w:r>
      <w:r>
        <w:rPr>
          <w:rFonts w:ascii="IRNazanin" w:hAnsi="IRNazanin" w:eastAsia="IRNazanin"/>
          <w:color w:val="111111"/>
          <w:sz w:val="28"/>
          <w:sz w:val="28"/>
          <w:szCs w:val="28"/>
          <w:rtl w:val="true"/>
          <w:lang w:bidi="fa-IR"/>
        </w:rPr>
        <w:t xml:space="preserve">و العلّامة الطباطبائی </w:t>
      </w:r>
      <w:r>
        <w:rPr>
          <w:rStyle w:val="FootnoteAnchor"/>
          <w:rtl w:val="true"/>
        </w:rPr>
        <w:footnoteReference w:id="406"/>
      </w:r>
      <w:r>
        <w:rPr>
          <w:rFonts w:ascii="IRNazanin" w:hAnsi="IRNazanin" w:eastAsia="IRNazanin"/>
          <w:color w:val="111111"/>
          <w:sz w:val="28"/>
          <w:sz w:val="28"/>
          <w:szCs w:val="28"/>
          <w:rtl w:val="true"/>
          <w:lang w:bidi="fa-IR"/>
        </w:rPr>
        <w:t>جواز الفصل؛ لما ذکر من الإطلاق، و قوله فی روایة إسماعیل بن عبد الخالق المحکیّة عن قرب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صلاة الفجر فلتغتسل بعد طلوع الفجر ثمّ تصلی رکعتین قبل الغداة، ثمّ تصلی الغداة</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مضت عشرة أیّام فعلت ما تفعله المستحاضة ثمّ صلّت</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دلالة الحدیث نظر، فالأجود الاقتصار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سیجی‌ء من أنّ المستحاضة تکتفی لجمیع الغایات المتوقّفة علی الغسل مطلقاً ما دام وقت الصلاة باقیاً بالغسل للصلاة، فلا بدّ من تحقّق الفصل بین الغسل و أکثر الغایات، و تخصیص الصلاة منها بالاتّصال بالغسل بعید جدّاً، فتأمّل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مقتضی ما ذکر من تعلیل وجوب الاتّصال بالاقتصار فی تسویغ الحدث بعد الغسل علی مقدار الضرورة عدم جواز الفصل رأساً، و لو</w:t>
      </w:r>
    </w:p>
    <w:p>
      <w:pPr>
        <w:pStyle w:val="BookText"/>
        <w:rPr/>
      </w:pPr>
      <w:r>
        <w:rPr>
          <w:rFonts w:ascii="IRNazanin" w:hAnsi="IRNazanin" w:eastAsia="IRNazanin"/>
          <w:color w:val="111111"/>
          <w:sz w:val="28"/>
          <w:sz w:val="28"/>
          <w:szCs w:val="28"/>
          <w:rtl w:val="true"/>
          <w:lang w:bidi="fa-IR"/>
        </w:rPr>
        <w:t>بمقدّمات الصلاة، بل اللازم الاقتصار علی أقلّ الواجب، و الظاهر أنّه خلاف الإجماع، و إن اختلفوا فی تعیّن ما یجوز تخلّله بین من عمّم المقدّمات کالستر و الاجتهاد و الأذان و الإقامة، بل و عن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الجماعة </w:t>
      </w:r>
      <w:r>
        <w:rPr>
          <w:rStyle w:val="FootnoteAnchor"/>
          <w:rtl w:val="true"/>
        </w:rPr>
        <w:footnoteReference w:id="409"/>
      </w:r>
      <w:r>
        <w:rPr>
          <w:rFonts w:ascii="IRNazanin" w:hAnsi="IRNazanin" w:eastAsia="IRNazanin"/>
          <w:color w:val="111111"/>
          <w:sz w:val="28"/>
          <w:sz w:val="28"/>
          <w:szCs w:val="28"/>
          <w:rtl w:val="true"/>
          <w:lang w:bidi="fa-IR"/>
        </w:rPr>
        <w:t xml:space="preserve">، و بین من اقتصر علی الأذان و الإقامة کالمحکیّ عن الخلاف </w:t>
      </w:r>
      <w:r>
        <w:rPr>
          <w:rStyle w:val="FootnoteAnchor"/>
          <w:rtl w:val="true"/>
        </w:rPr>
        <w:footnoteReference w:id="410"/>
      </w:r>
      <w:r>
        <w:rPr>
          <w:rFonts w:ascii="IRNazanin" w:hAnsi="IRNazanin" w:eastAsia="IRNazanin"/>
          <w:color w:val="111111"/>
          <w:sz w:val="28"/>
          <w:sz w:val="28"/>
          <w:szCs w:val="28"/>
          <w:rtl w:val="true"/>
          <w:lang w:bidi="fa-IR"/>
        </w:rPr>
        <w:t>،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و إن اقتضت ذلک إلّا أنّ الظاهر من الأخبار و لو قلنا بدلالتها علی وجوب المعاقبة عدم المنع عن الصلاة المتعارفة، و لا عن مقدّماتها المقارنة لها بحسب التعارف کالستر باللباس الموجود لا تحصیل الساتر بالشراء و نحوه، و الاجتهاد فی القبلة اجتهاداً جزئیّاً متعارفاً عند القیام إلی الصلاة، لا المتوقّف علی أُمور کثیرة، و کالذهاب إلی مکان للصلاة، فلا یجب الاشتغال بها فی مکان الغسل، و لعلّ انتظار الجماعة قلیلًا یعدّ من هذه الأُمور عرفاً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لیست بوجوب المقدّمات و استحبابها، بل بتقارنها عرفاً و عدم تقارنها، واجبة کانت أو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أنّه لا بأس بالغسل قبل الوقت إذا دخل الوقت بعد الغسل من غیر فصل لا یتسامح به کما اختاره بعض </w:t>
      </w:r>
      <w:r>
        <w:rPr>
          <w:rStyle w:val="FootnoteAnchor"/>
          <w:rtl w:val="true"/>
        </w:rPr>
        <w:footnoteReference w:id="411"/>
      </w:r>
      <w:r>
        <w:rPr>
          <w:rFonts w:ascii="IRNazanin" w:hAnsi="IRNazanin" w:eastAsia="IRNazanin"/>
          <w:color w:val="111111"/>
          <w:sz w:val="28"/>
          <w:sz w:val="28"/>
          <w:szCs w:val="28"/>
          <w:rtl w:val="true"/>
          <w:lang w:bidi="fa-IR"/>
        </w:rPr>
        <w:t xml:space="preserve">، تبعاً لما عن نهایة المصنّف </w:t>
      </w:r>
      <w:r>
        <w:rPr>
          <w:rStyle w:val="FootnoteAnchor"/>
          <w:rtl w:val="true"/>
        </w:rPr>
        <w:footnoteReference w:id="412"/>
      </w:r>
      <w:r>
        <w:rPr>
          <w:rFonts w:ascii="IRNazanin" w:hAnsi="IRNazanin" w:eastAsia="IRNazanin"/>
          <w:color w:val="111111"/>
          <w:sz w:val="28"/>
          <w:sz w:val="28"/>
          <w:szCs w:val="28"/>
          <w:rtl w:val="true"/>
          <w:lang w:bidi="fa-IR"/>
        </w:rPr>
        <w:t xml:space="preserve">، إلّا أنّه قد یستشکل من جهة عدم الدلیل علی مشروعیّته قبل الوقت؛ لعدم حصول الطهارة بها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حتّی یستحبّ فی نفسه، و عدم الأمر بها </w:t>
      </w:r>
      <w:r>
        <w:rPr>
          <w:rStyle w:val="FootnoteAnchor"/>
          <w:rtl w:val="true"/>
        </w:rPr>
        <w:footnoteReference w:id="414"/>
      </w:r>
      <w:r>
        <w:rPr>
          <w:rFonts w:ascii="IRNazanin" w:hAnsi="IRNazanin" w:eastAsia="IRNazanin"/>
          <w:color w:val="111111"/>
          <w:sz w:val="28"/>
          <w:sz w:val="28"/>
          <w:szCs w:val="28"/>
          <w:rtl w:val="true"/>
          <w:lang w:bidi="fa-IR"/>
        </w:rPr>
        <w:t xml:space="preserve">وجوباً؛ لعدم الأمر بالغایة، مع أنّ المجوّز لا یجوّز نیّة الوجوب؛ و لعلّه لذا أطلق فی الذکری </w:t>
      </w:r>
      <w:r>
        <w:rPr>
          <w:rStyle w:val="FootnoteAnchor"/>
          <w:rtl w:val="true"/>
        </w:rPr>
        <w:footnoteReference w:id="415"/>
      </w:r>
      <w:r>
        <w:rPr>
          <w:rFonts w:ascii="IRNazanin" w:hAnsi="IRNazanin" w:eastAsia="IRNazanin"/>
          <w:color w:val="111111"/>
          <w:sz w:val="28"/>
          <w:sz w:val="28"/>
          <w:szCs w:val="28"/>
          <w:rtl w:val="true"/>
          <w:lang w:bidi="fa-IR"/>
        </w:rPr>
        <w:t>المنع لأنّها طهارة اضطراریّة و لا حاجة إلیها قبل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بما تقدّم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اغتسلت قبل الوقت لغایة مشروعة أو الطواف تطوّعاً أو فرضاً و اتّفق دخول الوقت عقیبها من غیر فصل، اکتفی بها للصلاة الوقتیّة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فقد استثنی من ذلک تقدیم غسل الغداة لصلاة اللیل کما عن الصدوقین </w:t>
      </w:r>
      <w:r>
        <w:rPr>
          <w:rStyle w:val="FootnoteAnchor"/>
          <w:rtl w:val="true"/>
        </w:rPr>
        <w:footnoteReference w:id="416"/>
      </w:r>
      <w:r>
        <w:rPr>
          <w:rFonts w:ascii="Amiri" w:hAnsi="Amiri" w:eastAsia="Amiri" w:cs="Amiri"/>
          <w:color w:val="111111"/>
          <w:sz w:val="28"/>
          <w:sz w:val="28"/>
          <w:szCs w:val="28"/>
          <w:rtl w:val="true"/>
          <w:lang w:bidi="ar-SA"/>
        </w:rPr>
        <w:t xml:space="preserve">و السیّد </w:t>
      </w:r>
      <w:r>
        <w:rPr>
          <w:rStyle w:val="FootnoteAnchor"/>
          <w:rtl w:val="true"/>
        </w:rPr>
        <w:footnoteReference w:id="417"/>
      </w:r>
      <w:r>
        <w:rPr>
          <w:rFonts w:ascii="IRNazanin" w:hAnsi="IRNazanin" w:eastAsia="IRNazanin"/>
          <w:color w:val="111111"/>
          <w:sz w:val="28"/>
          <w:sz w:val="28"/>
          <w:szCs w:val="28"/>
          <w:rtl w:val="true"/>
          <w:lang w:bidi="fa-IR"/>
        </w:rPr>
        <w:t xml:space="preserve">و الشیخین </w:t>
      </w:r>
      <w:r>
        <w:rPr>
          <w:rStyle w:val="FootnoteAnchor"/>
          <w:rtl w:val="true"/>
        </w:rPr>
        <w:footnoteReference w:id="418"/>
      </w:r>
      <w:r>
        <w:rPr>
          <w:rFonts w:ascii="IRNazanin" w:hAnsi="IRNazanin" w:eastAsia="IRNazanin"/>
          <w:color w:val="111111"/>
          <w:sz w:val="28"/>
          <w:sz w:val="28"/>
          <w:szCs w:val="28"/>
          <w:rtl w:val="true"/>
          <w:lang w:bidi="fa-IR"/>
        </w:rPr>
        <w:t xml:space="preserve">و جماعة من المتأخّرین </w:t>
      </w:r>
      <w:r>
        <w:rPr>
          <w:rStyle w:val="FootnoteAnchor"/>
          <w:rtl w:val="true"/>
        </w:rPr>
        <w:footnoteReference w:id="419"/>
      </w:r>
      <w:r>
        <w:rPr>
          <w:rFonts w:ascii="IRNazanin" w:hAnsi="IRNazanin" w:eastAsia="IRNazanin"/>
          <w:color w:val="111111"/>
          <w:sz w:val="28"/>
          <w:sz w:val="28"/>
          <w:szCs w:val="28"/>
          <w:rtl w:val="true"/>
          <w:lang w:bidi="fa-IR"/>
        </w:rPr>
        <w:t>، بل عن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أعلم فیه خلافاً </w:t>
      </w:r>
      <w:r>
        <w:rPr>
          <w:rStyle w:val="FootnoteAnchor"/>
          <w:rtl w:val="true"/>
        </w:rPr>
        <w:footnoteReference w:id="420"/>
      </w:r>
      <w:r>
        <w:rPr>
          <w:rFonts w:ascii="IRNazanin" w:hAnsi="IRNazanin" w:eastAsia="IRNazanin"/>
          <w:color w:val="111111"/>
          <w:sz w:val="28"/>
          <w:sz w:val="28"/>
          <w:szCs w:val="28"/>
          <w:rtl w:val="true"/>
          <w:lang w:bidi="fa-IR"/>
        </w:rPr>
        <w:t>، و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w:t>
      </w:r>
      <w:r>
        <w:rPr>
          <w:rStyle w:val="FootnoteAnchor"/>
          <w:rtl w:val="true"/>
        </w:rPr>
        <w:footnoteReference w:id="421"/>
      </w:r>
      <w:r>
        <w:rPr>
          <w:rFonts w:ascii="IRNazanin" w:hAnsi="IRNazanin" w:eastAsia="IRNazanin"/>
          <w:color w:val="111111"/>
          <w:sz w:val="28"/>
          <w:sz w:val="28"/>
          <w:szCs w:val="28"/>
          <w:rtl w:val="true"/>
          <w:lang w:bidi="fa-IR"/>
        </w:rPr>
        <w:t>، بل ظاهر المحکی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إجماعی،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بین صلاة الظهر و العصر بغسل، و المغرب و العشاء بغسل، و صلاة اللیل و الفجر بغسل،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تؤخّر صلاة اللیل إلی قرب الفجر، و تصلیّ الفجر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إجماع الفرقة و أخبارهم </w:t>
      </w:r>
      <w:r>
        <w:rPr>
          <w:rStyle w:val="FootnoteAnchor"/>
          <w:rtl w:val="true"/>
        </w:rPr>
        <w:footnoteReference w:id="4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یعثر له جماعة </w:t>
      </w:r>
      <w:r>
        <w:rPr>
          <w:rStyle w:val="FootnoteAnchor"/>
          <w:rtl w:val="true"/>
        </w:rPr>
        <w:footnoteReference w:id="423"/>
      </w:r>
      <w:r>
        <w:rPr>
          <w:rFonts w:ascii="IRNazanin" w:hAnsi="IRNazanin" w:eastAsia="IRNazanin"/>
          <w:color w:val="111111"/>
          <w:sz w:val="28"/>
          <w:sz w:val="28"/>
          <w:szCs w:val="28"/>
          <w:rtl w:val="true"/>
          <w:lang w:bidi="fa-IR"/>
        </w:rPr>
        <w:t xml:space="preserve">علی دلیل عدا ما عن الفقه الرضوی فی المتوسّطة </w:t>
      </w:r>
      <w:r>
        <w:rPr>
          <w:rStyle w:val="FootnoteAnchor"/>
          <w:rtl w:val="true"/>
        </w:rPr>
        <w:footnoteReference w:id="424"/>
      </w:r>
      <w:r>
        <w:rPr>
          <w:rFonts w:ascii="IRNazanin" w:hAnsi="IRNazanin" w:eastAsia="IRNazanin"/>
          <w:color w:val="111111"/>
          <w:sz w:val="28"/>
          <w:sz w:val="28"/>
          <w:szCs w:val="28"/>
          <w:rtl w:val="true"/>
          <w:lang w:bidi="fa-IR"/>
        </w:rPr>
        <w:t>، و ربما یستدلّ علیه بما دلّ علی الجمع بین صلاتین بغسل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تقدیمه علی الوقت، و استثنی عنه ما لو أرادت صلاة اللیل و اغتسلت غسل صلاة الغداة، بمعنی أنّه إذا قدّمته لصلاة اللیل بأن تنوی بها صلاة اللیل تصلی الفجر بها، لا أنّه یشرع الغسل مطلقاً قبل دخول الوقت إذا أرادت عبادة مشروطة بالطهارة، و لازمه أنّه لا یشرع لها عبادة مشروطة بالطهارة قبل دخول الوقت إلّا صلاة اللیل، فالظاهر أنّ حکمهم علی سبیل الرخصة، یعنی أنّه یجوز لها غسل مستقلّ لصلاة اللیل إلّا أنّها إن قدمتها علی الفجر قلیلًا اجتزأت </w:t>
      </w:r>
      <w:r>
        <w:rPr>
          <w:rStyle w:val="FootnoteAnchor"/>
          <w:rtl w:val="true"/>
        </w:rPr>
        <w:footnoteReference w:id="425"/>
      </w:r>
      <w:r>
        <w:rPr>
          <w:rFonts w:ascii="IRNazanin" w:hAnsi="IRNazanin" w:eastAsia="IRNazanin"/>
          <w:color w:val="111111"/>
          <w:sz w:val="28"/>
          <w:sz w:val="28"/>
          <w:szCs w:val="28"/>
          <w:rtl w:val="true"/>
          <w:lang w:bidi="fa-IR"/>
        </w:rPr>
        <w:t>بغسل واحد، و هو الظاهر من عبارة الخلاف المتقدّمة؛ بناءً 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الرخصة دون العزیمة کما تقدّم، و یکشف عن إرادة ذلک ما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زادت التقدیم علی مقدار کفایة صلاة اللیل فهل یجب إعادته </w:t>
      </w:r>
      <w:r>
        <w:rPr>
          <w:rStyle w:val="FootnoteAnchor"/>
          <w:rtl w:val="true"/>
        </w:rPr>
        <w:footnoteReference w:id="426"/>
      </w:r>
      <w:r>
        <w:rPr>
          <w:rFonts w:ascii="IRNazanin" w:hAnsi="IRNazanin" w:eastAsia="IRNazanin"/>
          <w:color w:val="111111"/>
          <w:sz w:val="28"/>
          <w:sz w:val="28"/>
          <w:szCs w:val="28"/>
          <w:rtl w:val="true"/>
          <w:lang w:bidi="fa-IR"/>
        </w:rPr>
        <w:t>إذ لو کان المراد ما احتملنا من عدم مشروعیّة الغسل لها قبل الوقت و لا العبادة المشروطة به لم یکن إشکال فی وجوب إعادته؛ لخروجه عن الفرض 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ذلک أنّ الاستثناء إنّما هو من الاکتفاء بالغسل المتقدّم علی</w:t>
      </w:r>
    </w:p>
    <w:p>
      <w:pPr>
        <w:pStyle w:val="BookText"/>
        <w:rPr/>
      </w:pPr>
      <w:r>
        <w:rPr>
          <w:rFonts w:ascii="IRNazanin" w:hAnsi="IRNazanin" w:eastAsia="IRNazanin"/>
          <w:color w:val="111111"/>
          <w:sz w:val="28"/>
          <w:sz w:val="28"/>
          <w:szCs w:val="28"/>
          <w:rtl w:val="true"/>
          <w:lang w:bidi="fa-IR"/>
        </w:rPr>
        <w:t>الوقت للصلاة الیومیّة لا فی مشروعیّة أصل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فهذا کلّه بالنسبة إلی الغسل، و أمّا بالنسبة إلی الوضوء فی القلیلة و المتوسّطة، فالمشهور أیضاً وجوب المعاقبة، فمتی توضّأت فی أوّل الوقت و صلّت فی آخره لم یصحّ، کما عن الخلاف </w:t>
      </w:r>
      <w:r>
        <w:rPr>
          <w:rStyle w:val="FootnoteAnchor"/>
          <w:rtl w:val="true"/>
        </w:rPr>
        <w:footnoteReference w:id="427"/>
      </w:r>
      <w:r>
        <w:rPr>
          <w:rFonts w:ascii="IRNazanin" w:hAnsi="IRNazanin" w:eastAsia="IRNazanin"/>
          <w:color w:val="111111"/>
          <w:sz w:val="28"/>
          <w:sz w:val="28"/>
          <w:szCs w:val="28"/>
          <w:rtl w:val="true"/>
          <w:lang w:bidi="fa-IR"/>
        </w:rPr>
        <w:t xml:space="preserve">و المبسوط </w:t>
      </w:r>
      <w:r>
        <w:rPr>
          <w:rStyle w:val="FootnoteAnchor"/>
          <w:rtl w:val="true"/>
        </w:rPr>
        <w:footnoteReference w:id="428"/>
      </w:r>
      <w:r>
        <w:rPr>
          <w:rFonts w:ascii="IRNazanin" w:hAnsi="IRNazanin" w:eastAsia="IRNazanin"/>
          <w:color w:val="111111"/>
          <w:sz w:val="28"/>
          <w:sz w:val="28"/>
          <w:szCs w:val="28"/>
          <w:rtl w:val="true"/>
          <w:lang w:bidi="fa-IR"/>
        </w:rPr>
        <w:t xml:space="preserve">و السرائر </w:t>
      </w:r>
      <w:r>
        <w:rPr>
          <w:rStyle w:val="FootnoteAnchor"/>
          <w:rtl w:val="true"/>
        </w:rPr>
        <w:footnoteReference w:id="429"/>
      </w:r>
      <w:r>
        <w:rPr>
          <w:rFonts w:ascii="IRNazanin" w:hAnsi="IRNazanin" w:eastAsia="IRNazanin"/>
          <w:color w:val="111111"/>
          <w:sz w:val="28"/>
          <w:sz w:val="28"/>
          <w:szCs w:val="28"/>
          <w:rtl w:val="true"/>
          <w:lang w:bidi="fa-IR"/>
        </w:rPr>
        <w:t xml:space="preserve">و الجامع </w:t>
      </w:r>
      <w:r>
        <w:rPr>
          <w:rStyle w:val="FootnoteAnchor"/>
          <w:rtl w:val="true"/>
        </w:rPr>
        <w:footnoteReference w:id="430"/>
      </w:r>
      <w:r>
        <w:rPr>
          <w:rFonts w:ascii="IRNazanin" w:hAnsi="IRNazanin" w:eastAsia="IRNazanin"/>
          <w:color w:val="111111"/>
          <w:sz w:val="28"/>
          <w:sz w:val="28"/>
          <w:szCs w:val="28"/>
          <w:rtl w:val="true"/>
          <w:lang w:bidi="fa-IR"/>
        </w:rPr>
        <w:t xml:space="preserve">و الوسیلة </w:t>
      </w:r>
      <w:r>
        <w:rPr>
          <w:rStyle w:val="FootnoteAnchor"/>
          <w:rtl w:val="true"/>
        </w:rPr>
        <w:footnoteReference w:id="431"/>
      </w:r>
      <w:r>
        <w:rPr>
          <w:rFonts w:ascii="IRNazanin" w:hAnsi="IRNazanin" w:eastAsia="IRNazanin"/>
          <w:color w:val="111111"/>
          <w:sz w:val="28"/>
          <w:sz w:val="28"/>
          <w:szCs w:val="28"/>
          <w:rtl w:val="true"/>
          <w:lang w:bidi="fa-IR"/>
        </w:rPr>
        <w:t xml:space="preserve">و الإصباح </w:t>
      </w:r>
      <w:r>
        <w:rPr>
          <w:rStyle w:val="FootnoteAnchor"/>
          <w:rtl w:val="true"/>
        </w:rPr>
        <w:footnoteReference w:id="432"/>
      </w:r>
      <w:r>
        <w:rPr>
          <w:rFonts w:ascii="IRNazanin" w:hAnsi="IRNazanin" w:eastAsia="IRNazanin"/>
          <w:color w:val="111111"/>
          <w:sz w:val="28"/>
          <w:sz w:val="28"/>
          <w:szCs w:val="28"/>
          <w:rtl w:val="true"/>
          <w:lang w:bidi="fa-IR"/>
        </w:rPr>
        <w:t xml:space="preserve">و جمهور المتأخّرین </w:t>
      </w:r>
      <w:r>
        <w:rPr>
          <w:rStyle w:val="FootnoteAnchor"/>
          <w:rtl w:val="true"/>
        </w:rPr>
        <w:footnoteReference w:id="433"/>
      </w:r>
      <w:r>
        <w:rPr>
          <w:rFonts w:ascii="Amiri" w:hAnsi="Amiri" w:eastAsia="Amiri" w:cs="Amiri"/>
          <w:color w:val="111111"/>
          <w:sz w:val="28"/>
          <w:sz w:val="28"/>
          <w:szCs w:val="28"/>
          <w:rtl w:val="true"/>
          <w:lang w:bidi="ar-SA"/>
        </w:rPr>
        <w:t xml:space="preserve">، إلّا المصنّف قدّس سرّه فی المختلف </w:t>
      </w:r>
      <w:r>
        <w:rPr>
          <w:rStyle w:val="FootnoteAnchor"/>
          <w:rtl w:val="true"/>
        </w:rPr>
        <w:footnoteReference w:id="434"/>
      </w:r>
      <w:r>
        <w:rPr>
          <w:rFonts w:ascii="IRNazanin" w:hAnsi="IRNazanin" w:eastAsia="IRNazanin"/>
          <w:color w:val="111111"/>
          <w:sz w:val="28"/>
          <w:sz w:val="28"/>
          <w:szCs w:val="28"/>
          <w:rtl w:val="true"/>
          <w:lang w:bidi="fa-IR"/>
        </w:rPr>
        <w:t xml:space="preserve">، و تبعه فی المصابیح مدّعیاً أنّه مذهب الأکثر؛ حیث لم ینصّوا علی وجوب المعاقبة و غایاتها المتعدّدة مع اکتفائهم بالطهارة الواحدة فی الجمیع </w:t>
      </w:r>
      <w:r>
        <w:rPr>
          <w:rStyle w:val="FootnoteAnchor"/>
          <w:rtl w:val="true"/>
        </w:rPr>
        <w:footnoteReference w:id="4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ذکره من اکتفائهم بالطهارة الواحدة فی الجمیع نظر ستعرفه فیما بعد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فمقتضی القاعدة و إن کان ما ذکره الأکثر، إلّا أنّ الإطلاقات الواردة فی مقام البیان حاکمة علیها و علی الاحتیاط اللّازم فی المقام لو قلنا به، و أمّا الاستدلال ببعض الأخبار المشتملة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عن الحلیّ </w:t>
      </w:r>
      <w:r>
        <w:rPr>
          <w:rStyle w:val="FootnoteAnchor"/>
          <w:rtl w:val="true"/>
        </w:rPr>
        <w:footnoteReference w:id="436"/>
      </w:r>
      <w:r>
        <w:rPr>
          <w:rFonts w:ascii="IRNazanin" w:hAnsi="IRNazanin" w:eastAsia="IRNazanin"/>
          <w:color w:val="111111"/>
          <w:sz w:val="28"/>
          <w:sz w:val="28"/>
          <w:szCs w:val="28"/>
          <w:rtl w:val="true"/>
          <w:lang w:bidi="fa-IR"/>
        </w:rPr>
        <w:t>، فقد عرفت حاله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یرشد إلی وجوب المعاقبة وجوب تجدید الطهارة لکلّ صلاة؛ لأنّ الظاهر أنّ ذلک لأجل تخفیف الحدث، و یؤیّده استدلال الشیخ فی محکی الخلاف علی وجوب المعاقبة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ما قدّمناه من أنّه یجب علیها تجدید الوضوء عند کلّ صلاة </w:t>
      </w:r>
      <w:r>
        <w:rPr>
          <w:rStyle w:val="FootnoteAnchor"/>
          <w:rtl w:val="true"/>
        </w:rPr>
        <w:footnoteReference w:id="43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ذلک فیما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المستحاضة و من به سلس البول یجب علیه تجدید الوضوء عند کلّ صلاة، ثمّ ذکر أحکام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إجماع الفرقة و أخبارهم </w:t>
      </w:r>
      <w:r>
        <w:rPr>
          <w:rStyle w:val="FootnoteAnchor"/>
          <w:rtl w:val="true"/>
        </w:rPr>
        <w:footnoteReference w:id="43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الظاهر أنّ مراده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تجدید الوضوء عند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مدّعیاً علیه إجماع الفرقة و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فالمشهور هو الأحوط و إن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محل النزاع ما إذا رأت الدم بعد الشروع فی الطهارة، أمّا لو فرض أنّها لم تر الدم بعد الشروع للفترة أو للبرء، فلا إشکال فی عدم وجوب المعاقبة، کما اعترف به بعض مشایخنا فی شرحه علی الشرائع </w:t>
      </w:r>
      <w:r>
        <w:rPr>
          <w:rStyle w:val="FootnoteAnchor"/>
          <w:rtl w:val="true"/>
        </w:rPr>
        <w:footnoteReference w:id="439"/>
      </w:r>
      <w:r>
        <w:rPr>
          <w:rFonts w:ascii="IRNazanin" w:hAnsi="IRNazanin" w:eastAsia="IRNazanin"/>
          <w:color w:val="111111"/>
          <w:sz w:val="28"/>
          <w:sz w:val="28"/>
          <w:szCs w:val="28"/>
          <w:rtl w:val="true"/>
          <w:lang w:bidi="fa-IR"/>
        </w:rPr>
        <w:t>، بل و لا فی عدم وجوب تجدید الوضوء ما لم تر الدم؛ لأنّ المفروض عدم الحدث، و لیس مجرّد الحالة حدثاً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أرادت غایة أُخری غیر صلاة اللیل، فهل یکتفی لها و للفجر</w:t>
      </w:r>
    </w:p>
    <w:p>
      <w:pPr>
        <w:pStyle w:val="BookText"/>
        <w:rPr/>
      </w:pPr>
      <w:r>
        <w:rPr>
          <w:rFonts w:ascii="IRNazanin" w:hAnsi="IRNazanin" w:eastAsia="IRNazanin"/>
          <w:color w:val="111111"/>
          <w:sz w:val="28"/>
          <w:sz w:val="28"/>
          <w:szCs w:val="28"/>
          <w:rtl w:val="true"/>
          <w:lang w:bidi="fa-IR"/>
        </w:rPr>
        <w:t>بغسل واحد؛ لأنّ المستفاد من الفتوی و النّص تسویغ التقدیم بهذا المقدار لا لهذه الغایة بالخصوص، أم لا؛ لما عرفت من وجوب الاقتصار علی المتیقّن؟ وجهان، أقواهما الثانی؛ لعدم العلم بإباحة الغسل المتقدّم لدخول الفجر، و عدم سقوط الأمر المتقدّم فی روایة إسماعیل بن عبد الخالق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صلاة الفجر فلتغتسل بعد طلوع الفجر</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اغتسلت لصلاة اللیل ثمّ عرض لها مانع عنها، ففی جواز الاکتفاء به لصلاة الفجر وجهان، أقواهما الأوّل، و یتعیّن الثانی بناء علی ما اختاره بعض المتأخّرین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عدم حصول ذی المقدمة کاشف عن عدم کون المقدمة المأتیّ بها مطلوبة، حتی لو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الاغتسال فاغتسل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لغایة مندوبة کالزیارة فلم تفعلها لم یبرّ النذر بذلک الغسل؛ لانکشاف عدم کونه مطلوباً، فتأمّل</w:t>
      </w:r>
      <w:r>
        <w:rPr>
          <w:rFonts w:eastAsia="IRNazanin" w:cs="IRNazanin"/>
          <w:color w:val="111111"/>
          <w:sz w:val="28"/>
          <w:szCs w:val="28"/>
          <w:rtl w:val="true"/>
          <w:lang w:bidi="fa-IR"/>
        </w:rPr>
        <w:t>.</w:t>
      </w:r>
      <w:bookmarkStart w:id="52" w:name="pg13042_126969"/>
    </w:p>
    <w:p>
      <w:pPr>
        <w:pStyle w:val="Heading6"/>
        <w:numPr>
          <w:ilvl w:val="5"/>
          <w:numId w:val="1"/>
        </w:numPr>
        <w:rPr/>
      </w:pPr>
      <w:bookmarkStart w:id="53" w:name="__RefHeading___Toc6530098_3224264995"/>
      <w:bookmarkStart w:id="54" w:name="_Toc21"/>
      <w:bookmarkEnd w:id="52"/>
      <w:bookmarkEnd w:id="53"/>
      <w:r>
        <w:rPr>
          <w:rtl w:val="true"/>
        </w:rPr>
        <w:t xml:space="preserve">الخامس </w:t>
      </w:r>
      <w:r>
        <w:rPr>
          <w:rtl w:val="true"/>
        </w:rPr>
        <w:t>[</w:t>
      </w:r>
      <w:r>
        <w:rPr>
          <w:rtl w:val="true"/>
        </w:rPr>
        <w:t>هل یجب الاستظهار علی المستحاضة فی منع الدم من الخروج؟</w:t>
      </w:r>
      <w:r>
        <w:rPr>
          <w:rtl w:val="true"/>
        </w:rPr>
        <w:t>]</w:t>
      </w:r>
      <w:bookmarkEnd w:id="54"/>
    </w:p>
    <w:p>
      <w:pPr>
        <w:pStyle w:val="BookText"/>
        <w:rPr/>
      </w:pPr>
      <w:r>
        <w:rPr>
          <w:rFonts w:ascii="IRNazanin" w:hAnsi="IRNazanin" w:eastAsia="IRNazanin"/>
          <w:color w:val="111111"/>
          <w:sz w:val="28"/>
          <w:sz w:val="28"/>
          <w:szCs w:val="28"/>
          <w:rtl w:val="true"/>
          <w:lang w:bidi="fa-IR"/>
        </w:rPr>
        <w:t xml:space="preserve">الظاهر من الأصحاب کما ادعاه بعض المعاصرین </w:t>
      </w:r>
      <w:r>
        <w:rPr>
          <w:rStyle w:val="FootnoteAnchor"/>
          <w:rtl w:val="true"/>
        </w:rPr>
        <w:footnoteReference w:id="442"/>
      </w:r>
      <w:r>
        <w:rPr>
          <w:rFonts w:ascii="IRNazanin" w:hAnsi="IRNazanin" w:eastAsia="IRNazanin"/>
          <w:color w:val="111111"/>
          <w:sz w:val="28"/>
          <w:sz w:val="28"/>
          <w:szCs w:val="28"/>
          <w:rtl w:val="true"/>
          <w:lang w:bidi="fa-IR"/>
        </w:rPr>
        <w:t xml:space="preserve">، تبعاً للمحکی عن الکفایة </w:t>
      </w:r>
      <w:r>
        <w:rPr>
          <w:rStyle w:val="FootnoteAnchor"/>
          <w:rtl w:val="true"/>
        </w:rPr>
        <w:footnoteReference w:id="443"/>
      </w:r>
      <w:r>
        <w:rPr>
          <w:rFonts w:ascii="IRNazanin" w:hAnsi="IRNazanin" w:eastAsia="IRNazanin"/>
          <w:color w:val="111111"/>
          <w:sz w:val="28"/>
          <w:sz w:val="28"/>
          <w:szCs w:val="28"/>
          <w:rtl w:val="true"/>
          <w:lang w:bidi="fa-IR"/>
        </w:rPr>
        <w:t xml:space="preserve">و الحدائق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الاستظهار علی المستحاضة فی منع الدم من الخروج بحسب الإمکان ما لم تتضرر بحبسه، و علیه تدلّ جملة من الأخبار الآمرة بالاحتشاء و التلجّم مع عدم الانحباس بدونه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الاستثفار و الاحتشاء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تحشو فرجها بعد غسله بشی‌ء من قطن أو 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التلجّم کما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تشدّ علی وسطها خرقة کالتکّة و تأخذ خرقة أُخری مشقوقة الرأسین تجعل أحدهما قدّامها و الآخر خلفها و تشدّهما بالتکّة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الاستثفار هو التلجّم من ثفر الدابة،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استثفر الرجل بثوبه إذا ردّ طرفیه بین رجلیه إلی حجزته، و تسمی خرقة الاستثفار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الحاء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وجوبه 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التحفّظ عن نجاسة</w:t>
      </w:r>
    </w:p>
    <w:p>
      <w:pPr>
        <w:pStyle w:val="BookText"/>
        <w:rPr/>
      </w:pPr>
      <w:r>
        <w:rPr>
          <w:rFonts w:ascii="IRNazanin" w:hAnsi="IRNazanin" w:eastAsia="IRNazanin"/>
          <w:color w:val="111111"/>
          <w:sz w:val="28"/>
          <w:sz w:val="28"/>
          <w:szCs w:val="28"/>
          <w:rtl w:val="true"/>
          <w:lang w:bidi="fa-IR"/>
        </w:rPr>
        <w:t>الدم مهما أمکن، لکنّه لا یوجب إلّا التحفّظ عن الزائد علی ما لا یمکن، و إلّا فلا یتأثر المحلّ النجس بمثل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هذا، الاستدلال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حدثاً لا بدّ من التحفّظ منه بقدر الإمکان؛ لأنّه إنّما یتمّ إذا تمکّنت من حبس الحدث بحیث لا یخرج بعد الشروع فی الغسل إلی تمام الصلاة، و إلّا فالتحفّظ عنه بقدر الإمکان لا ینفع بعد خروج شی‌ءٍ منه لا بالاختیار،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الخارج منه بغیر الاختیار مسوّغ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خرج بعد الطهارة؛ لتقصیرها فی الشدّ، فإنّه یجب إعادة الطهارة بعد الغسل و الاستظهار، کما صرّح به المصنف فی النهایة </w:t>
      </w:r>
      <w:r>
        <w:rPr>
          <w:rStyle w:val="FootnoteAnchor"/>
          <w:rtl w:val="true"/>
        </w:rPr>
        <w:footnoteReference w:id="447"/>
      </w:r>
      <w:r>
        <w:rPr>
          <w:rFonts w:ascii="IRNazanin" w:hAnsi="IRNazanin" w:eastAsia="IRNazanin"/>
          <w:color w:val="111111"/>
          <w:sz w:val="28"/>
          <w:sz w:val="28"/>
          <w:szCs w:val="28"/>
          <w:rtl w:val="true"/>
          <w:lang w:bidi="fa-IR"/>
        </w:rPr>
        <w:t xml:space="preserve">و الشهید فی الذکری </w:t>
      </w:r>
      <w:r>
        <w:rPr>
          <w:rStyle w:val="FootnoteAnchor"/>
          <w:rtl w:val="true"/>
        </w:rPr>
        <w:footnoteReference w:id="448"/>
      </w:r>
      <w:r>
        <w:rPr>
          <w:rFonts w:ascii="IRNazanin" w:hAnsi="IRNazanin" w:eastAsia="IRNazanin"/>
          <w:color w:val="111111"/>
          <w:sz w:val="28"/>
          <w:sz w:val="28"/>
          <w:szCs w:val="28"/>
          <w:rtl w:val="true"/>
          <w:lang w:bidi="fa-IR"/>
        </w:rPr>
        <w:t xml:space="preserve">المحکی عنهما وجوب الاستظهار علی الصائمة تمام النهار، و تبعهما فی الروض؛ لأنّ توقف الصوم علی الغسل یشعر بتأثّره بالدم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المتوقَّف علیه هو الغسل الواجب علیها لأجل الصلاة لا الطهارة من حدث الدم، فلیس خروج الدم کحدوث الجنابة، و جعل الصوم بمنزلة الصلاة فی منافاتها </w:t>
      </w:r>
      <w:r>
        <w:rPr>
          <w:rStyle w:val="FootnoteAnchor"/>
          <w:rtl w:val="true"/>
        </w:rPr>
        <w:footnoteReference w:id="450"/>
      </w:r>
      <w:r>
        <w:rPr>
          <w:rFonts w:ascii="IRNazanin" w:hAnsi="IRNazanin" w:eastAsia="IRNazanin"/>
          <w:color w:val="111111"/>
          <w:sz w:val="28"/>
          <w:sz w:val="28"/>
          <w:szCs w:val="28"/>
          <w:rtl w:val="true"/>
          <w:lang w:bidi="fa-IR"/>
        </w:rPr>
        <w:t>لهذا الحدث عدا ما لا یمکن التحفّظ منه؛ لعدم الدلیل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لو خرج الدم للتقصیر فی الشدّ، أمّا لو خرج لغلبته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کانت الاستحاضة کثیرة لم تقدح، و إن کانت قلیلة فصارت بالخروج کثیرة بطلت الطهارة السابقة؛ لأنّ الوضوء إنّما یبیح الدم القلیل الطاری بعده، و کذا لو صارت متوسطة فی الصبح أو مطلقاً؛ بناءً علی ما قوّیناه فی المتوسطة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صارت متوسطة فی الظهرین أو العشاءَین، و قلنا بعدم إیجابها الغسل لو حدث بعد صلاة الفجر، ففی الاکتفاء بالطهارة السابقة؛ لإباحتها ما یخرج بعدها ممّا یتّحد مع الحدث السابق فی التأثیر، أو وجوب إعادتها؛ لأنّ الطارئ حدث مغایر للحدث المتطهّر عنها، کما یکشف عنه إیجابه الغسل لصلاة الغداة، فهو فی الحقیقة حدث آخر کالبول و نحوه ممّا لا إشکال فی إیجابه الإعادة،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المحکی عن وحید عصره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الأخبار و کلمات الأخیار إنّ هذا الاستظهار قبل الوضوء فی القلیلة و المتوسطة؛ لتحقّق معاقبة الصلاة للطهارة مهما تیسّر، و أمّا الکثیرة، فالظاهر من تضاعیف الأخبار کونه عقیب الغسل؛ و لعلّه من جهة أنّ الغسل مع الشدّ و الاستیثاق غیر متیسّر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المحکی عن المصنف </w:t>
      </w:r>
      <w:r>
        <w:rPr>
          <w:rStyle w:val="FootnoteAnchor"/>
          <w:rtl w:val="true"/>
        </w:rPr>
        <w:footnoteReference w:id="452"/>
      </w:r>
      <w:r>
        <w:rPr>
          <w:rFonts w:ascii="IRNazanin" w:hAnsi="IRNazanin" w:eastAsia="IRNazanin"/>
          <w:color w:val="111111"/>
          <w:sz w:val="28"/>
          <w:sz w:val="28"/>
          <w:szCs w:val="28"/>
          <w:rtl w:val="true"/>
          <w:lang w:bidi="fa-IR"/>
        </w:rPr>
        <w:t xml:space="preserve">و الشهید </w:t>
      </w:r>
      <w:r>
        <w:rPr>
          <w:rStyle w:val="FootnoteAnchor"/>
          <w:rtl w:val="true"/>
        </w:rPr>
        <w:footnoteReference w:id="453"/>
      </w:r>
      <w:r>
        <w:rPr>
          <w:rFonts w:ascii="Amiri" w:hAnsi="Amiri" w:eastAsia="Amiri" w:cs="Amiri"/>
          <w:color w:val="111111"/>
          <w:sz w:val="28"/>
          <w:sz w:val="28"/>
          <w:szCs w:val="28"/>
          <w:rtl w:val="true"/>
          <w:lang w:bidi="ar-SA"/>
        </w:rPr>
        <w:t xml:space="preserve">تبعاً للشیخ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الاستظهار علی المبطون و المسلوس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فی المسلوس مضافاً إلی</w:t>
      </w:r>
    </w:p>
    <w:p>
      <w:pPr>
        <w:pStyle w:val="BookText"/>
        <w:rPr/>
      </w:pPr>
      <w:r>
        <w:rPr>
          <w:rFonts w:ascii="IRNazanin" w:hAnsi="IRNazanin" w:eastAsia="IRNazanin"/>
          <w:color w:val="111111"/>
          <w:sz w:val="28"/>
          <w:sz w:val="28"/>
          <w:szCs w:val="28"/>
          <w:rtl w:val="true"/>
          <w:lang w:bidi="fa-IR"/>
        </w:rPr>
        <w:t>القاعدة الجاریة فیه و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بالنصّ فی المسلوس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اتخاذه کیساً </w:t>
      </w:r>
      <w:r>
        <w:rPr>
          <w:rStyle w:val="FootnoteAnchor"/>
          <w:rtl w:val="true"/>
        </w:rPr>
        <w:footnoteReference w:id="456"/>
      </w:r>
      <w:r>
        <w:rPr>
          <w:rFonts w:ascii="IRNazanin" w:hAnsi="IRNazanin" w:eastAsia="IRNazanin"/>
          <w:color w:val="111111"/>
          <w:sz w:val="28"/>
          <w:sz w:val="28"/>
          <w:szCs w:val="28"/>
          <w:rtl w:val="true"/>
          <w:lang w:bidi="fa-IR"/>
        </w:rPr>
        <w:t xml:space="preserve">، لکن مقتضی القاعدة حشو الإحلیل أو الموضع المعتاد بقطن، و لذا جعله بعضهم </w:t>
      </w:r>
      <w:r>
        <w:rPr>
          <w:rStyle w:val="FootnoteAnchor"/>
          <w:rtl w:val="true"/>
        </w:rPr>
        <w:footnoteReference w:id="457"/>
      </w:r>
      <w:r>
        <w:rPr>
          <w:rFonts w:ascii="IRNazanin" w:hAnsi="IRNazanin" w:eastAsia="IRNazanin"/>
          <w:color w:val="111111"/>
          <w:sz w:val="28"/>
          <w:sz w:val="28"/>
          <w:szCs w:val="28"/>
          <w:rtl w:val="true"/>
          <w:lang w:bidi="fa-IR"/>
        </w:rPr>
        <w:t>أولی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تقییده بما إذا لم یتضرّر بالحبس، و الغالب التضرر به، و لعلّه الوجه فی الاقتصار فی النصّ علی اتخاذ الکیس المانع عن تنجّس الثیاب، ففی صحیحة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ممّن یقطر بولًا أو دماً اتخذ کیساً و جعل فیه قطناً ثمّ علّقه علیه ثمّ صلّی یجمع بین صلاتی الظهر و العصر بأذان و إقامتین</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و ظاهرها أیضاً عدم وجوب تغییر الکیس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عن حمل کیس الاحتلام مع نجاسته و هو المعبّر عنه فی بعض الأخبار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الکمرة</w:t>
      </w:r>
      <w:r>
        <w:rPr>
          <w:rFonts w:eastAsia="IRNazanin" w:cs="IRNazanin"/>
          <w:color w:val="111111"/>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الشداد فی المستحاضة تعبّد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هل یتعیّن الاستظهار فی المستحاضة بالاستثفار أو یکفی مطلق ما یحصل به الاستظهار؛ لأنّ الظاهر أنّ المقصود منه بیان الفرد الغالب لا التعبد، و یؤیّده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بعض الأخبار بالاستیثاق </w:t>
      </w:r>
      <w:r>
        <w:rPr>
          <w:rStyle w:val="FootnoteAnchor"/>
          <w:rtl w:val="true"/>
        </w:rPr>
        <w:footnoteReference w:id="460"/>
      </w:r>
      <w:r>
        <w:rPr>
          <w:rFonts w:ascii="IRNazanin" w:hAnsi="IRNazanin" w:eastAsia="IRNazanin"/>
          <w:color w:val="111111"/>
          <w:sz w:val="28"/>
          <w:sz w:val="28"/>
          <w:szCs w:val="28"/>
          <w:rtl w:val="true"/>
          <w:lang w:bidi="fa-IR"/>
        </w:rPr>
        <w:t>؟ وجهان،</w:t>
      </w:r>
    </w:p>
    <w:p>
      <w:pPr>
        <w:pStyle w:val="BookText"/>
        <w:rPr/>
      </w:pPr>
      <w:r>
        <w:rPr>
          <w:rFonts w:ascii="IRNazanin" w:hAnsi="IRNazanin" w:eastAsia="IRNazanin"/>
          <w:color w:val="111111"/>
          <w:sz w:val="28"/>
          <w:sz w:val="28"/>
          <w:szCs w:val="28"/>
          <w:rtl w:val="true"/>
          <w:lang w:bidi="fa-IR"/>
        </w:rPr>
        <w:t>لا یبعد الثانی، 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الأصحاب لبیان زمان اعتبار الدم و کمّیة القطنة مع أنّ الحال قد یختلف بذلک، و الظاهر أنّ المرجع فیهما إلی العادة </w:t>
      </w:r>
      <w:r>
        <w:rPr>
          <w:rStyle w:val="FootnoteAnchor"/>
          <w:rtl w:val="true"/>
        </w:rPr>
        <w:footnoteReference w:id="4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فی ذلک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الذخیرة </w:t>
      </w:r>
      <w:r>
        <w:rPr>
          <w:rStyle w:val="FootnoteAnchor"/>
          <w:rtl w:val="true"/>
        </w:rPr>
        <w:footnoteReference w:id="462"/>
      </w:r>
      <w:r>
        <w:rPr>
          <w:rFonts w:ascii="IRNazanin" w:hAnsi="IRNazanin" w:eastAsia="IRNazanin"/>
          <w:color w:val="111111"/>
          <w:sz w:val="28"/>
          <w:sz w:val="28"/>
          <w:szCs w:val="28"/>
          <w:rtl w:val="true"/>
          <w:lang w:bidi="fa-IR"/>
        </w:rPr>
        <w:t xml:space="preserve">و محشی الروضة </w:t>
      </w:r>
      <w:r>
        <w:rPr>
          <w:rStyle w:val="FootnoteAnchor"/>
          <w:rtl w:val="true"/>
        </w:rPr>
        <w:footnoteReference w:id="463"/>
      </w:r>
      <w:r>
        <w:rPr>
          <w:rFonts w:ascii="IRNazanin" w:hAnsi="IRNazanin" w:eastAsia="IRNazanin"/>
          <w:color w:val="111111"/>
          <w:sz w:val="28"/>
          <w:sz w:val="28"/>
          <w:szCs w:val="28"/>
          <w:rtl w:val="true"/>
          <w:lang w:bidi="fa-IR"/>
        </w:rPr>
        <w:t xml:space="preserve">و کاشف الغطاء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بعض مشایخنا المعاصرین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یظهر من ملاحظة أخبار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Style w:val="FootnoteAnchor"/>
          <w:rtl w:val="true"/>
        </w:rPr>
        <w:footnoteReference w:id="466"/>
      </w:r>
      <w:r>
        <w:rPr>
          <w:rFonts w:ascii="IRNazanin" w:hAnsi="IRNazanin" w:eastAsia="IRNazanin"/>
          <w:color w:val="111111"/>
          <w:sz w:val="28"/>
          <w:sz w:val="28"/>
          <w:szCs w:val="28"/>
          <w:rtl w:val="true"/>
          <w:lang w:bidi="fa-IR"/>
        </w:rPr>
        <w:t>لا تقدیر له، بل تبقی محتشیة حتی تنقل إلی حالة اخری إن کانت، أو تغییرها عند کلّ صلاة، کما ستسمع،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أنّ مبدأ الاحتشاء غیر معلوم أنّه لا دلیل علی وجوب بقائها متحشیة إلی الوقت المذکور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یستفاد من الأخبار أنّها لو بقیت کذلک إلی وقت الصلاة اعتبرها حینئذ</w:t>
      </w:r>
      <w:r>
        <w:rPr>
          <w:rFonts w:eastAsia="IRNazanin" w:cs="IRNazanin"/>
          <w:color w:val="111111"/>
          <w:sz w:val="28"/>
          <w:szCs w:val="28"/>
          <w:rtl w:val="true"/>
          <w:lang w:bidi="fa-IR"/>
        </w:rPr>
        <w:t>.</w:t>
      </w:r>
      <w:bookmarkStart w:id="55" w:name="pg13042_126974"/>
    </w:p>
    <w:p>
      <w:pPr>
        <w:pStyle w:val="Heading6"/>
        <w:numPr>
          <w:ilvl w:val="5"/>
          <w:numId w:val="1"/>
        </w:numPr>
        <w:rPr/>
      </w:pPr>
      <w:bookmarkStart w:id="56" w:name="__RefHeading___Toc6530100_3224264995"/>
      <w:bookmarkStart w:id="57" w:name="_Toc22"/>
      <w:bookmarkEnd w:id="55"/>
      <w:bookmarkEnd w:id="56"/>
      <w:r>
        <w:rPr>
          <w:rtl w:val="true"/>
        </w:rPr>
        <w:t>[</w:t>
      </w:r>
      <w:r>
        <w:rPr>
          <w:rtl w:val="true"/>
        </w:rPr>
        <w:t>تتمة أحکام المستحاضة</w:t>
      </w:r>
      <w:r>
        <w:rPr>
          <w:rtl w:val="true"/>
        </w:rPr>
        <w:t>]</w:t>
      </w:r>
      <w:bookmarkEnd w:id="57"/>
    </w:p>
    <w:p>
      <w:pPr>
        <w:pStyle w:val="Heading6"/>
        <w:numPr>
          <w:ilvl w:val="5"/>
          <w:numId w:val="1"/>
        </w:numPr>
        <w:rPr/>
      </w:pPr>
      <w:bookmarkStart w:id="58" w:name="__RefHeading___Toc6530102_3224264995"/>
      <w:bookmarkStart w:id="59" w:name="_Toc23"/>
      <w:bookmarkEnd w:id="58"/>
      <w:r>
        <w:rPr>
          <w:rtl w:val="true"/>
        </w:rPr>
        <w:t>اشارة</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بقیّة أحکام المستحاضة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 w:name="__RefHeading___Toc6530104_3224264995"/>
      <w:bookmarkStart w:id="61" w:name="_Toc24"/>
      <w:bookmarkEnd w:id="60"/>
      <w:r>
        <w:rPr>
          <w:rtl w:val="true"/>
        </w:rPr>
        <w:t>[</w:t>
      </w:r>
      <w:r>
        <w:rPr>
          <w:rtl w:val="true"/>
        </w:rPr>
        <w:t>المستحاضة بحکم الطاهر بعد فعل ما وجب علیها</w:t>
      </w:r>
      <w:r>
        <w:rPr>
          <w:rtl w:val="true"/>
        </w:rPr>
        <w:t>]</w:t>
      </w:r>
      <w:bookmarkEnd w:id="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من الغسل، و الوضوء، و تغییر القطنة، و الخرقة، و غسل ظاهر الفرج بحسب حال الدم فی القلّة و الکثرة، و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الحدث و الخبث بلا خلاف، کما عن صریح المدارک </w:t>
      </w:r>
      <w:r>
        <w:rPr>
          <w:rStyle w:val="FootnoteAnchor"/>
          <w:rtl w:val="true"/>
        </w:rPr>
        <w:footnoteReference w:id="468"/>
      </w:r>
      <w:r>
        <w:rPr>
          <w:rFonts w:ascii="IRNazanin" w:hAnsi="IRNazanin" w:eastAsia="IRNazanin"/>
          <w:color w:val="111111"/>
          <w:sz w:val="28"/>
          <w:sz w:val="28"/>
          <w:szCs w:val="28"/>
          <w:rtl w:val="true"/>
          <w:lang w:bidi="fa-IR"/>
        </w:rPr>
        <w:t xml:space="preserve">و ظاهر غیره </w:t>
      </w:r>
      <w:r>
        <w:rPr>
          <w:rStyle w:val="FootnoteAnchor"/>
          <w:rtl w:val="true"/>
        </w:rPr>
        <w:footnoteReference w:id="469"/>
      </w:r>
      <w:r>
        <w:rPr>
          <w:rFonts w:ascii="IRNazanin" w:hAnsi="IRNazanin" w:eastAsia="IRNazanin"/>
          <w:color w:val="111111"/>
          <w:sz w:val="28"/>
          <w:sz w:val="28"/>
          <w:szCs w:val="28"/>
          <w:rtl w:val="true"/>
          <w:lang w:bidi="fa-IR"/>
        </w:rPr>
        <w:t xml:space="preserve">، بل إجماعاً کما عن الغنیة </w:t>
      </w:r>
      <w:r>
        <w:rPr>
          <w:rStyle w:val="FootnoteAnchor"/>
          <w:rtl w:val="true"/>
        </w:rPr>
        <w:footnoteReference w:id="470"/>
      </w:r>
      <w:r>
        <w:rPr>
          <w:rFonts w:ascii="IRNazanin" w:hAnsi="IRNazanin" w:eastAsia="IRNazanin"/>
          <w:color w:val="111111"/>
          <w:sz w:val="28"/>
          <w:sz w:val="28"/>
          <w:szCs w:val="28"/>
          <w:rtl w:val="true"/>
          <w:lang w:bidi="fa-IR"/>
        </w:rPr>
        <w:t xml:space="preserve">و التذکرة </w:t>
      </w:r>
      <w:r>
        <w:rPr>
          <w:rStyle w:val="FootnoteAnchor"/>
          <w:rtl w:val="true"/>
        </w:rPr>
        <w:footnoteReference w:id="471"/>
      </w:r>
      <w:r>
        <w:rPr>
          <w:rFonts w:ascii="IRNazanin" w:hAnsi="IRNazanin" w:eastAsia="IRNazanin"/>
          <w:color w:val="111111"/>
          <w:sz w:val="28"/>
          <w:sz w:val="28"/>
          <w:szCs w:val="28"/>
          <w:rtl w:val="true"/>
          <w:lang w:bidi="fa-IR"/>
        </w:rPr>
        <w:t xml:space="preserve">و شرح الجعفریة </w:t>
      </w:r>
      <w:r>
        <w:rPr>
          <w:rStyle w:val="FootnoteAnchor"/>
          <w:rtl w:val="true"/>
        </w:rPr>
        <w:footnoteReference w:id="472"/>
      </w:r>
      <w:r>
        <w:rPr>
          <w:rFonts w:ascii="IRNazanin" w:hAnsi="IRNazanin" w:eastAsia="IRNazanin"/>
          <w:color w:val="111111"/>
          <w:sz w:val="28"/>
          <w:sz w:val="28"/>
          <w:szCs w:val="28"/>
          <w:rtl w:val="true"/>
          <w:lang w:bidi="fa-IR"/>
        </w:rPr>
        <w:t xml:space="preserve">و کشف الالتباس </w:t>
      </w:r>
      <w:r>
        <w:rPr>
          <w:rStyle w:val="FootnoteAnchor"/>
          <w:rtl w:val="true"/>
        </w:rPr>
        <w:footnoteReference w:id="473"/>
      </w:r>
      <w:r>
        <w:rPr>
          <w:rFonts w:ascii="IRNazanin" w:hAnsi="IRNazanin" w:eastAsia="IRNazanin"/>
          <w:color w:val="111111"/>
          <w:sz w:val="28"/>
          <w:sz w:val="28"/>
          <w:szCs w:val="28"/>
          <w:rtl w:val="true"/>
          <w:lang w:bidi="fa-IR"/>
        </w:rPr>
        <w:t xml:space="preserve">و غیرها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یعطی أنّه یجوز لها فعل ما یشترط بالطهارتین من دون تجدید شی‌ءٍ من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محکیّ المصابیح بعد ذکر کلامهم فی أنّها مع الأفعال بحکم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ذلک عدم وجوب تجدید الوضوء و الغسل لغیر الصلاة من الغایات، کالطواف و المسّ و دخول المساجد و قراءة العزائم و نحوها، و یظهر ذلک من کلماتهم فی الصوم و الوطء، و ینبغی القطع به علی القول بجواز فصل العمل عن الوضوء و الغسل، و من البعید وجوب إعادة الغسل علیها للطواف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عدم وجوب استقلال دخول المساجد بغسلٍ غیر غسل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الأصحاب غیر محرّر فی هذا المقام </w:t>
      </w:r>
      <w:r>
        <w:rPr>
          <w:rStyle w:val="FootnoteAnchor"/>
          <w:rtl w:val="true"/>
        </w:rPr>
        <w:footnoteReference w:id="47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بعض مشایخنا المعاصرین،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الإشکال فی ظهور عبارات الأصحاب فی عدم وجوب تجدید شی‌ءٍ من ذلک علیها بعد فرض محافظتها علی ما وجب علیها للصلاة؛ لأنّها تکون بحکم الطاهر من هذا الدم، فلا یؤثّر استمراره أثراً، نعم یحتاج إلی الوضوء أو الغسل مع عروض أسباب أُخر موجبة لها من الجنابة و البول و نحوهما </w:t>
      </w:r>
      <w:r>
        <w:rPr>
          <w:rStyle w:val="FootnoteAnchor"/>
          <w:rtl w:val="true"/>
        </w:rPr>
        <w:footnoteReference w:id="47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جزم بعض آخر من مشایخنا فی کتابه </w:t>
      </w:r>
      <w:r>
        <w:rPr>
          <w:rStyle w:val="FootnoteAnchor"/>
          <w:rtl w:val="true"/>
        </w:rPr>
        <w:footnoteReference w:id="477"/>
      </w:r>
      <w:r>
        <w:rPr>
          <w:rFonts w:ascii="IRNazanin" w:hAnsi="IRNazanin" w:eastAsia="IRNazanin"/>
          <w:color w:val="111111"/>
          <w:sz w:val="28"/>
          <w:sz w:val="28"/>
          <w:szCs w:val="28"/>
          <w:rtl w:val="true"/>
          <w:lang w:bidi="fa-IR"/>
        </w:rPr>
        <w:t>بکفایة الأغسال و الوضوءات الواجبة فی الکثیرة لجمیع الصلوات التی بعدها،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تصلیّ غیر الرواتب و القضاء فی غیر أوقاتها أو فیها مؤخّراً عن الصلاة من غیر غسل و لا وضوء إلّا من حدث آخر موجب لها من بولٍ أو منیٍّ أو نحوهما؛ لعموم الأمر بها، و عدم ثبوت مانعٍ سوی الدم و لم یثبت مانعیّته، و لا وجوب الغسل لکلّ صلاة، إنّما الثابت الأغسال الثلاثة، فتأمّل،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تصریحهم فی القلیلة بوجوب الوضوء بل جمیع ما عدا الغسل لکلّ صلاة فرضاً أو نفلًا، ففعل ما یجب علیها لصلاتها المفروضة لا یغنی عن تجدیدها للدخول فی غیرها ممّا یشترط بالطهارتین، و لذا صرّحوا بوجوب الوضوء لکلّ صلاة فرضاً أو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لزوم تغییر القطنة أیضاً، بل ظاهر استدلالهم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الدم حدث فتقتصر فی رفع حکمه علی المتیقّن، لزوم التجدید للطواف أیضاً و لمس کتابة القرآن أیضاً؛ و لذا جزم صاحب الموجز </w:t>
      </w:r>
      <w:r>
        <w:rPr>
          <w:rStyle w:val="FootnoteAnchor"/>
          <w:rtl w:val="true"/>
        </w:rPr>
        <w:footnoteReference w:id="478"/>
      </w:r>
      <w:r>
        <w:rPr>
          <w:rFonts w:ascii="IRNazanin" w:hAnsi="IRNazanin" w:eastAsia="IRNazanin"/>
          <w:color w:val="111111"/>
          <w:sz w:val="28"/>
          <w:sz w:val="28"/>
          <w:szCs w:val="28"/>
          <w:rtl w:val="true"/>
          <w:lang w:bidi="fa-IR"/>
        </w:rPr>
        <w:t xml:space="preserve">و شارحه </w:t>
      </w:r>
      <w:r>
        <w:rPr>
          <w:rStyle w:val="FootnoteAnchor"/>
          <w:rtl w:val="true"/>
        </w:rPr>
        <w:footnoteReference w:id="479"/>
      </w:r>
      <w:r>
        <w:rPr>
          <w:rFonts w:ascii="IRNazanin" w:hAnsi="IRNazanin" w:eastAsia="IRNazanin"/>
          <w:color w:val="111111"/>
          <w:sz w:val="28"/>
          <w:sz w:val="28"/>
          <w:szCs w:val="28"/>
          <w:rtl w:val="true"/>
          <w:lang w:bidi="fa-IR"/>
        </w:rPr>
        <w:t xml:space="preserve">بلزوم تعدد الوضوء للطواف و صلاته، بل تردّد کاشف الغطاء </w:t>
      </w:r>
      <w:r>
        <w:rPr>
          <w:rStyle w:val="FootnoteAnchor"/>
          <w:rtl w:val="true"/>
        </w:rPr>
        <w:footnoteReference w:id="480"/>
      </w:r>
      <w:r>
        <w:rPr>
          <w:rFonts w:ascii="Amiri" w:hAnsi="Amiri" w:eastAsia="Amiri" w:cs="Amiri"/>
          <w:color w:val="111111"/>
          <w:sz w:val="28"/>
          <w:sz w:val="28"/>
          <w:szCs w:val="28"/>
          <w:rtl w:val="true"/>
          <w:lang w:bidi="ar-SA"/>
        </w:rPr>
        <w:t>فی کفایة وضوءٍ واحدٍ لمسٍّ واحدٍ مستمرّ، بعد أن جزم بوجوب تکراره بتکراره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فالظاهر عدم کفایة أفعال القلیلة لأزید من صلاة واحدة، و هذا جارٍ فی الوضوء بالنسبة إلی الکثیرة؛ فإنّ الظاهر عدم کفایة وضوءاتها فی أوقات أغسالها بغیر صلواتها التی تغتسل لها؛ فإنّ من اغتسلت و توضّأت فی الاستحاضة المتوسطة لصلاة الفجر، فالظاهر أنّه لا یغنی ذلک عن الوضوء للصلوات الأُخر المندوبة أو المفروضة غیر الیومیة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فالمحصّل من مجموع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الکافی من الأفعال التی تفعل للصلاة الیومیة للدخول فی غیرها المشروط بالطهارة هو الغسل فقط، و لعلّه لذلک کلّه عبّر فی التحریر بما حاصله و إن لم یحضرنی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إذا فعلت ما علیها من الأغسال کانت بحکم الطاهر فتستبیح مع الوضوء کلّ ما</w:t>
      </w:r>
    </w:p>
    <w:p>
      <w:pPr>
        <w:pStyle w:val="BookText"/>
        <w:rPr/>
      </w:pPr>
      <w:r>
        <w:rPr>
          <w:rFonts w:ascii="IRNazanin" w:hAnsi="IRNazanin" w:eastAsia="IRNazanin"/>
          <w:color w:val="111111"/>
          <w:sz w:val="28"/>
          <w:sz w:val="28"/>
          <w:szCs w:val="28"/>
          <w:rtl w:val="true"/>
          <w:lang w:bidi="fa-IR"/>
        </w:rPr>
        <w:t xml:space="preserve">یشترط بالطهارة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فربما ینافیه ما یظهر منهم من وجوب تقدیم غسل الفجر إذا أرادت المستحاضة صلاة اللیل؛ فإنّ مقتضی الکلیة المذکورة کفایة غسل العشاءَین لصلاة اللیل، اللّهم إلّا أن یکون مرادهم کفایة الأغسال بالنسبة إلی أوقاتها، فیکتفی بغسل الصبح للدخول فی کلِّ عملٍ إلی طلوع الشمس، و یکتفی بغسل العشاءَین إلی نصف اللیل فلا أثر له بعده، کما صرّح به فی الروض،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للمستحاضة أن تجمع بین صلاتین بوضوءٍ واحد سواء فی ذلک الفرض و النفل، بل لا بدّ لکلّ صلاةٍ من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غسلها فللوقت تصلی به ما شاءت من الفرض و النفل أداءً و قضاء، مع الوضوء لکلِّ صلاةٍ و تغییر القطنة، و غسل المحلّ إن أصابها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أرادت الصلاة فی غیر الوقت اغتسلت لأوّل الرؤیة و عملت باقی الأفعال لکلّ صلاة، و کذا القول لو أرادت صلاة اللیل، لکن یکفیها الغسل عن إعادته للصبح علی ما مرّ من التفصیل </w:t>
      </w:r>
      <w:r>
        <w:rPr>
          <w:rStyle w:val="FootnoteAnchor"/>
          <w:rtl w:val="true"/>
        </w:rPr>
        <w:footnoteReference w:id="48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ما فی بعض الحواشی المعلّقة علی الإرشاد </w:t>
      </w:r>
      <w:r>
        <w:rPr>
          <w:rStyle w:val="FootnoteAnchor"/>
          <w:rtl w:val="true"/>
        </w:rPr>
        <w:footnoteReference w:id="483"/>
      </w:r>
      <w:r>
        <w:rPr>
          <w:rFonts w:ascii="IRNazanin" w:hAnsi="IRNazanin" w:eastAsia="IRNazanin"/>
          <w:color w:val="111111"/>
          <w:sz w:val="28"/>
          <w:sz w:val="28"/>
          <w:szCs w:val="28"/>
          <w:rtl w:val="true"/>
          <w:lang w:bidi="fa-IR"/>
        </w:rPr>
        <w:t>، و الظاهر أنّه لفخر الإسلام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وضوء المستحاضة للصلاة یبطل بالفراغ منها، و غسلها للوقت لا یبطل إلّا بخروج الوقت، فلو اغتسلت للصبح لم یبطل إلی طلوع الشمس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من ذلک کلّه أنّ الأقوی وجوب تجدید الوضوء لکلِّ ما یشترط بالطهارة، کما عرفت من التحریر و حاشیة الإرشاد و الموجز و شرحه</w:t>
      </w:r>
    </w:p>
    <w:p>
      <w:pPr>
        <w:pStyle w:val="BookText"/>
        <w:rPr/>
      </w:pPr>
      <w:r>
        <w:rPr>
          <w:rFonts w:ascii="IRNazanin" w:hAnsi="IRNazanin" w:eastAsia="IRNazanin"/>
          <w:color w:val="111111"/>
          <w:sz w:val="28"/>
          <w:sz w:val="28"/>
          <w:szCs w:val="28"/>
          <w:rtl w:val="true"/>
          <w:lang w:bidi="fa-IR"/>
        </w:rPr>
        <w:t>و الروض و کشف الغطاء، و الدلیل علیه ما تقدّم فی الکثیرة من الوضوء لکلّ صلاة، فمرادهم من أنّها إذا فعلت ما یجب علیها صارت بحکم الطاهر هو فعل الغسل اللازم علیها و الوضوء لکلّ صلاة، أو ما هو بمنزلته کالطواف، لا أنّ ما وجب علیها لأجل صلاتها المفروضة من الوضوء و الغسل کاف فی استباحة غیرها من الصلوات الأُخر و غیرها من العبادات کما قد زعم، و کیف یجمع هذا مع حکمهم بعدم جواز الجمع بین فریضة و نافلتها بوضوء واحد؟ فما ظنّک بغیرها من النوافل و غیرها؟</w:t>
      </w:r>
    </w:p>
    <w:p>
      <w:pPr>
        <w:pStyle w:val="BookText"/>
        <w:rPr/>
      </w:pPr>
      <w:r>
        <w:rPr>
          <w:rFonts w:ascii="IRNazanin" w:hAnsi="IRNazanin" w:eastAsia="IRNazanin"/>
          <w:color w:val="111111"/>
          <w:sz w:val="28"/>
          <w:sz w:val="28"/>
          <w:szCs w:val="28"/>
          <w:rtl w:val="true"/>
          <w:lang w:bidi="fa-IR"/>
        </w:rPr>
        <w:t>نعم، لو قلنا بکفایة الوضوء الواحد مع الغسل فی الکثیرة للصلاتین، أمکن الاکتفاء به لباقی الصلوات إلی أن یحدث موجب آخر للوضوء أو الغسل، نظیر سائر الأحداث الکبیرة المحتاجة إلی الغسل و الوضوء، کما أنّه لو قلنا بمقالة من یکتفی بالغسل عن الوضوء، لم یجب علیها تجدید الوضوء لفرائضها و لغیرها و لا لنوافلها، فکلّ علی مذهبه فیما یلزم علی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الکلام فی الوضوء، أمّا الغسل فقد عرفت تصریح الروض و حاشیة الإرشاد بکفایته لتمام الوقت و ارتفاع أثره بعده، فدعوی اتفاقهم علی عدم تجدید الغسل لکلّ مشروط به و کفایة الأغسال الثلاثة حتی لو خرج الوقت ممنوع، بل لولا اتفاقهم علی کفایته ما دام الوقت باقیاً، أمکن الخدشة فی ذلک؛ نظراً إلی أنّ هذا الغسل من المستحاضة بمنزلة وضوء السلس و المبطون غیر رافع للحدث، فیقتصر فی إباحته لما اشترط بالطهارة علی المتیقّن، فیجب تجدیده لکلّ عبادة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الروایات کفایة الأغسال الثلاثة للمستحاضة مطلقاً ممنوعة؛ لأنّ المنساق منها بیان ما تباح معه صلواتها المفروضة، لا بیان حالها بالنسبة إلی سائر العبادات، بل لولا ظهور الإجماع علی جواز</w:t>
      </w:r>
    </w:p>
    <w:p>
      <w:pPr>
        <w:pStyle w:val="BookText"/>
        <w:rPr/>
      </w:pPr>
      <w:r>
        <w:rPr>
          <w:rFonts w:ascii="IRNazanin" w:hAnsi="IRNazanin" w:eastAsia="IRNazanin"/>
          <w:color w:val="111111"/>
          <w:sz w:val="28"/>
          <w:sz w:val="28"/>
          <w:szCs w:val="28"/>
          <w:rtl w:val="true"/>
          <w:lang w:bidi="fa-IR"/>
        </w:rPr>
        <w:t>دخولها بعد صلاتها المفروضة لعمل آخر مشروطٍ بالطهارة أمکن القول بعدم الجواز؛ بناء علی أنّ الطهارة الحقیقیّة فی حقّها متعذّرة، و إباحة الغسل الصلاتی أو المجدّد للدخول فی عمل آخر مشروط بالطهارة، محتاجة إلی التوقیف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أبعد ما بین هذا و بین ما تقدّم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الدخول فی کلِّ عملٍ مشروطٍ بالطهارة بعد فعل الأغسال الثلاثة من دون تجدید وضوءٍ و لا غسل؛ نظراً إلی أنّه لا دلیل من النصّ و الفتوی علی حدثیّة الاستحاضة بحیث یوجب فی اللیل و النهار أزید من ثلاثة 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الإشکال فی أنّه یستباح لها بعد غسلها للصلاة الدخول فی عمل آخر مشروط بالطهارة ما دام وقتها باقیاً، و هو الذی یمکن أنْ یدّعی علیه الإجماع، و لا ینافیه حکمهم </w:t>
      </w:r>
      <w:r>
        <w:rPr>
          <w:rStyle w:val="FootnoteAnchor"/>
          <w:rtl w:val="true"/>
        </w:rPr>
        <w:footnoteReference w:id="484"/>
      </w:r>
      <w:r>
        <w:rPr>
          <w:rFonts w:ascii="IRNazanin" w:hAnsi="IRNazanin" w:eastAsia="IRNazanin"/>
          <w:color w:val="111111"/>
          <w:sz w:val="28"/>
          <w:sz w:val="28"/>
          <w:szCs w:val="28"/>
          <w:rtl w:val="true"/>
          <w:lang w:bidi="fa-IR"/>
        </w:rPr>
        <w:t>بوجوب معاقبة الصلاة للغسل، الظاهر فی کون الغسل طهارة اضطراریة لا یباح به إلّا ما فعل بعده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یقتصر فی العفو عن هذا الدم علی ما لا یمکن الانفکاک عنه؛ إذ لا استبعاد فی العفو عن الفصل بالنسبة إلی غیر الصلوات المفروضة التی یغتسل لها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روایة البصری الآتیة فی وطء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استحلّت به الصلاة، فلیأتها زوجها و لتطف بالبیت</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و ما سیأتی فی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المحکیّ من المنتقی عن حمران بن أعین، عن أبی جعفر علیه السلام من قوله صلی اللّٰه علیه و آله لأسماء بنت عمیس حین</w:t>
      </w:r>
    </w:p>
    <w:p>
      <w:pPr>
        <w:pStyle w:val="BookText"/>
        <w:rPr/>
      </w:pPr>
      <w:r>
        <w:rPr>
          <w:rFonts w:ascii="IRNazanin" w:hAnsi="IRNazanin" w:eastAsia="IRNazanin"/>
          <w:color w:val="111111"/>
          <w:sz w:val="28"/>
          <w:sz w:val="28"/>
          <w:szCs w:val="28"/>
          <w:rtl w:val="true"/>
          <w:lang w:bidi="fa-IR"/>
        </w:rPr>
        <w:t>نفست بمحمد بن أبی بکر فی أیّام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الآن فاخرجی الساعة و اغتسلی و طوفی واسعی، فاغتسلت و احتشت و طافت و سعت و أحلّت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فإنّ الظاهر فعل العبادات الثلاث بغسل واحد للنفاس و الاستحاضة، إلّا أن یدّعی احتمال اختصاص الغسل بالنفاس و کون الاستحاضة قلیلة،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لزوم الحرج فی إلزامها بالغسل لکلّ عبادة، لکن العمدة ظهور الإجماع المستفاد من إطلاقات الإجماعات المتقدّمة السابقة، و لولاه لکان الأقوی وجوب تجدید الغسل عند کلّ عبادةٍ مشروطةٍ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تسالمهم علی حدثیّة ما یخرج بعد الغسل، فدعوی العفو عنه بمجرّدها 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ظاهر تلک الإجماعات کظاهر روایة البصری المتقدّمة عدم اعتبار بقاء الوقت فی کفایة الغسل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کفایة الأغسال للصوم مع حکمهم بمنافاته لحدث الاستحاضة، و لذا أوجب جماعة </w:t>
      </w:r>
      <w:r>
        <w:rPr>
          <w:rStyle w:val="FootnoteAnchor"/>
          <w:rtl w:val="true"/>
        </w:rPr>
        <w:footnoteReference w:id="487"/>
      </w:r>
      <w:r>
        <w:rPr>
          <w:rFonts w:ascii="IRNazanin" w:hAnsi="IRNazanin" w:eastAsia="IRNazanin"/>
          <w:color w:val="111111"/>
          <w:sz w:val="28"/>
          <w:sz w:val="28"/>
          <w:szCs w:val="28"/>
          <w:rtl w:val="true"/>
          <w:lang w:bidi="fa-IR"/>
        </w:rPr>
        <w:t>الاستظهار فی منع الدم طول النهار، فیکشف ذلک عن ارتفاع حکم حدثها فی مجموع النهار بتلک الأغسال، مع أنّ جعل غسل المتوسطة للوقت معناه وجوب الاغتسال بعد خروجه لعبادة اخری، و إن جاز الدخول فی الظهرین و العشاءَین بغیر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أیضاً،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المستند فی حدثیّة دم الاستحاضة الکثیرة و إیجابها الغسل إن کان النصوص الدالّة علیه فلا یدلّ علی أزید من</w:t>
      </w:r>
    </w:p>
    <w:p>
      <w:pPr>
        <w:pStyle w:val="BookText"/>
        <w:rPr/>
      </w:pPr>
      <w:r>
        <w:rPr>
          <w:rFonts w:ascii="IRNazanin" w:hAnsi="IRNazanin" w:eastAsia="IRNazanin"/>
          <w:color w:val="111111"/>
          <w:sz w:val="28"/>
          <w:sz w:val="28"/>
          <w:szCs w:val="28"/>
          <w:rtl w:val="true"/>
          <w:lang w:bidi="fa-IR"/>
        </w:rPr>
        <w:t xml:space="preserve">ثلاثة أغسال، و إن کان ظهور معاقد الإجماعات الدالة علی أنّها حدث فهو معارض بظهور کلمات المجمعین و نقلة الإجماع فی کفایة الأغسال الثلاثة فی رفع حکم هذا الحدث؛ و لذا اعترف بعضهم بأنّه حدث لا کالإحداث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بذلک ضعف ما تقدّم عن الروض و حاشیة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الوقت، و إن کان یؤیّده حکمهم بتقدیم غسل الفجر لصلاة اللیل الظاهر فی عدم کفایة غسل العشاءَین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فلو فرضنا عدم سبق غسل لها فی وقت صلاة کما لو حدث دم الاستحاضة فی غیر الوقت، أو فی الوقت بعد الفراغ عن الصلاة، و أرادت فعل مشروط بالطهارة، فالإشکال فی مشروعیّة الغسل له من جهة ما تقدّم من أنّ مقتضی القاعدة عدم مشروعیّة الغسل غیر الرافع إلّا بمقدار دلالة الأدلّة، و أمّا الرافع فیکفی فی مشروعیّته إطلاقات مشروعیّة ما یتوقف علی الطهارة من العبادات، و کأنّه إلی هذا نظر بعض مشایخنا المعاصرین و إن لم یلمح إلیه، حیث استشکل فیما ذکرنا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یشعر تصفّح عباراتهم هنا و فی توقف الصوم بذلک </w:t>
      </w:r>
      <w:r>
        <w:rPr>
          <w:rStyle w:val="FootnoteAnchor"/>
          <w:rtl w:val="true"/>
        </w:rPr>
        <w:footnoteReference w:id="489"/>
      </w:r>
      <w:r>
        <w:rPr>
          <w:rFonts w:ascii="IRNazanin" w:hAnsi="IRNazanin" w:eastAsia="IRNazanin"/>
          <w:color w:val="111111"/>
          <w:sz w:val="28"/>
          <w:sz w:val="28"/>
          <w:szCs w:val="28"/>
          <w:rtl w:val="true"/>
          <w:lang w:bidi="fa-IR"/>
        </w:rPr>
        <w:t>بأنّ طهارتها و استباحتها لتلک الغایات تابع للأفعال 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یلحق بالصلاة الطواف لکونه صلاة، و لما ورد فی قصّة أسماء بنت عمیس،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یرشد إلی ما ذکرنا زیادة علی ما یظهر من مطاوی کلماتهم خصوصاً فی توقّف الصوم و الوطء علی الغسل عدم ذکر جملة منهم ما یتوقف علی أغسال المستحاضة و وضوءاتها فی غایات الوضوء و الغسل، و لعلّه لما ذکرنا، إذ لیست هی حینئذٍ غایات مستقلة تشرع الأفعال لها حینئذٍ ابتداءً، بل هی</w:t>
      </w:r>
    </w:p>
    <w:p>
      <w:pPr>
        <w:pStyle w:val="BookText"/>
        <w:rPr/>
      </w:pPr>
      <w:r>
        <w:rPr>
          <w:rFonts w:ascii="IRNazanin" w:hAnsi="IRNazanin" w:eastAsia="IRNazanin"/>
          <w:color w:val="111111"/>
          <w:sz w:val="28"/>
          <w:sz w:val="28"/>
          <w:szCs w:val="28"/>
          <w:rtl w:val="true"/>
          <w:lang w:bidi="fa-IR"/>
        </w:rPr>
        <w:t xml:space="preserve">أُمور تابعة لتکلیفها الصلاتی، فتکون حینئذٍ من قبیل الأحکام لها، لکن الجرأة علی الجزم بذلک اعتماداً علی مثل هذه الإشعارات لا یخلو عن إشکال و نظر </w:t>
      </w:r>
      <w:r>
        <w:rPr>
          <w:rStyle w:val="FootnoteAnchor"/>
          <w:rtl w:val="true"/>
        </w:rPr>
        <w:footnoteReference w:id="49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الأقوی مشروعیّة العبادة لها قبل دخول الوقت، فتغتسل و یرتفع به حکم حدثها، کما تقدّم عن الروض </w:t>
      </w:r>
      <w:r>
        <w:rPr>
          <w:rStyle w:val="FootnoteAnchor"/>
          <w:rtl w:val="true"/>
        </w:rPr>
        <w:footnoteReference w:id="491"/>
      </w:r>
      <w:r>
        <w:rPr>
          <w:rFonts w:ascii="IRNazanin" w:hAnsi="IRNazanin" w:eastAsia="IRNazanin"/>
          <w:color w:val="111111"/>
          <w:sz w:val="28"/>
          <w:sz w:val="28"/>
          <w:szCs w:val="28"/>
          <w:rtl w:val="true"/>
          <w:lang w:bidi="fa-IR"/>
        </w:rPr>
        <w:t xml:space="preserve">و صرّح به کاشف الغطاء </w:t>
      </w:r>
      <w:r>
        <w:rPr>
          <w:rStyle w:val="FootnoteAnchor"/>
          <w:rtl w:val="true"/>
        </w:rPr>
        <w:footnoteReference w:id="492"/>
      </w:r>
      <w:r>
        <w:rPr>
          <w:rFonts w:ascii="IRNazanin" w:hAnsi="IRNazanin" w:eastAsia="IRNazanin"/>
          <w:color w:val="111111"/>
          <w:sz w:val="28"/>
          <w:sz w:val="28"/>
          <w:szCs w:val="28"/>
          <w:rtl w:val="true"/>
          <w:lang w:bidi="fa-IR"/>
        </w:rPr>
        <w:t>لأنّ المستفاد من أخبار إیجاب الاستحاضة الغسل و الوضوء و لو لأجل الصلاة الیومیة ارتفاع حکم الحدث بها مطلقا، من دون اختصاص بوقت الصلاة؛ و لذا لو اتفق وجوب صلاةٍ للکسوفین أو غیرهما علیها لم یکن للفقیه الالتزام بسقوطها عنها لأجل عدم تمکّنها من رفع الحدث، و عدم الدلیل علی رفع حکم حدثها بالوضوء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قیام الإجماع و دلالة النصّ الوارد فی اغتسال أسماء بنت عمیس للطواف به </w:t>
      </w:r>
      <w:r>
        <w:rPr>
          <w:rStyle w:val="FootnoteAnchor"/>
          <w:rtl w:val="true"/>
        </w:rPr>
        <w:footnoteReference w:id="493"/>
      </w:r>
      <w:r>
        <w:rPr>
          <w:rFonts w:ascii="IRNazanin" w:hAnsi="IRNazanin" w:eastAsia="IRNazanin"/>
          <w:color w:val="111111"/>
          <w:sz w:val="28"/>
          <w:sz w:val="28"/>
          <w:szCs w:val="28"/>
          <w:rtl w:val="true"/>
          <w:lang w:bidi="fa-IR"/>
        </w:rPr>
        <w:t>علی مشروعیّة غسلها أو وضوئها لو اتفق وجوب العبادة المشروطة بهما علیها قبل الوقت و لم یقم علی المشروعیة للنوافل دلیل، کما تری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لنا أن نتمسّک فی ذلک بعموم استحباب النوافل مثلًا، و ما تقدّم من دعوی </w:t>
      </w:r>
      <w:r>
        <w:rPr>
          <w:rStyle w:val="FootnoteAnchor"/>
          <w:rtl w:val="true"/>
        </w:rPr>
        <w:footnoteReference w:id="494"/>
      </w:r>
      <w:r>
        <w:rPr>
          <w:rFonts w:ascii="IRNazanin" w:hAnsi="IRNazanin" w:eastAsia="IRNazanin"/>
          <w:color w:val="111111"/>
          <w:sz w:val="28"/>
          <w:sz w:val="28"/>
          <w:szCs w:val="28"/>
          <w:rtl w:val="true"/>
          <w:lang w:bidi="fa-IR"/>
        </w:rPr>
        <w:t>تقییدها بارتفاع الحدث أو حکمه و المفروض عدم</w:t>
      </w:r>
    </w:p>
    <w:p>
      <w:pPr>
        <w:pStyle w:val="BookText"/>
        <w:rPr/>
      </w:pPr>
      <w:r>
        <w:rPr>
          <w:rFonts w:ascii="IRNazanin" w:hAnsi="IRNazanin" w:eastAsia="IRNazanin"/>
          <w:color w:val="111111"/>
          <w:sz w:val="28"/>
          <w:sz w:val="28"/>
          <w:szCs w:val="28"/>
          <w:rtl w:val="true"/>
          <w:lang w:bidi="fa-IR"/>
        </w:rPr>
        <w:t>ارتفاعه هنا قطعاً، و عدم الدلیل علی ارتفاع حکمه بالغسل ما لم یدلّ دلیل علی مشروعیته، مدفوعة بمنع تقیید تلک العمومات بارتفاع الحدث أو حکمه، غایة ما یستفاد من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توقّف الصلاة علی استعمال الطهور، فالعمومات جاریة فی حقّ کلّ من تمکّن من ذلک، و یلزم من ذلک تعلّق أمر الشارع باستعمال الطهور مقدمة لتلک الصلاة، و یکفی ذلک فی مشروعیّة الغسل و الوضوء لکلّ عبادة مشروطة بالطهارة، بل لولا ما تقدّم من الإجماع المنقول علی عدم ارتفاع حدث الاستحاضة بالغسل و الوضوء أمکن دعوی رفع حدث الاستحاضة بهذا الغسل و الوضوء المأمور بهما بهذا الأمر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بالطهور استعماله علی وجه یرفع الحدث أو یبیح الصلاة، و الأول معلوم الانتفاء هنا و الثانی غیر معلوم التحقّق، فالعامّ بالنسبة إلیه کالمخصَّص بالمجمل، مدفوعة بما یظهر بأدنی تأمّل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الأقوی جواز وطئها بدون الأفعال، کما عن المعتبر </w:t>
      </w:r>
      <w:r>
        <w:rPr>
          <w:rStyle w:val="FootnoteAnchor"/>
          <w:rtl w:val="true"/>
        </w:rPr>
        <w:footnoteReference w:id="496"/>
      </w:r>
      <w:r>
        <w:rPr>
          <w:rFonts w:ascii="IRNazanin" w:hAnsi="IRNazanin" w:eastAsia="IRNazanin"/>
          <w:color w:val="111111"/>
          <w:sz w:val="28"/>
          <w:sz w:val="28"/>
          <w:szCs w:val="28"/>
          <w:rtl w:val="true"/>
          <w:lang w:bidi="fa-IR"/>
        </w:rPr>
        <w:t xml:space="preserve">و التذکرة </w:t>
      </w:r>
      <w:r>
        <w:rPr>
          <w:rStyle w:val="FootnoteAnchor"/>
          <w:rtl w:val="true"/>
        </w:rPr>
        <w:footnoteReference w:id="497"/>
      </w:r>
      <w:r>
        <w:rPr>
          <w:rFonts w:ascii="IRNazanin" w:hAnsi="IRNazanin" w:eastAsia="IRNazanin"/>
          <w:color w:val="111111"/>
          <w:sz w:val="28"/>
          <w:sz w:val="28"/>
          <w:szCs w:val="28"/>
          <w:rtl w:val="true"/>
          <w:lang w:bidi="fa-IR"/>
        </w:rPr>
        <w:t xml:space="preserve">و السرائر </w:t>
      </w:r>
      <w:r>
        <w:rPr>
          <w:rStyle w:val="FootnoteAnchor"/>
          <w:rtl w:val="true"/>
        </w:rPr>
        <w:footnoteReference w:id="498"/>
      </w:r>
      <w:r>
        <w:rPr>
          <w:rFonts w:ascii="IRNazanin" w:hAnsi="IRNazanin" w:eastAsia="IRNazanin"/>
          <w:color w:val="111111"/>
          <w:sz w:val="28"/>
          <w:sz w:val="28"/>
          <w:szCs w:val="28"/>
          <w:rtl w:val="true"/>
          <w:lang w:bidi="fa-IR"/>
        </w:rPr>
        <w:t xml:space="preserve">و الدروس </w:t>
      </w:r>
      <w:r>
        <w:rPr>
          <w:rStyle w:val="FootnoteAnchor"/>
          <w:rtl w:val="true"/>
        </w:rPr>
        <w:footnoteReference w:id="499"/>
      </w:r>
      <w:r>
        <w:rPr>
          <w:rFonts w:ascii="IRNazanin" w:hAnsi="IRNazanin" w:eastAsia="IRNazanin"/>
          <w:color w:val="111111"/>
          <w:sz w:val="28"/>
          <w:sz w:val="28"/>
          <w:szCs w:val="28"/>
          <w:rtl w:val="true"/>
          <w:lang w:bidi="fa-IR"/>
        </w:rPr>
        <w:t xml:space="preserve">و البیان </w:t>
      </w:r>
      <w:r>
        <w:rPr>
          <w:rStyle w:val="FootnoteAnchor"/>
          <w:rtl w:val="true"/>
        </w:rPr>
        <w:footnoteReference w:id="500"/>
      </w:r>
      <w:r>
        <w:rPr>
          <w:rFonts w:ascii="IRNazanin" w:hAnsi="IRNazanin" w:eastAsia="IRNazanin"/>
          <w:color w:val="111111"/>
          <w:sz w:val="28"/>
          <w:sz w:val="28"/>
          <w:szCs w:val="28"/>
          <w:rtl w:val="true"/>
          <w:lang w:bidi="fa-IR"/>
        </w:rPr>
        <w:t xml:space="preserve">و الموجز </w:t>
      </w:r>
      <w:r>
        <w:rPr>
          <w:rStyle w:val="FootnoteAnchor"/>
          <w:rtl w:val="true"/>
        </w:rPr>
        <w:footnoteReference w:id="501"/>
      </w:r>
      <w:r>
        <w:rPr>
          <w:rFonts w:ascii="IRNazanin" w:hAnsi="IRNazanin" w:eastAsia="IRNazanin"/>
          <w:color w:val="111111"/>
          <w:sz w:val="28"/>
          <w:sz w:val="28"/>
          <w:szCs w:val="28"/>
          <w:rtl w:val="true"/>
          <w:lang w:bidi="fa-IR"/>
        </w:rPr>
        <w:t xml:space="preserve">و شرحه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 الروض </w:t>
      </w:r>
      <w:r>
        <w:rPr>
          <w:rStyle w:val="FootnoteAnchor"/>
          <w:rtl w:val="true"/>
        </w:rPr>
        <w:footnoteReference w:id="503"/>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504"/>
      </w:r>
      <w:r>
        <w:rPr>
          <w:rFonts w:ascii="IRNazanin" w:hAnsi="IRNazanin" w:eastAsia="IRNazanin"/>
          <w:color w:val="111111"/>
          <w:sz w:val="28"/>
          <w:sz w:val="28"/>
          <w:szCs w:val="28"/>
          <w:rtl w:val="true"/>
          <w:lang w:bidi="fa-IR"/>
        </w:rPr>
        <w:t xml:space="preserve">و المدارک </w:t>
      </w:r>
      <w:r>
        <w:rPr>
          <w:rStyle w:val="FootnoteAnchor"/>
          <w:rtl w:val="true"/>
        </w:rPr>
        <w:footnoteReference w:id="505"/>
      </w:r>
      <w:r>
        <w:rPr>
          <w:rFonts w:ascii="IRNazanin" w:hAnsi="IRNazanin" w:eastAsia="IRNazanin"/>
          <w:color w:val="111111"/>
          <w:sz w:val="28"/>
          <w:sz w:val="28"/>
          <w:szCs w:val="28"/>
          <w:rtl w:val="true"/>
          <w:lang w:bidi="fa-IR"/>
        </w:rPr>
        <w:t xml:space="preserve">و الذخیرة </w:t>
      </w:r>
      <w:r>
        <w:rPr>
          <w:rStyle w:val="FootnoteAnchor"/>
          <w:rtl w:val="true"/>
        </w:rPr>
        <w:footnoteReference w:id="506"/>
      </w:r>
      <w:r>
        <w:rPr>
          <w:rFonts w:ascii="IRNazanin" w:hAnsi="IRNazanin" w:eastAsia="IRNazanin"/>
          <w:color w:val="111111"/>
          <w:sz w:val="28"/>
          <w:sz w:val="28"/>
          <w:szCs w:val="28"/>
          <w:rtl w:val="true"/>
          <w:lang w:bidi="fa-IR"/>
        </w:rPr>
        <w:t xml:space="preserve">، و قواه فی جامع المقاصد </w:t>
      </w:r>
      <w:r>
        <w:rPr>
          <w:rStyle w:val="FootnoteAnchor"/>
          <w:rtl w:val="true"/>
        </w:rPr>
        <w:footnoteReference w:id="507"/>
      </w:r>
      <w:r>
        <w:rPr>
          <w:rFonts w:ascii="IRNazanin" w:hAnsi="IRNazanin" w:eastAsia="IRNazanin"/>
          <w:color w:val="111111"/>
          <w:sz w:val="28"/>
          <w:sz w:val="28"/>
          <w:szCs w:val="28"/>
          <w:rtl w:val="true"/>
          <w:lang w:bidi="fa-IR"/>
        </w:rPr>
        <w:t xml:space="preserve">و شرح الجعفریة </w:t>
      </w:r>
      <w:r>
        <w:rPr>
          <w:rStyle w:val="FootnoteAnchor"/>
          <w:rtl w:val="true"/>
        </w:rPr>
        <w:footnoteReference w:id="508"/>
      </w:r>
      <w:r>
        <w:rPr>
          <w:rFonts w:ascii="Amiri" w:hAnsi="Amiri" w:eastAsia="Amiri" w:cs="Amiri"/>
          <w:color w:val="111111"/>
          <w:sz w:val="28"/>
          <w:sz w:val="28"/>
          <w:szCs w:val="28"/>
          <w:rtl w:val="true"/>
          <w:lang w:bidi="ar-SA"/>
        </w:rPr>
        <w:t xml:space="preserve">لعمومات جواز وطء الأزواج و مٰا مَلَکَتْ أَیْمٰانُهُمْ، و قوله تعالی وَ لٰا تَقْرَبُوهُنَّ حَتّٰی یَطْهُرْنَ فَإِذٰا تَطَهَّرْنَ فَأْتُوهُنَّ </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 و روایة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أن یأتیها بعلها متی شاء إلّا فی أیّام حیضها</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بل 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حلّت لها الصلاة حلّ لزوجها أن یغشاها</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بناءً علی أن الظاهر من الحِلّ لغةً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الصلاة لها فی مقابل حرمتها علیها، لا إجزاؤها و صحتها فی مقابل فسادِها؛ لأنّ الحِلَّ یرادف الإباحة المراد بها المعنی الأعم الشامل للوجوب؛ لعدم تعقّل المعنی الأخص فی العبادات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الصلاة تتوقف علی الاحتشاء و الاستثفار و لا یتوقف علیهما الوطء قطعاً، کیف و لو أُرید إباحة الدخول من جمیع الجهات لزم توقّف الوطء علی إجراء سائر مقدّمات الصلاة التی لا تباح الصلاة بدونها؟ اللّهم إلّا أن یراد ما یتوقف علیه إباحة الصلاة من حیث</w:t>
      </w:r>
    </w:p>
    <w:p>
      <w:pPr>
        <w:pStyle w:val="BookText"/>
        <w:rPr/>
      </w:pPr>
      <w:r>
        <w:rPr>
          <w:rFonts w:ascii="IRNazanin" w:hAnsi="IRNazanin" w:eastAsia="IRNazanin"/>
          <w:color w:val="111111"/>
          <w:sz w:val="28"/>
          <w:sz w:val="28"/>
          <w:szCs w:val="28"/>
          <w:rtl w:val="true"/>
          <w:lang w:bidi="fa-IR"/>
        </w:rPr>
        <w:t xml:space="preserve">الاستحاضة، کما یظهر من قوله علیه السلام فی أوّل الروایة </w:t>
      </w:r>
      <w:r>
        <w:rPr>
          <w:rStyle w:val="FootnoteAnchor"/>
          <w:rtl w:val="true"/>
        </w:rPr>
        <w:footnoteReference w:id="5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تکفّ عن الصلاة أیام أقرائها ثمّ تحتاط بیوم أو یومین </w:t>
      </w:r>
      <w:r>
        <w:rPr>
          <w:rStyle w:val="FootnoteAnchor"/>
          <w:rtl w:val="true"/>
        </w:rPr>
        <w:footnoteReference w:id="513"/>
      </w:r>
      <w:r>
        <w:rPr>
          <w:rFonts w:ascii="IRNazanin" w:hAnsi="IRNazanin" w:eastAsia="IRNazanin"/>
          <w:color w:val="111111"/>
          <w:sz w:val="28"/>
          <w:sz w:val="28"/>
          <w:szCs w:val="28"/>
          <w:rtl w:val="true"/>
          <w:lang w:bidi="fa-IR"/>
        </w:rPr>
        <w:t>ثمّ تغتسل کلّ یوم و لیلة ثلاث مرّات، و تحتشی لصلاة الغداة، و تجمع بین الظهر و العصر بغسلٍ، و تجمع بین المغرب و العشاء بغسل، فإذا حلّ لها الصلاة حلّ لزوجها أن یغشاها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الإنصاف عدم صحة التمسک بهذا لمذهب الجماعة لو لم یتمسک بها لخلافهم من حیث إنّ المتبادر عرفاً إباحة الدخول فی الصلاة فی مقابل المحدث الذی لا یستبیح </w:t>
      </w:r>
      <w:r>
        <w:rPr>
          <w:rStyle w:val="FootnoteAnchor"/>
          <w:rtl w:val="true"/>
        </w:rPr>
        <w:footnoteReference w:id="514"/>
      </w:r>
      <w:r>
        <w:rPr>
          <w:rFonts w:ascii="IRNazanin" w:hAnsi="IRNazanin" w:eastAsia="IRNazanin"/>
          <w:color w:val="111111"/>
          <w:sz w:val="28"/>
          <w:sz w:val="28"/>
          <w:szCs w:val="28"/>
          <w:rtl w:val="true"/>
          <w:lang w:bidi="fa-IR"/>
        </w:rPr>
        <w:t>الصلاة، و عدم إباحتها للحائض من هذه الجهة أیضاً، لا من جهة الحرمة الذاتیة کما أشرنا إلیه فی أحکام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بما ذکرنا من إرادة الإباحة بمعنی ارتفاع المانع من الدخول فی الصلاة، قوله علیه السلام فی روایة البصری المرویة عن حجّ التهذیب بعد الأمر بالاغتسال لکلّ 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استحلت به الصلاة فلیأتها زوجها و لتطف بالبیت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و فیه من الظهور ما لا یخفی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فی الظهور قوله علیه السلام فی موثّقة سماعة بعد الأمر باغسال ثلاثة فی الکثیرة و غسل واحد فی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أراد زوجها أن یأتیها فحین تغتسل</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صحیحة مالک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المستحاضة کیف یغشاها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الأیام التی کانت تحیض فیها و حیضتها مستقیمة فلا یقربها فی عدة تلک الأیام من ذلک الشهر، و یغشاها فیما سوی ذلک من الأیّام، و لا یغشاها حتی یأمرها فتغتسل ثم یغشاها إن أحبّ</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و حمل الغسل علی غسل الحیض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غیر بعید فی روایته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النفساء یغشاها زوجها و هی فی نفاسها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مضی منذ وضعت بقدر عدة أیّام حیضها </w:t>
      </w:r>
      <w:r>
        <w:rPr>
          <w:rStyle w:val="FootnoteAnchor"/>
          <w:rtl w:val="true"/>
        </w:rPr>
        <w:footnoteReference w:id="518"/>
      </w:r>
      <w:r>
        <w:rPr>
          <w:rFonts w:ascii="IRNazanin" w:hAnsi="IRNazanin" w:eastAsia="IRNazanin"/>
          <w:color w:val="111111"/>
          <w:sz w:val="28"/>
          <w:sz w:val="28"/>
          <w:szCs w:val="28"/>
          <w:rtl w:val="true"/>
          <w:lang w:bidi="fa-IR"/>
        </w:rPr>
        <w:t>ثم تستظهر بیوم، فلا بأس بعد أن یغشاها زوجها، یأمرها فتغتسل ثم یغشاها إن أحبّ</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المحکیّ عن قرب الإسناد بعد الأمر بالاغتسال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یواقعها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طال بها ذلک فلتغتسل و لتتوضأ ثم یواقعها إن أراد</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الوقت الذی یجوز فیه نکاح المستحاضة وقت الغسل و بعد أن تغتسل و تتنظف؛ لأنّ غسلها یقوم مقام الطهر للحائض</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أیضاً بصحیحة ابن مسلم المحکیّ عن المعتبر عن کتاب</w:t>
      </w:r>
    </w:p>
    <w:p>
      <w:pPr>
        <w:pStyle w:val="BookText"/>
        <w:rPr/>
      </w:pPr>
      <w:r>
        <w:rPr>
          <w:rFonts w:ascii="IRNazanin" w:hAnsi="IRNazanin" w:eastAsia="IRNazanin"/>
          <w:color w:val="111111"/>
          <w:sz w:val="28"/>
          <w:sz w:val="28"/>
          <w:szCs w:val="28"/>
          <w:rtl w:val="true"/>
          <w:lang w:bidi="fa-IR"/>
        </w:rPr>
        <w:t>المشیخة لابن محبوب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الحائض إذا رأت دماً بعد أیامها التی کانت تری فیها فلتقعد عن الصلاة یوماً أو یومین، ثمّ تمسک قطنة، فإن صبغ القطنة دم لا ینقطع فلتجمع بین کل صلاتین بغسل، و یصیب منها زوجها إن أحب، و حلّت لها الصلاة</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صفوان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إذا مکثت المرأة عشرة أیام تری الدم ثم طهرت فمکثت ثلاثة أیام طاهراً ثم رأت الدم بعد ذلک، أ تمسک عن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هذه مستحاضة، تغتسل و تستدخل قطنة بعد قطنة، و تجمع بین الصلاتین بغسل و یأتیها زوجها إن أراد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بناءً علی أنّ الظاهر من الصحیحین ترتّب جواز إتیان المستحاضة علی ما ذکر من الأغسال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الأولی الاکتفاء بغیرهما من الروایات فی تخصیص العمومات السابقة، أو تقیید المطلقات بعد الغضّ عن ورودها فی بیان الإباحة الذاتیة للوطء التی لا تنافی توقّفه علی شی‌ءٍ آخر کما فی آیة الأزواج و ما ملکت الیمین </w:t>
      </w:r>
      <w:r>
        <w:rPr>
          <w:rStyle w:val="FootnoteAnchor"/>
          <w:rtl w:val="true"/>
        </w:rPr>
        <w:footnoteReference w:id="524"/>
      </w:r>
      <w:r>
        <w:rPr>
          <w:rFonts w:ascii="IRNazanin" w:hAnsi="IRNazanin" w:eastAsia="IRNazanin"/>
          <w:color w:val="111111"/>
          <w:sz w:val="28"/>
          <w:sz w:val="28"/>
          <w:szCs w:val="28"/>
          <w:rtl w:val="true"/>
          <w:lang w:bidi="fa-IR"/>
        </w:rPr>
        <w:t xml:space="preserve">، أو فی مقام الإباحة فی الجملة کما فی روایة ابن سنان </w:t>
      </w:r>
      <w:r>
        <w:rPr>
          <w:rStyle w:val="FootnoteAnchor"/>
          <w:rtl w:val="true"/>
        </w:rPr>
        <w:footnoteReference w:id="525"/>
      </w:r>
      <w:r>
        <w:rPr>
          <w:rFonts w:ascii="IRNazanin" w:hAnsi="IRNazanin" w:eastAsia="IRNazanin"/>
          <w:color w:val="111111"/>
          <w:sz w:val="28"/>
          <w:sz w:val="28"/>
          <w:szCs w:val="28"/>
          <w:rtl w:val="true"/>
          <w:lang w:bidi="fa-IR"/>
        </w:rPr>
        <w:t>و أمثالها الدالّة علی جواز إتیان المستحاضة فیما عدا أیام حیضها، و أمّا حملها طرّاً علی استحباب خُصوص الاغتسال، أو جمیع الأفعال للوطء، أو کراهة الوطء بدونها، کما</w:t>
      </w:r>
    </w:p>
    <w:p>
      <w:pPr>
        <w:pStyle w:val="BookText"/>
        <w:rPr/>
      </w:pPr>
      <w:r>
        <w:rPr>
          <w:rFonts w:ascii="IRNazanin" w:hAnsi="IRNazanin" w:eastAsia="IRNazanin"/>
          <w:color w:val="111111"/>
          <w:sz w:val="28"/>
          <w:sz w:val="28"/>
          <w:szCs w:val="28"/>
          <w:rtl w:val="true"/>
          <w:lang w:bidi="fa-IR"/>
        </w:rPr>
        <w:t xml:space="preserve">عن أکثر الجماعة المتقدّم إلیهم الإشارة، منهم المحقّق </w:t>
      </w:r>
      <w:r>
        <w:rPr>
          <w:rStyle w:val="FootnoteAnchor"/>
          <w:rtl w:val="true"/>
        </w:rPr>
        <w:footnoteReference w:id="526"/>
      </w:r>
      <w:r>
        <w:rPr>
          <w:rFonts w:ascii="Amiri" w:hAnsi="Amiri" w:eastAsia="Amiri" w:cs="Amiri"/>
          <w:color w:val="111111"/>
          <w:sz w:val="28"/>
          <w:sz w:val="28"/>
          <w:szCs w:val="28"/>
          <w:rtl w:val="true"/>
          <w:lang w:bidi="ar-SA"/>
        </w:rPr>
        <w:t xml:space="preserve">و المصنّف </w:t>
      </w:r>
      <w:r>
        <w:rPr>
          <w:rStyle w:val="FootnoteAnchor"/>
          <w:rtl w:val="true"/>
        </w:rPr>
        <w:footnoteReference w:id="527"/>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528"/>
      </w:r>
      <w:r>
        <w:rPr>
          <w:rFonts w:ascii="IRNazanin" w:hAnsi="IRNazanin" w:eastAsia="IRNazanin"/>
          <w:color w:val="111111"/>
          <w:sz w:val="28"/>
          <w:sz w:val="28"/>
          <w:szCs w:val="28"/>
          <w:rtl w:val="true"/>
          <w:lang w:bidi="fa-IR"/>
        </w:rPr>
        <w:t>، فهو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فطرحها فی غایة الإشکال سیّما مع موافقتها لعمل معظم القدماء، بل کافّتهم إلّا من شذّ، کالقاضی، حیث قال فی محکیّ المهذب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الأفضل لها قبل الوطء أن تغسل فرجها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اعتبر فی الإباحة جمیع الأفعال کما عن الإسکافی </w:t>
      </w:r>
      <w:r>
        <w:rPr>
          <w:rStyle w:val="FootnoteAnchor"/>
          <w:rtl w:val="true"/>
        </w:rPr>
        <w:footnoteReference w:id="530"/>
      </w:r>
      <w:r>
        <w:rPr>
          <w:rFonts w:ascii="Amiri" w:hAnsi="Amiri" w:eastAsia="Amiri" w:cs="Amiri"/>
          <w:color w:val="111111"/>
          <w:sz w:val="28"/>
          <w:sz w:val="28"/>
          <w:szCs w:val="28"/>
          <w:rtl w:val="true"/>
          <w:lang w:bidi="ar-SA"/>
        </w:rPr>
        <w:t xml:space="preserve">و المقنعة </w:t>
      </w:r>
      <w:r>
        <w:rPr>
          <w:rStyle w:val="FootnoteAnchor"/>
          <w:rtl w:val="true"/>
        </w:rPr>
        <w:footnoteReference w:id="531"/>
      </w:r>
      <w:r>
        <w:rPr>
          <w:rFonts w:ascii="IRNazanin" w:hAnsi="IRNazanin" w:eastAsia="IRNazanin"/>
          <w:color w:val="111111"/>
          <w:sz w:val="28"/>
          <w:sz w:val="28"/>
          <w:szCs w:val="28"/>
          <w:rtl w:val="true"/>
          <w:lang w:bidi="fa-IR"/>
        </w:rPr>
        <w:t xml:space="preserve">و النهایة </w:t>
      </w:r>
      <w:r>
        <w:rPr>
          <w:rStyle w:val="FootnoteAnchor"/>
          <w:rtl w:val="true"/>
        </w:rPr>
        <w:footnoteReference w:id="532"/>
      </w:r>
      <w:r>
        <w:rPr>
          <w:rFonts w:ascii="IRNazanin" w:hAnsi="IRNazanin" w:eastAsia="IRNazanin"/>
          <w:color w:val="111111"/>
          <w:sz w:val="28"/>
          <w:sz w:val="28"/>
          <w:szCs w:val="28"/>
          <w:rtl w:val="true"/>
          <w:lang w:bidi="fa-IR"/>
        </w:rPr>
        <w:t xml:space="preserve">و الجمل و العقود </w:t>
      </w:r>
      <w:r>
        <w:rPr>
          <w:rStyle w:val="FootnoteAnchor"/>
          <w:rtl w:val="true"/>
        </w:rPr>
        <w:footnoteReference w:id="533"/>
      </w:r>
      <w:r>
        <w:rPr>
          <w:rFonts w:ascii="IRNazanin" w:hAnsi="IRNazanin" w:eastAsia="IRNazanin"/>
          <w:color w:val="111111"/>
          <w:sz w:val="28"/>
          <w:sz w:val="28"/>
          <w:szCs w:val="28"/>
          <w:rtl w:val="true"/>
          <w:lang w:bidi="fa-IR"/>
        </w:rPr>
        <w:t xml:space="preserve">و المراسم </w:t>
      </w:r>
      <w:r>
        <w:rPr>
          <w:rStyle w:val="FootnoteAnchor"/>
          <w:rtl w:val="true"/>
        </w:rPr>
        <w:footnoteReference w:id="534"/>
      </w:r>
      <w:r>
        <w:rPr>
          <w:rFonts w:ascii="IRNazanin" w:hAnsi="IRNazanin" w:eastAsia="IRNazanin"/>
          <w:color w:val="111111"/>
          <w:sz w:val="28"/>
          <w:sz w:val="28"/>
          <w:szCs w:val="28"/>
          <w:rtl w:val="true"/>
          <w:lang w:bidi="fa-IR"/>
        </w:rPr>
        <w:t xml:space="preserve">و السرائر </w:t>
      </w:r>
      <w:r>
        <w:rPr>
          <w:rStyle w:val="FootnoteAnchor"/>
          <w:rtl w:val="true"/>
        </w:rPr>
        <w:footnoteReference w:id="535"/>
      </w:r>
      <w:r>
        <w:rPr>
          <w:rFonts w:ascii="IRNazanin" w:hAnsi="IRNazanin" w:eastAsia="IRNazanin"/>
          <w:color w:val="111111"/>
          <w:sz w:val="28"/>
          <w:sz w:val="28"/>
          <w:szCs w:val="28"/>
          <w:rtl w:val="true"/>
          <w:lang w:bidi="fa-IR"/>
        </w:rPr>
        <w:t xml:space="preserve">و الکافی </w:t>
      </w:r>
      <w:r>
        <w:rPr>
          <w:rStyle w:val="FootnoteAnchor"/>
          <w:rtl w:val="true"/>
        </w:rPr>
        <w:footnoteReference w:id="536"/>
      </w:r>
      <w:r>
        <w:rPr>
          <w:rFonts w:ascii="IRNazanin" w:hAnsi="IRNazanin" w:eastAsia="IRNazanin"/>
          <w:color w:val="111111"/>
          <w:sz w:val="28"/>
          <w:sz w:val="28"/>
          <w:szCs w:val="28"/>
          <w:rtl w:val="true"/>
          <w:lang w:bidi="fa-IR"/>
        </w:rPr>
        <w:t>بل ظاهر جماعة اتفاق القدماء علیه، فعن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أومأ الأصحاب إلی ذلک و لم یصرّحوا به، و هو معنی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لزوجها وطؤها إذا فعلت ما تفعله المستحاضة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عدم الأفعال، فالذی تعطیه عبارات أصحابنا التحریم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توقف حِلّ الوطء علی ما تتوقّف علیه الصلاة و الصوم من الوضوء و الغسل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وطؤها إذا فعلت ما تفعله المستحاضة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نحوها المحکیّ عن شرح الجعفریة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عبارات علمائنا اشتراط الطهارة فی إباحته،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وطؤها إذا فعلت ما تفعله المستحاضة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کشف الالتباس أنّ ظاهر الأصحاب المنع مع الإخلال بالأفعال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من اقتصر علی الأغسال و تجدید الوضوء، کما عن ظاهر المبسوط </w:t>
      </w:r>
      <w:r>
        <w:rPr>
          <w:rStyle w:val="FootnoteAnchor"/>
          <w:rtl w:val="true"/>
        </w:rPr>
        <w:footnoteReference w:id="543"/>
      </w: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من أهمل ذکر الوضوء، کما عن رسالة الصدوق </w:t>
      </w:r>
      <w:r>
        <w:rPr>
          <w:rStyle w:val="FootnoteAnchor"/>
          <w:rtl w:val="true"/>
        </w:rPr>
        <w:footnoteReference w:id="545"/>
      </w:r>
      <w:r>
        <w:rPr>
          <w:rFonts w:ascii="IRNazanin" w:hAnsi="IRNazanin" w:eastAsia="IRNazanin"/>
          <w:color w:val="111111"/>
          <w:sz w:val="28"/>
          <w:sz w:val="28"/>
          <w:szCs w:val="28"/>
          <w:rtl w:val="true"/>
          <w:lang w:bidi="fa-IR"/>
        </w:rPr>
        <w:t xml:space="preserve">و الهدایة </w:t>
      </w:r>
      <w:r>
        <w:rPr>
          <w:rStyle w:val="FootnoteAnchor"/>
          <w:rtl w:val="true"/>
        </w:rPr>
        <w:footnoteReference w:id="546"/>
      </w:r>
      <w:r>
        <w:rPr>
          <w:rFonts w:ascii="IRNazanin" w:hAnsi="IRNazanin" w:eastAsia="IRNazanin"/>
          <w:color w:val="111111"/>
          <w:sz w:val="28"/>
          <w:sz w:val="28"/>
          <w:szCs w:val="28"/>
          <w:rtl w:val="true"/>
          <w:lang w:bidi="fa-IR"/>
        </w:rPr>
        <w:t>، و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إلیه أو القول به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إشکال فیه إن قلنا بوجوب تقدیم الوضوء علی الغسل عند اجتماعهما، و أما علی المختار من عدم اعتبار التقدیم فیمکن اعتباره؛ لتوقف حِلّ الصلاة لها علیه، مضافاً إلی ما تقدم من روایة قرب الإسناد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بذلک توقّف الوطء علی فعل الأفعال لأجله، و إن فَعَلَتْها قبل ذلک للصلاة، فقد عرفت سابقاً کفایة الغسل للصلاة لکلّ عبادة مشروطة بالطهارة فضلًا عن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 مقتضی الإجماعات المنقولة توقّفه علی فعل تلک الأفعال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الأخبار ما یدلّ علیه سوی قوله علیه السلام فی 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حلّت لها الصلاة حلّ لزوجها أن یغشاها</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و قوله علیه السلام فی روایة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استحلت به الصلاة فلیأتها زوجها و لتطف بالبیت</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و لا دلالة فی شی‌ءٍ منهما علی اعتبار ما عدا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الطواف لا یکفی فیه و لا یشترط من الأفعال التی فعلت للصلاة إلّا الغسل؛ لاعتبار تجدید ما عداه له و عدم قدح ترکها للصلاة فی صحته بعد أن فعلت له، فتعیّن إرادة الغسل فقط فهو المعتبر أیضاً فی حِلِّ الوطء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الأُولی، فإنْ أُرید من الشرط حلّیة الصلاة فعلًا من جهة جمیع الأُمور اللازمة علی المستحاضة، فاللازم منه عدم جواز وطئها بعد</w:t>
      </w:r>
    </w:p>
    <w:p>
      <w:pPr>
        <w:pStyle w:val="BookText"/>
        <w:rPr/>
      </w:pPr>
      <w:r>
        <w:rPr>
          <w:rFonts w:ascii="IRNazanin" w:hAnsi="IRNazanin" w:eastAsia="IRNazanin"/>
          <w:color w:val="111111"/>
          <w:sz w:val="28"/>
          <w:sz w:val="28"/>
          <w:szCs w:val="28"/>
          <w:rtl w:val="true"/>
          <w:lang w:bidi="fa-IR"/>
        </w:rPr>
        <w:t>الصلاة؛ إذ لا یجوز لها الصلاة حینئذٍ فعلًا؛ لتوقّفها علی تجدید الوضوء و القطنة و غسل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فتعیّن أن یراد بالشرطیة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توقّف حِلُّ الوطء علی حِلِّ الصلاة من جهة الغسل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تعلّقه علی حلّیة الصلاة فعلًا من جمیع الجهات فی زمانٍ ما، و لو ارتفعت عند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عدم جواز الوطء إلّا بین الأفعال و الصلاة مع معاقبة الوطء لها لئلّا یخرج الأفعال عن قابلیّة الصلاة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مع أنّه خلاف الإجماع مستلزم لخلاف الفرض؛ إذ بمقدّمات الوطء تخرج الأفعال عن قابلیّة الصلاة بها، لکونه اشتغالًا بغیر مقدّمات الصلاة، مع استلزامه الإخلال ببعضها کإخراج القطنة و رفع الخرقة الملازمین لخروج الدم، فدار الأمر بین أحد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مستلزم لتقیید الحلّیة بکونها من جهة الغسل فقط، و الثانی مستلزم لعدم مقارنة زمانی الشرط و الجزاء، و هو خلاف الظاهر فی مثل هذا الترکیب، فلو لم یترجّح الأوّل بقرینة الروایة الثانیة التی تقدّمت أنّ المراد بها استحلال الصلاة من حیث الغسل فقط فلا أقلّ من التساوی، فیقصر علی المتیقّن، و هو التوقّف علی الغسل، و ینفی الثانی بإطلاق الروایة الثانیة فی کفایة الغسل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توقّف الوطء علی الغسل فقط، بل یظهر من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فیه لا غیر، و أنّ المراد من الأفعال فی 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الأغسال، حیث قال فی شرح قول المصنف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الأفعال تصیر بحکم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بالأفعال جمیع ما تقدّم من الغسل و الوضوء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یلوح من مفهوم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بدون الأفعال لا یأتیها زوجها، و إنّما یراد بها الغسل خاصّة؛ إذ لا تعلّق للوطء بالوضوء، و اختاره فی المنتهی و أسنده إلی ظاهر عبارات الأصحاب، و استدلّ بالأخبار الدالّة علی الإذن فی الغسل بعد الوطء </w:t>
      </w:r>
      <w:r>
        <w:rPr>
          <w:rStyle w:val="FootnoteAnchor"/>
          <w:rtl w:val="true"/>
        </w:rPr>
        <w:footnoteReference w:id="5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أنّها إن لم تکن مسبوقة بغسل للصلاة کما لو حدثت الاستحاضة قبل الوقت، فهل لها أن تغتسل لأجل الوطء؟ الأقوی ذلک کما هو ظاهر روایتی مالک بن أعین و قرب الإسناد </w:t>
      </w:r>
      <w:r>
        <w:rPr>
          <w:rStyle w:val="FootnoteAnchor"/>
          <w:rtl w:val="true"/>
        </w:rPr>
        <w:footnoteReference w:id="552"/>
      </w:r>
      <w:r>
        <w:rPr>
          <w:rFonts w:ascii="IRNazanin" w:hAnsi="IRNazanin" w:eastAsia="IRNazanin"/>
          <w:color w:val="111111"/>
          <w:sz w:val="28"/>
          <w:sz w:val="28"/>
          <w:szCs w:val="28"/>
          <w:rtl w:val="true"/>
          <w:lang w:bidi="fa-IR"/>
        </w:rPr>
        <w:t>، و لو اغتسلت لعبادة مشروطة بالطهارة فی غیر وقت الصلاة کما مرّ من صحته اکتفی به للوطء، بل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توقع الغسل لخصوص الوطء، و أحوط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توقعها إلّا مسبوقة بالأغسال، بل جمیع الأفعال لأجل الصلاة، و أحوط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توقع مع ذلک الأغسال، بل تأتی بالأفعال لخصوص الوطء أیضاً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حکم اللّبث فی المساجد و دخول المسجدین، فالمشهور کما عن موضعٍ من المصابیح </w:t>
      </w:r>
      <w:r>
        <w:rPr>
          <w:rStyle w:val="FootnoteAnchor"/>
          <w:rtl w:val="true"/>
        </w:rPr>
        <w:footnoteReference w:id="553"/>
      </w:r>
      <w:r>
        <w:rPr>
          <w:rFonts w:ascii="IRNazanin" w:hAnsi="IRNazanin" w:eastAsia="IRNazanin"/>
          <w:color w:val="111111"/>
          <w:sz w:val="28"/>
          <w:sz w:val="28"/>
          <w:szCs w:val="28"/>
          <w:rtl w:val="true"/>
          <w:lang w:bidi="fa-IR"/>
        </w:rPr>
        <w:t>توقّف جواز دخولها علی الغسل، و عن موضعٍ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تحقّق أنّ مذهب الأصحاب تحریم دخول المساجد و قراءة العزائم علی المستحاضة قبل الغسل </w:t>
      </w:r>
      <w:r>
        <w:rPr>
          <w:rStyle w:val="FootnoteAnchor"/>
          <w:rtl w:val="true"/>
        </w:rPr>
        <w:footnoteReference w:id="554"/>
      </w:r>
      <w:r>
        <w:rPr>
          <w:rFonts w:ascii="IRNazanin" w:hAnsi="IRNazanin" w:eastAsia="IRNazanin"/>
          <w:color w:val="111111"/>
          <w:sz w:val="28"/>
          <w:sz w:val="28"/>
          <w:szCs w:val="28"/>
          <w:rtl w:val="true"/>
          <w:lang w:bidi="fa-IR"/>
        </w:rPr>
        <w:t>، ثمّ نقل بعض الأقوال المنافیة لذلک،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دخولها من غیر توقّف کقراءة العزائم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شذوذ هذه الأقوال، و حکی عن حواشی التحریر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حدث</w:t>
      </w:r>
    </w:p>
    <w:p>
      <w:pPr>
        <w:pStyle w:val="BookText"/>
        <w:rPr/>
      </w:pPr>
      <w:r>
        <w:rPr>
          <w:rFonts w:ascii="IRNazanin" w:hAnsi="IRNazanin" w:eastAsia="IRNazanin"/>
          <w:color w:val="111111"/>
          <w:sz w:val="28"/>
          <w:sz w:val="28"/>
          <w:szCs w:val="28"/>
          <w:rtl w:val="true"/>
          <w:lang w:bidi="fa-IR"/>
        </w:rPr>
        <w:t>الاستحاضة الموجب للغسل، فظاهر الأصحاب أنّه کالحیض، و عن شارح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تحریم الغایات الخمس علی المحدث بالأکبر عدا المسّ،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ظاهرهما الإجماع علی وجوب غسل الاستحاضة لدخول المساجد و قراءة العزائم، و یستفاد ذلک من الغنیة و المعتبر و التذکرة </w:t>
      </w:r>
      <w:r>
        <w:rPr>
          <w:rStyle w:val="FootnoteAnchor"/>
          <w:rtl w:val="true"/>
        </w:rPr>
        <w:footnoteReference w:id="55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مراده مفاهیم عبارات الکتب التی ذکرها، قال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یحرم علی المستحاضة شی‌ء ممّا یحرم علی الحائض، و حکمها حکم الطاهر إذا فعلت ما ذکرنا؛ بدلیل الإجماع المشار إلیه </w:t>
      </w:r>
      <w:r>
        <w:rPr>
          <w:rStyle w:val="FootnoteAnchor"/>
          <w:rtl w:val="true"/>
        </w:rPr>
        <w:footnoteReference w:id="55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مذهب علمائنا أجمع إنّ الاستحاضة حدث تبطل الطهارة بوجوده، فمع الإتیان بما ذکر من الوضوء إن کان قلیلًا، و الأغسال إن کان کثیراً تخرج عن حکم الحدث لا محالة و تستبیح کلّ ما تستبیحه الطاهر، من الصلاة و الطواف و دخول المساجد و حِلّ وطئها، و إن لم تفعل ذلک کان حدثها باقیاً و لم یجز أن تستبیح شیئاً ممّا یشترط فیه الطهارة </w:t>
      </w:r>
      <w:r>
        <w:rPr>
          <w:rStyle w:val="FootnoteAnchor"/>
          <w:rtl w:val="true"/>
        </w:rPr>
        <w:footnoteReference w:id="55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فعلت المستحاضة ما یجب علیها من الأغسال و الوضوء و تغییر القطنة و الخرقة، صارت بحکم الطاهر عند علمائنا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فی المعتبر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فعلت ما تفعله المستحاضة لم یحرم علیها شی‌ءٌ ممّا</w:t>
      </w:r>
    </w:p>
    <w:p>
      <w:pPr>
        <w:pStyle w:val="BookText"/>
        <w:rPr/>
      </w:pPr>
      <w:r>
        <w:rPr>
          <w:rFonts w:ascii="IRNazanin" w:hAnsi="IRNazanin" w:eastAsia="IRNazanin"/>
          <w:color w:val="111111"/>
          <w:sz w:val="28"/>
          <w:sz w:val="28"/>
          <w:szCs w:val="28"/>
          <w:rtl w:val="true"/>
          <w:lang w:bidi="fa-IR"/>
        </w:rPr>
        <w:t xml:space="preserve">یحرم علی الحائض إلّا دخول الکعبة </w:t>
      </w:r>
      <w:r>
        <w:rPr>
          <w:rStyle w:val="FootnoteAnchor"/>
          <w:rtl w:val="true"/>
        </w:rPr>
        <w:footnoteReference w:id="55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یحرم علیها شی‌ءٌ من محرّمات الحیض إذا أتت باللّازم علیها </w:t>
      </w:r>
      <w:r>
        <w:rPr>
          <w:rStyle w:val="FootnoteAnchor"/>
          <w:rtl w:val="true"/>
        </w:rPr>
        <w:footnoteReference w:id="5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یخدش فی ذلک کلّه بعدم دلالة شی‌ء من العبارات علی المطلب المذکور؛ لأنّ مفهوم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أتت بما علیها لا یحرم علیها شی‌ءٌ ممّا یحرم علی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إذا لم تفعل انتفی هذا الحکم الکلیّ، لا أنّه حرم علیها جمیع ما یحرم علی الحائض؛ فإنّ انتفاء السالبة الکلّیة لا یوجب الموجبة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من قبیل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یدلّ علی استناد انتفاء الحکم فی کلّ فرد إلی وجود الشرط؛ فهو من قبیل المانع للأحکام النفسیة فی الجزاء، فیفید </w:t>
      </w:r>
      <w:r>
        <w:rPr>
          <w:rStyle w:val="FootnoteAnchor"/>
          <w:rtl w:val="true"/>
        </w:rPr>
        <w:footnoteReference w:id="562"/>
      </w:r>
      <w:r>
        <w:rPr>
          <w:rFonts w:ascii="IRNazanin" w:hAnsi="IRNazanin" w:eastAsia="IRNazanin"/>
          <w:color w:val="111111"/>
          <w:sz w:val="28"/>
          <w:sz w:val="28"/>
          <w:szCs w:val="28"/>
          <w:rtl w:val="true"/>
          <w:lang w:bidi="fa-IR"/>
        </w:rPr>
        <w:t>السلب الکلی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الوهن فی ما استظهر من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الأمر کما ذُکر لدلّت عباراتهم علی تحریم دخول المساجد علی المستحاضة القلیلة و علی الکثیرة إذا أخلّت بالاحتشاء و التلجّم بعد الغسل و لو مع فترةٍ تعلَم لأجلها بعدم خروج الدم إلی الظاهر، فضلًا عن تلویث المسجد، فهو إیراد علی ظاهر عبائرهم، لازم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متی أخلّت بما علیها من الطهر من الحدث و الخبث، لم تکن بحکم الطاهر، بل هی إمّا محدثة أو ذات نجاسة، فلا یجوز لها الدخول فی ما یشترط بالمفقود من الطهارتین، و حینئذٍ فإن ثبت توقّف دخول المساجد و قراءة العزائم علی الطهارة من الاستحاضة حرم علیها قبل الطهارة،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اعتبار تغییر الخرقة و شبهه ممّا لا ینفع من جهة الحدث، مشترک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إرادة ما یعمّ الحدث و الخبث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بعض العبائر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بحکم الطاهر </w:t>
      </w:r>
      <w:r>
        <w:rPr>
          <w:rStyle w:val="FootnoteAnchor"/>
          <w:rtl w:val="true"/>
        </w:rPr>
        <w:footnoteReference w:id="563"/>
      </w:r>
      <w:r>
        <w:rPr>
          <w:rFonts w:ascii="IRNazanin" w:hAnsi="IRNazanin" w:eastAsia="IRNazanin"/>
          <w:color w:val="111111"/>
          <w:sz w:val="28"/>
          <w:sz w:val="28"/>
          <w:szCs w:val="28"/>
          <w:rtl w:val="true"/>
          <w:lang w:bidi="fa-IR"/>
        </w:rPr>
        <w:t xml:space="preserve">خلاف الظاهر، فالکلام فی توقّف الأمرین علی رفع حدث الاستحاضة لا یجدی فیه ما ذکر من العبارات إلّا من جهة ذکرهم دخول المساجد فی ما یستبیحه الطاهر فی کلام بعضهم کالمحقق </w:t>
      </w:r>
      <w:r>
        <w:rPr>
          <w:rStyle w:val="FootnoteAnchor"/>
          <w:rtl w:val="true"/>
        </w:rPr>
        <w:footnoteReference w:id="564"/>
      </w:r>
      <w:r>
        <w:rPr>
          <w:rFonts w:ascii="IRNazanin" w:hAnsi="IRNazanin" w:eastAsia="IRNazanin"/>
          <w:color w:val="111111"/>
          <w:sz w:val="28"/>
          <w:sz w:val="28"/>
          <w:szCs w:val="28"/>
          <w:rtl w:val="true"/>
          <w:lang w:bidi="fa-IR"/>
        </w:rPr>
        <w:t xml:space="preserve">و المصنف </w:t>
      </w:r>
      <w:r>
        <w:rPr>
          <w:rStyle w:val="FootnoteAnchor"/>
          <w:rtl w:val="true"/>
        </w:rPr>
        <w:footnoteReference w:id="565"/>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عطف علیه أیضاً حِلّ الوطء الذی لا یقول المحقق بتوقّفه علی الطهارة من الحدث، فدلّ علی أنّ ذکره له فی ما یستبیحه الطاهر لا یدلّ بالمفهوم علی عدم استباحة المحدث له مطلقاً، فتأمل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الاستشهاد لذلک بما ذکروا فی باب ما یجب له الغسل من عدّ دخول المساجد و قراءة العزائم ممّا یجب له الغسل، و لذا استثنی فی الجعفریّة عن عموم هذا الکلام غسل المسّ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فلولا عموم الکلام لجمیع الأغسال الخمسة لم یحسن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ذلک، الرضوی المتقدّم المنجبر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الاتفاق، المؤیَّد بالشهرة المحقَّقة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لا یخلو عن قوّة وفاقاً لصریح المحقق </w:t>
      </w:r>
      <w:r>
        <w:rPr>
          <w:rStyle w:val="FootnoteAnchor"/>
          <w:rtl w:val="true"/>
        </w:rPr>
        <w:footnoteReference w:id="567"/>
      </w:r>
      <w:r>
        <w:rPr>
          <w:rFonts w:ascii="IRNazanin" w:hAnsi="IRNazanin" w:eastAsia="IRNazanin"/>
          <w:color w:val="111111"/>
          <w:sz w:val="28"/>
          <w:sz w:val="28"/>
          <w:szCs w:val="28"/>
          <w:rtl w:val="true"/>
          <w:lang w:bidi="fa-IR"/>
        </w:rPr>
        <w:t xml:space="preserve">و الشهید </w:t>
      </w:r>
      <w:r>
        <w:rPr>
          <w:rStyle w:val="FootnoteAnchor"/>
          <w:rtl w:val="true"/>
        </w:rPr>
        <w:footnoteReference w:id="568"/>
      </w:r>
      <w:r>
        <w:rPr>
          <w:rFonts w:ascii="IRNazanin" w:hAnsi="IRNazanin" w:eastAsia="IRNazanin"/>
          <w:color w:val="111111"/>
          <w:sz w:val="28"/>
          <w:sz w:val="28"/>
          <w:szCs w:val="28"/>
          <w:rtl w:val="true"/>
          <w:lang w:bidi="fa-IR"/>
        </w:rPr>
        <w:t xml:space="preserve">و الکرکی </w:t>
      </w:r>
      <w:r>
        <w:rPr>
          <w:rStyle w:val="FootnoteAnchor"/>
          <w:rtl w:val="true"/>
        </w:rPr>
        <w:footnoteReference w:id="569"/>
      </w:r>
      <w:r>
        <w:rPr>
          <w:rFonts w:ascii="IRNazanin" w:hAnsi="IRNazanin" w:eastAsia="IRNazanin"/>
          <w:color w:val="111111"/>
          <w:sz w:val="28"/>
          <w:sz w:val="28"/>
          <w:szCs w:val="28"/>
          <w:rtl w:val="true"/>
          <w:lang w:bidi="fa-IR"/>
        </w:rPr>
        <w:t xml:space="preserve">و غیرهم، و خلافاً للمحکی عن الدروس </w:t>
      </w:r>
      <w:r>
        <w:rPr>
          <w:rStyle w:val="FootnoteAnchor"/>
          <w:rtl w:val="true"/>
        </w:rPr>
        <w:footnoteReference w:id="570"/>
      </w:r>
      <w:r>
        <w:rPr>
          <w:rFonts w:ascii="IRNazanin" w:hAnsi="IRNazanin" w:eastAsia="IRNazanin"/>
          <w:color w:val="111111"/>
          <w:sz w:val="28"/>
          <w:sz w:val="28"/>
          <w:szCs w:val="28"/>
          <w:rtl w:val="true"/>
          <w:lang w:bidi="fa-IR"/>
        </w:rPr>
        <w:t xml:space="preserve">و فی الحکایة نظر و الروض بشرط أمن التلویث </w:t>
      </w:r>
      <w:r>
        <w:rPr>
          <w:rStyle w:val="FootnoteAnchor"/>
          <w:rtl w:val="true"/>
        </w:rPr>
        <w:footnoteReference w:id="571"/>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572"/>
      </w:r>
      <w:r>
        <w:rPr>
          <w:rFonts w:ascii="IRNazanin" w:hAnsi="IRNazanin" w:eastAsia="IRNazanin"/>
          <w:color w:val="111111"/>
          <w:sz w:val="28"/>
          <w:sz w:val="28"/>
          <w:szCs w:val="28"/>
          <w:rtl w:val="true"/>
          <w:lang w:bidi="fa-IR"/>
        </w:rPr>
        <w:t xml:space="preserve">و المدارک </w:t>
      </w:r>
      <w:r>
        <w:rPr>
          <w:rStyle w:val="FootnoteAnchor"/>
          <w:rtl w:val="true"/>
        </w:rPr>
        <w:footnoteReference w:id="573"/>
      </w:r>
      <w:r>
        <w:rPr>
          <w:rFonts w:ascii="IRNazanin" w:hAnsi="IRNazanin" w:eastAsia="IRNazanin"/>
          <w:color w:val="111111"/>
          <w:sz w:val="28"/>
          <w:sz w:val="28"/>
          <w:szCs w:val="28"/>
          <w:rtl w:val="true"/>
          <w:lang w:bidi="fa-IR"/>
        </w:rPr>
        <w:t xml:space="preserve">و الذخیرة </w:t>
      </w:r>
      <w:r>
        <w:rPr>
          <w:rStyle w:val="FootnoteAnchor"/>
          <w:rtl w:val="true"/>
        </w:rPr>
        <w:footnoteReference w:id="574"/>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575"/>
      </w:r>
      <w:r>
        <w:rPr>
          <w:rFonts w:ascii="IRNazanin" w:hAnsi="IRNazanin" w:eastAsia="IRNazanin"/>
          <w:color w:val="111111"/>
          <w:sz w:val="28"/>
          <w:sz w:val="28"/>
          <w:szCs w:val="28"/>
          <w:rtl w:val="true"/>
          <w:lang w:bidi="fa-IR"/>
        </w:rPr>
        <w:t xml:space="preserve">و الریاض </w:t>
      </w:r>
      <w:r>
        <w:rPr>
          <w:rStyle w:val="FootnoteAnchor"/>
          <w:rtl w:val="true"/>
        </w:rPr>
        <w:footnoteReference w:id="576"/>
      </w:r>
      <w:r>
        <w:rPr>
          <w:rFonts w:ascii="IRNazanin" w:hAnsi="IRNazanin" w:eastAsia="IRNazanin"/>
          <w:color w:val="111111"/>
          <w:sz w:val="28"/>
          <w:sz w:val="28"/>
          <w:szCs w:val="28"/>
          <w:rtl w:val="true"/>
          <w:lang w:bidi="fa-IR"/>
        </w:rPr>
        <w:t xml:space="preserve">و المناهل </w:t>
      </w:r>
      <w:r>
        <w:rPr>
          <w:rStyle w:val="FootnoteAnchor"/>
          <w:rtl w:val="true"/>
        </w:rPr>
        <w:footnoteReference w:id="57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قراءَة العزائم، وفاقاً للوحید فی شرح المفاتیح </w:t>
      </w:r>
      <w:r>
        <w:rPr>
          <w:rStyle w:val="FootnoteAnchor"/>
          <w:rtl w:val="true"/>
        </w:rPr>
        <w:footnoteReference w:id="578"/>
      </w:r>
      <w:r>
        <w:rPr>
          <w:rFonts w:ascii="IRNazanin" w:hAnsi="IRNazanin" w:eastAsia="IRNazanin"/>
          <w:color w:val="111111"/>
          <w:sz w:val="28"/>
          <w:sz w:val="28"/>
          <w:szCs w:val="28"/>
          <w:rtl w:val="true"/>
          <w:lang w:bidi="fa-IR"/>
        </w:rPr>
        <w:t xml:space="preserve">و بعض من تأخّر عنه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bookmarkStart w:id="62" w:name="pg13042_126997"/>
    </w:p>
    <w:p>
      <w:pPr>
        <w:pStyle w:val="Heading6"/>
        <w:numPr>
          <w:ilvl w:val="5"/>
          <w:numId w:val="1"/>
        </w:numPr>
        <w:rPr/>
      </w:pPr>
      <w:bookmarkStart w:id="63" w:name="__RefHeading___Toc6530106_3224264995"/>
      <w:bookmarkStart w:id="64" w:name="_Toc25"/>
      <w:bookmarkEnd w:id="62"/>
      <w:bookmarkEnd w:id="63"/>
      <w:r>
        <w:rPr>
          <w:rtl w:val="true"/>
        </w:rPr>
        <w:t>[</w:t>
      </w:r>
      <w:r>
        <w:rPr>
          <w:rtl w:val="true"/>
        </w:rPr>
        <w:t>و لو أخلّت بالأغسال</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بین الأصحاب کما فی ظاهر المدارک </w:t>
      </w:r>
      <w:r>
        <w:rPr>
          <w:rStyle w:val="FootnoteAnchor"/>
          <w:rtl w:val="true"/>
        </w:rPr>
        <w:footnoteReference w:id="580"/>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581"/>
      </w:r>
      <w:r>
        <w:rPr>
          <w:rFonts w:ascii="IRNazanin" w:hAnsi="IRNazanin" w:eastAsia="IRNazanin"/>
          <w:color w:val="111111"/>
          <w:sz w:val="28"/>
          <w:sz w:val="28"/>
          <w:szCs w:val="28"/>
          <w:rtl w:val="true"/>
          <w:lang w:bidi="fa-IR"/>
        </w:rPr>
        <w:t xml:space="preserve">و مستظهر الحدائق </w:t>
      </w:r>
      <w:r>
        <w:rPr>
          <w:rStyle w:val="FootnoteAnchor"/>
          <w:rtl w:val="true"/>
        </w:rPr>
        <w:footnoteReference w:id="582"/>
      </w:r>
      <w:r>
        <w:rPr>
          <w:rFonts w:ascii="IRNazanin" w:hAnsi="IRNazanin" w:eastAsia="IRNazanin"/>
          <w:color w:val="111111"/>
          <w:sz w:val="28"/>
          <w:sz w:val="28"/>
          <w:szCs w:val="28"/>
          <w:rtl w:val="true"/>
          <w:lang w:bidi="fa-IR"/>
        </w:rPr>
        <w:t xml:space="preserve">، بل عن جامع المقاصد </w:t>
      </w:r>
      <w:r>
        <w:rPr>
          <w:rStyle w:val="FootnoteAnchor"/>
          <w:rtl w:val="true"/>
        </w:rPr>
        <w:footnoteReference w:id="583"/>
      </w:r>
      <w:r>
        <w:rPr>
          <w:rFonts w:ascii="IRNazanin" w:hAnsi="IRNazanin" w:eastAsia="IRNazanin"/>
          <w:color w:val="111111"/>
          <w:sz w:val="28"/>
          <w:sz w:val="28"/>
          <w:szCs w:val="28"/>
          <w:rtl w:val="true"/>
          <w:lang w:bidi="fa-IR"/>
        </w:rPr>
        <w:t xml:space="preserve">و الروض </w:t>
      </w:r>
      <w:r>
        <w:rPr>
          <w:rStyle w:val="FootnoteAnchor"/>
          <w:rtl w:val="true"/>
        </w:rPr>
        <w:footnoteReference w:id="584"/>
      </w:r>
      <w:r>
        <w:rPr>
          <w:rFonts w:ascii="IRNazanin" w:hAnsi="IRNazanin" w:eastAsia="IRNazanin"/>
          <w:color w:val="111111"/>
          <w:sz w:val="28"/>
          <w:sz w:val="28"/>
          <w:szCs w:val="28"/>
          <w:rtl w:val="true"/>
          <w:lang w:bidi="fa-IR"/>
        </w:rPr>
        <w:t xml:space="preserve">و حواشی التحریر و منهج السداد و الطالبیة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للأمر </w:t>
      </w:r>
      <w:r>
        <w:rPr>
          <w:rStyle w:val="FootnoteAnchor"/>
          <w:rtl w:val="true"/>
        </w:rPr>
        <w:footnoteReference w:id="586"/>
      </w:r>
      <w:r>
        <w:rPr>
          <w:rFonts w:ascii="IRNazanin" w:hAnsi="IRNazanin" w:eastAsia="IRNazanin"/>
          <w:color w:val="111111"/>
          <w:sz w:val="28"/>
          <w:sz w:val="28"/>
          <w:szCs w:val="28"/>
          <w:rtl w:val="true"/>
          <w:lang w:bidi="fa-IR"/>
        </w:rPr>
        <w:t xml:space="preserve">بقضائه فیما رواه أصحابنا کما عن المبسوط </w:t>
      </w:r>
      <w:r>
        <w:rPr>
          <w:rStyle w:val="FootnoteAnchor"/>
          <w:rtl w:val="true"/>
        </w:rPr>
        <w:footnoteReference w:id="587"/>
      </w:r>
      <w:r>
        <w:rPr>
          <w:rFonts w:ascii="IRNazanin" w:hAnsi="IRNazanin" w:eastAsia="IRNazanin"/>
          <w:color w:val="111111"/>
          <w:sz w:val="28"/>
          <w:sz w:val="28"/>
          <w:szCs w:val="28"/>
          <w:rtl w:val="true"/>
          <w:lang w:bidi="fa-IR"/>
        </w:rPr>
        <w:t>و رواه فی الصحیح عن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طهرت من حیضها أو نفاسها من أوّل شهر رمضان، ثمّ استحاضت و صلّت و صامت شهر رمضان من غیر أن تفعل ما تفعله المستحاضة من الغسل لکلّ صلاتین، فهل یجوز صومها و صلاتها، أم لا؟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صومها و لا تقضی صلاتها؛ لأنّ رسول اللّٰه صلّی اللّٰه علیه و آله و سلم کان یأمر فاطمة علیها السلام و نساءه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یقدح فی الاستدلال به اشتماله علی ذکر الصدیقة الطاهرة مع ما هو المعروف بین الشیعة و تکاثرت به الأخبار من أنّها صلوات اللّٰه علیها لم ترَ</w:t>
      </w:r>
    </w:p>
    <w:p>
      <w:pPr>
        <w:pStyle w:val="BookText"/>
        <w:rPr/>
      </w:pPr>
      <w:r>
        <w:rPr>
          <w:rFonts w:ascii="IRNazanin" w:hAnsi="IRNazanin" w:eastAsia="IRNazanin"/>
          <w:color w:val="111111"/>
          <w:sz w:val="28"/>
          <w:sz w:val="28"/>
          <w:szCs w:val="28"/>
          <w:rtl w:val="true"/>
          <w:lang w:bidi="fa-IR"/>
        </w:rPr>
        <w:t xml:space="preserve">حمرة قطّ، لا حیضاً و لا استحاضة؛ إذ لیس فی الروایة إلّا أمر النبیّ صلّی اللّٰه علیه و آله إیّاها بذلک، فلعلّه لتعلیم نسوان المسلمین، مع احتمال أن یکون المراد فاطمة بنت أبی حبیش التی مرّ ذکرها فی حدیث الاستحاضة، مع أنّه لیس ذکرها علیها السلام فی روایة الصدوق فی الفقیه </w:t>
      </w:r>
      <w:r>
        <w:rPr>
          <w:rStyle w:val="FootnoteAnchor"/>
          <w:rtl w:val="true"/>
        </w:rPr>
        <w:footnoteReference w:id="589"/>
      </w:r>
      <w:r>
        <w:rPr>
          <w:rFonts w:ascii="IRNazanin" w:hAnsi="IRNazanin" w:eastAsia="IRNazanin"/>
          <w:color w:val="111111"/>
          <w:sz w:val="28"/>
          <w:sz w:val="28"/>
          <w:szCs w:val="28"/>
          <w:rtl w:val="true"/>
          <w:lang w:bidi="fa-IR"/>
        </w:rPr>
        <w:t xml:space="preserve">و العلل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یقدح اشتمالها علی نفی قضاء الصلوات علیها مع ما علم من الإجماع وجوب قضائها؛ لأنّ عدم العمل بجزء من الروایة لمخالفته بظاهره للإجماع لا یوجب سقوط الروایة عن الحجیّة فی غیره، و ما أشبهه بالعام المخصص، بل هو هو بالنسبة إلی دلیل حجیّة الخبر،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فی توجیه الروایة وجوهاً لا یخلو بعضها عن برودة تقشعرّ منها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فتقضی</w:t>
      </w:r>
      <w:r>
        <w:rPr>
          <w:rFonts w:eastAsia="IRNazanin" w:cs="IRNazanin"/>
          <w:color w:val="111111"/>
          <w:sz w:val="28"/>
          <w:szCs w:val="28"/>
          <w:rtl w:val="true"/>
          <w:lang w:bidi="fa-IR"/>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فی الموضعین بصیغة المجهول، و یراد بالقضاء الأداء کما فی قوله تعالی فَإِذٰا قَضَیْتُمْ مَنٰاسِکَکُمْ </w:t>
      </w:r>
      <w:r>
        <w:rPr>
          <w:rStyle w:val="FootnoteAnchor"/>
          <w:rtl w:val="true"/>
        </w:rPr>
        <w:footnoteReference w:id="592"/>
      </w:r>
      <w:r>
        <w:rPr>
          <w:rFonts w:ascii="IRNazanin" w:hAnsi="IRNazanin" w:eastAsia="IRNazanin"/>
          <w:color w:val="111111"/>
          <w:sz w:val="28"/>
          <w:sz w:val="28"/>
          <w:szCs w:val="28"/>
          <w:rtl w:val="true"/>
          <w:lang w:bidi="fa-IR"/>
        </w:rPr>
        <w:t>،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الصوم یؤدّی مع الإخلال بالغسل، و الصلاة لا تؤدّی، و هو و إن کان خلاف الظاهر من وجوه، إلّا أنّه أولی من طرح جزء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الإنصاف عدم الاعتناء بهذا الاحتمال کما لا یخفی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الروایة کما تری مختصّة بالکثیرة، و لذا کان ظاهر البیان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 الموجز </w:t>
      </w:r>
      <w:r>
        <w:rPr>
          <w:rStyle w:val="FootnoteAnchor"/>
          <w:rtl w:val="true"/>
        </w:rPr>
        <w:footnoteReference w:id="594"/>
      </w:r>
      <w:r>
        <w:rPr>
          <w:rFonts w:ascii="IRNazanin" w:hAnsi="IRNazanin" w:eastAsia="IRNazanin"/>
          <w:color w:val="111111"/>
          <w:sz w:val="28"/>
          <w:sz w:val="28"/>
          <w:szCs w:val="28"/>
          <w:rtl w:val="true"/>
          <w:lang w:bidi="fa-IR"/>
        </w:rPr>
        <w:t xml:space="preserve">و شرحه </w:t>
      </w:r>
      <w:r>
        <w:rPr>
          <w:rStyle w:val="FootnoteAnchor"/>
          <w:rtl w:val="true"/>
        </w:rPr>
        <w:footnoteReference w:id="595"/>
      </w:r>
      <w:r>
        <w:rPr>
          <w:rFonts w:ascii="IRNazanin" w:hAnsi="IRNazanin" w:eastAsia="IRNazanin"/>
          <w:color w:val="111111"/>
          <w:sz w:val="28"/>
          <w:sz w:val="28"/>
          <w:szCs w:val="28"/>
          <w:rtl w:val="true"/>
          <w:lang w:bidi="fa-IR"/>
        </w:rPr>
        <w:t xml:space="preserve">کما فی الجعفریة </w:t>
      </w:r>
      <w:r>
        <w:rPr>
          <w:rStyle w:val="FootnoteAnchor"/>
          <w:rtl w:val="true"/>
        </w:rPr>
        <w:footnoteReference w:id="596"/>
      </w:r>
      <w:r>
        <w:rPr>
          <w:rFonts w:ascii="IRNazanin" w:hAnsi="IRNazanin" w:eastAsia="IRNazanin"/>
          <w:color w:val="111111"/>
          <w:sz w:val="28"/>
          <w:sz w:val="28"/>
          <w:szCs w:val="28"/>
          <w:rtl w:val="true"/>
          <w:lang w:bidi="fa-IR"/>
        </w:rPr>
        <w:t xml:space="preserve">و الجامع </w:t>
      </w:r>
      <w:r>
        <w:rPr>
          <w:rStyle w:val="FootnoteAnchor"/>
          <w:rtl w:val="true"/>
        </w:rPr>
        <w:footnoteReference w:id="597"/>
      </w:r>
      <w:r>
        <w:rPr>
          <w:rFonts w:ascii="Amiri" w:hAnsi="Amiri" w:eastAsia="Amiri" w:cs="Amiri"/>
          <w:color w:val="111111"/>
          <w:sz w:val="28"/>
          <w:sz w:val="28"/>
          <w:szCs w:val="28"/>
          <w:rtl w:val="true"/>
          <w:lang w:bidi="ar-SA"/>
        </w:rPr>
        <w:t xml:space="preserve">، بل المصنّف قدّس سرّه و کلّ من عبّر بالأغسال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الحکم بالکثیرة، فالتعدّی إلی المتوسّطة کما هو المشهور یحتاج إلی دلیل، إلّا أن یدّعی 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فالأقرب عدم الکفارة؛ لأنّها معلّقة فی النصوص </w:t>
      </w:r>
      <w:r>
        <w:rPr>
          <w:rStyle w:val="FootnoteAnchor"/>
          <w:rtl w:val="true"/>
        </w:rPr>
        <w:footnoteReference w:id="599"/>
      </w:r>
      <w:r>
        <w:rPr>
          <w:rFonts w:ascii="IRNazanin" w:hAnsi="IRNazanin" w:eastAsia="IRNazanin"/>
          <w:color w:val="111111"/>
          <w:sz w:val="28"/>
          <w:sz w:val="28"/>
          <w:szCs w:val="28"/>
          <w:rtl w:val="true"/>
          <w:lang w:bidi="fa-IR"/>
        </w:rPr>
        <w:t xml:space="preserve">علی الإفطار، لا علی مجرّد </w:t>
      </w:r>
      <w:r>
        <w:rPr>
          <w:rStyle w:val="FootnoteAnchor"/>
          <w:rtl w:val="true"/>
        </w:rPr>
        <w:footnoteReference w:id="600"/>
      </w:r>
      <w:r>
        <w:rPr>
          <w:rFonts w:ascii="IRNazanin" w:hAnsi="IRNazanin" w:eastAsia="IRNazanin"/>
          <w:color w:val="111111"/>
          <w:sz w:val="28"/>
          <w:sz w:val="28"/>
          <w:szCs w:val="28"/>
          <w:rtl w:val="true"/>
          <w:lang w:bidi="fa-IR"/>
        </w:rPr>
        <w:t xml:space="preserve">إفساد الصوم، فهو کترک النیّة فی الصوم، و عن المصنّف قدّس سرّه فی المختلف وجوبها </w:t>
      </w:r>
      <w:r>
        <w:rPr>
          <w:rStyle w:val="FootnoteAnchor"/>
          <w:rtl w:val="true"/>
        </w:rPr>
        <w:footnoteReference w:id="601"/>
      </w:r>
      <w:r>
        <w:rPr>
          <w:rFonts w:ascii="IRNazanin" w:hAnsi="IRNazanin" w:eastAsia="IRNazanin"/>
          <w:color w:val="111111"/>
          <w:sz w:val="28"/>
          <w:sz w:val="28"/>
          <w:szCs w:val="28"/>
          <w:rtl w:val="true"/>
          <w:lang w:bidi="fa-IR"/>
        </w:rPr>
        <w:t>، و لعلّه لکونها فی حکم الجنب و لصدق ترک الصوم عمداً مع العلم باشتراطه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لیس فی الروایة تعرّض لبیان مدخلیّة ما عدا الأغسال فی الصوم، فلا وجه لتوقّفه علی الوضوء أو غیره و إن کان قد یوهمه بعض العبارات المحکیّة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یتوقّف صوم کلّ یومٍ علی أغسال نهاره، کما عن المنتهی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و التذکرة </w:t>
      </w:r>
      <w:r>
        <w:rPr>
          <w:rStyle w:val="FootnoteAnchor"/>
          <w:rtl w:val="true"/>
        </w:rPr>
        <w:footnoteReference w:id="604"/>
      </w:r>
      <w:r>
        <w:rPr>
          <w:rFonts w:ascii="IRNazanin" w:hAnsi="IRNazanin" w:eastAsia="IRNazanin"/>
          <w:color w:val="111111"/>
          <w:sz w:val="28"/>
          <w:sz w:val="28"/>
          <w:szCs w:val="28"/>
          <w:rtl w:val="true"/>
          <w:lang w:bidi="fa-IR"/>
        </w:rPr>
        <w:t xml:space="preserve">و البیان </w:t>
      </w:r>
      <w:r>
        <w:rPr>
          <w:rStyle w:val="FootnoteAnchor"/>
          <w:rtl w:val="true"/>
        </w:rPr>
        <w:footnoteReference w:id="605"/>
      </w:r>
      <w:r>
        <w:rPr>
          <w:rFonts w:ascii="Amiri" w:hAnsi="Amiri" w:eastAsia="Amiri" w:cs="Amiri"/>
          <w:color w:val="111111"/>
          <w:sz w:val="28"/>
          <w:sz w:val="28"/>
          <w:szCs w:val="28"/>
          <w:rtl w:val="true"/>
          <w:lang w:bidi="ar-SA"/>
        </w:rPr>
        <w:t xml:space="preserve">لأنّ الناقض </w:t>
      </w:r>
      <w:r>
        <w:rPr>
          <w:rStyle w:val="FootnoteAnchor"/>
          <w:rtl w:val="true"/>
        </w:rPr>
        <w:footnoteReference w:id="606"/>
      </w:r>
      <w:r>
        <w:rPr>
          <w:rFonts w:ascii="IRNazanin" w:hAnsi="IRNazanin" w:eastAsia="IRNazanin"/>
          <w:color w:val="111111"/>
          <w:sz w:val="28"/>
          <w:sz w:val="28"/>
          <w:szCs w:val="28"/>
          <w:rtl w:val="true"/>
          <w:lang w:bidi="fa-IR"/>
        </w:rPr>
        <w:t>المنافی للصوم حدث النهار؟</w:t>
      </w:r>
    </w:p>
    <w:p>
      <w:pPr>
        <w:pStyle w:val="BookText"/>
        <w:rPr/>
      </w:pPr>
      <w:r>
        <w:rPr>
          <w:rFonts w:ascii="IRNazanin" w:hAnsi="IRNazanin" w:eastAsia="IRNazanin"/>
          <w:color w:val="111111"/>
          <w:sz w:val="28"/>
          <w:sz w:val="28"/>
          <w:szCs w:val="28"/>
          <w:rtl w:val="true"/>
          <w:lang w:bidi="fa-IR"/>
        </w:rPr>
        <w:t xml:space="preserve">أو الفجر خاصة، کما احتمله کاشف اللثام </w:t>
      </w:r>
      <w:r>
        <w:rPr>
          <w:rStyle w:val="FootnoteAnchor"/>
          <w:rtl w:val="true"/>
        </w:rPr>
        <w:footnoteReference w:id="607"/>
      </w:r>
      <w:r>
        <w:rPr>
          <w:rFonts w:ascii="IRNazanin" w:hAnsi="IRNazanin" w:eastAsia="IRNazanin"/>
          <w:color w:val="111111"/>
          <w:sz w:val="28"/>
          <w:sz w:val="28"/>
          <w:szCs w:val="28"/>
          <w:rtl w:val="true"/>
          <w:lang w:bidi="fa-IR"/>
        </w:rPr>
        <w:t xml:space="preserve">، تبعاً لنهایة الإحکام </w:t>
      </w:r>
      <w:r>
        <w:rPr>
          <w:rStyle w:val="FootnoteAnchor"/>
          <w:rtl w:val="true"/>
        </w:rPr>
        <w:footnoteReference w:id="608"/>
      </w:r>
      <w:r>
        <w:rPr>
          <w:rFonts w:ascii="IRNazanin" w:hAnsi="IRNazanin" w:eastAsia="IRNazanin"/>
          <w:color w:val="111111"/>
          <w:sz w:val="28"/>
          <w:sz w:val="28"/>
          <w:szCs w:val="28"/>
          <w:rtl w:val="true"/>
          <w:lang w:bidi="fa-IR"/>
        </w:rPr>
        <w:t>و إن لم یوجد قائل به و لعلّه لأنّ غسل الظهرین بمنزلة الغسل للجنابة الحاصلة فی أثناء النهار، فیکفی فی الصوم الدخول فیه مع الطهارة عن الحدث الأکبر؟</w:t>
      </w:r>
    </w:p>
    <w:p>
      <w:pPr>
        <w:pStyle w:val="BookText"/>
        <w:rPr/>
      </w:pPr>
      <w:r>
        <w:rPr>
          <w:rFonts w:ascii="IRNazanin" w:hAnsi="IRNazanin" w:eastAsia="IRNazanin"/>
          <w:color w:val="111111"/>
          <w:sz w:val="28"/>
          <w:sz w:val="28"/>
          <w:szCs w:val="28"/>
          <w:rtl w:val="true"/>
          <w:lang w:bidi="fa-IR"/>
        </w:rPr>
        <w:t xml:space="preserve">أو مع لیلته اللاحقة، کما هو ظاهر کلّ من عبّر بتوقّفه علی الأغسال؛ بناءً علی أنّ الظاهر من الروایة إناطة قضاء الصوم بإخلالها بما علی المستحاضة من الغسل لکلّ صلاتین، و لا یسمع استبعاد توقّفه علی غسل اللیلة المستقبلة مع سبق انعقاد الصوم، کما قطع به جماعة منهم الشهید فی الذکری </w:t>
      </w:r>
      <w:r>
        <w:rPr>
          <w:rStyle w:val="FootnoteAnchor"/>
          <w:rtl w:val="true"/>
        </w:rPr>
        <w:footnoteReference w:id="6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مع اللیلة الماضیة مطلقاً، بشرط عدم تقدّم غسل الفجر فی اللیل، کما اختاره فی الذکری </w:t>
      </w:r>
      <w:r>
        <w:rPr>
          <w:rStyle w:val="FootnoteAnchor"/>
          <w:rtl w:val="true"/>
        </w:rPr>
        <w:footnoteReference w:id="610"/>
      </w:r>
      <w:r>
        <w:rPr>
          <w:rFonts w:ascii="IRNazanin" w:hAnsi="IRNazanin" w:eastAsia="IRNazanin"/>
          <w:color w:val="111111"/>
          <w:sz w:val="28"/>
          <w:sz w:val="28"/>
          <w:szCs w:val="28"/>
          <w:rtl w:val="true"/>
          <w:lang w:bidi="fa-IR"/>
        </w:rPr>
        <w:t xml:space="preserve">و تبعه فی الروض بعد أن احتمل الإطلاق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أقواها الأخیر إن استفدنا من الروایة کون المنع للحدث، و إن بنینا</w:t>
      </w:r>
    </w:p>
    <w:p>
      <w:pPr>
        <w:pStyle w:val="BookText"/>
        <w:rPr/>
      </w:pPr>
      <w:r>
        <w:rPr>
          <w:rFonts w:ascii="IRNazanin" w:hAnsi="IRNazanin" w:eastAsia="IRNazanin"/>
          <w:color w:val="111111"/>
          <w:sz w:val="28"/>
          <w:sz w:val="28"/>
          <w:szCs w:val="28"/>
          <w:rtl w:val="true"/>
          <w:lang w:bidi="fa-IR"/>
        </w:rPr>
        <w:t>علی التعبّد فالثالث؛ لما عرفت من الظهور، و علی إناطة الحکم بالحدث فالأقوی تقدیم غسل الفجر، لوجوب رفع الحدث المنافی عند الدخول فی الصوم مع الإمکان، کغسل الجنابة و منقطعة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بقینا علی ظاهر الروایة من إناطة القضاء بالإخلال بما یجب للصلاة، توجّه عدم الوجوب کما علیه جماعة </w:t>
      </w:r>
      <w:r>
        <w:rPr>
          <w:rStyle w:val="FootnoteAnchor"/>
          <w:rtl w:val="true"/>
        </w:rPr>
        <w:footnoteReference w:id="612"/>
      </w:r>
      <w:r>
        <w:rPr>
          <w:rFonts w:ascii="IRNazanin" w:hAnsi="IRNazanin" w:eastAsia="IRNazanin"/>
          <w:color w:val="111111"/>
          <w:sz w:val="28"/>
          <w:sz w:val="28"/>
          <w:szCs w:val="28"/>
          <w:rtl w:val="true"/>
          <w:lang w:bidi="fa-IR"/>
        </w:rPr>
        <w:t>، بل و لو قلنا بإناطة الحکم بالحدث؛ إذ لا دلیل علی رفع الحدث بالغسل المقدّم، فإنّ الظاهر من الروایة توقّف الصوم علی الغسل للصلاة و لیس الغسل قبل الوقت غسلًا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تقدیم الغسل ثم تجدیده بعد الوقت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وجوب الغسل لأجل الصوم علی المستحاضة الوسطی هل یتوقّف علی الغمس قبل الفجر، أو یکفی الغمس قبل صلاة الفجر، أو یکفی و لو بعد الصلاة؟ وجوهٌ، إلّا أنّه لم یوجد قائل بالأوّل و إن احتمله فی الروض </w:t>
      </w:r>
      <w:r>
        <w:rPr>
          <w:rStyle w:val="FootnoteAnchor"/>
          <w:rtl w:val="true"/>
        </w:rPr>
        <w:footnoteReference w:id="613"/>
      </w:r>
      <w:r>
        <w:rPr>
          <w:rFonts w:ascii="IRNazanin" w:hAnsi="IRNazanin" w:eastAsia="IRNazanin"/>
          <w:color w:val="111111"/>
          <w:sz w:val="28"/>
          <w:sz w:val="28"/>
          <w:szCs w:val="28"/>
          <w:rtl w:val="true"/>
          <w:lang w:bidi="fa-IR"/>
        </w:rPr>
        <w:t>مع التصریح بضعفه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حکی عن المحقق الثانی فی حاشیة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وقع فی بعض الحواشی المنسوبة إلی الشهید تقیید وجوب الغسل علی المتوسّطة بما إذا کان الغمس قبل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یکاد یکون مخالفاً للإجماع، و یمکن أن یکون أراد بالفجر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أو أن یکون سقط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قلم الناسخ، أو أنّ أحد تلامذته تصرّف فیه کما تصرّف فی غیره </w:t>
      </w:r>
      <w:r>
        <w:rPr>
          <w:rStyle w:val="FootnoteAnchor"/>
          <w:rtl w:val="true"/>
        </w:rPr>
        <w:footnoteReference w:id="61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التقیید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حدث الاستحاضة المتوسّطة منافاتها لابتداء الصوم کما فی الجنابة دون استمراره، و إنّما لم یقل به فی الکثیرة لإطلاق النص، و قد عرفت اختصاصه بالکثیرة و أنّ التعدّی لو کان إلی المتوسّطة فبالإجماع و المتیقّن منه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الاحتمالان الأخیران فمبنیّان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الغمس فی المتوسّطة بعد الصلاة یوجب غسلًا للظهرین أم لا؟ و عرفت أنّ الأوّل لا یخلو من قوّة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أخلّت بالوضوء أو الغسل لم تصحّ صلاتها و غسلها کالحائض، و لا تجمع بین صلاتین بوضوء</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bookmarkStart w:id="65" w:name="pg13042_127003"/>
    </w:p>
    <w:p>
      <w:pPr>
        <w:pStyle w:val="Heading5"/>
        <w:numPr>
          <w:ilvl w:val="4"/>
          <w:numId w:val="1"/>
        </w:numPr>
        <w:rPr/>
      </w:pPr>
      <w:bookmarkStart w:id="66" w:name="__RefHeading___Toc6530108_3224264995"/>
      <w:bookmarkStart w:id="67" w:name="_Toc26"/>
      <w:bookmarkEnd w:id="65"/>
      <w:bookmarkEnd w:id="66"/>
      <w:r>
        <w:rPr>
          <w:rtl w:val="true"/>
        </w:rPr>
        <w:t>[</w:t>
      </w:r>
      <w:r>
        <w:rPr>
          <w:rtl w:val="true"/>
        </w:rPr>
        <w:t>و أمّا النفاس</w:t>
      </w:r>
      <w:r>
        <w:rPr>
          <w:rtl w:val="true"/>
        </w:rPr>
        <w:t>]</w:t>
      </w:r>
      <w:bookmarkEnd w:id="67"/>
    </w:p>
    <w:p>
      <w:pPr>
        <w:pStyle w:val="Heading6"/>
        <w:numPr>
          <w:ilvl w:val="5"/>
          <w:numId w:val="1"/>
        </w:numPr>
        <w:rPr/>
      </w:pPr>
      <w:bookmarkStart w:id="68" w:name="__RefHeading___Toc6530110_3224264995"/>
      <w:bookmarkStart w:id="69" w:name="_Toc27"/>
      <w:bookmarkEnd w:id="68"/>
      <w:r>
        <w:rPr>
          <w:rtl w:val="true"/>
        </w:rPr>
        <w:t>اشارة</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النفاس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Heading6"/>
        <w:numPr>
          <w:ilvl w:val="5"/>
          <w:numId w:val="1"/>
        </w:numPr>
        <w:rPr/>
      </w:pPr>
      <w:bookmarkStart w:id="70" w:name="__RefHeading___Toc6530112_3224264995"/>
      <w:bookmarkStart w:id="71" w:name="_Toc28"/>
      <w:bookmarkEnd w:id="70"/>
      <w:r>
        <w:rPr>
          <w:rtl w:val="true"/>
        </w:rPr>
        <w:t>[</w:t>
      </w:r>
      <w:r>
        <w:rPr>
          <w:rtl w:val="true"/>
        </w:rPr>
        <w:t>وصف دم النفاس</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بکسر النون، الذی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ولادة المرأة کما عن جماعة </w:t>
      </w:r>
      <w:r>
        <w:rPr>
          <w:rStyle w:val="FootnoteAnchor"/>
          <w:rtl w:val="true"/>
        </w:rPr>
        <w:footnoteReference w:id="6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النفس بمعنی الدم،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نفس سائلة، أو من تنفّس الرحم بالدم، أو من النفس التی هی الولد،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المرأة و نَفِست بضمّ النون و فتحها مع کسر الفاء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الحیض بفتح النون لا غیر، و الولد منفوس،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المنفوس حتّی یستهلّ صائحاً</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و المرأة نُفَساء بضمّ النون و فتح الفاء، و قد یفتح النون و یسکن الفاء، و الجمع نِفاس بکسر النون، مثل عشرات و عشار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کلام العرب یجمع فعلاء علی فعال إلّا</w:t>
      </w:r>
    </w:p>
    <w:p>
      <w:pPr>
        <w:pStyle w:val="BookText"/>
        <w:rPr/>
      </w:pPr>
      <w:r>
        <w:rPr>
          <w:rFonts w:ascii="IRNazanin" w:hAnsi="IRNazanin" w:eastAsia="IRNazanin"/>
          <w:color w:val="111111"/>
          <w:sz w:val="28"/>
          <w:sz w:val="28"/>
          <w:szCs w:val="28"/>
          <w:rtl w:val="true"/>
          <w:lang w:bidi="fa-IR"/>
        </w:rPr>
        <w:t xml:space="preserve">نفساء و عشراء، و یجمعان علی نفساوات و عشراوات </w:t>
      </w:r>
      <w:r>
        <w:rPr>
          <w:rStyle w:val="FootnoteAnchor"/>
          <w:rtl w:val="true"/>
        </w:rPr>
        <w:footnoteReference w:id="61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إشکال فی أنّه لا نفاس و لا حدث مع عدم الدم کما حکی أنّه اتّفق فی زمان النبیّ صلّی اللّٰه علیه و آله </w:t>
      </w:r>
      <w:r>
        <w:rPr>
          <w:rStyle w:val="FootnoteAnchor"/>
          <w:rtl w:val="true"/>
        </w:rPr>
        <w:footnoteReference w:id="620"/>
      </w:r>
      <w:r>
        <w:rPr>
          <w:rFonts w:ascii="Amiri" w:hAnsi="Amiri" w:eastAsia="Amiri" w:cs="Amiri"/>
          <w:color w:val="111111"/>
          <w:sz w:val="28"/>
          <w:sz w:val="28"/>
          <w:szCs w:val="28"/>
          <w:rtl w:val="true"/>
          <w:lang w:bidi="ar-SA"/>
        </w:rPr>
        <w:t xml:space="preserve">، خلافاً لبعض العامّة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فرق بین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یخرج مع الولد عندنا یکون نفاساً، و اختلف أصحاب الشافعی </w:t>
      </w:r>
      <w:r>
        <w:rPr>
          <w:rStyle w:val="FootnoteAnchor"/>
          <w:rtl w:val="true"/>
        </w:rPr>
        <w:footnoteReference w:id="622"/>
      </w:r>
      <w:r>
        <w:rPr>
          <w:rFonts w:ascii="IRNazanin" w:hAnsi="IRNazanin" w:eastAsia="IRNazanin"/>
          <w:color w:val="111111"/>
          <w:sz w:val="28"/>
          <w:sz w:val="28"/>
          <w:szCs w:val="28"/>
          <w:rtl w:val="true"/>
          <w:lang w:bidi="fa-IR"/>
        </w:rPr>
        <w:t>، انتهی لصدقه علیه عرفاً، و لقوله علیه السلام فی روایة زریق المحکیّة عن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حامل رأت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رأت الدم و قد أصابها الطلق فرأته و هی تمخض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حتی یخرج رأس الصبیّ؛ فإذا خرج رأسه لم یجب علیها الصلاة، و کلّ ما ترکته من الصلاة فی تلک الحال لوجع أو لما فیها من الشدّة و الجهد قضته إذا خرجت من نفاسها،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الفرق بین دم الحامل و دم المخاض؟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الحامل قذفت دم الحیض، و هذه قذفت دم المخاض إلی أن یخرج بعض الولد، فعند ذلک یصیر دم النفاس، فیجب أن تدع الصلاة فی النفاس و الحیض، فأمّا ما لم یکن حیضاً و نفاساً فإنّما ذلک من فتق فی الرحم</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عن جعفر عن أبیه عن</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اللّٰه لیجعل حیضاً مع حبل، یعنی إذا رأت الدم و هی حامل لا تترک الصلاة إلّا أن تری الدم علی رأس الولد إذا ضربها </w:t>
      </w:r>
      <w:r>
        <w:rPr>
          <w:rStyle w:val="FootnoteAnchor"/>
          <w:rtl w:val="true"/>
        </w:rPr>
        <w:footnoteReference w:id="624"/>
      </w:r>
      <w:r>
        <w:rPr>
          <w:rFonts w:ascii="IRNazanin" w:hAnsi="IRNazanin" w:eastAsia="IRNazanin"/>
          <w:color w:val="111111"/>
          <w:sz w:val="28"/>
          <w:sz w:val="28"/>
          <w:szCs w:val="28"/>
          <w:rtl w:val="true"/>
          <w:lang w:bidi="fa-IR"/>
        </w:rPr>
        <w:t>الطلق و رأت الدم ترکت الصلاة</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فإن التفسیر إن کان من النبیّ أو الإمام صلوات اللّٰه علیهما و آلهما فهو دلیل، و إلّا فهو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ظاهر مصباح السید </w:t>
      </w:r>
      <w:r>
        <w:rPr>
          <w:rStyle w:val="FootnoteAnchor"/>
          <w:rtl w:val="true"/>
        </w:rPr>
        <w:footnoteReference w:id="626"/>
      </w:r>
      <w:r>
        <w:rPr>
          <w:rFonts w:ascii="IRNazanin" w:hAnsi="IRNazanin" w:eastAsia="IRNazanin"/>
          <w:color w:val="111111"/>
          <w:sz w:val="28"/>
          <w:sz w:val="28"/>
          <w:szCs w:val="28"/>
          <w:rtl w:val="true"/>
          <w:lang w:bidi="fa-IR"/>
        </w:rPr>
        <w:t xml:space="preserve">و جمل الشیخ </w:t>
      </w:r>
      <w:r>
        <w:rPr>
          <w:rStyle w:val="FootnoteAnchor"/>
          <w:rtl w:val="true"/>
        </w:rPr>
        <w:footnoteReference w:id="627"/>
      </w:r>
      <w:r>
        <w:rPr>
          <w:rFonts w:ascii="IRNazanin" w:hAnsi="IRNazanin" w:eastAsia="IRNazanin"/>
          <w:color w:val="111111"/>
          <w:sz w:val="28"/>
          <w:sz w:val="28"/>
          <w:szCs w:val="28"/>
          <w:rtl w:val="true"/>
          <w:lang w:bidi="fa-IR"/>
        </w:rPr>
        <w:t xml:space="preserve">و الغنیة </w:t>
      </w:r>
      <w:r>
        <w:rPr>
          <w:rStyle w:val="FootnoteAnchor"/>
          <w:rtl w:val="true"/>
        </w:rPr>
        <w:footnoteReference w:id="628"/>
      </w:r>
      <w:r>
        <w:rPr>
          <w:rFonts w:ascii="IRNazanin" w:hAnsi="IRNazanin" w:eastAsia="IRNazanin"/>
          <w:color w:val="111111"/>
          <w:sz w:val="28"/>
          <w:sz w:val="28"/>
          <w:szCs w:val="28"/>
          <w:rtl w:val="true"/>
          <w:lang w:bidi="fa-IR"/>
        </w:rPr>
        <w:t xml:space="preserve">و الکافی </w:t>
      </w:r>
      <w:r>
        <w:rPr>
          <w:rStyle w:val="FootnoteAnchor"/>
          <w:rtl w:val="true"/>
        </w:rPr>
        <w:footnoteReference w:id="629"/>
      </w:r>
      <w:r>
        <w:rPr>
          <w:rFonts w:ascii="IRNazanin" w:hAnsi="IRNazanin" w:eastAsia="IRNazanin"/>
          <w:color w:val="111111"/>
          <w:sz w:val="28"/>
          <w:sz w:val="28"/>
          <w:szCs w:val="28"/>
          <w:rtl w:val="true"/>
          <w:lang w:bidi="fa-IR"/>
        </w:rPr>
        <w:t xml:space="preserve">و الوسیلة </w:t>
      </w:r>
      <w:r>
        <w:rPr>
          <w:rStyle w:val="FootnoteAnchor"/>
          <w:rtl w:val="true"/>
        </w:rPr>
        <w:footnoteReference w:id="630"/>
      </w:r>
      <w:r>
        <w:rPr>
          <w:rFonts w:ascii="IRNazanin" w:hAnsi="IRNazanin" w:eastAsia="IRNazanin"/>
          <w:color w:val="111111"/>
          <w:sz w:val="28"/>
          <w:sz w:val="28"/>
          <w:szCs w:val="28"/>
          <w:rtl w:val="true"/>
          <w:lang w:bidi="fa-IR"/>
        </w:rPr>
        <w:t xml:space="preserve">و الجامع </w:t>
      </w:r>
      <w:r>
        <w:rPr>
          <w:rStyle w:val="FootnoteAnchor"/>
          <w:rtl w:val="true"/>
        </w:rPr>
        <w:footnoteReference w:id="631"/>
      </w:r>
      <w:r>
        <w:rPr>
          <w:rFonts w:ascii="IRNazanin" w:hAnsi="IRNazanin" w:eastAsia="IRNazanin"/>
          <w:color w:val="111111"/>
          <w:sz w:val="28"/>
          <w:sz w:val="28"/>
          <w:szCs w:val="28"/>
          <w:rtl w:val="true"/>
          <w:lang w:bidi="fa-IR"/>
        </w:rPr>
        <w:t>حیث فسروا النفاس بما تراه المرأة عقیب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یریدوا به الغالب، کما صرّح به المصنف فی المختلف </w:t>
      </w:r>
      <w:r>
        <w:rPr>
          <w:rStyle w:val="FootnoteAnchor"/>
          <w:rtl w:val="true"/>
        </w:rPr>
        <w:footnoteReference w:id="632"/>
      </w:r>
      <w:r>
        <w:rPr>
          <w:rFonts w:ascii="IRNazanin" w:hAnsi="IRNazanin" w:eastAsia="IRNazanin"/>
          <w:color w:val="111111"/>
          <w:sz w:val="28"/>
          <w:sz w:val="28"/>
          <w:szCs w:val="28"/>
          <w:rtl w:val="true"/>
          <w:lang w:bidi="fa-IR"/>
        </w:rPr>
        <w:t xml:space="preserve">، أو بعد ابتداء الولادة و ظهور شی‌ءٍ من الولد کما احتمله کاشف اللثام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یحتمله کلام المعتبر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المخالفة فلعلّهم استندوا مضافاً إلی الشکّ فی صدق</w:t>
      </w:r>
    </w:p>
    <w:p>
      <w:pPr>
        <w:pStyle w:val="BookText"/>
        <w:rPr/>
      </w:pPr>
      <w:r>
        <w:rPr>
          <w:rFonts w:ascii="IRNazanin" w:hAnsi="IRNazanin" w:eastAsia="IRNazanin"/>
          <w:color w:val="111111"/>
          <w:sz w:val="28"/>
          <w:sz w:val="28"/>
          <w:szCs w:val="28"/>
          <w:rtl w:val="true"/>
          <w:lang w:bidi="fa-IR"/>
        </w:rPr>
        <w:t>النفاس المستلزم للرجوع إلی أصالة الطهر، المعتضدة بصدق الحمل قبل انفصال الولد و لذا یجوز مراجعة الزوج حینئذٍ لو طلّقها إلی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یصیبها الطلق یوماً أو یومین أو أیّاماً فتری الصفرة أو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ما لم تلد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 و نحوها روی الصدوق </w:t>
      </w:r>
      <w:r>
        <w:rPr>
          <w:rStyle w:val="FootnoteAnchor"/>
          <w:rtl w:val="true"/>
        </w:rPr>
        <w:footnoteReference w:id="636"/>
      </w:r>
      <w:r>
        <w:rPr>
          <w:rFonts w:ascii="IRNazanin" w:hAnsi="IRNazanin" w:eastAsia="IRNazanin"/>
          <w:color w:val="111111"/>
          <w:sz w:val="28"/>
          <w:sz w:val="28"/>
          <w:szCs w:val="28"/>
          <w:rtl w:val="true"/>
          <w:lang w:bidi="fa-IR"/>
        </w:rPr>
        <w:t>بناءً علی أنّ الظاهر صدق أنّها لم تلد إلّا بعد الفراغ،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محمول علی الغالب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إشکال و لا خلاف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النفاس بخروج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الولادة، و دعوی الاتفاق علیه محکیّة عن جماعة </w:t>
      </w:r>
      <w:r>
        <w:rPr>
          <w:rStyle w:val="FootnoteAnchor"/>
          <w:rtl w:val="true"/>
        </w:rPr>
        <w:footnoteReference w:id="637"/>
      </w:r>
      <w:r>
        <w:rPr>
          <w:rFonts w:ascii="IRNazanin" w:hAnsi="IRNazanin" w:eastAsia="IRNazanin"/>
          <w:color w:val="111111"/>
          <w:sz w:val="28"/>
          <w:sz w:val="28"/>
          <w:szCs w:val="28"/>
          <w:rtl w:val="true"/>
          <w:lang w:bidi="fa-IR"/>
        </w:rPr>
        <w:t>، و لا خلاف أیضاً فی کونها استحاضة إذا قلنا بأن الحامل لا تحیض، و لهذا قال فی محکی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یخرج قبل الولادة لیس بحیض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إجماع الفرقة علی أنّ الحامل المستبین حملها لا تحیض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إشکال فیما إذا لم یستجمع الدم شرائط الحیض</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یعدّ منها تخلّل أقل الطهر بینه و بین النفاس کما عن الخلاف نفی الخلاف عنه </w:t>
      </w:r>
      <w:r>
        <w:rPr>
          <w:rStyle w:val="FootnoteAnchor"/>
          <w:rtl w:val="true"/>
        </w:rPr>
        <w:footnoteReference w:id="639"/>
      </w:r>
      <w:r>
        <w:rPr>
          <w:rFonts w:ascii="IRNazanin" w:hAnsi="IRNazanin" w:eastAsia="IRNazanin"/>
          <w:color w:val="111111"/>
          <w:sz w:val="28"/>
          <w:sz w:val="28"/>
          <w:szCs w:val="28"/>
          <w:rtl w:val="true"/>
          <w:lang w:bidi="fa-IR"/>
        </w:rPr>
        <w:t xml:space="preserve">، و یدلّ علیه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الطهر لا یکون أقلّ من عشرة</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النفاس حیض محتبس</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 و أنّ النفساء کالحائض </w:t>
      </w:r>
      <w:r>
        <w:rPr>
          <w:rStyle w:val="FootnoteAnchor"/>
          <w:rtl w:val="true"/>
        </w:rPr>
        <w:footnoteReference w:id="642"/>
      </w:r>
      <w:r>
        <w:rPr>
          <w:rFonts w:ascii="IRNazanin" w:hAnsi="IRNazanin" w:eastAsia="IRNazanin"/>
          <w:color w:val="111111"/>
          <w:sz w:val="28"/>
          <w:sz w:val="28"/>
          <w:szCs w:val="28"/>
          <w:rtl w:val="true"/>
          <w:lang w:bidi="fa-IR"/>
        </w:rPr>
        <w:t xml:space="preserve">، و إطلاق موثقة عمّار و روایة زریق المتقدّمتین </w:t>
      </w:r>
      <w:r>
        <w:rPr>
          <w:rStyle w:val="FootnoteAnchor"/>
          <w:rtl w:val="true"/>
        </w:rPr>
        <w:footnoteReference w:id="643"/>
      </w:r>
      <w:r>
        <w:rPr>
          <w:rFonts w:ascii="IRNazanin" w:hAnsi="IRNazanin" w:eastAsia="IRNazanin"/>
          <w:color w:val="111111"/>
          <w:sz w:val="28"/>
          <w:sz w:val="28"/>
          <w:szCs w:val="28"/>
          <w:rtl w:val="true"/>
          <w:lang w:bidi="fa-IR"/>
        </w:rPr>
        <w:t>، مع أنّ الفرق بین دم المخاض و ما تراه الحامل، فی روایة زریق لا محصّل له إلّا کون المخاض من المقدّمات القریبة للولادة غالباً، فدمه لا یصلح للحیضیّة لقربه من النفاس، بخلاف الحامل الذی لم یتبیّن علیها المخاض؛ فإنّه یجب علیها التحیّض؛ لعدم علمها غالباً بقرب الوضع، و صحیحة ابن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نفست فترکت الصلاة ثلاثین یوماً ثمّ طهرت ثم رأت الدم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لأنّ أیّامها أیّام الطهر قد جازت مع أیّام النفاس</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 حیث إنّ الظاهر هنا أنّ عدم مضیّ أیام الطهر مانع عن الحکم بحیضیّة الدم المرئی بعد النفاس، و لذا تواترت النُّصوص </w:t>
      </w:r>
      <w:r>
        <w:rPr>
          <w:rStyle w:val="FootnoteAnchor"/>
          <w:rtl w:val="true"/>
        </w:rPr>
        <w:footnoteReference w:id="645"/>
      </w:r>
      <w:r>
        <w:rPr>
          <w:rFonts w:ascii="IRNazanin" w:hAnsi="IRNazanin" w:eastAsia="IRNazanin"/>
          <w:color w:val="111111"/>
          <w:sz w:val="28"/>
          <w:sz w:val="28"/>
          <w:szCs w:val="28"/>
          <w:rtl w:val="true"/>
          <w:lang w:bidi="fa-IR"/>
        </w:rPr>
        <w:t xml:space="preserve">و تظافرت الفتاوی </w:t>
      </w:r>
      <w:r>
        <w:rPr>
          <w:rStyle w:val="FootnoteAnchor"/>
          <w:rtl w:val="true"/>
        </w:rPr>
        <w:footnoteReference w:id="646"/>
      </w:r>
      <w:r>
        <w:rPr>
          <w:rFonts w:ascii="IRNazanin" w:hAnsi="IRNazanin" w:eastAsia="IRNazanin"/>
          <w:color w:val="111111"/>
          <w:sz w:val="28"/>
          <w:sz w:val="28"/>
          <w:szCs w:val="28"/>
          <w:rtl w:val="true"/>
          <w:lang w:bidi="fa-IR"/>
        </w:rPr>
        <w:t xml:space="preserve">بأنّ المتعدّی من أکثر النفاس استحاضة فکذا المرئیّ قبله؛ لعدم القول بالفصل بین المتقدّم و المتأخّر، کما صرّح به فی الروض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لا؛ لإطلاقات أدلّة الحیض لمعتادته،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السلیمة</w:t>
      </w:r>
    </w:p>
    <w:p>
      <w:pPr>
        <w:pStyle w:val="BookText"/>
        <w:rPr/>
      </w:pPr>
      <w:r>
        <w:rPr>
          <w:rFonts w:ascii="IRNazanin" w:hAnsi="IRNazanin" w:eastAsia="IRNazanin"/>
          <w:color w:val="111111"/>
          <w:sz w:val="28"/>
          <w:sz w:val="28"/>
          <w:szCs w:val="28"/>
          <w:rtl w:val="true"/>
          <w:lang w:bidi="fa-IR"/>
        </w:rPr>
        <w:t>عمّا ذکر من الوجوه؛ لاحتمال إرادة الشیخ من معقد نفی الخلاف ما بین النفاس و الحیض المتأخّر، و إلّا فلا یتصوّر عنده حیض متقدم علی النفاس من جهة ما ذکره مدّعیاً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الحامل لا تحیض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یؤیّد </w:t>
      </w:r>
      <w:r>
        <w:rPr>
          <w:rStyle w:val="FootnoteAnchor"/>
          <w:rtl w:val="true"/>
        </w:rPr>
        <w:footnoteReference w:id="649"/>
      </w:r>
      <w:r>
        <w:rPr>
          <w:rFonts w:ascii="IRNazanin" w:hAnsi="IRNazanin" w:eastAsia="IRNazanin"/>
          <w:color w:val="111111"/>
          <w:sz w:val="28"/>
          <w:sz w:val="28"/>
          <w:szCs w:val="28"/>
          <w:rtl w:val="true"/>
          <w:lang w:bidi="fa-IR"/>
        </w:rPr>
        <w:t>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استدلّ فی هذه المسألة علی کون الدم قبل الولادة لیس حیضاً بالإجماع علی عدم حیض الحامل من غیر تعرّض لاعتبار أقلّ الطهر، و أما ما دلَّ علی اعتبار تخلل أقل الطهر فلا یبعد حملها علی عدم حصول الحیض اللّاحق قبل انقضاء عشرة أیّام من انقضاء الدم الأولّ، فهی تحدید للقرء، و هو زمان اجتماع الدم فی الرحم بعد خروجه فی المرّة السابقة؛ و لذا اتفقوا علی اعتبار تقدّم طهرٍ کاملٍ فی الحیض المسبوق بالنفاس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ذکرنا هو مراد النهایة،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ولدت قبل عشرة أیّام یعنی من الدم الأوّل فالأقرب أنّه استحاضة مع احتمال کونه حیضاً؛ لتقدّم طهرٍ کاملٍ علیه، و نقصان الطهر إنّما یؤثّر فیما بعده لا فیما قبله، و هنا لم یؤثر فیما بعده، لأنّ ما بعد الولد نفاس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فأولی أنْ لا یؤثر فیما قبله، و یمنع حینئذٍ اشتراط طهر کامل بین الدمین مطلقاً بل بین الحیضتین، و لو رأت الحامل الدم علی عادتها و ولدت علی الاتصال من غیر تخلّل نقاءٍ أصلًا، فالوجهان </w:t>
      </w:r>
      <w:r>
        <w:rPr>
          <w:rStyle w:val="FootnoteAnchor"/>
          <w:rtl w:val="true"/>
        </w:rPr>
        <w:footnoteReference w:id="6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 من کون النفاس حیضاً محتبساً و أنّ النفساء کالحائض، فلم یثبت کلّیة علی وجه یجدی فیما نحن فیه، مع أنّ </w:t>
      </w:r>
      <w:r>
        <w:rPr>
          <w:rStyle w:val="FootnoteAnchor"/>
          <w:rtl w:val="true"/>
        </w:rPr>
        <w:footnoteReference w:id="651"/>
      </w:r>
      <w:r>
        <w:rPr>
          <w:rFonts w:ascii="IRNazanin" w:hAnsi="IRNazanin" w:eastAsia="IRNazanin"/>
          <w:color w:val="111111"/>
          <w:sz w:val="28"/>
          <w:sz w:val="28"/>
          <w:szCs w:val="28"/>
          <w:rtl w:val="true"/>
          <w:lang w:bidi="fa-IR"/>
        </w:rPr>
        <w:t>ما دلّ علی التحدید</w:t>
      </w:r>
    </w:p>
    <w:p>
      <w:pPr>
        <w:pStyle w:val="BookText"/>
        <w:rPr/>
      </w:pPr>
      <w:r>
        <w:rPr>
          <w:rFonts w:ascii="IRNazanin" w:hAnsi="IRNazanin" w:eastAsia="IRNazanin"/>
          <w:color w:val="111111"/>
          <w:sz w:val="28"/>
          <w:sz w:val="28"/>
          <w:szCs w:val="28"/>
          <w:rtl w:val="true"/>
          <w:lang w:bidi="fa-IR"/>
        </w:rPr>
        <w:t>بأقلّ الطهر إذا اختص اعتباره علی ما عرفت بالحیضة الثانیة، فالظاهر منها الحیضة الغیر المحتبسة التی تحتاج إلی أن تجتمع فی الرحم بعد خروج الدم فی المرّة السابقة، و لهذا یعبّر عما بینهما بالقرء الذی هو بمعنی اجتماع الدم فی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یجدی کون النفاس حیضاً محتبساً فی اشتراط مسبوقیّته بطهرٍ کامل؛ و لذا لا یعتبر ذلک بین النفاسین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بین نفاسٍ و حیضٍ متأخّرٍ عنه إجماعاً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الروایتان فضعیفتان، و أمّا الصحیحة فمضمونها غیر محلِّ الخلاف، و دعوی عدم الفصل ممنوعة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لذلک کلّه أو بعضه اختار العدم فی المدارک </w:t>
      </w:r>
      <w:r>
        <w:rPr>
          <w:rStyle w:val="FootnoteAnchor"/>
          <w:rtl w:val="true"/>
        </w:rPr>
        <w:footnoteReference w:id="652"/>
      </w:r>
      <w:r>
        <w:rPr>
          <w:rFonts w:ascii="IRNazanin" w:hAnsi="IRNazanin" w:eastAsia="IRNazanin"/>
          <w:color w:val="111111"/>
          <w:sz w:val="28"/>
          <w:sz w:val="28"/>
          <w:szCs w:val="28"/>
          <w:rtl w:val="true"/>
          <w:lang w:bidi="fa-IR"/>
        </w:rPr>
        <w:t xml:space="preserve">و الذخیرة </w:t>
      </w:r>
      <w:r>
        <w:rPr>
          <w:rStyle w:val="FootnoteAnchor"/>
          <w:rtl w:val="true"/>
        </w:rPr>
        <w:footnoteReference w:id="653"/>
      </w:r>
      <w:r>
        <w:rPr>
          <w:rFonts w:ascii="IRNazanin" w:hAnsi="IRNazanin" w:eastAsia="IRNazanin"/>
          <w:color w:val="111111"/>
          <w:sz w:val="28"/>
          <w:sz w:val="28"/>
          <w:szCs w:val="28"/>
          <w:rtl w:val="true"/>
          <w:lang w:bidi="fa-IR"/>
        </w:rPr>
        <w:t xml:space="preserve">، تبعاً لما حکاه فیهما و فی جامع المقاصد </w:t>
      </w:r>
      <w:r>
        <w:rPr>
          <w:rStyle w:val="FootnoteAnchor"/>
          <w:rtl w:val="true"/>
        </w:rPr>
        <w:footnoteReference w:id="654"/>
      </w:r>
      <w:r>
        <w:rPr>
          <w:rFonts w:ascii="IRNazanin" w:hAnsi="IRNazanin" w:eastAsia="IRNazanin"/>
          <w:color w:val="111111"/>
          <w:sz w:val="28"/>
          <w:sz w:val="28"/>
          <w:szCs w:val="28"/>
          <w:rtl w:val="true"/>
          <w:lang w:bidi="fa-IR"/>
        </w:rPr>
        <w:t xml:space="preserve">عن التذکرة و المنتهی، و نسب إلی الحواشی المدونة من الشهید علی القواعد </w:t>
      </w:r>
      <w:r>
        <w:rPr>
          <w:rStyle w:val="FootnoteAnchor"/>
          <w:rtl w:val="true"/>
        </w:rPr>
        <w:footnoteReference w:id="655"/>
      </w:r>
      <w:r>
        <w:rPr>
          <w:rFonts w:ascii="IRNazanin" w:hAnsi="IRNazanin" w:eastAsia="IRNazanin"/>
          <w:color w:val="111111"/>
          <w:sz w:val="28"/>
          <w:sz w:val="28"/>
          <w:szCs w:val="28"/>
          <w:rtl w:val="true"/>
          <w:lang w:bidi="fa-IR"/>
        </w:rPr>
        <w:t xml:space="preserve">، و ربما یحکی عن النهایة و قد عرفت </w:t>
      </w:r>
      <w:r>
        <w:rPr>
          <w:rStyle w:val="FootnoteAnchor"/>
          <w:rtl w:val="true"/>
        </w:rPr>
        <w:footnoteReference w:id="656"/>
      </w:r>
      <w:r>
        <w:rPr>
          <w:rFonts w:ascii="IRNazanin" w:hAnsi="IRNazanin" w:eastAsia="IRNazanin"/>
          <w:color w:val="111111"/>
          <w:sz w:val="28"/>
          <w:sz w:val="28"/>
          <w:szCs w:val="28"/>
          <w:rtl w:val="true"/>
          <w:lang w:bidi="fa-IR"/>
        </w:rPr>
        <w:t>عبارتها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الإنصاف أنّه لا وجه للخروج عن إطلاق الروایتین المعتضدتین بالشهرة بل عدم الخلاف کما عن الخلاف </w:t>
      </w:r>
      <w:r>
        <w:rPr>
          <w:rStyle w:val="FootnoteAnchor"/>
          <w:rtl w:val="true"/>
        </w:rPr>
        <w:footnoteReference w:id="657"/>
      </w:r>
      <w:r>
        <w:rPr>
          <w:rFonts w:ascii="IRNazanin" w:hAnsi="IRNazanin" w:eastAsia="IRNazanin"/>
          <w:color w:val="111111"/>
          <w:sz w:val="28"/>
          <w:sz w:val="28"/>
          <w:szCs w:val="28"/>
          <w:rtl w:val="true"/>
          <w:lang w:bidi="fa-IR"/>
        </w:rPr>
        <w:t>و بما تقدّم فی مسألة أقلّ الطهر بین الحیضتین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المستفاد من بعض الأخبار و معاقد الإجماع أنّ حال</w:t>
      </w:r>
    </w:p>
    <w:p>
      <w:pPr>
        <w:pStyle w:val="BookText"/>
        <w:rPr/>
      </w:pPr>
      <w:r>
        <w:rPr>
          <w:rFonts w:ascii="IRNazanin" w:hAnsi="IRNazanin" w:eastAsia="IRNazanin"/>
          <w:color w:val="111111"/>
          <w:sz w:val="28"/>
          <w:sz w:val="28"/>
          <w:szCs w:val="28"/>
          <w:rtl w:val="true"/>
          <w:lang w:bidi="fa-IR"/>
        </w:rPr>
        <w:t xml:space="preserve">الطهارة للمرأة مطلقاً لا یکون أقلّ من عشرة؛ و لذا أجبنا بها عن صاحب الحدائق حیث جوّز تخلّل الطهر أقل من العشرة بین أجزاء الحیضة الواحدة، فراجع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 إجماع الخلاف ما عرفت، و فی أخبار أقلّ الطهر ما لا یخفی من ظهورها فی الطهر بین الحیضتین، مع أنّها إنّما تنفی کون الأقلّ طهراً فلعلّه حیض أو نفاس أو حالة حدث بین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الروایتان، مع أصالة عدم الحیض السلیمة عن ورود قاعدة الإمکان؛ لعدم الدلیل علیها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حال تحقّق اتصال الحیض بالنفاس، کما عرفت احتماله عن النهایة، و یقال هنا زیادة علی الصورة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فی الحکم بحیضیة الدم السابق منافاة لما دلّ علی اشتراط کون الطهر عشرة؛ إذْ لم یحکم هنا بطهر حتی یعتبر کونه عشرة، بل یحکم باتصالهما أو بکون المجموع شیئاً واحداً، فتأمّل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سببیّة الولادة للنفاس دورانه مدار صدقها عرفاً، و لا إشکال فی صدقها بخروج آدمیٍّ کلّه أو بعضه، و أمّا خروج المضغة فصدق الولادة علیه لا یخلو عن خفاء، إلّا أنّ المعروف بین الأصحاب کما قیل </w:t>
      </w:r>
      <w:r>
        <w:rPr>
          <w:rStyle w:val="FootnoteAnchor"/>
          <w:rtl w:val="true"/>
        </w:rPr>
        <w:footnoteReference w:id="659"/>
      </w:r>
      <w:r>
        <w:rPr>
          <w:rFonts w:ascii="IRNazanin" w:hAnsi="IRNazanin" w:eastAsia="IRNazanin"/>
          <w:color w:val="111111"/>
          <w:sz w:val="28"/>
          <w:sz w:val="28"/>
          <w:szCs w:val="28"/>
          <w:rtl w:val="true"/>
          <w:lang w:bidi="fa-IR"/>
        </w:rPr>
        <w:t>إلحاقه بالآدمی، بل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ولدت مضغة أو عَلَقَة بعد أن شهدت القوابل أنّها لحمة ولد، و یتخلّق منه الولد، کان الدم نفاساً بالإجماع؛ لأنّه دم جاء عقیب حمل </w:t>
      </w:r>
      <w:r>
        <w:rPr>
          <w:rStyle w:val="FootnoteAnchor"/>
          <w:rtl w:val="true"/>
        </w:rPr>
        <w:footnoteReference w:id="6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وضعت شیئاً تبیّن فیه خلق الإنسان فرأت الدم فهو نفاس إجماعاً </w:t>
      </w:r>
      <w:r>
        <w:rPr>
          <w:rStyle w:val="FootnoteAnchor"/>
          <w:rtl w:val="true"/>
        </w:rPr>
        <w:footnoteReference w:id="6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علی أنّه حیض محتبس </w:t>
      </w:r>
      <w:r>
        <w:rPr>
          <w:rStyle w:val="FootnoteAnchor"/>
          <w:rtl w:val="true"/>
        </w:rPr>
        <w:footnoteReference w:id="662"/>
      </w:r>
      <w:r>
        <w:rPr>
          <w:rFonts w:ascii="IRNazanin" w:hAnsi="IRNazanin" w:eastAsia="IRNazanin"/>
          <w:color w:val="111111"/>
          <w:sz w:val="28"/>
          <w:sz w:val="28"/>
          <w:szCs w:val="28"/>
          <w:rtl w:val="true"/>
          <w:lang w:bidi="fa-IR"/>
        </w:rPr>
        <w:t>، فلا ینبغی الإشکال فی حکم المضغة، فضلًا عن إنکاره، کما عن المحقّق الأردبیلی فی شرح الکتاب،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الخارج مع المضغة و بعدها لیس بنفاسٍ و إنْ علم کونها مبدأ آدمی؛ لعدم العلم بصدق الولادة و النفاس بذلک </w:t>
      </w:r>
      <w:r>
        <w:rPr>
          <w:rStyle w:val="FootnoteAnchor"/>
          <w:rtl w:val="true"/>
        </w:rPr>
        <w:footnoteReference w:id="66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العَلَقة، فقد عرفت دعوی الإجماع علیها من التذکرة، و نحوها عن شرح الجعفریة </w:t>
      </w:r>
      <w:r>
        <w:rPr>
          <w:rStyle w:val="FootnoteAnchor"/>
          <w:rtl w:val="true"/>
        </w:rPr>
        <w:footnoteReference w:id="664"/>
      </w:r>
      <w:r>
        <w:rPr>
          <w:rFonts w:ascii="IRNazanin" w:hAnsi="IRNazanin" w:eastAsia="IRNazanin"/>
          <w:color w:val="111111"/>
          <w:sz w:val="28"/>
          <w:sz w:val="28"/>
          <w:szCs w:val="28"/>
          <w:rtl w:val="true"/>
          <w:lang w:bidi="fa-IR"/>
        </w:rPr>
        <w:t xml:space="preserve">لکن مع التقیید فیها کما عرفت بالعلم بکونها منشأ آدمی، و حینئذٍ فیرتفع الخلاف فیه بعد ملاحظة استناد المانع إلی عدم العلم بکونه مبدأ نش‌ء آدمیّ کما عن المعتبر </w:t>
      </w:r>
      <w:r>
        <w:rPr>
          <w:rStyle w:val="FootnoteAnchor"/>
          <w:rtl w:val="true"/>
        </w:rPr>
        <w:footnoteReference w:id="665"/>
      </w:r>
      <w:r>
        <w:rPr>
          <w:rFonts w:ascii="IRNazanin" w:hAnsi="IRNazanin" w:eastAsia="IRNazanin"/>
          <w:color w:val="111111"/>
          <w:sz w:val="28"/>
          <w:sz w:val="28"/>
          <w:szCs w:val="28"/>
          <w:rtl w:val="true"/>
          <w:lang w:bidi="fa-IR"/>
        </w:rPr>
        <w:t xml:space="preserve">و المنتهی </w:t>
      </w:r>
      <w:r>
        <w:rPr>
          <w:rStyle w:val="FootnoteAnchor"/>
          <w:rtl w:val="true"/>
        </w:rPr>
        <w:footnoteReference w:id="666"/>
      </w:r>
      <w:r>
        <w:rPr>
          <w:rFonts w:ascii="IRNazanin" w:hAnsi="IRNazanin" w:eastAsia="IRNazanin"/>
          <w:color w:val="111111"/>
          <w:sz w:val="28"/>
          <w:sz w:val="28"/>
          <w:szCs w:val="28"/>
          <w:rtl w:val="true"/>
          <w:lang w:bidi="fa-IR"/>
        </w:rPr>
        <w:t xml:space="preserve">و غیرهما </w:t>
      </w:r>
      <w:r>
        <w:rPr>
          <w:rStyle w:val="FootnoteAnchor"/>
          <w:rtl w:val="true"/>
        </w:rPr>
        <w:footnoteReference w:id="667"/>
      </w:r>
      <w:r>
        <w:rPr>
          <w:rFonts w:ascii="IRNazanin" w:hAnsi="IRNazanin" w:eastAsia="IRNazanin"/>
          <w:color w:val="111111"/>
          <w:sz w:val="28"/>
          <w:sz w:val="28"/>
          <w:szCs w:val="28"/>
          <w:rtl w:val="true"/>
          <w:lang w:bidi="fa-IR"/>
        </w:rPr>
        <w:t xml:space="preserve">، و من هنا أنکر الشارح فی الروض علی من توقّف فی الحکم مع فرض العلم بکونها مبدأ نش‌ء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یستند فی المنع إلی عدم صدق الولادة عرفاً و لکن الفرق بین</w:t>
      </w:r>
      <w:bookmarkStart w:id="72" w:name="pg13042_127012"/>
    </w:p>
    <w:p>
      <w:pPr>
        <w:pStyle w:val="BookText"/>
        <w:rPr/>
      </w:pPr>
      <w:bookmarkEnd w:id="72"/>
      <w:r>
        <w:rPr>
          <w:rFonts w:ascii="IRNazanin" w:hAnsi="IRNazanin" w:eastAsia="IRNazanin"/>
          <w:color w:val="111111"/>
          <w:sz w:val="28"/>
          <w:sz w:val="28"/>
          <w:szCs w:val="28"/>
          <w:rtl w:val="true"/>
          <w:lang w:bidi="fa-IR"/>
        </w:rPr>
        <w:t>العَلَقَة و المضغة مشکل إلّا بدعوی الإجماع فی الثانی و منعه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الشهید احتمال إلحاق النطفة إذا علم کونها مبدأ نش‌ء آدمیّ </w:t>
      </w:r>
      <w:r>
        <w:rPr>
          <w:rStyle w:val="FootnoteAnchor"/>
          <w:rtl w:val="true"/>
        </w:rPr>
        <w:footnoteReference w:id="669"/>
      </w:r>
      <w:r>
        <w:rPr>
          <w:rFonts w:ascii="IRNazanin" w:hAnsi="IRNazanin" w:eastAsia="IRNazanin"/>
          <w:color w:val="111111"/>
          <w:sz w:val="28"/>
          <w:sz w:val="28"/>
          <w:szCs w:val="28"/>
          <w:rtl w:val="true"/>
          <w:lang w:bidi="fa-IR"/>
        </w:rPr>
        <w:t>، و لعلّه لصدق النفاس عرفاً، و لکونه من الحیض المحتبس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بکونها مبدأ نش‌ء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أشرافها علی صیرورتها عَلَقَة،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بذلک متعسّر بل متعذّر </w:t>
      </w:r>
      <w:r>
        <w:rPr>
          <w:rStyle w:val="FootnoteAnchor"/>
          <w:rtl w:val="true"/>
        </w:rPr>
        <w:footnoteReference w:id="670"/>
      </w:r>
      <w:r>
        <w:rPr>
          <w:rFonts w:ascii="IRNazanin" w:hAnsi="IRNazanin" w:eastAsia="IRNazanin"/>
          <w:color w:val="111111"/>
          <w:sz w:val="28"/>
          <w:sz w:val="28"/>
          <w:szCs w:val="28"/>
          <w:rtl w:val="true"/>
          <w:lang w:bidi="fa-IR"/>
        </w:rPr>
        <w:t>و إلّا فالنطفة مطلقاً مستعدّة لتحقّق الولد منه، و بهذا الاعتبار یطلق الوالد علی الأب</w:t>
      </w:r>
      <w:r>
        <w:rPr>
          <w:rFonts w:eastAsia="IRNazanin" w:cs="IRNazanin"/>
          <w:color w:val="111111"/>
          <w:sz w:val="28"/>
          <w:szCs w:val="28"/>
          <w:rtl w:val="true"/>
          <w:lang w:bidi="fa-IR"/>
        </w:rPr>
        <w:t>.</w:t>
      </w:r>
    </w:p>
    <w:p>
      <w:pPr>
        <w:pStyle w:val="Heading6"/>
        <w:numPr>
          <w:ilvl w:val="5"/>
          <w:numId w:val="1"/>
        </w:numPr>
        <w:rPr/>
      </w:pPr>
      <w:bookmarkStart w:id="73" w:name="__RefHeading___Toc6530114_3224264995"/>
      <w:bookmarkStart w:id="74" w:name="_Toc29"/>
      <w:bookmarkEnd w:id="73"/>
      <w:r>
        <w:rPr>
          <w:rtl w:val="true"/>
        </w:rPr>
        <w:t>[</w:t>
      </w:r>
      <w:r>
        <w:rPr>
          <w:rtl w:val="true"/>
        </w:rPr>
        <w:t>أقل الفناس و أکثره</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لأقلّه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یکتفی فیه أقلّ المسمّی، فلو رأت لحظة و لم تر بعده بطل صومها، و لو رأت لحظة أُخری فی آخر العشرة کان تمام العشرة نفاساً، و لا خلاف فی عدم التحدید، بل الإجماع علیه عن الخلاف </w:t>
      </w:r>
      <w:r>
        <w:rPr>
          <w:rStyle w:val="FootnoteAnchor"/>
          <w:rtl w:val="true"/>
        </w:rPr>
        <w:footnoteReference w:id="671"/>
      </w:r>
      <w:r>
        <w:rPr>
          <w:rFonts w:ascii="IRNazanin" w:hAnsi="IRNazanin" w:eastAsia="IRNazanin"/>
          <w:color w:val="111111"/>
          <w:sz w:val="28"/>
          <w:sz w:val="28"/>
          <w:szCs w:val="28"/>
          <w:rtl w:val="true"/>
          <w:lang w:bidi="fa-IR"/>
        </w:rPr>
        <w:t xml:space="preserve">و الغنیة </w:t>
      </w:r>
      <w:r>
        <w:rPr>
          <w:rStyle w:val="FootnoteAnchor"/>
          <w:rtl w:val="true"/>
        </w:rPr>
        <w:footnoteReference w:id="672"/>
      </w:r>
      <w:r>
        <w:rPr>
          <w:rFonts w:ascii="IRNazanin" w:hAnsi="IRNazanin" w:eastAsia="IRNazanin"/>
          <w:color w:val="111111"/>
          <w:sz w:val="28"/>
          <w:sz w:val="28"/>
          <w:szCs w:val="28"/>
          <w:rtl w:val="true"/>
          <w:lang w:bidi="fa-IR"/>
        </w:rPr>
        <w:t xml:space="preserve">و المعتبر </w:t>
      </w:r>
      <w:r>
        <w:rPr>
          <w:rStyle w:val="FootnoteAnchor"/>
          <w:rtl w:val="true"/>
        </w:rPr>
        <w:footnoteReference w:id="673"/>
      </w:r>
      <w:r>
        <w:rPr>
          <w:rFonts w:ascii="IRNazanin" w:hAnsi="IRNazanin" w:eastAsia="IRNazanin"/>
          <w:color w:val="111111"/>
          <w:sz w:val="28"/>
          <w:sz w:val="28"/>
          <w:szCs w:val="28"/>
          <w:rtl w:val="true"/>
          <w:lang w:bidi="fa-IR"/>
        </w:rPr>
        <w:t xml:space="preserve">و التذکرة </w:t>
      </w:r>
      <w:r>
        <w:rPr>
          <w:rStyle w:val="FootnoteAnchor"/>
          <w:rtl w:val="true"/>
        </w:rPr>
        <w:footnoteReference w:id="674"/>
      </w:r>
      <w:r>
        <w:rPr>
          <w:rFonts w:ascii="IRNazanin" w:hAnsi="IRNazanin" w:eastAsia="IRNazanin"/>
          <w:color w:val="111111"/>
          <w:sz w:val="28"/>
          <w:sz w:val="28"/>
          <w:szCs w:val="28"/>
          <w:rtl w:val="true"/>
          <w:lang w:bidi="fa-IR"/>
        </w:rPr>
        <w:t xml:space="preserve">و الذکری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مضافاً إلی إناطة الحکم بالمسمّی الصادق علی القلیل و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لیث المرادی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النفساء کم حدّ نفاسها حتی یجب علیها الصلاة، و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حدّ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و فی الاستدلال بها</w:t>
      </w:r>
    </w:p>
    <w:p>
      <w:pPr>
        <w:pStyle w:val="BookText"/>
        <w:rPr/>
      </w:pPr>
      <w:r>
        <w:rPr>
          <w:rFonts w:ascii="IRNazanin" w:hAnsi="IRNazanin" w:eastAsia="IRNazanin"/>
          <w:color w:val="111111"/>
          <w:sz w:val="28"/>
          <w:sz w:val="28"/>
          <w:szCs w:val="28"/>
          <w:rtl w:val="true"/>
          <w:lang w:bidi="fa-IR"/>
        </w:rPr>
        <w:t>إشکال، حیث إنّ ظاهرها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یجب علیها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حدّه فی طرف الکثرة، و لعلّه لذا حمله الشیخ علی أنّه لیس له حدٌّ شرعی لا یزید و لا ینقص بل ترجع إلی عادتها </w:t>
      </w:r>
      <w:r>
        <w:rPr>
          <w:rStyle w:val="FootnoteAnchor"/>
          <w:rtl w:val="true"/>
        </w:rPr>
        <w:footnoteReference w:id="677"/>
      </w:r>
      <w:r>
        <w:rPr>
          <w:rFonts w:ascii="IRNazanin" w:hAnsi="IRNazanin" w:eastAsia="IRNazanin"/>
          <w:color w:val="111111"/>
          <w:sz w:val="28"/>
          <w:sz w:val="28"/>
          <w:szCs w:val="28"/>
          <w:rtl w:val="true"/>
          <w:lang w:bidi="fa-IR"/>
        </w:rPr>
        <w:t>، و هذا الحمل و إن کان بعیداً بالنسبة إلی الجواب إلّا أنّ حمله علی حدّ القلة بعید بالنسبة إلی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بصحیحة ابن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النفساء کم یجب علیها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ما دامت تری الدم العبیط إلی ثلاثین یوماً فإذا رقّ و کانت صفرة اغتسلت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فالعمدة الإجماعات المستفیضة بل الإجماع المحقّق، مضافاً إلی صدق النفساء علی المرأة و النفاس علی دمها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یمکن شرعاً وصوله إلیه و یمنع التجاوز عنه، فالمشهور شهرة محصّلة و منقولة </w:t>
      </w:r>
      <w:r>
        <w:rPr>
          <w:rStyle w:val="FootnoteAnchor"/>
          <w:rtl w:val="true"/>
        </w:rPr>
        <w:footnoteReference w:id="679"/>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المحکیّ عن علیّ بن بابویه </w:t>
      </w:r>
      <w:r>
        <w:rPr>
          <w:rStyle w:val="FootnoteAnchor"/>
          <w:rtl w:val="true"/>
        </w:rPr>
        <w:footnoteReference w:id="680"/>
      </w:r>
      <w:r>
        <w:rPr>
          <w:rFonts w:ascii="IRNazanin" w:hAnsi="IRNazanin" w:eastAsia="IRNazanin"/>
          <w:color w:val="111111"/>
          <w:sz w:val="28"/>
          <w:sz w:val="28"/>
          <w:szCs w:val="28"/>
          <w:rtl w:val="true"/>
          <w:lang w:bidi="fa-IR"/>
        </w:rPr>
        <w:t xml:space="preserve">و المفید فی المقنعة </w:t>
      </w:r>
      <w:r>
        <w:rPr>
          <w:rStyle w:val="FootnoteAnchor"/>
          <w:rtl w:val="true"/>
        </w:rPr>
        <w:footnoteReference w:id="681"/>
      </w:r>
      <w:r>
        <w:rPr>
          <w:rFonts w:ascii="IRNazanin" w:hAnsi="IRNazanin" w:eastAsia="IRNazanin"/>
          <w:color w:val="111111"/>
          <w:sz w:val="28"/>
          <w:sz w:val="28"/>
          <w:szCs w:val="28"/>
          <w:rtl w:val="true"/>
          <w:lang w:bidi="fa-IR"/>
        </w:rPr>
        <w:t xml:space="preserve">و الشیخ فی کتبه </w:t>
      </w:r>
      <w:r>
        <w:rPr>
          <w:rStyle w:val="FootnoteAnchor"/>
          <w:rtl w:val="true"/>
        </w:rPr>
        <w:footnoteReference w:id="682"/>
      </w:r>
      <w:r>
        <w:rPr>
          <w:rFonts w:ascii="IRNazanin" w:hAnsi="IRNazanin" w:eastAsia="IRNazanin"/>
          <w:color w:val="111111"/>
          <w:sz w:val="28"/>
          <w:sz w:val="28"/>
          <w:szCs w:val="28"/>
          <w:rtl w:val="true"/>
          <w:lang w:bidi="fa-IR"/>
        </w:rPr>
        <w:t xml:space="preserve">و القاضی </w:t>
      </w:r>
      <w:r>
        <w:rPr>
          <w:rStyle w:val="FootnoteAnchor"/>
          <w:rtl w:val="true"/>
        </w:rPr>
        <w:footnoteReference w:id="683"/>
      </w:r>
      <w:r>
        <w:rPr>
          <w:rFonts w:ascii="IRNazanin" w:hAnsi="IRNazanin" w:eastAsia="IRNazanin"/>
          <w:color w:val="111111"/>
          <w:sz w:val="28"/>
          <w:sz w:val="28"/>
          <w:szCs w:val="28"/>
          <w:rtl w:val="true"/>
          <w:lang w:bidi="fa-IR"/>
        </w:rPr>
        <w:t xml:space="preserve">و الحلبی </w:t>
      </w:r>
      <w:r>
        <w:rPr>
          <w:rStyle w:val="FootnoteAnchor"/>
          <w:rtl w:val="true"/>
        </w:rPr>
        <w:footnoteReference w:id="68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سعید </w:t>
      </w:r>
      <w:r>
        <w:rPr>
          <w:rStyle w:val="FootnoteAnchor"/>
          <w:rtl w:val="true"/>
        </w:rPr>
        <w:footnoteReference w:id="685"/>
      </w:r>
      <w:r>
        <w:rPr>
          <w:rFonts w:ascii="Amiri" w:hAnsi="Amiri" w:eastAsia="Amiri" w:cs="Amiri"/>
          <w:color w:val="111111"/>
          <w:sz w:val="28"/>
          <w:sz w:val="28"/>
          <w:szCs w:val="28"/>
          <w:rtl w:val="true"/>
          <w:lang w:bidi="ar-SA"/>
        </w:rPr>
        <w:t xml:space="preserve">و ابن زهرة </w:t>
      </w:r>
      <w:r>
        <w:rPr>
          <w:rStyle w:val="FootnoteAnchor"/>
          <w:rtl w:val="true"/>
        </w:rPr>
        <w:footnoteReference w:id="686"/>
      </w:r>
      <w:r>
        <w:rPr>
          <w:rFonts w:ascii="IRNazanin" w:hAnsi="IRNazanin" w:eastAsia="IRNazanin"/>
          <w:color w:val="111111"/>
          <w:sz w:val="28"/>
          <w:sz w:val="28"/>
          <w:szCs w:val="28"/>
          <w:rtl w:val="true"/>
          <w:lang w:bidi="fa-IR"/>
        </w:rPr>
        <w:t xml:space="preserve">و الحلی </w:t>
      </w:r>
      <w:r>
        <w:rPr>
          <w:rStyle w:val="FootnoteAnchor"/>
          <w:rtl w:val="true"/>
        </w:rPr>
        <w:footnoteReference w:id="687"/>
      </w:r>
      <w:r>
        <w:rPr>
          <w:rFonts w:ascii="IRNazanin" w:hAnsi="IRNazanin" w:eastAsia="IRNazanin"/>
          <w:color w:val="111111"/>
          <w:sz w:val="28"/>
          <w:sz w:val="28"/>
          <w:szCs w:val="28"/>
          <w:rtl w:val="true"/>
          <w:lang w:bidi="fa-IR"/>
        </w:rPr>
        <w:t xml:space="preserve">و المحقق </w:t>
      </w:r>
      <w:r>
        <w:rPr>
          <w:rStyle w:val="FootnoteAnchor"/>
          <w:rtl w:val="true"/>
        </w:rPr>
        <w:footnoteReference w:id="688"/>
      </w:r>
      <w:r>
        <w:rPr>
          <w:rFonts w:ascii="IRNazanin" w:hAnsi="IRNazanin" w:eastAsia="IRNazanin"/>
          <w:color w:val="111111"/>
          <w:sz w:val="28"/>
          <w:sz w:val="28"/>
          <w:szCs w:val="28"/>
          <w:rtl w:val="true"/>
          <w:lang w:bidi="fa-IR"/>
        </w:rPr>
        <w:t xml:space="preserve">و کاشف الرموز </w:t>
      </w:r>
      <w:r>
        <w:rPr>
          <w:rStyle w:val="FootnoteAnchor"/>
          <w:rtl w:val="true"/>
        </w:rPr>
        <w:footnoteReference w:id="689"/>
      </w:r>
      <w:r>
        <w:rPr>
          <w:rFonts w:ascii="IRNazanin" w:hAnsi="IRNazanin" w:eastAsia="IRNazanin"/>
          <w:color w:val="111111"/>
          <w:sz w:val="28"/>
          <w:sz w:val="28"/>
          <w:szCs w:val="28"/>
          <w:rtl w:val="true"/>
          <w:lang w:bidi="fa-IR"/>
        </w:rPr>
        <w:t xml:space="preserve">و المصنّف فی غیر المختلف </w:t>
      </w:r>
      <w:r>
        <w:rPr>
          <w:rStyle w:val="FootnoteAnchor"/>
          <w:rtl w:val="true"/>
        </w:rPr>
        <w:footnoteReference w:id="690"/>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69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692"/>
      </w:r>
      <w:r>
        <w:rPr>
          <w:rFonts w:ascii="IRNazanin" w:hAnsi="IRNazanin" w:eastAsia="IRNazanin"/>
          <w:color w:val="111111"/>
          <w:sz w:val="28"/>
          <w:sz w:val="28"/>
          <w:szCs w:val="28"/>
          <w:rtl w:val="true"/>
          <w:lang w:bidi="fa-IR"/>
        </w:rPr>
        <w:t xml:space="preserve">و صاحب الموجز </w:t>
      </w:r>
      <w:r>
        <w:rPr>
          <w:rStyle w:val="FootnoteAnchor"/>
          <w:rtl w:val="true"/>
        </w:rPr>
        <w:footnoteReference w:id="693"/>
      </w:r>
      <w:r>
        <w:rPr>
          <w:rFonts w:ascii="IRNazanin" w:hAnsi="IRNazanin" w:eastAsia="IRNazanin"/>
          <w:color w:val="111111"/>
          <w:sz w:val="28"/>
          <w:sz w:val="28"/>
          <w:szCs w:val="28"/>
          <w:rtl w:val="true"/>
          <w:lang w:bidi="fa-IR"/>
        </w:rPr>
        <w:t xml:space="preserve">و شارحه </w:t>
      </w:r>
      <w:r>
        <w:rPr>
          <w:rStyle w:val="FootnoteAnchor"/>
          <w:rtl w:val="true"/>
        </w:rPr>
        <w:footnoteReference w:id="694"/>
      </w:r>
      <w:r>
        <w:rPr>
          <w:rFonts w:ascii="IRNazanin" w:hAnsi="IRNazanin" w:eastAsia="IRNazanin"/>
          <w:color w:val="111111"/>
          <w:sz w:val="28"/>
          <w:sz w:val="28"/>
          <w:szCs w:val="28"/>
          <w:rtl w:val="true"/>
          <w:lang w:bidi="fa-IR"/>
        </w:rPr>
        <w:t xml:space="preserve">و غایة المرام </w:t>
      </w:r>
      <w:r>
        <w:rPr>
          <w:rStyle w:val="FootnoteAnchor"/>
          <w:rtl w:val="true"/>
        </w:rPr>
        <w:footnoteReference w:id="695"/>
      </w:r>
      <w:r>
        <w:rPr>
          <w:rFonts w:ascii="IRNazanin" w:hAnsi="IRNazanin" w:eastAsia="IRNazanin"/>
          <w:color w:val="111111"/>
          <w:sz w:val="28"/>
          <w:sz w:val="28"/>
          <w:szCs w:val="28"/>
          <w:rtl w:val="true"/>
          <w:lang w:bidi="fa-IR"/>
        </w:rPr>
        <w:t xml:space="preserve">و حاشیة المیسی </w:t>
      </w:r>
      <w:r>
        <w:rPr>
          <w:rStyle w:val="FootnoteAnchor"/>
          <w:rtl w:val="true"/>
        </w:rPr>
        <w:footnoteReference w:id="696"/>
      </w:r>
      <w:r>
        <w:rPr>
          <w:rFonts w:ascii="Amiri" w:hAnsi="Amiri" w:eastAsia="Amiri" w:cs="Amiri"/>
          <w:color w:val="111111"/>
          <w:sz w:val="28"/>
          <w:sz w:val="28"/>
          <w:szCs w:val="28"/>
          <w:rtl w:val="true"/>
          <w:lang w:bidi="ar-SA"/>
        </w:rPr>
        <w:t xml:space="preserve">و جُلّ من تأخّر عنهم </w:t>
      </w:r>
      <w:r>
        <w:rPr>
          <w:rStyle w:val="FootnoteAnchor"/>
          <w:rtl w:val="true"/>
        </w:rPr>
        <w:footnoteReference w:id="697"/>
      </w:r>
      <w:r>
        <w:rPr>
          <w:rFonts w:ascii="IRNazanin" w:hAnsi="IRNazanin" w:eastAsia="IRNazanin"/>
          <w:color w:val="111111"/>
          <w:sz w:val="28"/>
          <w:sz w:val="28"/>
          <w:szCs w:val="28"/>
          <w:rtl w:val="true"/>
          <w:lang w:bidi="fa-IR"/>
        </w:rPr>
        <w:t xml:space="preserve">، بل فی موضعٍ من الذکری نسبته إلی الأصحاب </w:t>
      </w:r>
      <w:r>
        <w:rPr>
          <w:rStyle w:val="FootnoteAnchor"/>
          <w:rtl w:val="true"/>
        </w:rPr>
        <w:footnoteReference w:id="698"/>
      </w:r>
      <w:r>
        <w:rPr>
          <w:rFonts w:ascii="IRNazanin" w:hAnsi="IRNazanin" w:eastAsia="IRNazanin"/>
          <w:color w:val="111111"/>
          <w:sz w:val="28"/>
          <w:sz w:val="28"/>
          <w:szCs w:val="28"/>
          <w:rtl w:val="true"/>
          <w:lang w:bidi="fa-IR"/>
        </w:rPr>
        <w:t xml:space="preserve">، بل عن الخلاف </w:t>
      </w:r>
      <w:r>
        <w:rPr>
          <w:rStyle w:val="FootnoteAnchor"/>
          <w:rtl w:val="true"/>
        </w:rPr>
        <w:footnoteReference w:id="699"/>
      </w:r>
      <w:r>
        <w:rPr>
          <w:rFonts w:ascii="IRNazanin" w:hAnsi="IRNazanin" w:eastAsia="IRNazanin"/>
          <w:color w:val="111111"/>
          <w:sz w:val="28"/>
          <w:sz w:val="28"/>
          <w:szCs w:val="28"/>
          <w:rtl w:val="true"/>
          <w:lang w:bidi="fa-IR"/>
        </w:rPr>
        <w:t xml:space="preserve">و الغنیة </w:t>
      </w:r>
      <w:r>
        <w:rPr>
          <w:rStyle w:val="FootnoteAnchor"/>
          <w:rtl w:val="true"/>
        </w:rPr>
        <w:footnoteReference w:id="700"/>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مضافاً إلی أنّه المتیقن من النفاس المخالف للأصل موضوعاً و حکماً، و لا یعارضه استصحاب موضوعه؛ لمنع جریانه فی التدریجیات، و لا استصحاب أحکامه، لأنّه فرع بقاء موضوعها، أعنی النفساء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الاستصحاب لا یجری فی بعض الصور کما لو حدث الدم بعد العشرة، و إلی أنّ النفاس حیض محتبس، و أنّ النفساء بمنزلة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المفید فی محکیّ کتاب أحکام النساء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النفاس لزمان أکثر من زمان الحیض</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و فی المقنعة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جاءت أخبار معتمدة فی أنّ أقصی مدّة النفاس أقصی مدّة الحیض و هی عشرة أیام</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بناء علی أنّ هذا من تتمة عبارة المقنعة کما استظهره جماعة </w:t>
      </w:r>
      <w:r>
        <w:rPr>
          <w:rStyle w:val="FootnoteAnchor"/>
          <w:rtl w:val="true"/>
        </w:rPr>
        <w:footnoteReference w:id="703"/>
      </w:r>
      <w:r>
        <w:rPr>
          <w:rFonts w:ascii="IRNazanin" w:hAnsi="IRNazanin" w:eastAsia="IRNazanin"/>
          <w:color w:val="111111"/>
          <w:sz w:val="28"/>
          <w:sz w:val="28"/>
          <w:szCs w:val="28"/>
          <w:rtl w:val="true"/>
          <w:lang w:bidi="fa-IR"/>
        </w:rPr>
        <w:t xml:space="preserve">، لا ابتداء کلام من التهذیب علی ما یظهر من الذکری </w:t>
      </w:r>
      <w:r>
        <w:rPr>
          <w:rStyle w:val="FootnoteAnchor"/>
          <w:rtl w:val="true"/>
        </w:rPr>
        <w:footnoteReference w:id="704"/>
      </w:r>
      <w:r>
        <w:rPr>
          <w:rFonts w:ascii="IRNazanin" w:hAnsi="IRNazanin" w:eastAsia="IRNazanin"/>
          <w:color w:val="111111"/>
          <w:sz w:val="28"/>
          <w:sz w:val="28"/>
          <w:szCs w:val="28"/>
          <w:rtl w:val="true"/>
          <w:lang w:bidi="fa-IR"/>
        </w:rPr>
        <w:t xml:space="preserve">و الروض </w:t>
      </w:r>
      <w:r>
        <w:rPr>
          <w:rStyle w:val="FootnoteAnchor"/>
          <w:rtl w:val="true"/>
        </w:rPr>
        <w:footnoteReference w:id="705"/>
      </w:r>
      <w:r>
        <w:rPr>
          <w:rFonts w:ascii="IRNazanin" w:hAnsi="IRNazanin" w:eastAsia="IRNazanin"/>
          <w:color w:val="111111"/>
          <w:sz w:val="28"/>
          <w:sz w:val="28"/>
          <w:szCs w:val="28"/>
          <w:rtl w:val="true"/>
          <w:lang w:bidi="fa-IR"/>
        </w:rPr>
        <w:t xml:space="preserve">بل السرائر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فلتقعد أیام قرئها التی کانت تقعد، ثمّ تستظهر بعشرة أیّام، فإن رأت دماً صبیباً فلتغتسل عند وقت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فإنّه لولا کون الأکثر عشرة لم یکن للاستظهار إلی العشرة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تستظهر بعد العادة بعشرة فیوافق روایات الثمانیة عشر و السبعة عشر، بعیدة من حیث السیاق، و إن کانت ظاهرة من حیث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فالأنسب ما ذکره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حروف الصفات یقوم بعضها مقام بعض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و المراد أنّها تستظهر تمام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الأخبار المستفیضة </w:t>
      </w:r>
      <w:r>
        <w:rPr>
          <w:rStyle w:val="FootnoteAnchor"/>
          <w:rtl w:val="true"/>
        </w:rPr>
        <w:footnoteReference w:id="709"/>
      </w:r>
      <w:r>
        <w:rPr>
          <w:rFonts w:ascii="IRNazanin" w:hAnsi="IRNazanin" w:eastAsia="IRNazanin"/>
          <w:color w:val="111111"/>
          <w:sz w:val="28"/>
          <w:sz w:val="28"/>
          <w:szCs w:val="28"/>
          <w:rtl w:val="true"/>
          <w:lang w:bidi="fa-IR"/>
        </w:rPr>
        <w:t>الدالة علی رجوع النفساء المعتادة فی الحیض إلی عادتها، و جعل ما سواها استحاضة مطلقاً أو بعد الاستظهار بما لا یزید علی تمام العشرة، فإنّها تدلّ علی إمکان بلوغ النفاس عشرة لإمکان بلوغ العادة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الزائد علیها لامتناع تجاوز العادة عنها حتّی بزیادة الاستظهار؛ لما دلّ من النصّ و الإجماع علی أنّ الاستظهار لا یشرع مع بلوغ العادة بنفسها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الروایات کما تری لا تثبت إلّا کون الأکثر عشرة بالنسبة إلی المعتادة بحیث یمکن بلوغ نفاسها و تمنع تجاوزه عنها، و لا دلالة فیها علی تحدید النفاس فی غیرها، بل لا تدلّ علی تحدید النفاس فی حقّ المعتادة أیضاً؛ لأنّ المراد من تحدید الأکثر هو جعل المجموع نفاساً عند انقطاع الدم علیه مطلقاً و إن تجاوز العادة و الاستظهار، و لا یستفاد هذا من تلک الروایات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ذکر بعضهم </w:t>
      </w:r>
      <w:r>
        <w:rPr>
          <w:rStyle w:val="FootnoteAnchor"/>
          <w:rtl w:val="true"/>
        </w:rPr>
        <w:footnoteReference w:id="710"/>
      </w:r>
      <w:r>
        <w:rPr>
          <w:rFonts w:ascii="IRNazanin" w:hAnsi="IRNazanin" w:eastAsia="IRNazanin"/>
          <w:color w:val="111111"/>
          <w:sz w:val="28"/>
          <w:sz w:val="28"/>
          <w:szCs w:val="28"/>
          <w:rtl w:val="true"/>
          <w:lang w:bidi="fa-IR"/>
        </w:rPr>
        <w:t>فی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الرجوع</w:t>
      </w:r>
    </w:p>
    <w:p>
      <w:pPr>
        <w:pStyle w:val="BookText"/>
        <w:rPr/>
      </w:pPr>
      <w:r>
        <w:rPr>
          <w:rFonts w:ascii="IRNazanin" w:hAnsi="IRNazanin" w:eastAsia="IRNazanin"/>
          <w:color w:val="111111"/>
          <w:sz w:val="28"/>
          <w:sz w:val="28"/>
          <w:szCs w:val="28"/>
          <w:rtl w:val="true"/>
          <w:lang w:bidi="fa-IR"/>
        </w:rPr>
        <w:t xml:space="preserve">إلی العادة أن لا یزید النفاس علی أقصی العادات التی هی العشرة، و فیه ما لا یخفی، کما فی ما قد یستفاد منها من کون النفاس حیضاً فی المعنی کما فی المدارک </w:t>
      </w:r>
      <w:r>
        <w:rPr>
          <w:rStyle w:val="FootnoteAnchor"/>
          <w:rtl w:val="true"/>
        </w:rPr>
        <w:footnoteReference w:id="711"/>
      </w:r>
      <w:r>
        <w:rPr>
          <w:rFonts w:ascii="IRNazanin" w:hAnsi="IRNazanin" w:eastAsia="IRNazanin"/>
          <w:color w:val="111111"/>
          <w:sz w:val="28"/>
          <w:sz w:val="28"/>
          <w:szCs w:val="28"/>
          <w:rtl w:val="true"/>
          <w:lang w:bidi="fa-IR"/>
        </w:rPr>
        <w:t>لأنّه مجرّد استبعاد لکون نفاس المعتادة عادتها و نفاس غیرها أکثر من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کان فیها دلالة من جهة الأمر فیها بالاستظهار یوماً أو یومین أو ثلاثة، بناءً علی أنّه لو لم یکن الأکثر عشرة لم یتحقق الاستظهار بهذا المقدار؛ إذ المراد من الاستظهار کما عرفت نظیره فی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ظهور الحال فی کون ما زاد عن العادة ینقطع علی العشرة حتی یعدّ نفاساً، أو لا، حتی یکون استحاضة؟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یرد علیه مضافاً إلی تمسّک الشیخ </w:t>
      </w:r>
      <w:r>
        <w:rPr>
          <w:rStyle w:val="FootnoteAnchor"/>
          <w:rtl w:val="true"/>
        </w:rPr>
        <w:footnoteReference w:id="712"/>
      </w:r>
      <w:r>
        <w:rPr>
          <w:rFonts w:ascii="IRNazanin" w:hAnsi="IRNazanin" w:eastAsia="IRNazanin"/>
          <w:color w:val="111111"/>
          <w:sz w:val="28"/>
          <w:sz w:val="28"/>
          <w:szCs w:val="28"/>
          <w:rtl w:val="true"/>
          <w:lang w:bidi="fa-IR"/>
        </w:rPr>
        <w:t xml:space="preserve">و غیره </w:t>
      </w:r>
      <w:r>
        <w:rPr>
          <w:rStyle w:val="FootnoteAnchor"/>
          <w:rtl w:val="true"/>
        </w:rPr>
        <w:footnoteReference w:id="713"/>
      </w:r>
      <w:r>
        <w:rPr>
          <w:rFonts w:ascii="IRNazanin" w:hAnsi="IRNazanin" w:eastAsia="IRNazanin"/>
          <w:color w:val="111111"/>
          <w:sz w:val="28"/>
          <w:sz w:val="28"/>
          <w:szCs w:val="28"/>
          <w:rtl w:val="true"/>
          <w:lang w:bidi="fa-IR"/>
        </w:rPr>
        <w:t>بروایات المعتادة الخالیة عن ذکر الاستظهار رأساً، و إن ذکروا ما اشتمل منها علی ذکر الاستظهار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الحال لا یحصل بالصبر یوماً أو یومین إلّا علی وجه الظنّ و التخمین، و إلّا فمجرّد تجاوز الدم عن عادة الخمسة أو الستّة بیوم لا یظهر منه کونه استحاضة، فجاز الاکتفاء بذلک فی النفاس و إن کان أکثره أزید من العشرة أیضاً، مع ما قد عرفت فی مسألة الاستظهار من احتمال کون المراد من الاستظهار الاحتیاط من طرف، من جهة احتمال بقاء النفاس أزید من العادة؛ فإنّ استعمال هذا اللفظ فی الاحتیاط کثیر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ما ذکرنا من اختصاص تلک الأخبار بتحدید أکثر النفاس للمعتادة دون غیرها الشارح فی الروض،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الأخبار الصحیحة لم یصرّح فیها برجوع المبتدأة و المضطربة إلی العشرة بل صرّح فیها برجوع المعتادة إلی عادتها، و لکن فیها إشعار بذلک؛ لأنّه ورد فی بعضها الاستظهار إلی العشرة کالحائض، فلو کان أکثره أقلّ منها لم یَستظهر إلیها </w:t>
      </w:r>
      <w:r>
        <w:rPr>
          <w:rStyle w:val="FootnoteAnchor"/>
          <w:rtl w:val="true"/>
        </w:rPr>
        <w:footnoteReference w:id="71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دلّ علی الاستظهار إلی العشرة له ظهور تامّ فی المطلب، سواء جعلنا الاستظهار بمعنی طلب الظهور أم جعلناه بمعنی الاحتیاط، فهو کافٍ مع ما قد عرفت من الشهرة المحقّقة و الإجماع المنقول </w:t>
      </w:r>
      <w:r>
        <w:rPr>
          <w:rStyle w:val="FootnoteAnchor"/>
          <w:rtl w:val="true"/>
        </w:rPr>
        <w:footnoteReference w:id="715"/>
      </w:r>
      <w:r>
        <w:rPr>
          <w:rFonts w:ascii="IRNazanin" w:hAnsi="IRNazanin" w:eastAsia="IRNazanin"/>
          <w:color w:val="111111"/>
          <w:sz w:val="28"/>
          <w:sz w:val="28"/>
          <w:szCs w:val="28"/>
          <w:rtl w:val="true"/>
          <w:lang w:bidi="fa-IR"/>
        </w:rPr>
        <w:t xml:space="preserve">و المرسلة الأُولی المتقدّمة عن المفید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أخبار 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المراد منها سواء کان من عبارة المقنعة أم من عبارة التهذیب أخبار الرجوع إلی العادة کما یظهر من التهذیب </w:t>
      </w:r>
      <w:r>
        <w:rPr>
          <w:rStyle w:val="FootnoteAnchor"/>
          <w:rtl w:val="true"/>
        </w:rPr>
        <w:footnoteReference w:id="717"/>
      </w:r>
      <w:r>
        <w:rPr>
          <w:rFonts w:ascii="IRNazanin" w:hAnsi="IRNazanin" w:eastAsia="IRNazanin"/>
          <w:color w:val="111111"/>
          <w:sz w:val="28"/>
          <w:sz w:val="28"/>
          <w:szCs w:val="28"/>
          <w:rtl w:val="true"/>
          <w:lang w:bidi="fa-IR"/>
        </w:rPr>
        <w:t xml:space="preserve">، و قد عرفت عدم دلالتها علی وجه تطمئنّ به النفس، حتّی أنّ روایة یونس بن یعقوب المتقدّمة </w:t>
      </w:r>
      <w:r>
        <w:rPr>
          <w:rStyle w:val="FootnoteAnchor"/>
          <w:rtl w:val="true"/>
        </w:rPr>
        <w:footnoteReference w:id="718"/>
      </w:r>
      <w:r>
        <w:rPr>
          <w:rFonts w:ascii="IRNazanin" w:hAnsi="IRNazanin" w:eastAsia="IRNazanin"/>
          <w:color w:val="111111"/>
          <w:sz w:val="28"/>
          <w:sz w:val="28"/>
          <w:szCs w:val="28"/>
          <w:rtl w:val="true"/>
          <w:lang w:bidi="fa-IR"/>
        </w:rPr>
        <w:t>لا تدلّ علی المطلوب علی وجه تطمئنّ به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حکایة الإجماع عن الخلاف، فالظاهر أنّه أراد به الإجماع علی نفی ما ذکره العامّة من التحدید بالأربعین أو الستین، فإنّ المحکیّ عنه فی الخلاف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النفاس عشرة أیام و ما زاد علیه حکمه حکم الاستحاضة، 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نقل أقوال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علی صحة ذلک إجماع الفرقة </w:t>
      </w:r>
      <w:r>
        <w:rPr>
          <w:rStyle w:val="FootnoteAnchor"/>
          <w:rtl w:val="true"/>
        </w:rPr>
        <w:footnoteReference w:id="719"/>
      </w:r>
      <w:r>
        <w:rPr>
          <w:rFonts w:ascii="IRNazanin" w:hAnsi="IRNazanin" w:eastAsia="IRNazanin"/>
          <w:color w:val="111111"/>
          <w:sz w:val="28"/>
          <w:sz w:val="28"/>
          <w:szCs w:val="28"/>
          <w:rtl w:val="true"/>
          <w:lang w:bidi="fa-IR"/>
        </w:rPr>
        <w:t>، انتهی، و یؤیّد ذلک أنّه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النفاس عند أکثر أصحابنا مثل أکثر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و عند قوم منهم یکون ثمانیة عشر یوماً </w:t>
      </w:r>
      <w:r>
        <w:rPr>
          <w:rStyle w:val="FootnoteAnchor"/>
          <w:rtl w:val="true"/>
        </w:rPr>
        <w:footnoteReference w:id="72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فلو لم یکن فی المسألة إلّا الأصل المتقدّم سابقاً، الذی أشار إلیه الشیخ فی الخلاف بقوله بعد دعوی إجماع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فإنّ الذی اعتبرناه مجمع علی کونه من النفاس </w:t>
      </w:r>
      <w:r>
        <w:rPr>
          <w:rStyle w:val="FootnoteAnchor"/>
          <w:rtl w:val="true"/>
        </w:rPr>
        <w:footnoteReference w:id="721"/>
      </w:r>
      <w:r>
        <w:rPr>
          <w:rFonts w:ascii="IRNazanin" w:hAnsi="IRNazanin" w:eastAsia="IRNazanin"/>
          <w:color w:val="111111"/>
          <w:sz w:val="28"/>
          <w:sz w:val="28"/>
          <w:szCs w:val="28"/>
          <w:rtl w:val="true"/>
          <w:lang w:bidi="fa-IR"/>
        </w:rPr>
        <w:t>، و فی التهذیب بقوله بعد نقل عبارة المقنعة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فی هذا أنّه قد ثبت أنّ ذمّة المرأة مرتهنة بالصلاة و الصوم قبل نفاسها بلا خلاف، فإذا طرأ علیها النفاس یجب أن لا یسقط عنها ما لزمها إلّا بدلالة، و لا خلاف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عشرة أیّام إذا رأت الدم من النفاس، و ما زاد علی ذلک مختلف فیه، فینبغی أن لا تصیر إلیه إلّا بما یقطع العذر و کلّ ما ورد من الأخبار المتضمّنة لما زاد علی عشرة أیّام فهی أخبار آحاد لا تقطع العذر، أو خبر خرج عن سببٍ أو لتقیّة </w:t>
      </w:r>
      <w:r>
        <w:rPr>
          <w:rStyle w:val="FootnoteAnchor"/>
          <w:rtl w:val="true"/>
        </w:rPr>
        <w:footnoteReference w:id="7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یظهر ضعف ما عن المفید </w:t>
      </w:r>
      <w:r>
        <w:rPr>
          <w:rStyle w:val="FootnoteAnchor"/>
          <w:rtl w:val="true"/>
        </w:rPr>
        <w:footnoteReference w:id="723"/>
      </w:r>
      <w:r>
        <w:rPr>
          <w:rFonts w:ascii="Amiri" w:hAnsi="Amiri" w:eastAsia="Amiri" w:cs="Amiri"/>
          <w:color w:val="111111"/>
          <w:sz w:val="28"/>
          <w:sz w:val="28"/>
          <w:szCs w:val="28"/>
          <w:rtl w:val="true"/>
          <w:lang w:bidi="ar-SA"/>
        </w:rPr>
        <w:t xml:space="preserve">و السیّد </w:t>
      </w:r>
      <w:r>
        <w:rPr>
          <w:rStyle w:val="FootnoteAnchor"/>
          <w:rtl w:val="true"/>
        </w:rPr>
        <w:footnoteReference w:id="724"/>
      </w:r>
      <w:r>
        <w:rPr>
          <w:rFonts w:ascii="IRNazanin" w:hAnsi="IRNazanin" w:eastAsia="IRNazanin"/>
          <w:color w:val="111111"/>
          <w:sz w:val="28"/>
          <w:sz w:val="28"/>
          <w:szCs w:val="28"/>
          <w:rtl w:val="true"/>
          <w:lang w:bidi="fa-IR"/>
        </w:rPr>
        <w:t xml:space="preserve">و الصدوق </w:t>
      </w:r>
      <w:r>
        <w:rPr>
          <w:rStyle w:val="FootnoteAnchor"/>
          <w:rtl w:val="true"/>
        </w:rPr>
        <w:footnoteReference w:id="725"/>
      </w:r>
      <w:r>
        <w:rPr>
          <w:rFonts w:ascii="IRNazanin" w:hAnsi="IRNazanin" w:eastAsia="IRNazanin"/>
          <w:color w:val="111111"/>
          <w:sz w:val="28"/>
          <w:sz w:val="28"/>
          <w:szCs w:val="28"/>
          <w:rtl w:val="true"/>
          <w:lang w:bidi="fa-IR"/>
        </w:rPr>
        <w:t xml:space="preserve">و الإسکافی </w:t>
      </w:r>
      <w:r>
        <w:rPr>
          <w:rStyle w:val="FootnoteAnchor"/>
          <w:rtl w:val="true"/>
        </w:rPr>
        <w:footnoteReference w:id="726"/>
      </w:r>
      <w:r>
        <w:rPr>
          <w:rFonts w:ascii="Amiri" w:hAnsi="Amiri" w:eastAsia="Amiri" w:cs="Amiri"/>
          <w:color w:val="111111"/>
          <w:sz w:val="28"/>
          <w:sz w:val="28"/>
          <w:szCs w:val="28"/>
          <w:rtl w:val="true"/>
          <w:lang w:bidi="ar-SA"/>
        </w:rPr>
        <w:t xml:space="preserve">و سلّار </w:t>
      </w:r>
      <w:r>
        <w:rPr>
          <w:rStyle w:val="FootnoteAnchor"/>
          <w:rtl w:val="true"/>
        </w:rPr>
        <w:footnoteReference w:id="727"/>
      </w:r>
      <w:r>
        <w:rPr>
          <w:rFonts w:ascii="IRNazanin" w:hAnsi="IRNazanin" w:eastAsia="IRNazanin"/>
          <w:color w:val="111111"/>
          <w:sz w:val="28"/>
          <w:sz w:val="28"/>
          <w:szCs w:val="28"/>
          <w:rtl w:val="true"/>
          <w:lang w:bidi="fa-IR"/>
        </w:rPr>
        <w:t xml:space="preserve">، و عزاه فی المبسوط إلی قومٍ من أصحابنا </w:t>
      </w:r>
      <w:r>
        <w:rPr>
          <w:rStyle w:val="FootnoteAnchor"/>
          <w:rtl w:val="true"/>
        </w:rPr>
        <w:footnoteReference w:id="728"/>
      </w:r>
      <w:r>
        <w:rPr>
          <w:rFonts w:ascii="IRNazanin" w:hAnsi="IRNazanin" w:eastAsia="IRNazanin"/>
          <w:color w:val="111111"/>
          <w:sz w:val="28"/>
          <w:sz w:val="28"/>
          <w:szCs w:val="28"/>
          <w:rtl w:val="true"/>
          <w:lang w:bidi="fa-IR"/>
        </w:rPr>
        <w:t>، و فی محکیّ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ممّا انفردت به الإمامیّة القول بأنّ أکثر النفاس مع الاستظهار التامّ ثمانیة عشر یوماً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الصدوق فی العلل عن حنان بن سدیر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أُعطیت النفساء ثمانیة عشر یوماً و لم تعط أقلّ و لا 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الحیض أقلّه ثلاثة أیام و أوسطه خمسة و أکثره عشرة، فأُعطیت أوّله و أوسطه و أکثره</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عن العیون فیما کتبه مولانا الرضا علیه السلام للمأمون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النفساء لا تقعد عن الصلاة أکثر من ثمانیة عشر یوماً</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النفساء کم تقعد؟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بنت عمیس نفست، فأمرها رسول اللّٰه صلی اللّٰه علیه و آله أن تغتسل لثمانیة عشر یوماً و لا بأس بأن تستظهر بیوم أو یومین</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بمضمونها من دون ذکر الاستظهار صحیحة زرارة </w:t>
      </w:r>
      <w:r>
        <w:rPr>
          <w:rStyle w:val="FootnoteAnchor"/>
          <w:rtl w:val="true"/>
        </w:rPr>
        <w:footnoteReference w:id="733"/>
      </w:r>
      <w:r>
        <w:rPr>
          <w:rFonts w:ascii="IRNazanin" w:hAnsi="IRNazanin" w:eastAsia="IRNazanin"/>
          <w:color w:val="111111"/>
          <w:sz w:val="28"/>
          <w:sz w:val="28"/>
          <w:szCs w:val="28"/>
          <w:rtl w:val="true"/>
          <w:lang w:bidi="fa-IR"/>
        </w:rPr>
        <w:t xml:space="preserve">و موثقة ابن مسلم و فضیل و زرارة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یحمل روایة الأعمش المحکیّة عن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النفساء لا تقعد أکثر من عشرین یوماً</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و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النفساء تسعة عشر یوماً فإن رأت دماً صنعت کما تصنع المستحاضة</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فإنّ الروایة الأُولی محمولة علی الاستظهار بیومین و الثانیة علی الاستظهار بیوم واحد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الروایات المشتملة علی قصّة أسماء، فبمعارضتها بما دلّ علی أنّ رسول اللّٰه صلی اللّٰه علیه و آله إنّما أمر أسماء بنت عمیس بالاغتسال؛ لأنّها سألته بعد الثمانیة عشر، و لو سألته قبل ذلک لأمرها بالاغتسال، ففی مرفوعة إبراهیم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امرأة أبا عبد اللّٰه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أقعد فی نفاسی عشرین یوماً حتی أفتونی بثمانیة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أفتوک بثمانیة عشر؟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الذی روی عن رسول اللّٰه صلی اللّٰه علیه و آله أنّه قال لأسماء بنت عمیس حین نفست بمحمّد ابن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سألت رسول اللّٰه صلی اللّٰه علیه و آله</w:t>
      </w:r>
    </w:p>
    <w:p>
      <w:pPr>
        <w:pStyle w:val="BookText"/>
        <w:rPr/>
      </w:pPr>
      <w:r>
        <w:rPr>
          <w:rFonts w:ascii="IRNazanin" w:hAnsi="IRNazanin" w:eastAsia="IRNazanin"/>
          <w:color w:val="111111"/>
          <w:sz w:val="28"/>
          <w:sz w:val="28"/>
          <w:szCs w:val="28"/>
          <w:rtl w:val="true"/>
          <w:lang w:bidi="fa-IR"/>
        </w:rPr>
        <w:t>و قد أتی لها ثمانیة عشر یوماً، و لو سألته قبل ذلک لأمرها أن تغتسل و تفعل کما تفعل المستحاضة</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المنتقی نقلًا عن کتاب الأغسال لأحمد بن محمد بن عیّاش الجوهری، عن حمران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امرأة محمد بن مسلم و کانت 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أبا جعفر عنی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أقعد فی نفاسی أربعین یوماً و إنّ أصحابنا ضیّقوا علیّ فجعلوها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أفتاها بثمانیة عشر؟ قلت الروایة التی رووها فی أسماء بنت عمیس أنّها نفست بمحمّد بن أبی بکر بذی الحلیفة،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أصنع؟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اغتسلی و احتشی و أهلیّ بالحجّ، فاغتسلت و احتشت و دخلت مکّة و لم تطف و لم تسع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انقضی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فرجعت إلی مکّة فأتت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أحرمت و لم أطف و لم أسع،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لک الیوم؟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فاخرجی الساعة و اغتسلی و طوفی واسعی، فاغتسلت و طافت و سعت و أحلّت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لو سألت رسول اللّٰه صلی اللّٰه علیه و آله قبل ذلک و أخبرته، لأمرها بما أمرها 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النفساء؟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أیامها التی کانت تطمث فیهنّ من أیام قرئها فإن هی طهرت و إلّا استظهرت بیوم أو ثلاثة أیام ثم اغتسلت و احتشت، فإن کان انقطاع الدم فقد طهرت، و إن لم ینقطع الدم فهی بمنزلة</w:t>
      </w:r>
    </w:p>
    <w:p>
      <w:pPr>
        <w:pStyle w:val="BookText"/>
        <w:rPr/>
      </w:pPr>
      <w:r>
        <w:rPr>
          <w:rFonts w:ascii="IRNazanin" w:hAnsi="IRNazanin" w:eastAsia="IRNazanin"/>
          <w:color w:val="111111"/>
          <w:sz w:val="28"/>
          <w:sz w:val="28"/>
          <w:szCs w:val="28"/>
          <w:rtl w:val="true"/>
          <w:lang w:bidi="fa-IR"/>
        </w:rPr>
        <w:t xml:space="preserve">المستحاضة تغتسل لکل صلاتین و تصلی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فلا بدّ من حمل الروایات المتقدمة الظاهرة فی اکتفاء الإمام علیه السلام عن بیان حکم النفساء بذکر قصة أسماء علی ما تقدّم عن الشیخ فی التهذیب </w:t>
      </w:r>
      <w:r>
        <w:rPr>
          <w:rStyle w:val="FootnoteAnchor"/>
          <w:rtl w:val="true"/>
        </w:rPr>
        <w:footnoteReference w:id="741"/>
      </w:r>
      <w:r>
        <w:rPr>
          <w:rFonts w:ascii="IRNazanin" w:hAnsi="IRNazanin" w:eastAsia="IRNazanin"/>
          <w:color w:val="111111"/>
          <w:sz w:val="28"/>
          <w:sz w:val="28"/>
          <w:szCs w:val="28"/>
          <w:rtl w:val="true"/>
          <w:lang w:bidi="fa-IR"/>
        </w:rPr>
        <w:t>، من خروجه بسبب خاص أو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محکیّ 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استبعد کون التفصیل المذکور من قصة أسماء بکماله محمولًا علی التقیّة، لأمکن المصیر إلی أنّ القدر الذی یستبعد فیه ذلک منسوخ؛ لأنّه متقدم، و الرجوع إلی العادة متأخّر، فإذا تعذّر الجمع تعیّن النسخ و یکون التقریر للحکم بعد نسخه محمولًا علی التقیّة </w:t>
      </w:r>
      <w:r>
        <w:rPr>
          <w:rStyle w:val="FootnoteAnchor"/>
          <w:rtl w:val="true"/>
        </w:rPr>
        <w:footnoteReference w:id="74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التمسّک بروایتی العشرین و التسعة عشر؛ لابتنائهما علی سلامة روایات الثمانیة عشر، لتکون الروایتان محمولتین علی الاستظهار بیوم أو یومین، و إلّا فالقول بهما خلاف الإجماع بل اتفاق المسلمین، بل الاستظهار فی غیر المعتادة خلاف ما علیه غیر شاذّ من أصحابنا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الروایتان الأُولیان، فإن أُرید أن یرفع بهما الید عن الأخبار المستفیضة أو المتواترة الدالّة علی رجوع النفساء إلی عادة حیضها، فهو فی غایة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ثبوت الحکم بهما فی غیر المعتادة من المبتدأة</w:t>
      </w:r>
    </w:p>
    <w:p>
      <w:pPr>
        <w:pStyle w:val="BookText"/>
        <w:rPr/>
      </w:pPr>
      <w:r>
        <w:rPr>
          <w:rFonts w:ascii="IRNazanin" w:hAnsi="IRNazanin" w:eastAsia="IRNazanin"/>
          <w:color w:val="111111"/>
          <w:sz w:val="28"/>
          <w:sz w:val="28"/>
          <w:szCs w:val="28"/>
          <w:rtl w:val="true"/>
          <w:lang w:bidi="fa-IR"/>
        </w:rPr>
        <w:t xml:space="preserve">و المضطربة کما صرّح به فی المختلف </w:t>
      </w:r>
      <w:r>
        <w:rPr>
          <w:rStyle w:val="FootnoteAnchor"/>
          <w:rtl w:val="true"/>
        </w:rPr>
        <w:footnoteReference w:id="743"/>
      </w:r>
      <w:r>
        <w:rPr>
          <w:rFonts w:ascii="IRNazanin" w:hAnsi="IRNazanin" w:eastAsia="IRNazanin"/>
          <w:color w:val="111111"/>
          <w:sz w:val="28"/>
          <w:sz w:val="28"/>
          <w:szCs w:val="28"/>
          <w:rtl w:val="true"/>
          <w:lang w:bidi="fa-IR"/>
        </w:rPr>
        <w:t xml:space="preserve">و استحسنه فی التنقیح </w:t>
      </w:r>
      <w:r>
        <w:rPr>
          <w:rStyle w:val="FootnoteAnchor"/>
          <w:rtl w:val="true"/>
        </w:rPr>
        <w:footnoteReference w:id="744"/>
      </w:r>
      <w:r>
        <w:rPr>
          <w:rFonts w:ascii="IRNazanin" w:hAnsi="IRNazanin" w:eastAsia="IRNazanin"/>
          <w:color w:val="111111"/>
          <w:sz w:val="28"/>
          <w:sz w:val="28"/>
          <w:szCs w:val="28"/>
          <w:rtl w:val="true"/>
          <w:lang w:bidi="fa-IR"/>
        </w:rPr>
        <w:t xml:space="preserve">فهو لا یخلو من قوّة؛ لاعتضاد الروایتین بعمل مثل السید و بدعواه الإجماع </w:t>
      </w:r>
      <w:r>
        <w:rPr>
          <w:rStyle w:val="FootnoteAnchor"/>
          <w:rtl w:val="true"/>
        </w:rPr>
        <w:footnoteReference w:id="745"/>
      </w:r>
      <w:r>
        <w:rPr>
          <w:rFonts w:ascii="IRNazanin" w:hAnsi="IRNazanin" w:eastAsia="IRNazanin"/>
          <w:color w:val="111111"/>
          <w:sz w:val="28"/>
          <w:sz w:val="28"/>
          <w:szCs w:val="28"/>
          <w:rtl w:val="true"/>
          <w:lang w:bidi="fa-IR"/>
        </w:rPr>
        <w:t>، و إن کان الظاهر من عبارة الانتصار کونه فی مقام نفی الزائد ردّاً علی العامة، ففی عمله کفایة عن دعواه، بل یمکن التمسک بالروایات الأُخر بناءً علی رفع المنافاة بینهما و بین ما ذکرنا من الروایتین بأنّ المقصود فیهما رفع توهّم الراوی بل أکثر الناس فی ذلک الزمان بثبوت الثمانیة عشر حتی للمعتادة؛ لما اشتهر من قضیّة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علیه السلام بعدم دلالة ذلک علی ثبوت الثمانیة عشر مطلقاً، و لذا لمّا سأله الراوی فی روایة المنتقی، اقتصر علی بیان أنّ المعتادة تأخذ عادتها، فیکشف هذا عن اهتمامه علیه السلام بردعهم عن العمل بقضیّة أسماء فی المعتادة التی هی أغلب أفراد النفساوات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فی روایات الردع عن العمل بقضیة أسماء إلّا رفع الإیجاب الکلیّ الذی توهّموه من تلک القضیّة، و المتیقّن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بالنسبة إلی المعتادة، فهی ساکتة بالنسبة إلی تقریر العمل بها فی غیر المعتادة و الردع عنه، فیخصّص بها عموم ما دلّ علی الثمانیة عشر مطلقاً بغیر المعتادة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علی هذا التقدیر أنّ أسماء إن کانت معتادة فلا وجه للاستشهاد بقضیّتها فی حکم غیر المعتادة، و إن کانت غیر معتادة کان ما دلّ علی الردع عن العمل بقضیة أسماء معارضاً لما دلّ علی الثمانیة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یختار الأوّل و یکون الاستشهاد بها لغیر المعتادة لمجرّد اشتهار إطلاقها بین الناس و کونه مستنداً مأثوراً عن رسول اللّٰه صلی اللّٰه علیه و آله، فإنّ مولانا أبا جعفر علیه السلام کثیراً ما کان یسند الحکم إلی رسول اللّٰه صلی اللّٰه علیه و آله؛ لیقع الحکم فی قلوب الخاصّة و العامّة، و لذا کان علیه السلام قد یسند الحکم إلی جابر بن عبد اللّٰه الأنصاری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کلّه صحة التمسک لهذا القول بأخبار هذه القضیة و عدم التنافی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عموم أدلّة أحکام النفاس و النفساء، بناء علی أنّ النفاس لیس له حقیقة شرعیّة و یصدق عرفاً بعد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ذلک بما دلّ علی أنّ النفاس حیض محتبس ضعیفة؛ إذ لا إشکال فی أنّ الأحکام الواردة فی الشریعة للحیض إنّما هی لغیر المحتبس من الحیض، فکون الحیض المحتبس بمنزلة غیر المحتبس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تخصیص ذلک العموم بما دلّ علی أنّ النفساء کالحائض؛ إذ لو سلّم وجود دلیل یدلّ علیه فلا یراد منه إلّا کون المرأة المتلبّسة بهذا الوصف بمنزلة المتلبّسة بذلک الوصف فی الأحکام، فهذا التنزیل بعد الفراغ عن اتّصاف هذه بالنفاس و تلک بالحیض، و الکلام هنا فی أنّ ما زاد علی العشرة نفاس حتی یکون صاحبها نفساء فیکون بمنزلة الحائض، أم لا؟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قوّیناه من اختصاص الثمانیة عشر بغیر المعتادة قول بالفصل غیر معهود بین الأصحاب، و إن قال به فی المختلف </w:t>
      </w:r>
      <w:r>
        <w:rPr>
          <w:rStyle w:val="FootnoteAnchor"/>
          <w:rtl w:val="true"/>
        </w:rPr>
        <w:footnoteReference w:id="746"/>
      </w:r>
      <w:r>
        <w:rPr>
          <w:rFonts w:ascii="IRNazanin" w:hAnsi="IRNazanin" w:eastAsia="IRNazanin"/>
          <w:color w:val="111111"/>
          <w:sz w:val="28"/>
          <w:sz w:val="28"/>
          <w:szCs w:val="28"/>
          <w:rtl w:val="true"/>
          <w:lang w:bidi="fa-IR"/>
        </w:rPr>
        <w:t>و استحسنه</w:t>
      </w:r>
    </w:p>
    <w:p>
      <w:pPr>
        <w:pStyle w:val="BookText"/>
        <w:rPr/>
      </w:pPr>
      <w:r>
        <w:rPr>
          <w:rFonts w:ascii="IRNazanin" w:hAnsi="IRNazanin" w:eastAsia="IRNazanin"/>
          <w:color w:val="111111"/>
          <w:sz w:val="28"/>
          <w:sz w:val="28"/>
          <w:szCs w:val="28"/>
          <w:rtl w:val="true"/>
          <w:lang w:bidi="fa-IR"/>
        </w:rPr>
        <w:t xml:space="preserve">فی التنقیح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یکفی فی جواز الفصل ذهاب مثل المصنّف قدّس سرّه فی مثل المختلف الذی هو آخر کتبه، و اختیار صاحب التنقیح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من القدماء القائلین بهذا القول نفیهم کلّا لرجوع المعتادة إلی عادتها، 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النفاس ثمانیة عشر، قبالًا 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أکثره عشرة أنّ المراد بیان ما لا یمکن الزیادة علیه شرعاً، فلا ینافیه رجوع المعتادة إلی عادتها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العجب ممّن </w:t>
      </w:r>
      <w:r>
        <w:rPr>
          <w:rStyle w:val="FootnoteAnchor"/>
          <w:rtl w:val="true"/>
        </w:rPr>
        <w:footnoteReference w:id="748"/>
      </w:r>
      <w:r>
        <w:rPr>
          <w:rFonts w:ascii="IRNazanin" w:hAnsi="IRNazanin" w:eastAsia="IRNazanin"/>
          <w:color w:val="111111"/>
          <w:sz w:val="28"/>
          <w:sz w:val="28"/>
          <w:szCs w:val="28"/>
          <w:rtl w:val="true"/>
          <w:lang w:bidi="fa-IR"/>
        </w:rPr>
        <w:t>استظهر ذلک و بالغ فیه عند ردّ ما ذکره الشهید فی الذکری من التنافی بین فتوی الأصحاب بالعشرة و دلالة الأخبار علی الأخذ بالعادة فی هذا القول، مع تقابل القولین و اتحاد مساقهما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حمل أخبار الثمانیة عشر علی المبتدأة حمل علی الفرد النادر و منافٍ لمورد الروایات الواردة فی قضیة أسماء؛ إذ لا یخفی أنّ الروایتین المتقدّمتین لم تدلّا علی وجوب قعود النفساء ثمانیة عشر حتی یکون حمله علی المبتدأة و المضطربة حملًا علی الفرد النادر، بل دلّت الاولی علی صیرورة الأکثر ثمانیة عشر فی الشرع کصیرورة أکثر الحیض عشرة، و الثانیة أیضاً صرّحت بأنّه لا تقعد النفساء أکثر من ثمانیة عشر، و لیس فی شی‌ءٍ من ذلک تقیید المطلق بالفرد النادر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فی قضیّة أسماء فقد تبع فیه جماعة </w:t>
      </w:r>
      <w:r>
        <w:rPr>
          <w:rStyle w:val="FootnoteAnchor"/>
          <w:rtl w:val="true"/>
        </w:rPr>
        <w:footnoteReference w:id="749"/>
      </w:r>
      <w:r>
        <w:rPr>
          <w:rFonts w:ascii="IRNazanin" w:hAnsi="IRNazanin" w:eastAsia="IRNazanin"/>
          <w:color w:val="111111"/>
          <w:sz w:val="28"/>
          <w:sz w:val="28"/>
          <w:szCs w:val="28"/>
          <w:rtl w:val="true"/>
          <w:lang w:bidi="fa-IR"/>
        </w:rPr>
        <w:t>، حیث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المصنف قدّس سرّه حمل قضیّة أسماء علی المبتدأة بالمعنی الأخصّ، فطعنوا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تزوّجت بأبی بکر بعد ما کانت عند جعفر بن أبی طالب و ولدت منه أولاداً، و الظاهر أنّ مراد المصنّف قدّس سرّه المبتدأة بالمعنی الأعمّ بل مطلق غیر المعتادة الشاملة للناسیة، و حمل قضیّة أسماء علی شی‌ءٍ من ذلک لا یبعد کلّ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ربما یذکر تبعاً لظاهر کلام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تلک الأخبار علی التقیّة </w:t>
      </w:r>
      <w:r>
        <w:rPr>
          <w:rStyle w:val="FootnoteAnchor"/>
          <w:rtl w:val="true"/>
        </w:rPr>
        <w:footnoteReference w:id="750"/>
      </w:r>
      <w:r>
        <w:rPr>
          <w:rFonts w:ascii="IRNazanin" w:hAnsi="IRNazanin" w:eastAsia="IRNazanin"/>
          <w:color w:val="111111"/>
          <w:sz w:val="28"/>
          <w:sz w:val="28"/>
          <w:szCs w:val="28"/>
          <w:rtl w:val="true"/>
          <w:lang w:bidi="fa-IR"/>
        </w:rPr>
        <w:t>و لو لم یعلم قائل بها من العامّة، فلعلّ القائل به کان موجوداً، أو أنّ المقصود بیان خلاف حکم اللّٰه بما یکون أقرب إلیه من حکم العامّة من کون الأکثر أربعین أو ستین، مع استناده علیه السلام فی ذلک إلی حکم رسول اللّٰه صلی اللّٰه علیه و آله، فهو بعید لا وجه لارتکابه بعد سلامتها عن معارض صریح أو ظاهر، إذ قد عرفت اختصاصها بغیر المعتادة بقرینة أخبار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فالإنصاف أنّ هذا القول لا یقصر فی القوّة عن القول المشهور، إلّا أنّ شهرته المحققة و نقل الإجماع علیه خصوصاً مع ما قیل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 السید و المفید عنه تمنع عن مخالفته، فالعمل علیه و الاحتیاط ممّا لا ینبغی ترکه بالجمع بعد العشرة بین وظیفتی النفساء و المستحاضة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 قولین آخرین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محکیّ عن العمانی، و هو أنّ أکثره أحد و عشرون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ثالث محکیّ عن المفید، و هو أحد عشر یوماً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کلاهما شاذّان، لم أقف لهما علی مستند، إلّا أنّ المصنّف فی التذکرة استدلّ للعمانی بصحیحة البزنطی عن الباقر علیه السلام </w:t>
      </w:r>
      <w:r>
        <w:rPr>
          <w:rStyle w:val="FootnoteAnchor"/>
          <w:rtl w:val="true"/>
        </w:rPr>
        <w:footnoteReference w:id="754"/>
      </w:r>
      <w:r>
        <w:rPr>
          <w:rFonts w:ascii="IRNazanin" w:hAnsi="IRNazanin" w:eastAsia="IRNazanin"/>
          <w:color w:val="111111"/>
          <w:sz w:val="28"/>
          <w:sz w:val="28"/>
          <w:szCs w:val="28"/>
          <w:rtl w:val="true"/>
          <w:lang w:bidi="fa-IR"/>
        </w:rPr>
        <w:t>، و المحقق فی المعتبر قال بعد نقل مذهب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ذلک البزنطی فی کتابه عن جمیل عن زرارة و محمد بن مسلم عن أبی جعفر علیه السلام </w:t>
      </w:r>
      <w:r>
        <w:rPr>
          <w:rStyle w:val="FootnoteAnchor"/>
          <w:rtl w:val="true"/>
        </w:rPr>
        <w:footnoteReference w:id="755"/>
      </w:r>
      <w:r>
        <w:rPr>
          <w:rFonts w:ascii="IRNazanin" w:hAnsi="IRNazanin" w:eastAsia="IRNazanin"/>
          <w:color w:val="111111"/>
          <w:sz w:val="28"/>
          <w:sz w:val="28"/>
          <w:szCs w:val="28"/>
          <w:rtl w:val="true"/>
          <w:lang w:bidi="fa-IR"/>
        </w:rPr>
        <w:t xml:space="preserve">، لکنه اعترف بعد ذلک بأنّ هذا القول متروک و الروایة نادرة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القول بأحد عشر، فلم نجد له مستنداً، و عن السرائر رجوع المفید عنه إلی العشرة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الأخبار الواردة بالزیادة علی ذلک، فهی ساقطة عند الأصحاب، واردة للتقیّة أو الاتّقاء عن 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النفاس عشرة، یعنون به عشرة متّصلة بزمان الولادة لا مطلقاً، و یتضمن أحکاماً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رأت دماً بعد العشرة لم یکن حیضاً سواء رأت قبلها أو لم تر، و لا خلاف فی ذلک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رأت أحد عشر یوماً لم یکن الحادی عشر نفاساً، و هذا محلّ خلاف بینهم،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الحکمان باعتبار العقد السلبی الذی یتضمّنه التحدید،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یتعدّی عن العشرة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العقد الإیجابی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وقوع النفاس إلی العشرة، و هذا بنفسه لا یدلّ علی وجوب قعود کلّ نفساء إلی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یثبت ذلک بضمیمة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علیها فی المقام المطابقة للعرف، من حیث صدق النفساء و النفاس و دم الولادة، لکنّها لا تنافی ما دلّ علی وجوب رجوع المعتادة إلی عادتها فی الحیض و جعل الباقی مطلقاً أو بعد الاستظهار استحاضة بشرط التجاوز عن العشرة، کما هو المشهور، أو مطلقاً کما احتمل أو قیل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کون أکثر الحیض عشرة لا ینافی ما دلّ علی وجوب رجوع المعتادة إلی عادتها و جعل الباقی مطلقاً أو بعد الاستظهار استحاضة بشرط التجاوز أو مطلقاً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المذکور من المشهور لا یقتضی وجوب قعود المرأة بالفعل و لو کانت معتادة لدون العشرة إلی العشرة، بل غایته عدم امتناع العشرة، 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لیس مسوقاً لبیان إمکان الأکثر فقط بل له و لبیان امتناع الزائد، و لذا تراهم یستدلّون علی ذلک بأخبار رجوع المعتادة إلی عادتها، فإنّها و إن لم تعیّن العشرة إلّا بعد إضافة الاستظهار إلی العشرة إلّا أنّها تکفی لنفی الزائد عن العشرة و إمکان کونه عشرة لإمکان کون العادة عشرة بل وقوعه أحیانا، لکن الظاهر من أکثر کلمات المشهور سیّما القدماء وجوب ذلک علی النفساء بحیث یظهر أنّ مرادهم لیس بیان مجرد الإمکان، نظیر قولهم فی الحیض، بل مرادهم وجوب التنفّس فعلًا إلی العشرة علی مطلق النفساء إلّا أن تنقی قبل العشرة، و من هنا ذکر</w:t>
      </w:r>
    </w:p>
    <w:p>
      <w:pPr>
        <w:pStyle w:val="BookText"/>
        <w:rPr/>
      </w:pPr>
      <w:r>
        <w:rPr>
          <w:rFonts w:ascii="IRNazanin" w:hAnsi="IRNazanin" w:eastAsia="IRNazanin"/>
          <w:color w:val="111111"/>
          <w:sz w:val="28"/>
          <w:sz w:val="28"/>
          <w:szCs w:val="28"/>
          <w:rtl w:val="true"/>
          <w:lang w:bidi="fa-IR"/>
        </w:rPr>
        <w:t>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الصحیحة المشهورة تشهد برجوعها إلی عادتها فی الحیض و الأصحاب یفتون بالعشرة و بینهما تناف ظاهر </w:t>
      </w:r>
      <w:r>
        <w:rPr>
          <w:rStyle w:val="FootnoteAnchor"/>
          <w:rtl w:val="true"/>
        </w:rPr>
        <w:footnoteReference w:id="75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تصدّی جماعة من المتأخّرین </w:t>
      </w:r>
      <w:r>
        <w:rPr>
          <w:rStyle w:val="FootnoteAnchor"/>
          <w:rtl w:val="true"/>
        </w:rPr>
        <w:footnoteReference w:id="760"/>
      </w:r>
      <w:r>
        <w:rPr>
          <w:rFonts w:ascii="IRNazanin" w:hAnsi="IRNazanin" w:eastAsia="IRNazanin"/>
          <w:color w:val="111111"/>
          <w:sz w:val="28"/>
          <w:sz w:val="28"/>
          <w:szCs w:val="28"/>
          <w:rtl w:val="true"/>
          <w:lang w:bidi="fa-IR"/>
        </w:rPr>
        <w:t>تبعاً لکاشف اللثام لدفع التنافی و الردّ علی الشهید قدّس سرّه بما ذکره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تنافی عندی بین الرجوع إلی العادة و الفتوی بالعشرة؛ فإنّهم یفتون بأنّها أکثره، لا بکونها کلّها نفاساً إذا تعدّاها الدم، و إن کانت ذات عادة، و لم ینصّ علیه فیما أعلم غیر المحقق </w:t>
      </w:r>
      <w:r>
        <w:rPr>
          <w:rStyle w:val="FootnoteAnchor"/>
          <w:rtl w:val="true"/>
        </w:rPr>
        <w:footnoteReference w:id="7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نظیر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الحیض عشرة أیّام؛ فإنّه لا تنافی الحکم برجوع المعتادة إلی عادتها إذا تجاوز الدم العشرة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التوجیه حسن لو استظهر الشهید فتوی الأصحاب بالعشرة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أکثر النفاس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وجه لهذا الاستظهار أصلًا لما عرفت من أنّ هذا الکلام فی مقام بیان إمکان بلوغه عشرة و امتناع تجاوزه عنه، لکن الظاهر أنّ مستند الشهید فی نسبة ذلک إلیهم ملاحظة ظاهر أکثرهم و صریح بعضهم فی کلماتهم الأُخر غیر التحدید المذکور؛ فإنّ أکثر کلمات أرباب کلٍّ من القولین المتقدّمین ظاهر فی وجوب قعود المرأة عشرة أو ثمانیة عشر عند استمرار الدم، و جعل الزائد استحاضة من غیر إشارة إلی الفرق بین المعتادة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ولدت المرأة، قعدت عن الصلاة عشرة أیّام إلّا أنْ تطهر قبل ذلک، فإن استمرّ بها الدم ترکت الصلاة ما بینها و بین ثمانیة عشر یوماً؛ لأنّ أسماء بنت عمیس نفست بمحمد بن أبی بکر فی حجة الوداع فأمرها أن تقعد ثمانیة عشر یوماً </w:t>
      </w:r>
      <w:r>
        <w:rPr>
          <w:rStyle w:val="FootnoteAnchor"/>
          <w:rtl w:val="true"/>
        </w:rPr>
        <w:footnoteReference w:id="76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أیّام النفاس ثمانیة عشر یوماً، فإن رأت الدم یوم التاسع عشر من وضعها الحمل، فلیس ذلک من النفاس و إنما هو استحاضة، و تفعل بما رسمناه للمستحاضة و تصلی و تصوم </w:t>
      </w:r>
      <w:r>
        <w:rPr>
          <w:rStyle w:val="FootnoteAnchor"/>
          <w:rtl w:val="true"/>
        </w:rPr>
        <w:footnoteReference w:id="76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ممّا انفردت به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أیّام النفاس مع الاستظهار التام ثمانیة عشر یوماً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المسلمین أن عشرة أیّام إذا رأت الدم من النفاس، و ما زاد علی ذلک مختلف فیه </w:t>
      </w:r>
      <w:r>
        <w:rPr>
          <w:rStyle w:val="FootnoteAnchor"/>
          <w:rtl w:val="true"/>
        </w:rPr>
        <w:footnoteReference w:id="7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 عشرة أیّام، فکلّ دم تراه بعدها فهو استحاضة </w:t>
      </w:r>
      <w:r>
        <w:rPr>
          <w:rStyle w:val="FootnoteAnchor"/>
          <w:rtl w:val="true"/>
        </w:rPr>
        <w:footnoteReference w:id="76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حکمها حکم الحائض فی جمیع أحکامها اللازمة علیها بغیر خلاف، و فی أکثر أیامها علی الصحیح من الأقوال و المذاهب؛ لأن بعض أصحابنا یذهبون إلی أنّ أکثر أیام النفاس عند استمرار دمها ثمانیة</w:t>
      </w:r>
    </w:p>
    <w:p>
      <w:pPr>
        <w:pStyle w:val="BookText"/>
        <w:rPr/>
      </w:pPr>
      <w:r>
        <w:rPr>
          <w:rFonts w:ascii="IRNazanin" w:hAnsi="IRNazanin" w:eastAsia="IRNazanin"/>
          <w:color w:val="111111"/>
          <w:sz w:val="28"/>
          <w:sz w:val="28"/>
          <w:szCs w:val="28"/>
          <w:rtl w:val="true"/>
          <w:lang w:bidi="fa-IR"/>
        </w:rPr>
        <w:t>عشر یوماً، ذهب إلیه السید المرتضی فی بعض کتبه و الشیخ المفید، و عدلا عنه فی تصنیف آخر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السید عن ذلک فی مسائل خلافه؛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أنّ الحد فی نفاس المرأة أیام حیضها الذی تقعدها یعنی أکثرها </w:t>
      </w:r>
      <w:r>
        <w:rPr>
          <w:rStyle w:val="FootnoteAnchor"/>
          <w:rtl w:val="true"/>
        </w:rPr>
        <w:footnoteReference w:id="76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نقل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کم قدر ما تقعد النفساء عن الصلاة، و کم یبلغ أیام ذلک؛ فقد رأیت فی کتاب أحکام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یوماً، و فی الرسالة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یوماً، و فی کتاب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 عشرون یوماً، فعلی أیّها العمل؟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علیها أن تقعد عشرة أیام </w:t>
      </w:r>
      <w:r>
        <w:rPr>
          <w:rStyle w:val="FootnoteAnchor"/>
          <w:rtl w:val="true"/>
        </w:rPr>
        <w:footnoteReference w:id="76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المحقق فی المعتبر </w:t>
      </w:r>
      <w:r>
        <w:rPr>
          <w:rStyle w:val="FootnoteAnchor"/>
          <w:rtl w:val="true"/>
        </w:rPr>
        <w:footnoteReference w:id="769"/>
      </w:r>
      <w:r>
        <w:rPr>
          <w:rFonts w:ascii="IRNazanin" w:hAnsi="IRNazanin" w:eastAsia="IRNazanin"/>
          <w:color w:val="111111"/>
          <w:sz w:val="28"/>
          <w:sz w:val="28"/>
          <w:szCs w:val="28"/>
          <w:rtl w:val="true"/>
          <w:lang w:bidi="fa-IR"/>
        </w:rPr>
        <w:t xml:space="preserve">و النافع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تصبر إلی النقاء أو مضیّ عشرة من غیر تفصیل بین المعتادة و غیرها، و استدلّ فی المعتبر علی ذلک بروایة یونس المتقدّمة الدالّة علی الاستظهار بعشرة،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رویتم أنّها تستظهر بیوم أو یومین؟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یختلف بحسب عوائد النساء، مَن عادتها تسع تستظهر فی النفاس بیوم، و مَن عادتها ثمان تستظهر بیومین، و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حکم النفاس ما دام الدم مستمرا حتی تمضی لها عشرة ثم تصیر مستحاضة </w:t>
      </w:r>
      <w:r>
        <w:rPr>
          <w:rStyle w:val="FootnoteAnchor"/>
          <w:rtl w:val="true"/>
        </w:rPr>
        <w:footnoteReference w:id="77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نحوها فی إطلاق وجوب الصبر إلی العشرة من غیر تفصیل بین المعتادة و غیرها، متمسّکاً بروایة یونس و الجمع بینها و بین غیرها بما فی المعتبر عبارة المصنف فی التذکرة </w:t>
      </w:r>
      <w:r>
        <w:rPr>
          <w:rStyle w:val="FootnoteAnchor"/>
          <w:rtl w:val="true"/>
        </w:rPr>
        <w:footnoteReference w:id="772"/>
      </w:r>
      <w:r>
        <w:rPr>
          <w:rFonts w:ascii="IRNazanin" w:hAnsi="IRNazanin" w:eastAsia="IRNazanin"/>
          <w:color w:val="111111"/>
          <w:sz w:val="28"/>
          <w:sz w:val="28"/>
          <w:szCs w:val="28"/>
          <w:rtl w:val="true"/>
          <w:lang w:bidi="fa-IR"/>
        </w:rPr>
        <w:t xml:space="preserve">، و ظاهرها وجوب الاستظهار فی النفاس بتمام العشرة و حمل اختلاف مقدار الاستظهار فی الأخبار علی اختلاف العادات، و لا ینافی ذلک قوله فی الحیض بعدم وجوب الاستظهار و کون مقداره یوماً أو یومین و جواز الاستظهار إلی العشرة </w:t>
      </w:r>
      <w:r>
        <w:rPr>
          <w:rStyle w:val="FootnoteAnchor"/>
          <w:rtl w:val="true"/>
        </w:rPr>
        <w:footnoteReference w:id="773"/>
      </w:r>
      <w:r>
        <w:rPr>
          <w:rFonts w:ascii="IRNazanin" w:hAnsi="IRNazanin" w:eastAsia="IRNazanin"/>
          <w:color w:val="111111"/>
          <w:sz w:val="28"/>
          <w:sz w:val="28"/>
          <w:szCs w:val="28"/>
          <w:rtl w:val="true"/>
          <w:lang w:bidi="fa-IR"/>
        </w:rPr>
        <w:t>لعدم التلازم بین المسألتین مع احتمال الرجوع عمّا ذکر فی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ذلک ما أُورد </w:t>
      </w:r>
      <w:r>
        <w:rPr>
          <w:rStyle w:val="FootnoteAnchor"/>
          <w:rtl w:val="true"/>
        </w:rPr>
        <w:footnoteReference w:id="774"/>
      </w:r>
      <w:r>
        <w:rPr>
          <w:rFonts w:ascii="IRNazanin" w:hAnsi="IRNazanin" w:eastAsia="IRNazanin"/>
          <w:color w:val="111111"/>
          <w:sz w:val="28"/>
          <w:sz w:val="28"/>
          <w:szCs w:val="28"/>
          <w:rtl w:val="true"/>
          <w:lang w:bidi="fa-IR"/>
        </w:rPr>
        <w:t>علی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ذکر روایة یونس فی باب الحیض و أجاب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أخبار الیوم و الیومین أقوی و أکثر و أشبه بالأصل </w:t>
      </w:r>
      <w:r>
        <w:rPr>
          <w:rStyle w:val="FootnoteAnchor"/>
          <w:rtl w:val="true"/>
        </w:rPr>
        <w:footnoteReference w:id="775"/>
      </w:r>
      <w:r>
        <w:rPr>
          <w:rFonts w:ascii="IRNazanin" w:hAnsi="IRNazanin" w:eastAsia="IRNazanin"/>
          <w:color w:val="111111"/>
          <w:sz w:val="28"/>
          <w:sz w:val="28"/>
          <w:szCs w:val="28"/>
          <w:rtl w:val="true"/>
          <w:lang w:bidi="fa-IR"/>
        </w:rPr>
        <w:t>، و هنا قد أخذ بها و حمل ما عداها علی اختلاف العادات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علیک أنّ هذه الروایة غیر الروایة التی وردت فی الحیض، رواها الشیخ فی باب النفاس، و روی نظیرها الواردة فی الحیض فی باب زیادات الحیض </w:t>
      </w:r>
      <w:r>
        <w:rPr>
          <w:rStyle w:val="FootnoteAnchor"/>
          <w:rtl w:val="true"/>
        </w:rPr>
        <w:footnoteReference w:id="776"/>
      </w:r>
      <w:r>
        <w:rPr>
          <w:rFonts w:ascii="IRNazanin" w:hAnsi="IRNazanin" w:eastAsia="IRNazanin"/>
          <w:color w:val="111111"/>
          <w:sz w:val="28"/>
          <w:sz w:val="28"/>
          <w:szCs w:val="28"/>
          <w:rtl w:val="true"/>
          <w:lang w:bidi="fa-IR"/>
        </w:rPr>
        <w:t>، و کیف یظن به أن یتمسّک بما ورد فی الحیض لحکم النفاس؟</w:t>
      </w:r>
    </w:p>
    <w:p>
      <w:pPr>
        <w:pStyle w:val="BookText"/>
        <w:rPr/>
      </w:pPr>
      <w:r>
        <w:rPr>
          <w:rFonts w:ascii="IRNazanin" w:hAnsi="IRNazanin" w:eastAsia="IRNazanin"/>
          <w:color w:val="111111"/>
          <w:sz w:val="28"/>
          <w:sz w:val="28"/>
          <w:szCs w:val="28"/>
          <w:rtl w:val="true"/>
          <w:lang w:bidi="fa-IR"/>
        </w:rPr>
        <w:t>و ذکر المحقّق فی الفرع السادس من فروع مسألة أکثر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ترجع النفساء مع تجاوز الدم إلی عادة نفاسها و لا إلی عادتها فی الحیض و لا إلی عادة نسائها، بل تجعل عشرة نفاساً و ما زاد استحاضة حتّی تستوفی عشرة و هو أقل الطهر </w:t>
      </w:r>
      <w:r>
        <w:rPr>
          <w:rStyle w:val="FootnoteAnchor"/>
          <w:rtl w:val="true"/>
        </w:rPr>
        <w:footnoteReference w:id="77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غلّطه المصنف فی المنتهی، حیث إنّه بعد ما اختار أنّ القطنة إذا خرجت ملوّثة صبرت المرأة إلی النقاء أو مضی الأکثر إن کانت عادتها العشرة و إلّا صبرت عادتها خاصة و استظهرت بیوم أو 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البحث لو استمر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المتأخّرین غلط هنا فتوهّم أنّ مع الاستمرار تصبر عشرة و لا نعرف علیه دلیلًا سوی روایة یونس المتقدمة، ثمّ ردّها بعدم الدلالة،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المحتمل أن تکون عادتها ثمانیة أیّام أو تسعة </w:t>
      </w:r>
      <w:r>
        <w:rPr>
          <w:rStyle w:val="FootnoteAnchor"/>
          <w:rtl w:val="true"/>
        </w:rPr>
        <w:footnoteReference w:id="77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تخطئة المحقق إنّما هو فیما حکم به فی الفرع السادس من عدم رجوع النفساء إلی عادة حیضها مع تجاوز الدم العشرة و إن کان عبارة المنتهی لا تأبی عن توجیه الإیراد إلی ما ذکره المحقق أوّلا من إطلاق وجوب حدّ النفساء إلی العشرة من غیر تفصیل بین المعتادة و غیرها کما یظهر ذلک من عبارة السرائر، لکنّک قد عرفت </w:t>
      </w:r>
      <w:r>
        <w:rPr>
          <w:rStyle w:val="FootnoteAnchor"/>
          <w:rtl w:val="true"/>
        </w:rPr>
        <w:footnoteReference w:id="779"/>
      </w:r>
      <w:r>
        <w:rPr>
          <w:rFonts w:ascii="IRNazanin" w:hAnsi="IRNazanin" w:eastAsia="IRNazanin"/>
          <w:color w:val="111111"/>
          <w:sz w:val="28"/>
          <w:sz w:val="28"/>
          <w:szCs w:val="28"/>
          <w:rtl w:val="true"/>
          <w:lang w:bidi="fa-IR"/>
        </w:rPr>
        <w:t>أنّه فی التذکرة وافق المحقّق فی هذا الإطلاق حرفاً بحرف، و إن خالفه فی المنتهی ففصّل کما عرفت، و أنت إذا تأمّلت هذه العبارات وجدت الجمیع ظاهرة فی وجوب قعودها فعلًا</w:t>
      </w:r>
    </w:p>
    <w:p>
      <w:pPr>
        <w:pStyle w:val="BookText"/>
        <w:rPr/>
      </w:pPr>
      <w:r>
        <w:rPr>
          <w:rFonts w:ascii="IRNazanin" w:hAnsi="IRNazanin" w:eastAsia="IRNazanin"/>
          <w:color w:val="111111"/>
          <w:sz w:val="28"/>
          <w:sz w:val="28"/>
          <w:szCs w:val="28"/>
          <w:rtl w:val="true"/>
          <w:lang w:bidi="fa-IR"/>
        </w:rPr>
        <w:t xml:space="preserve">عشرة أیام أو ثمانیة عشر، لا فی مقام بیان مجرّد إمکان کونها عشرة و امتناع کونها أزید، بل الظاهر من المصنّف فی المختلف </w:t>
      </w:r>
      <w:r>
        <w:rPr>
          <w:rStyle w:val="FootnoteAnchor"/>
          <w:rtl w:val="true"/>
        </w:rPr>
        <w:footnoteReference w:id="780"/>
      </w:r>
      <w:r>
        <w:rPr>
          <w:rFonts w:ascii="IRNazanin" w:hAnsi="IRNazanin" w:eastAsia="IRNazanin"/>
          <w:color w:val="111111"/>
          <w:sz w:val="28"/>
          <w:sz w:val="28"/>
          <w:szCs w:val="28"/>
          <w:rtl w:val="true"/>
          <w:lang w:bidi="fa-IR"/>
        </w:rPr>
        <w:t xml:space="preserve">و المحقق </w:t>
      </w:r>
      <w:r>
        <w:rPr>
          <w:rStyle w:val="FootnoteAnchor"/>
          <w:rtl w:val="true"/>
        </w:rPr>
        <w:footnoteReference w:id="781"/>
      </w:r>
      <w:r>
        <w:rPr>
          <w:rFonts w:ascii="IRNazanin" w:hAnsi="IRNazanin" w:eastAsia="IRNazanin"/>
          <w:color w:val="111111"/>
          <w:sz w:val="28"/>
          <w:sz w:val="28"/>
          <w:szCs w:val="28"/>
          <w:rtl w:val="true"/>
          <w:lang w:bidi="fa-IR"/>
        </w:rPr>
        <w:t>أنّ القول بقعود المعتادة أیّام حیضها مقابلٌ لکلٍّ من القول بالعشرة و القول بثمانیة عشر،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یظهر ذلک أیضاً ممّا تقدّم </w:t>
      </w:r>
      <w:r>
        <w:rPr>
          <w:rStyle w:val="FootnoteAnchor"/>
          <w:rtl w:val="true"/>
        </w:rPr>
        <w:footnoteReference w:id="782"/>
      </w:r>
      <w:r>
        <w:rPr>
          <w:rFonts w:ascii="IRNazanin" w:hAnsi="IRNazanin" w:eastAsia="IRNazanin"/>
          <w:color w:val="111111"/>
          <w:sz w:val="28"/>
          <w:sz w:val="28"/>
          <w:szCs w:val="28"/>
          <w:rtl w:val="true"/>
          <w:lang w:bidi="fa-IR"/>
        </w:rPr>
        <w:t>عن السرائر، حیث عدّ قول السیّد فی مسائل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المعتادة ترجع إلی عادتها، رجوعاً عمّا ذکره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أکثر النفاس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المتتبع لکلمات الأصحاب حتی المصنّف قدّس سرّه فی بعض کتبه کالتذکرة لا یخفی علیه ظهور کلماتهم فی وجوب قعود النفساء مطلقاً إلی العشرة من غیر تفصیل بین المعتادة و غیرها، علی خلاف ما یظهر من الأخبار الآمرة بالجلوس إلی انقضاء العادة </w:t>
      </w:r>
      <w:r>
        <w:rPr>
          <w:rStyle w:val="FootnoteAnchor"/>
          <w:rtl w:val="true"/>
        </w:rPr>
        <w:footnoteReference w:id="783"/>
      </w:r>
      <w:r>
        <w:rPr>
          <w:rFonts w:ascii="IRNazanin" w:hAnsi="IRNazanin" w:eastAsia="IRNazanin"/>
          <w:color w:val="111111"/>
          <w:sz w:val="28"/>
          <w:sz w:val="28"/>
          <w:szCs w:val="28"/>
          <w:rtl w:val="true"/>
          <w:lang w:bidi="fa-IR"/>
        </w:rPr>
        <w:t xml:space="preserve">، فما فی الذکری من التنافی بینهما </w:t>
      </w:r>
      <w:r>
        <w:rPr>
          <w:rStyle w:val="FootnoteAnchor"/>
          <w:rtl w:val="true"/>
        </w:rPr>
        <w:footnoteReference w:id="784"/>
      </w:r>
      <w:r>
        <w:rPr>
          <w:rFonts w:ascii="Amiri" w:hAnsi="Amiri" w:eastAsia="Amiri" w:cs="Amiri"/>
          <w:color w:val="111111"/>
          <w:sz w:val="28"/>
          <w:sz w:val="28"/>
          <w:szCs w:val="28"/>
          <w:rtl w:val="true"/>
          <w:lang w:bidi="ar-SA"/>
        </w:rPr>
        <w:t>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 أنّ منشأ ما ذکره فی الذکری، هو مجرّد فتوی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النفاس عشرة، فی غیر محلّه؛ لما عرفت أنّ مجرد هذا لا یصح منشأً للتوهم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یمکن دفع المنافاة بأنّ حکمهم بوجوب القعود إلی العشرة حتّی</w:t>
      </w:r>
    </w:p>
    <w:p>
      <w:pPr>
        <w:pStyle w:val="BookText"/>
        <w:rPr/>
      </w:pPr>
      <w:r>
        <w:rPr>
          <w:rFonts w:ascii="IRNazanin" w:hAnsi="IRNazanin" w:eastAsia="IRNazanin"/>
          <w:color w:val="111111"/>
          <w:sz w:val="28"/>
          <w:sz w:val="28"/>
          <w:szCs w:val="28"/>
          <w:rtl w:val="true"/>
          <w:lang w:bidi="fa-IR"/>
        </w:rPr>
        <w:t>فی ذات العادة من جهة إیجابهم الاستظهار علیها إلی العشرة کما یظهر من المعتبر و التذکرة، لا من جهة کون النفاس الواقعی فی حقّها عشرة حتّی یلزمها التنفّس بها مع تجاوز العشرة، فثمرة رجوع المعتادة إلی عادتها و الفرق بینها و بین المبتدأة و المضطربة إنما یظهر عند تجاوز الدم العشرة؛ فإنّ ذات العادة تأخذ عادتها، و غیرها تأخذ بالعشرة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صرّح المحقّق بخلاف ذلک فی المعتبر علی ما عرفت، و عرفت أیضاً تخطئة المصنّف له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تنافی بین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أکثر النفاس عشرة مطلقاً، و أنّه یجب علی النفساء القعود عشرة مطلقاً، و أنّه لو تجاوز دمها العشرة أخذت المعتادة بعادتها و غیرها بالعشرة، و قد جمع بین هذه المطالب الثلاثة المصنّف قدّس سرّه فی التذکرة </w:t>
      </w:r>
      <w:r>
        <w:rPr>
          <w:rStyle w:val="FootnoteAnchor"/>
          <w:rtl w:val="true"/>
        </w:rPr>
        <w:footnoteReference w:id="785"/>
      </w:r>
      <w:r>
        <w:rPr>
          <w:rFonts w:ascii="IRNazanin" w:hAnsi="IRNazanin" w:eastAsia="IRNazanin"/>
          <w:color w:val="111111"/>
          <w:sz w:val="28"/>
          <w:sz w:val="28"/>
          <w:szCs w:val="28"/>
          <w:rtl w:val="true"/>
          <w:lang w:bidi="fa-IR"/>
        </w:rPr>
        <w:t>إلّا أن کلامهم فی الاستظهار و أنّه غیر واجب یأبی عمّا ذکرنا،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فالأقوی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الاستظهار إلی العشرة؛ لما عرفت من روایة یونس </w:t>
      </w:r>
      <w:r>
        <w:rPr>
          <w:rStyle w:val="FootnoteAnchor"/>
          <w:rtl w:val="true"/>
        </w:rPr>
        <w:footnoteReference w:id="786"/>
      </w:r>
      <w:r>
        <w:rPr>
          <w:rFonts w:ascii="IRNazanin" w:hAnsi="IRNazanin" w:eastAsia="IRNazanin"/>
          <w:color w:val="111111"/>
          <w:sz w:val="28"/>
          <w:sz w:val="28"/>
          <w:szCs w:val="28"/>
          <w:rtl w:val="true"/>
          <w:lang w:bidi="fa-IR"/>
        </w:rPr>
        <w:t xml:space="preserve">، و لا یعارضها روایات الاستظهار بیوم أو یومین </w:t>
      </w:r>
      <w:r>
        <w:rPr>
          <w:rStyle w:val="FootnoteAnchor"/>
          <w:rtl w:val="true"/>
        </w:rPr>
        <w:footnoteReference w:id="787"/>
      </w:r>
      <w:r>
        <w:rPr>
          <w:rFonts w:ascii="IRNazanin" w:hAnsi="IRNazanin" w:eastAsia="IRNazanin"/>
          <w:color w:val="111111"/>
          <w:sz w:val="28"/>
          <w:sz w:val="28"/>
          <w:szCs w:val="28"/>
          <w:rtl w:val="true"/>
          <w:lang w:bidi="fa-IR"/>
        </w:rPr>
        <w:t xml:space="preserve">لما عرفت </w:t>
      </w:r>
      <w:r>
        <w:rPr>
          <w:rStyle w:val="FootnoteAnchor"/>
          <w:rtl w:val="true"/>
        </w:rPr>
        <w:footnoteReference w:id="788"/>
      </w:r>
      <w:r>
        <w:rPr>
          <w:rFonts w:ascii="IRNazanin" w:hAnsi="IRNazanin" w:eastAsia="IRNazanin"/>
          <w:color w:val="111111"/>
          <w:sz w:val="28"/>
          <w:sz w:val="28"/>
          <w:szCs w:val="28"/>
          <w:rtl w:val="true"/>
          <w:lang w:bidi="fa-IR"/>
        </w:rPr>
        <w:t>من المعتبر و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حملهما علی ما إذا تمّ بهما العشرة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 بعدم وجوب الاستظهار فانقطع الدم علی العاشر، فالمشهور أنّ المجموع نفاس؛ للصدق عرفاً و لغةً، و لا یعارض ذلک أخبار الاقتصار فی</w:t>
      </w:r>
    </w:p>
    <w:p>
      <w:pPr>
        <w:pStyle w:val="BookText"/>
        <w:rPr/>
      </w:pPr>
      <w:r>
        <w:rPr>
          <w:rFonts w:ascii="IRNazanin" w:hAnsi="IRNazanin" w:eastAsia="IRNazanin"/>
          <w:color w:val="111111"/>
          <w:sz w:val="28"/>
          <w:sz w:val="28"/>
          <w:szCs w:val="28"/>
          <w:rtl w:val="true"/>
          <w:lang w:bidi="fa-IR"/>
        </w:rPr>
        <w:t xml:space="preserve">القعود علی المعتادة و عمل المستحاضة بعدها أو بعد الاستظهار؛ لأن هذه الأخبار لبیان وجوب معاملة الدم بعد الاستظهار معاملة الاستحاضة </w:t>
      </w:r>
      <w:r>
        <w:rPr>
          <w:rStyle w:val="FootnoteAnchor"/>
          <w:rtl w:val="true"/>
        </w:rPr>
        <w:footnoteReference w:id="789"/>
      </w:r>
      <w:r>
        <w:rPr>
          <w:rFonts w:ascii="IRNazanin" w:hAnsi="IRNazanin" w:eastAsia="IRNazanin"/>
          <w:color w:val="111111"/>
          <w:sz w:val="28"/>
          <w:sz w:val="28"/>
          <w:szCs w:val="28"/>
          <w:rtl w:val="true"/>
          <w:lang w:bidi="fa-IR"/>
        </w:rPr>
        <w:t>لا کونها مستحاضة واقعاً کما أنّه ربما یعامل الدم معاملة الحیض ثمّ ینکشف عدم کونه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ظهور الإجماع البسیط فی المسألة و المرکب؛ حیث إنّه لم یقل أحد بالفرق بین الحیض و النفاس فی هذا الحکم، و قد عرفت الحکم بذلک فی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یؤیّد بعموم التسویة بین الحائض و النفساء و کون النفاس حیضاً، فالقول باختصاص العادة بالنفاس مع الوقوف علی العشرة ضَعیف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مستند الأخذ بالعادة فقط لو تجاوز الدم العشرة، و لعلّه من جهة الاستظهار؛ بناءً علی ما تقدم من أنّ المقصود من الاستظهار ظهور حال الدم الزائد عن العادة من حیث انقطاعه علی العشرة حتی یکون نفاساً أو تجاوزه حتی یکون استحاضة، و أما لو أُرید بالاستظهار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فی جانب النفاس من حیث احتمال زیادته علی العادة؛ فإنّ الدم قد یزید علی العادة و قد ینقص، فلا یبعد ما تقدّم عن جماعة </w:t>
      </w:r>
      <w:r>
        <w:rPr>
          <w:rStyle w:val="FootnoteAnchor"/>
          <w:rtl w:val="true"/>
        </w:rPr>
        <w:footnoteReference w:id="790"/>
      </w:r>
      <w:r>
        <w:rPr>
          <w:rFonts w:ascii="IRNazanin" w:hAnsi="IRNazanin" w:eastAsia="IRNazanin"/>
          <w:color w:val="111111"/>
          <w:sz w:val="28"/>
          <w:sz w:val="28"/>
          <w:szCs w:val="28"/>
          <w:rtl w:val="true"/>
          <w:lang w:bidi="fa-IR"/>
        </w:rPr>
        <w:t>فی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أیّام الاستظهار معدوداً من النفاس و إن تجاوز العشرة، کما یرشد إلیه إطلاق بعض الأخبار باستظهار المبتدأة، بل مطلق المستمر بها الدم الشامل لصورة عدم رجائها الانقطاع لدون العشرة، فتأمل، و الأحوط الجمع بعد العادة إلی زمان أکثر النفاس بین أحکام النفساء و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کون أکثر النفاس عشرة أو ثمانیة عشر هو وجوب الرجوع إلیه مع إمکانه و عدم الصارف عنه؛ لما عرفت من صدق النفاس و النفساء لغةً و عرفاً، فقد ذکر السیّد فی بعض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بین أهل اللغة أنّ المرأة إذا رأت الدم بعد الوضع تصیر نفساء </w:t>
      </w:r>
      <w:r>
        <w:rPr>
          <w:rStyle w:val="FootnoteAnchor"/>
          <w:rtl w:val="true"/>
        </w:rPr>
        <w:footnoteReference w:id="791"/>
      </w:r>
      <w:r>
        <w:rPr>
          <w:rFonts w:ascii="IRNazanin" w:hAnsi="IRNazanin" w:eastAsia="IRNazanin"/>
          <w:color w:val="111111"/>
          <w:sz w:val="28"/>
          <w:sz w:val="28"/>
          <w:szCs w:val="28"/>
          <w:rtl w:val="true"/>
          <w:lang w:bidi="fa-IR"/>
        </w:rPr>
        <w:t>، و حینئذٍ فیجب علی غیر المعتادة التنفّس بالأکثر و عدّ الأکثر نفاساً عند تجاوز الدم عنه، من غیر فرق بین إمکان التمییز و عدمه؛ لأنّ أدلة التمییز و الرجوع إلی الصفات مختصّة باختلاط الحیض و الاستحاضة کما عرفت، و ظاهر أنّ المراد من الحیض ما یقابل النفاس لا ما 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النفاس لا یختلط بالاستحاضة؛ لکونه مقدماً علی الاستحاضة فالشک فی منتهی النفاس و مبدأ الاستحاضة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ینافی الرجوع إلی التمییز نظیر معتادة الوقت مضطربة العدد، فالعمدة اختصاص أدلّة التمییز بالحیض بالمعنی الأخص، و لا یجدی ما دلّ علی أنّ النفاس حیض احتبس أو أنّ النفساء کالحائض؛ لما عرفت فی أکثر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ضعف ما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رجوع المبتدأة إلی التمییز ثمّ إلی عادة أهلها، و المضطربة إلی التمییز ثم إلی الروایات </w:t>
      </w:r>
      <w:r>
        <w:rPr>
          <w:rStyle w:val="FootnoteAnchor"/>
          <w:rtl w:val="true"/>
        </w:rPr>
        <w:footnoteReference w:id="792"/>
      </w:r>
      <w:r>
        <w:rPr>
          <w:rFonts w:ascii="IRNazanin" w:hAnsi="IRNazanin" w:eastAsia="IRNazanin"/>
          <w:color w:val="111111"/>
          <w:sz w:val="28"/>
          <w:sz w:val="28"/>
          <w:szCs w:val="28"/>
          <w:rtl w:val="true"/>
          <w:lang w:bidi="fa-IR"/>
        </w:rPr>
        <w:t xml:space="preserve">، و هو الظاهر من عبارة الذکری أیضاً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استحیضت النفساء بأن تجاوز دمها أکثر النفاس، فلا إشکال فی کون الزائد إلی عشرة أیام استحاضة، و هی أقلّ الطهر، سواء صادف عادة</w:t>
      </w:r>
    </w:p>
    <w:p>
      <w:pPr>
        <w:pStyle w:val="BookText"/>
        <w:rPr/>
      </w:pPr>
      <w:r>
        <w:rPr>
          <w:rFonts w:ascii="IRNazanin" w:hAnsi="IRNazanin" w:eastAsia="IRNazanin"/>
          <w:color w:val="111111"/>
          <w:sz w:val="28"/>
          <w:sz w:val="28"/>
          <w:szCs w:val="28"/>
          <w:rtl w:val="true"/>
          <w:lang w:bidi="fa-IR"/>
        </w:rPr>
        <w:t xml:space="preserve">الحیض المعتادة أم لم یصادف، کما صرّح به فی المنتهی </w:t>
      </w:r>
      <w:r>
        <w:rPr>
          <w:rStyle w:val="FootnoteAnchor"/>
          <w:rtl w:val="true"/>
        </w:rPr>
        <w:footnoteReference w:id="794"/>
      </w:r>
      <w:r>
        <w:rPr>
          <w:rFonts w:ascii="IRNazanin" w:hAnsi="IRNazanin" w:eastAsia="IRNazanin"/>
          <w:color w:val="111111"/>
          <w:sz w:val="28"/>
          <w:sz w:val="28"/>
          <w:szCs w:val="28"/>
          <w:rtl w:val="true"/>
          <w:lang w:bidi="fa-IR"/>
        </w:rPr>
        <w:t>لسبق الحکم بالنفاسیة علی مقدار العادة من العشرة فیمتنع التحیّض بعد ذلک بما فی العادة مع عدم تخلل أقلّ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الدم بعد عشرة الاستحاضة، فیحتمل أن یکون مستحاضة مطلقاً إلی أن تطهر؛ لإطلاق ما ورد فی 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تعمل بعد العادة عمل المستحاضة و إن بلغ الدم ما بلغ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یحتمل أن یرجع فی ذلک من أول الأمر إلی سنن المستحاضة، من انتظار المعتادة لعادتها و أخذ غیرها بالتمییز أو بالروایات لعموم أدلّة المستحاضة مثل مرسلة یونس الطویلة </w:t>
      </w:r>
      <w:r>
        <w:rPr>
          <w:rStyle w:val="FootnoteAnchor"/>
          <w:rtl w:val="true"/>
        </w:rPr>
        <w:footnoteReference w:id="796"/>
      </w:r>
      <w:r>
        <w:rPr>
          <w:rFonts w:ascii="IRNazanin" w:hAnsi="IRNazanin" w:eastAsia="IRNazanin"/>
          <w:color w:val="111111"/>
          <w:sz w:val="28"/>
          <w:sz w:val="28"/>
          <w:szCs w:val="28"/>
          <w:rtl w:val="true"/>
          <w:lang w:bidi="fa-IR"/>
        </w:rPr>
        <w:t>و أدلّة الصفات و أدلّة العادة و الروایات و یحتمل أن ترجع إلی ذلک بعد ما تقعد المعتادة عادتها، و المبتدأة و المضطربة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بعض المعاصرین وجوب صبرها بعد النفاس إلی شهر </w:t>
      </w:r>
      <w:r>
        <w:rPr>
          <w:rStyle w:val="FootnoteAnchor"/>
          <w:rtl w:val="true"/>
        </w:rPr>
        <w:footnoteReference w:id="797"/>
      </w:r>
      <w:r>
        <w:rPr>
          <w:rFonts w:ascii="IRNazanin" w:hAnsi="IRNazanin" w:eastAsia="IRNazanin"/>
          <w:color w:val="111111"/>
          <w:sz w:val="28"/>
          <w:sz w:val="28"/>
          <w:szCs w:val="28"/>
          <w:rtl w:val="true"/>
          <w:lang w:bidi="fa-IR"/>
        </w:rPr>
        <w:t>، و لم أعرف له دلیلًا عدا ما یظهر من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حدّ للنساء فی کل شهر مرّة</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التحدید فی مقابل الزائد علی الشهر، کما یستفاد من أخبار أُخر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جاز الشهر فهو ریبة</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لا فی مقابل تعدّد</w:t>
      </w:r>
    </w:p>
    <w:p>
      <w:pPr>
        <w:pStyle w:val="BookText"/>
        <w:rPr/>
      </w:pPr>
      <w:r>
        <w:rPr>
          <w:rFonts w:ascii="IRNazanin" w:hAnsi="IRNazanin" w:eastAsia="IRNazanin"/>
          <w:color w:val="111111"/>
          <w:sz w:val="28"/>
          <w:sz w:val="28"/>
          <w:szCs w:val="28"/>
          <w:rtl w:val="true"/>
          <w:lang w:bidi="fa-IR"/>
        </w:rPr>
        <w:t>الحیض فی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الروض تفصیلًا،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یتفرع علی کون النفساء کالحائض فی الحکم إلّا ما خرج أنّه إذا استحیضت النفساء فالمبتدأة و المضطربة تجعلان ما بعد عشرة النفاس استحاضة، حتی یدخل الشهر المتعقّب الذی وَلَدتا فیه، فترجعان فی الدم الموجود فی الشهر الثانی إلی التمییز، ثم ترجع المبتدأة إلی نسائها، ثم ترجعان إلی الروایات، و المعتادة تجعل بقدر عادتها فی الحیض نفاساً و الباقی استحاضة إلی تمام طهرها المعتادة ثمّ ما بعده حیضاً، إلّا أنْ یتغیّر لون الدم بحیث تستفید منه تمییزاً لا ینافی أیّام النفاس، فتجعل أیّام التمییز حیضاً؛ لأنّ أیام النفاس قائمة مقام أیّام العادة فی الحیض، و قد أسلفنا أنّ العادة تقدم علی التمییز مع التنافی لا مع إمکان الجمع بینهما </w:t>
      </w:r>
      <w:r>
        <w:rPr>
          <w:rStyle w:val="FootnoteAnchor"/>
          <w:rtl w:val="true"/>
        </w:rPr>
        <w:footnoteReference w:id="80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یظهر ما ذکره فی المبتدأة و المضطربة من الموجز </w:t>
      </w:r>
      <w:r>
        <w:rPr>
          <w:rStyle w:val="FootnoteAnchor"/>
          <w:rtl w:val="true"/>
        </w:rPr>
        <w:footnoteReference w:id="801"/>
      </w:r>
      <w:r>
        <w:rPr>
          <w:rFonts w:ascii="IRNazanin" w:hAnsi="IRNazanin" w:eastAsia="IRNazanin"/>
          <w:color w:val="111111"/>
          <w:sz w:val="28"/>
          <w:sz w:val="28"/>
          <w:szCs w:val="28"/>
          <w:rtl w:val="true"/>
          <w:lang w:bidi="fa-IR"/>
        </w:rPr>
        <w:t xml:space="preserve">و شرحه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فی المعتادة صرّح به المصنّف فی النهایة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عملنا بإطلاقات کون ما بعد النفاس استحاضة لم یکن مناص عن الاحتمال الأول، غایة الأمر أنْ یعارض معها أدلّة العادة أو الصفات بالمفهوم، و النسبة عموم من وجه، فیرجع إلی أصالة عدم الحیض، بل بقاء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تقیید تلک الإطلاقات و جعلها مختصة بمقدار العشرة بعد العادة فی غایة البعد مع أنّ الغالب بقاء الدم إلی أزید من العشرة بل العشرین بعد النفاس، خصوصاً مثل الروایة المتقدّمة عن المنتقی </w:t>
      </w:r>
      <w:r>
        <w:rPr>
          <w:rStyle w:val="FootnoteAnchor"/>
          <w:rtl w:val="true"/>
        </w:rPr>
        <w:footnoteReference w:id="804"/>
      </w:r>
      <w:r>
        <w:rPr>
          <w:rFonts w:ascii="IRNazanin" w:hAnsi="IRNazanin" w:eastAsia="IRNazanin"/>
          <w:color w:val="111111"/>
          <w:sz w:val="28"/>
          <w:sz w:val="28"/>
          <w:szCs w:val="28"/>
          <w:rtl w:val="true"/>
          <w:lang w:bidi="fa-IR"/>
        </w:rPr>
        <w:t>من ذکر امرأة محمد بن مسلم أنّها کانت تقعد قبل ذلک أربعین یوماً ثم أفتاها أصحابها بثمانیة عشر، و ردّها الإمام علیه السلام إلی مقدار عادتها و جعل الباقی استحاضة فإنّ إرادة الاستحاضة إلی عشرة ثم الرجوع إلی قواعد الحیض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فالإنصاف یقتضی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تلک الإطلاقات إثبات الاستحاضة فی مقابل نفی النفاس، فلا تنافی الحکم بالحیضیة إذا وُجِدت أمارة الحیض کالعادة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الظاهر ورودها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یحکم بعد عشرة الاستحاضة بالحیضیة بمجرّد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فالمعتادة إن حضرت عادتها بعد عشرة الاستحاضة تحیّضت، و إلّا انتظرت عادتها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مراد الشارح فی الروض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المعتادة تجعل الزائد عن النفاس استحاضة إلی تمام طهرها المعتاد </w:t>
      </w:r>
      <w:r>
        <w:rPr>
          <w:rStyle w:val="FootnoteAnchor"/>
          <w:rtl w:val="true"/>
        </w:rPr>
        <w:footnoteReference w:id="805"/>
      </w:r>
      <w:r>
        <w:rPr>
          <w:rFonts w:ascii="IRNazanin" w:hAnsi="IRNazanin" w:eastAsia="IRNazanin"/>
          <w:color w:val="111111"/>
          <w:sz w:val="28"/>
          <w:sz w:val="28"/>
          <w:szCs w:val="28"/>
          <w:rtl w:val="true"/>
          <w:lang w:bidi="fa-IR"/>
        </w:rPr>
        <w:t>، یعنی إلی أن یتمّ طهرها المعتاد و تحضر عادتها، و قد صرّح به المصنف فی النهایة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یعنی المعتادة تجعل ما بعد النفاس استحاضة </w:t>
      </w:r>
      <w:r>
        <w:rPr>
          <w:rStyle w:val="FootnoteAnchor"/>
          <w:rtl w:val="true"/>
        </w:rPr>
        <w:footnoteReference w:id="806"/>
      </w:r>
      <w:r>
        <w:rPr>
          <w:rFonts w:ascii="IRNazanin" w:hAnsi="IRNazanin" w:eastAsia="IRNazanin"/>
          <w:color w:val="111111"/>
          <w:sz w:val="28"/>
          <w:sz w:val="28"/>
          <w:szCs w:val="28"/>
          <w:rtl w:val="true"/>
          <w:lang w:bidi="fa-IR"/>
        </w:rPr>
        <w:t>إلی تمام طهرها المعتادة</w:t>
      </w:r>
    </w:p>
    <w:p>
      <w:pPr>
        <w:pStyle w:val="BookText"/>
        <w:rPr/>
      </w:pPr>
      <w:r>
        <w:rPr>
          <w:rFonts w:ascii="IRNazanin" w:hAnsi="IRNazanin" w:eastAsia="IRNazanin"/>
          <w:color w:val="111111"/>
          <w:sz w:val="28"/>
          <w:sz w:val="28"/>
          <w:szCs w:val="28"/>
          <w:rtl w:val="true"/>
          <w:lang w:bidi="fa-IR"/>
        </w:rPr>
        <w:t xml:space="preserve">ثمّ ما بعده حیض </w:t>
      </w:r>
      <w:r>
        <w:rPr>
          <w:rStyle w:val="FootnoteAnchor"/>
          <w:rtl w:val="true"/>
        </w:rPr>
        <w:footnoteReference w:id="807"/>
      </w:r>
      <w:r>
        <w:rPr>
          <w:rFonts w:ascii="IRNazanin" w:hAnsi="IRNazanin" w:eastAsia="IRNazanin"/>
          <w:color w:val="111111"/>
          <w:sz w:val="28"/>
          <w:sz w:val="28"/>
          <w:szCs w:val="28"/>
          <w:rtl w:val="true"/>
          <w:lang w:bidi="fa-IR"/>
        </w:rPr>
        <w:t>، و لو أراد منه وجوب عمل المستحاضة إلی انقضاء مقدار طهرها المعتادة، فلا یخفی فساده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استثناه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یتغیّر لون الدم </w:t>
      </w:r>
      <w:r>
        <w:rPr>
          <w:rStyle w:val="FootnoteAnchor"/>
          <w:rtl w:val="true"/>
        </w:rPr>
        <w:footnoteReference w:id="808"/>
      </w:r>
      <w:r>
        <w:rPr>
          <w:rFonts w:ascii="IRNazanin" w:hAnsi="IRNazanin" w:eastAsia="IRNazanin"/>
          <w:color w:val="111111"/>
          <w:sz w:val="28"/>
          <w:sz w:val="28"/>
          <w:szCs w:val="28"/>
          <w:rtl w:val="true"/>
          <w:lang w:bidi="fa-IR"/>
        </w:rPr>
        <w:t>،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التمییز علی ما یستفاد من أدلّته کما تقدم صورة امتزاج الحیض بالاستحاضة، و المفروض هنا عدم العلم بتحقق الحیض إلّا من باب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لا تصلح للورود علی الإطلاقات الدالة علی کون ما بعد أیام النفاس استحاضة کما عرفت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المبتدأة و المضطربة، فحیث لا یجری فیها الإطلاقات المتقدمة لاختصاصها بالمعتادة، فلا بدّ من الاقتصار فی الاستحاضة علی القدر المتیقّن، و هی العشرة بعد النفاس؛ لأنّها أقلّ الطهر، و بعد العشرة ترجع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فتتحیض مطلقاً أو بشرط صفات الحیض، فإن انقطع علی العشرة جعلت الکل حیضاً، و إلّا رجعت إلی سنن المستحاضة، فما ذکره الشارح من وجوب عمل المستحاضة إلی الشهر المتعقب </w:t>
      </w:r>
      <w:r>
        <w:rPr>
          <w:rStyle w:val="FootnoteAnchor"/>
          <w:rtl w:val="true"/>
        </w:rPr>
        <w:footnoteReference w:id="809"/>
      </w:r>
      <w:r>
        <w:rPr>
          <w:rFonts w:ascii="IRNazanin" w:hAnsi="IRNazanin" w:eastAsia="IRNazanin"/>
          <w:color w:val="111111"/>
          <w:sz w:val="28"/>
          <w:sz w:val="28"/>
          <w:szCs w:val="28"/>
          <w:rtl w:val="true"/>
          <w:lang w:bidi="fa-IR"/>
        </w:rPr>
        <w:t xml:space="preserve">لا أعلم وجهه، و إنّما یرجع إلی التمییز و غیره بعد تجاوز العشرة من زمن التحیّض، و لم یرجع إلیه من أوّل الأمر مع تحقّق الاستحاضة و استمرار الدم من أول الأمر؛ لأنّ روایات سنن المستحاضة </w:t>
      </w:r>
      <w:r>
        <w:rPr>
          <w:rStyle w:val="FootnoteAnchor"/>
          <w:rtl w:val="true"/>
        </w:rPr>
        <w:footnoteReference w:id="810"/>
      </w:r>
      <w:r>
        <w:rPr>
          <w:rFonts w:ascii="IRNazanin" w:hAnsi="IRNazanin" w:eastAsia="IRNazanin"/>
          <w:color w:val="111111"/>
          <w:sz w:val="28"/>
          <w:sz w:val="28"/>
          <w:szCs w:val="28"/>
          <w:rtl w:val="true"/>
          <w:lang w:bidi="fa-IR"/>
        </w:rPr>
        <w:t>إنّما تجری فی المستمر دمها مع العلم الإجمالی بالحیض شرعاً و لو بقاعدة الإمکان، و هذا العلم غیر حاصل بمجرّد انقضاء</w:t>
      </w:r>
    </w:p>
    <w:p>
      <w:pPr>
        <w:pStyle w:val="BookText"/>
        <w:rPr/>
      </w:pPr>
      <w:r>
        <w:rPr>
          <w:rFonts w:ascii="Amiri" w:hAnsi="Amiri" w:eastAsia="Amiri" w:cs="Amiri"/>
          <w:color w:val="111111"/>
          <w:sz w:val="28"/>
          <w:sz w:val="28"/>
          <w:szCs w:val="28"/>
          <w:rtl w:val="true"/>
          <w:lang w:bidi="ar-SA"/>
        </w:rPr>
        <w:t>عشرة الاستحاضة و إن تحقق استمرار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ذکرنا یعلم أنّه لا دخل لکون النفساء بمنزلة الحائض فی ثبوت الأحکام المذکورة، فما ذکره الشارح من أنّ ممّا یتفرّع علی کون النفساء کالحائض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النفساء إذا استحیضت بأن تجاوز دمها العشرة فالمبتدأة و المضطربة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ذکرنا عنه سابقاً </w:t>
      </w:r>
      <w:r>
        <w:rPr>
          <w:rStyle w:val="FootnoteAnchor"/>
          <w:rtl w:val="true"/>
        </w:rPr>
        <w:footnoteReference w:id="811"/>
      </w:r>
      <w:r>
        <w:rPr>
          <w:rFonts w:ascii="IRNazanin" w:hAnsi="IRNazanin" w:eastAsia="IRNazanin"/>
          <w:color w:val="111111"/>
          <w:sz w:val="28"/>
          <w:sz w:val="28"/>
          <w:szCs w:val="28"/>
          <w:rtl w:val="true"/>
          <w:lang w:bidi="fa-IR"/>
        </w:rPr>
        <w:t>فیه ما فیه؛ لأنّ کون النفاس کالحیض لا یقتضی إلّا کونه کحیض عرض المرأة فی غیر أیامها إن کانت معتادة، و هو لا یقتضی إلّا کون ما بعده إلی عشرة أیام طهراً، و أمّا حکم ما بعد العشرة، فلیس لکون النفاس کالحیض مدخل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 المحقق سابقاً فی مسألة أکثر النفاس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یراد من العشرة استحاضة إلی أن یستوفی أقلّ الطهر </w:t>
      </w:r>
      <w:r>
        <w:rPr>
          <w:rStyle w:val="FootnoteAnchor"/>
          <w:rtl w:val="true"/>
        </w:rPr>
        <w:footnoteReference w:id="812"/>
      </w:r>
      <w:r>
        <w:rPr>
          <w:rFonts w:ascii="IRNazanin" w:hAnsi="IRNazanin" w:eastAsia="IRNazanin"/>
          <w:color w:val="111111"/>
          <w:sz w:val="28"/>
          <w:sz w:val="28"/>
          <w:szCs w:val="28"/>
          <w:rtl w:val="true"/>
          <w:lang w:bidi="fa-IR"/>
        </w:rPr>
        <w:t>، لا یأبی الانطباق علی ما ذکرنا من الأحکام بالنسبة إلی المبتدأة و المضطربة إلّا أنّه قدّس سرّه ذکر ذلک فی المعتادة، فراجع و تأمّل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المغیرة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نفست فترکت الصلاة ثلاثین یوماً ثم طهرت ثمّ رأت الدم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لأن أیّامها أیام الطهر قد جازت مع أیام النفاس</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و علّل القعود عن الصلاة بتعدی أیام طهرها فی ضمن أیام النفاس، فتدلّ علی أنّ هذا بمجرده کاف فی التحیّض و أنّه لا مانع عن التحیض بعد النفاس سوی عدم انقضاء أیّام الطهر، و لا ینافیه عدم حکم</w:t>
      </w:r>
      <w:bookmarkStart w:id="75" w:name="pg13042_127044"/>
    </w:p>
    <w:p>
      <w:pPr>
        <w:pStyle w:val="BookText"/>
        <w:rPr/>
      </w:pPr>
      <w:bookmarkEnd w:id="75"/>
      <w:r>
        <w:rPr>
          <w:rFonts w:ascii="IRNazanin" w:hAnsi="IRNazanin" w:eastAsia="IRNazanin"/>
          <w:color w:val="111111"/>
          <w:sz w:val="28"/>
          <w:sz w:val="28"/>
          <w:szCs w:val="28"/>
          <w:rtl w:val="true"/>
          <w:lang w:bidi="fa-IR"/>
        </w:rPr>
        <w:t>الإمام علیه السلام بحیضیّة ما زاد عن العشرین من زمن الولادة مع انقضاء أقلّ الطهر حینئذٍ لاحتمال تنزیل الروایة علی مذهب القائل بالثمانیة عشر أو بالأحد و العشرین، و أمّا تقریر الإمام علیه السلام للسائل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الصلاة ثلاثین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فلعلّه للتقیة أو نحوها من موانع الردع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للمبتدأة و المضطربة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ذات العادة المستقرّة فی الحیض، فأیّامها و حکمها کالحائض فی کلّ الأحکام إلّا الأقلّ</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 w:name="__RefHeading___Toc6530116_3224264995"/>
      <w:bookmarkStart w:id="77" w:name="_Toc30"/>
      <w:bookmarkEnd w:id="76"/>
      <w:r>
        <w:rPr>
          <w:rtl w:val="true"/>
        </w:rPr>
        <w:t>[</w:t>
      </w:r>
      <w:r>
        <w:rPr>
          <w:rtl w:val="true"/>
        </w:rPr>
        <w:t>نفاس التوأمین</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توأمین، فالدم بعد الثانی نفاس قطعاً کما فی المنتهی </w:t>
      </w:r>
      <w:r>
        <w:rPr>
          <w:rStyle w:val="FootnoteAnchor"/>
          <w:rtl w:val="true"/>
        </w:rPr>
        <w:footnoteReference w:id="815"/>
      </w:r>
      <w:r>
        <w:rPr>
          <w:rFonts w:ascii="IRNazanin" w:hAnsi="IRNazanin" w:eastAsia="IRNazanin"/>
          <w:color w:val="111111"/>
          <w:sz w:val="28"/>
          <w:sz w:val="28"/>
          <w:szCs w:val="28"/>
          <w:rtl w:val="true"/>
          <w:lang w:bidi="fa-IR"/>
        </w:rPr>
        <w:t xml:space="preserve">، بل إجماعاً علی الظاهر، و کذا ما بعد الأول عند علمائنا کما فی المنتهی </w:t>
      </w:r>
      <w:r>
        <w:rPr>
          <w:rStyle w:val="FootnoteAnchor"/>
          <w:rtl w:val="true"/>
        </w:rPr>
        <w:footnoteReference w:id="816"/>
      </w:r>
      <w:r>
        <w:rPr>
          <w:rFonts w:ascii="IRNazanin" w:hAnsi="IRNazanin" w:eastAsia="IRNazanin"/>
          <w:color w:val="111111"/>
          <w:sz w:val="28"/>
          <w:sz w:val="28"/>
          <w:szCs w:val="28"/>
          <w:rtl w:val="true"/>
          <w:lang w:bidi="fa-IR"/>
        </w:rPr>
        <w:t xml:space="preserve">و التذکرة </w:t>
      </w:r>
      <w:r>
        <w:rPr>
          <w:rStyle w:val="FootnoteAnchor"/>
          <w:rtl w:val="true"/>
        </w:rPr>
        <w:footnoteReference w:id="817"/>
      </w:r>
      <w:r>
        <w:rPr>
          <w:rFonts w:ascii="IRNazanin" w:hAnsi="IRNazanin" w:eastAsia="IRNazanin"/>
          <w:color w:val="111111"/>
          <w:sz w:val="28"/>
          <w:sz w:val="28"/>
          <w:szCs w:val="28"/>
          <w:rtl w:val="true"/>
          <w:lang w:bidi="fa-IR"/>
        </w:rPr>
        <w:t>لصدق الاسم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کون أحد الولدین باقیاً فی بطنها عن أن یکون نفاساً، و أیضاً أهل اللغة لا یختلفون فی أنّ المرأة إذا ولدت و خرج الدم عقیب الولادة،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و لا یعتبرون بقاء ولد فی بطنها </w:t>
      </w:r>
      <w:r>
        <w:rPr>
          <w:rStyle w:val="FootnoteAnchor"/>
          <w:rtl w:val="true"/>
        </w:rPr>
        <w:footnoteReference w:id="81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بذلک ضعف ما فی المعتبر من التردّد أوّلًا فی تحقیق النفاس </w:t>
      </w:r>
      <w:r>
        <w:rPr>
          <w:rStyle w:val="FootnoteAnchor"/>
          <w:rtl w:val="true"/>
        </w:rPr>
        <w:footnoteReference w:id="819"/>
      </w:r>
      <w:r>
        <w:rPr>
          <w:rFonts w:ascii="IRNazanin" w:hAnsi="IRNazanin" w:eastAsia="IRNazanin"/>
          <w:color w:val="111111"/>
          <w:sz w:val="28"/>
          <w:sz w:val="28"/>
          <w:szCs w:val="28"/>
          <w:rtl w:val="true"/>
          <w:lang w:bidi="fa-IR"/>
        </w:rPr>
        <w:t>من جهة أنّها حامل بالثانی، فإنّ الحمل بنفسه غیر مانع عن تحقّق النفاس، و لذا قوّی أخیراً کونه نفاساً لصدق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کون الولادة أمارة و معرّفاً لنفاسیة الدم الحاصل عقیبها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کلّ دم منها نفاساً مستقلا،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تراخت ولادة أحد التوأمین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الآخر أو وُلدا متعاقبین، إلّا أنّ فی صورة التعاقب یکون المجموع نفاساً واحداً بحسب الصورة و إن کان فی الحقیقة متعدّداً، و إن کان ظاهر العبارة وحدة النفاس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فعدد أیّامها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 ابتداؤه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الحکم فی الحقیقة دلیل علی التعدّد إذْ لو کان نفاساً واحداً لاعتبر العدد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یعلم أنّه قد یمتدّ مجموع النفاسین إلی عشرین، و قد یکون الأوّل إلی العشرة ثم یتخلل الطهر، بل قد یطرأ بعده الحیض ثمّ یتولّد الثانی و یحصل النفاس، و هذا کلّه یکشف عن أنّه لا یعتبر تخلّل أقلّ الطهر بین النفاسین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یستشکل فی هذا لولا الإجماع عن جهة أنّ النفاس عندهم کالحیض فی الأحکام، سیّما هذا الحکم، و لذا حکموا بعدم حیضیّة الدم السابق علی الولادة أو اللّاحق مع عدم تخلّل أقلّ الطهر فی المقامین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الإشکال حکمهم بأنّ النقاء المتخلّل بین أیام النفاس فی حکم النفاس؛ لأنّ الطهر لا یکون فی أقلّ من عشرة، لکنک خبیر بأنّه لا وقْع لهذا الإشکال؛ لأنّ کون النفاس بمنزلة الحیض إن کان من جهة التصریح بها فی الفتاوی، فلا یخفی أنّ من صرّح بهذا العموم صرّح بتخصیصه بذلک، و إن کان من جهة ما دلّ علی أنّ النفاس حیض احتبس، فقد عرفت غیر مرّة أنّه لا ینفع فی ترتّب أحکام الحیض بالمعنی الأخصّ؛ لأنّ هذا لیس تنزیلًا شرعیّاً حتی یترتّب علیه جمیع أحکام</w:t>
      </w:r>
    </w:p>
    <w:p>
      <w:pPr>
        <w:pStyle w:val="BookText"/>
        <w:rPr/>
      </w:pPr>
      <w:r>
        <w:rPr>
          <w:rFonts w:ascii="IRNazanin" w:hAnsi="IRNazanin" w:eastAsia="IRNazanin"/>
          <w:color w:val="111111"/>
          <w:sz w:val="28"/>
          <w:sz w:val="28"/>
          <w:szCs w:val="28"/>
          <w:rtl w:val="true"/>
          <w:lang w:bidi="fa-IR"/>
        </w:rPr>
        <w:t>ذی المنزلة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بل هو إخبار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النفاس فی الأصل هو دم الحیض احتبس لغذاء الولد، و هذا لا یدلّ إلّا علی ثبوت ما ثبت لمطلق الحیض من الأحکام لا ما ثبت للحیض المطلق الذی لا یراد به فی الأخبار إلّا المعنی الأخصّ المقابل للاستحاضة و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 توهّم عموم المنزلة بحیث یجدی لما نحن فیه من قوله علیه السلام فی بعض الأخبار المثبتة لأحکام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الحائض کالنفساء</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لما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یجدی فی تنزیل النفاس منزلة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العموم سیّما بملاحظة مورد ذلک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حکمهم بوجوب تخلّل أقلّ الطهر بین الحیض و النفاس، فقد عرفت أنّه منصوص مجمع علیه فی الحیض المتأخّر، بل المتقدّم أیضاً؛ لما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الروایتین فی دم المخاض، مع حکایة الإجماع عن الخلاف، و دعوی عدم الفصل بینه و بین المتأخّر من الشارح فی الروض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جعل النقاء المتخلّل بین أجزاء النفاس الواحد نفاساً، فسیأتی وجهه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سلّمنا ثبوت العموم فی أدلّة اعتبار کون أقلّ الطهر عشرة، لکنّها مخصّصة بما دلّ علی کون الولادة أمارة و معرّفاً للنفاس، و علی أنّ أکثر</w:t>
      </w:r>
    </w:p>
    <w:p>
      <w:pPr>
        <w:pStyle w:val="BookText"/>
        <w:rPr/>
      </w:pPr>
      <w:r>
        <w:rPr>
          <w:rFonts w:ascii="IRNazanin" w:hAnsi="IRNazanin" w:eastAsia="IRNazanin"/>
          <w:color w:val="111111"/>
          <w:sz w:val="28"/>
          <w:sz w:val="28"/>
          <w:szCs w:val="28"/>
          <w:rtl w:val="true"/>
          <w:lang w:bidi="fa-IR"/>
        </w:rPr>
        <w:t>النفاس عشرة أو ثمانیة عشر، فإذا فرضنا أنّها رأت الدم عقیب الأوّل فانقطع علی مقدار عادتها کالتسعة ثم رأت البیاض فی التسعة ثم ولدت الثانی و رأت الدم، فإمّا أن یرفع الید عن عموم أدلّة تحیّض النفساء مقدار عادتها، فَیُخصَّص بمن لم تر بعده قبل أقل الطهر نفاساً آخر، و إمّا أن یرفع الید عن عموم جعل أکثر النفاس عشرة،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نفاسها نفاس واحد هو عشرون مثلًا،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دم الولادة الثانیة لیس بنفاس، و إما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عموم أدلّة الطهر مخصّصة بما عدا ما بین النفاسین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عند المتأمّل المنصف أولویّة التخصیص فی العموم الأخیر، و مع التکافؤ فالمرجع إلی أصالة الطهر؛ بناء علی عدم جریان استصحاب النفاس موضوعاً و 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ما ذکره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الدلیل علی امتناع تعاقب النفاس </w:t>
      </w:r>
      <w:r>
        <w:rPr>
          <w:rStyle w:val="FootnoteAnchor"/>
          <w:rtl w:val="true"/>
        </w:rPr>
        <w:footnoteReference w:id="823"/>
      </w:r>
      <w:r>
        <w:rPr>
          <w:rFonts w:ascii="IRNazanin" w:hAnsi="IRNazanin" w:eastAsia="IRNazanin"/>
          <w:color w:val="111111"/>
          <w:sz w:val="28"/>
          <w:sz w:val="28"/>
          <w:szCs w:val="28"/>
          <w:rtl w:val="true"/>
          <w:lang w:bidi="fa-IR"/>
        </w:rPr>
        <w:t>مستقیم، و أنّ ما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جوازه یحتاج إلی دلیل بعد ما ثبت إلحاق النفاس بالحیض فی اعتبار أقلّ الطهر، سقیم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ذکر الشارح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یترتب علی تعدّد النفاسین ما لو ولدت الثانی لدون عشرة من ولادة الأول، و لم تر بعد ولادة الأوّل إلّا یوماً واحداً و انقطع فی باقی الأیّام المتخلّلة بینهما، فإنّه یحکم بکونها طهراً، و إن رأت بعد ولادة الثانی فی العشرة و انقطع علیها، بخلاف ما لو کان نفاساً واحداً کما هو ظاهر عبارة المصنّف هنا، فإنّه یلزم کون الدمین و النقاء المتخلّل بینهما نفاساً کما سیأتی </w:t>
      </w:r>
      <w:r>
        <w:rPr>
          <w:rStyle w:val="FootnoteAnchor"/>
          <w:rtl w:val="true"/>
        </w:rPr>
        <w:footnoteReference w:id="8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تبعه فی الذخیرة </w:t>
      </w:r>
      <w:r>
        <w:rPr>
          <w:rStyle w:val="FootnoteAnchor"/>
          <w:rtl w:val="true"/>
        </w:rPr>
        <w:footnoteReference w:id="825"/>
      </w:r>
      <w:r>
        <w:rPr>
          <w:rFonts w:ascii="IRNazanin" w:hAnsi="IRNazanin" w:eastAsia="IRNazanin"/>
          <w:color w:val="111111"/>
          <w:sz w:val="28"/>
          <w:sz w:val="28"/>
          <w:szCs w:val="28"/>
          <w:rtl w:val="true"/>
          <w:lang w:bidi="fa-IR"/>
        </w:rPr>
        <w:t xml:space="preserve">و حاشیة الروضة </w:t>
      </w:r>
      <w:r>
        <w:rPr>
          <w:rStyle w:val="FootnoteAnchor"/>
          <w:rtl w:val="true"/>
        </w:rPr>
        <w:footnoteReference w:id="826"/>
      </w:r>
      <w:r>
        <w:rPr>
          <w:rFonts w:ascii="IRNazanin" w:hAnsi="IRNazanin" w:eastAsia="IRNazanin"/>
          <w:color w:val="111111"/>
          <w:sz w:val="28"/>
          <w:sz w:val="28"/>
          <w:szCs w:val="28"/>
          <w:rtl w:val="true"/>
          <w:lang w:bidi="fa-IR"/>
        </w:rPr>
        <w:t xml:space="preserve">و الحدائق </w:t>
      </w:r>
      <w:r>
        <w:rPr>
          <w:rStyle w:val="FootnoteAnchor"/>
          <w:rtl w:val="true"/>
        </w:rPr>
        <w:footnoteReference w:id="827"/>
      </w:r>
      <w:r>
        <w:rPr>
          <w:rFonts w:ascii="IRNazanin" w:hAnsi="IRNazanin" w:eastAsia="IRNazanin"/>
          <w:color w:val="111111"/>
          <w:sz w:val="28"/>
          <w:sz w:val="28"/>
          <w:szCs w:val="28"/>
          <w:rtl w:val="true"/>
          <w:lang w:bidi="fa-IR"/>
        </w:rPr>
        <w:t>و ظاهرهم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 تعدد النفاس کون الدم بعد ولادة الثانی محسوباً من النفاس الثانی فقط و إنْ رأته فیما دون العشرة من الأوّل، فلا یجدی الدم الثانی فی نفاسیّة النقاء الحاصل قبل ولادة الثانی و بعدها المتخلل بینه و بین الدم الأوّل، فکأنّ النفاس الأوّل قد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خلاف مقتضی سببیّة الولادة التی هی المنشأ لحکمهم بالتعدد؛ فإنّ مقتضاها امتداد أیام کلّ واحد إلی عشرة، و یکون الدم فی الأیّام المشترکة بین الولادتین معدوداً من کلّ من النفاسین، له حکم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رأت الأوّل من الولادة الأُولی و الخامس من ولادة الثانی، و کان عاشراً من الأوّل و العاشر من الولادة الثانیة، کان کلٌّ من النقاءَین المتخلّلین 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الظاهر من کاشف الغطاء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مع کلٍّ من التوأمین الدم کان مبدأ النفاس من الدم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تخلّل بینه و بین الدم الثانی أقل الطهر عشرة أیّام، أو أکثر، کانا نفاسین مستقلّین، و إلّا فإن کان الدم الثانی و الأوّل و ما بینهما من الزمان لا یزید علی عشرة أیام کان الجمیع من الدمین و البیاض بینهما نفاساً واحداً، و إن زاد الدم الثانی علی العشرة من حین الدم الأوّل أخذ منه ما کمل العادة أو العشرة علی قول و الزائد استحاضة، و الأقوی جعله نفاساً مستقلا و طریق الاحتیاط غیر خفیّ </w:t>
      </w:r>
      <w:r>
        <w:rPr>
          <w:rStyle w:val="FootnoteAnchor"/>
          <w:rtl w:val="true"/>
        </w:rPr>
        <w:footnoteReference w:id="82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ما ذکره من القول بتکمیل العشرة من الدم الثانی و جعل الزائد استحاضة لم أجده لأحد من أصحابنا؛ إذ الظاهر المصرّح به فی کلام جماعة </w:t>
      </w:r>
      <w:r>
        <w:rPr>
          <w:rStyle w:val="FootnoteAnchor"/>
          <w:rtl w:val="true"/>
        </w:rPr>
        <w:footnoteReference w:id="829"/>
      </w:r>
      <w:r>
        <w:rPr>
          <w:rFonts w:ascii="IRNazanin" w:hAnsi="IRNazanin" w:eastAsia="IRNazanin"/>
          <w:color w:val="111111"/>
          <w:sz w:val="28"/>
          <w:sz w:val="28"/>
          <w:szCs w:val="28"/>
          <w:rtl w:val="true"/>
          <w:lang w:bidi="fa-IR"/>
        </w:rPr>
        <w:t>اتفاقهم علی أنّ عدد أیام النفاس من الولادة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فیمکن الاستناد لما ذکره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الدم الثانی منسوب عرفاً إلی الولادة الثانیة، و إن کان معدوداً شرعاً منهما بناءً علی مقتضی السببیّة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امتناع تخلّل أقلّ الطهر بین أجزاء النفاس الواحد مختصّ بالنفاس الذی أوجبه ولادة واحدة، و إلّا فلا أری وجهاً لما ذکروه، سیّما مع اعتراف بعضهم کالمحقّق الخوانساری فی حاشیة الروضة بتداخل أیّام النفاسین فیما یتّفقان فیه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الاحتیاط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یلحق الولد المنقطع قِطَعاً بالتوأمین، فیکون لکلٍّ منها نفاس، أو یحکم بنفاس واحد للمجموع و یکون مستثنی ممّا دلّ علی تحدید النفاس بعشرة، فیجعل ابتداؤه من ظهور الجزء الأوّل و عدده من انفصال الجزء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انفصال الجزء الذی یصدق الولادة بسقوطه منفرداً؛ لاشتماله علی معظم أجزاء الولد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منضمّاً إلی ما سبق من الأجزاء</w:t>
      </w:r>
      <w:r>
        <w:rPr>
          <w:rFonts w:eastAsia="IRNazanin" w:cs="IRNazanin"/>
          <w:color w:val="111111"/>
          <w:sz w:val="28"/>
          <w:szCs w:val="28"/>
          <w:rtl w:val="true"/>
          <w:lang w:bidi="fa-IR"/>
        </w:rPr>
        <w:t>.</w:t>
      </w:r>
      <w:bookmarkStart w:id="78" w:name="pg13042_127050"/>
    </w:p>
    <w:p>
      <w:pPr>
        <w:pStyle w:val="BookText"/>
        <w:rPr/>
      </w:pPr>
      <w:bookmarkEnd w:id="78"/>
      <w:r>
        <w:rPr>
          <w:rFonts w:ascii="IRNazanin" w:hAnsi="IRNazanin" w:eastAsia="IRNazanin"/>
          <w:color w:val="111111"/>
          <w:sz w:val="28"/>
          <w:sz w:val="28"/>
          <w:szCs w:val="28"/>
          <w:rtl w:val="true"/>
          <w:lang w:bidi="fa-IR"/>
        </w:rPr>
        <w:t>أو یحدّ بحدّ النفاس من ظهور الجزء الأوّل، و إن انتهی الحدّ قبل الانفصال، فیحکم بالاستحاضة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انفصال الجزء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یصدق بسقوطه الولادة کما تقدّم، فیکون السابق علی الولادة استحاضة؟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اختار أوّلها جماعة </w:t>
      </w:r>
      <w:r>
        <w:rPr>
          <w:rStyle w:val="FootnoteAnchor"/>
          <w:rtl w:val="true"/>
        </w:rPr>
        <w:footnoteReference w:id="831"/>
      </w:r>
      <w:r>
        <w:rPr>
          <w:rFonts w:ascii="IRNazanin" w:hAnsi="IRNazanin" w:eastAsia="IRNazanin"/>
          <w:color w:val="111111"/>
          <w:sz w:val="28"/>
          <w:sz w:val="28"/>
          <w:szCs w:val="28"/>
          <w:rtl w:val="true"/>
          <w:lang w:bidi="fa-IR"/>
        </w:rPr>
        <w:t>، قال المصنّف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سقط عضو من الولد و تخلّف الباقی و رأت الدم فهو نفاس </w:t>
      </w:r>
      <w:r>
        <w:rPr>
          <w:rStyle w:val="FootnoteAnchor"/>
          <w:rtl w:val="true"/>
        </w:rPr>
        <w:footnoteReference w:id="83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اعرف له وجهاً مع عدم تحقّق الولادة بسقوط القطعة، کما لا وجه لتخصیص أدلّة تحدید النفاس و لا لعدّ حدّه من انفصال الجزء الأخیر مع کون الدم المصاحب نفاساً</w:t>
      </w:r>
      <w:r>
        <w:rPr>
          <w:rFonts w:eastAsia="IRNazanin" w:cs="IRNazanin"/>
          <w:color w:val="111111"/>
          <w:sz w:val="28"/>
          <w:szCs w:val="28"/>
          <w:rtl w:val="true"/>
          <w:lang w:bidi="fa-IR"/>
        </w:rPr>
        <w:t>.</w:t>
      </w:r>
    </w:p>
    <w:p>
      <w:pPr>
        <w:pStyle w:val="Heading6"/>
        <w:numPr>
          <w:ilvl w:val="5"/>
          <w:numId w:val="1"/>
        </w:numPr>
        <w:rPr/>
      </w:pPr>
      <w:bookmarkStart w:id="79" w:name="__RefHeading___Toc6530118_3224264995"/>
      <w:bookmarkStart w:id="80" w:name="_Toc31"/>
      <w:bookmarkEnd w:id="79"/>
      <w:r>
        <w:rPr>
          <w:rtl w:val="true"/>
        </w:rPr>
        <w:t>[</w:t>
      </w:r>
      <w:r>
        <w:rPr>
          <w:rtl w:val="true"/>
        </w:rPr>
        <w:t>الفرق بین الحائض و النفساء</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حکمها کالحائض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یحرم علیها و یجب و یستحبّ و یکره؛ لأنّه دم حیض احتبس لغذاء الولد، و منه یعلم أنّ النفاس لا یفارق الحیض فی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أُمور بعضها یتعلّق بالفرق بین نفس الحیض و النفاس، و بعضها یتعلّق بالفرق بین الحائض و النفساء، و یمکن إرجاع الکلّ إلی نفس الحیض و النفاس</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فی کلام المصنّف منقطع عند التحقیق، فإنّ</w:t>
      </w:r>
      <w:bookmarkStart w:id="81" w:name="pg13042_127051"/>
    </w:p>
    <w:p>
      <w:pPr>
        <w:pStyle w:val="BookText"/>
        <w:rPr/>
      </w:pPr>
      <w:bookmarkEnd w:id="81"/>
      <w:r>
        <w:rPr>
          <w:rFonts w:ascii="IRNazanin" w:hAnsi="IRNazanin" w:eastAsia="IRNazanin"/>
          <w:color w:val="111111"/>
          <w:sz w:val="28"/>
          <w:sz w:val="28"/>
          <w:szCs w:val="28"/>
          <w:rtl w:val="true"/>
          <w:lang w:bidi="fa-IR"/>
        </w:rPr>
        <w:t>أحکام النفساء و الحائض غیر أحکام الحیض و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فمن الأُمور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فی الحیض ثلاثة و فی النفاس 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فإنّ فی أکثره خلافاً بخلاف أکثر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الحیض دلیل علی البلوغ بخلاف النفاس، فإنّ البلوغ یعلم بالحمل، و ربما یجاب عن ذلک بأنّ دلالة الحمل علیه لا تمنع من دلالة النفاس، إلّا أنْ یراد الدلیل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العدة تنقضی بالحیض دون النفاس؛ لأنّه مسبوق بالوضع الذی به تنقضی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العدّة التی لا تنقضی بالوضع کعدّة المطلّقة الحامل من الزنا تنقضی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النفساء لا ترجع إلی نسائها بخلاف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النفساء لا ترجع إلی عادتها فی النفاس، بخلاف الحائض، و بالرجوع فی المقامین روایة </w:t>
      </w:r>
      <w:r>
        <w:rPr>
          <w:rStyle w:val="FootnoteAnchor"/>
          <w:rtl w:val="true"/>
        </w:rPr>
        <w:footnoteReference w:id="834"/>
      </w:r>
      <w:r>
        <w:rPr>
          <w:rFonts w:ascii="Amiri" w:hAnsi="Amiri" w:eastAsia="Amiri" w:cs="Amiri"/>
          <w:color w:val="111111"/>
          <w:sz w:val="28"/>
          <w:sz w:val="28"/>
          <w:szCs w:val="28"/>
          <w:rtl w:val="true"/>
          <w:lang w:bidi="ar-SA"/>
        </w:rPr>
        <w:t>شاذة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ترجع إلی التمییز و لا إلی الروایات عند الأکثر، بخلاف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فی اشتراط تخلّل أقلّ الطهر بین الحیضین اتفاقاً، بخلاف النفاس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المتقدّم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اشتراط أقلّ الطهر بین النفاسین</w:t>
      </w:r>
      <w:r>
        <w:rPr>
          <w:rFonts w:eastAsia="IRNazanin" w:cs="IRNazanin"/>
          <w:color w:val="111111"/>
          <w:sz w:val="28"/>
          <w:szCs w:val="28"/>
          <w:rtl w:val="true"/>
          <w:lang w:bidi="fa-IR"/>
        </w:rPr>
        <w:t>.</w:t>
      </w:r>
    </w:p>
    <w:p>
      <w:pPr>
        <w:pStyle w:val="Heading6"/>
        <w:numPr>
          <w:ilvl w:val="5"/>
          <w:numId w:val="1"/>
        </w:numPr>
        <w:rPr/>
      </w:pPr>
      <w:bookmarkStart w:id="82" w:name="__RefHeading___Toc6530120_3224264995"/>
      <w:bookmarkStart w:id="83" w:name="_Toc32"/>
      <w:bookmarkEnd w:id="82"/>
      <w:r>
        <w:rPr>
          <w:rtl w:val="true"/>
        </w:rPr>
        <w:t>[</w:t>
      </w:r>
      <w:r>
        <w:rPr>
          <w:rtl w:val="true"/>
        </w:rPr>
        <w:t>لو رأت الدم الیوم العاشر فهو النفاس فقط</w:t>
      </w:r>
      <w:r>
        <w:rPr>
          <w:rtl w:val="true"/>
        </w:rPr>
        <w:t>]</w:t>
      </w:r>
      <w:bookmarkEnd w:id="8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الدم بعد الولادة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 الیوم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p>
    <w:p>
      <w:pPr>
        <w:pStyle w:val="BookText"/>
        <w:rPr/>
      </w:pP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السرائر </w:t>
      </w:r>
      <w:r>
        <w:rPr>
          <w:rStyle w:val="FootnoteAnchor"/>
          <w:rtl w:val="true"/>
        </w:rPr>
        <w:footnoteReference w:id="835"/>
      </w:r>
      <w:r>
        <w:rPr>
          <w:rFonts w:ascii="IRNazanin" w:hAnsi="IRNazanin" w:eastAsia="IRNazanin"/>
          <w:color w:val="111111"/>
          <w:sz w:val="28"/>
          <w:sz w:val="28"/>
          <w:szCs w:val="28"/>
          <w:rtl w:val="true"/>
          <w:lang w:bidi="fa-IR"/>
        </w:rPr>
        <w:t xml:space="preserve">و الجامع </w:t>
      </w:r>
      <w:r>
        <w:rPr>
          <w:rStyle w:val="FootnoteAnchor"/>
          <w:rtl w:val="true"/>
        </w:rPr>
        <w:footnoteReference w:id="836"/>
      </w:r>
      <w:r>
        <w:rPr>
          <w:rFonts w:ascii="IRNazanin" w:hAnsi="IRNazanin" w:eastAsia="IRNazanin"/>
          <w:color w:val="111111"/>
          <w:sz w:val="28"/>
          <w:sz w:val="28"/>
          <w:szCs w:val="28"/>
          <w:rtl w:val="true"/>
          <w:lang w:bidi="fa-IR"/>
        </w:rPr>
        <w:t xml:space="preserve">و الشرائع </w:t>
      </w:r>
      <w:r>
        <w:rPr>
          <w:rStyle w:val="FootnoteAnchor"/>
          <w:rtl w:val="true"/>
        </w:rPr>
        <w:footnoteReference w:id="837"/>
      </w:r>
      <w:r>
        <w:rPr>
          <w:rFonts w:ascii="Amiri" w:hAnsi="Amiri" w:eastAsia="Amiri" w:cs="Amiri"/>
          <w:color w:val="111111"/>
          <w:sz w:val="28"/>
          <w:sz w:val="28"/>
          <w:szCs w:val="28"/>
          <w:rtl w:val="true"/>
          <w:lang w:bidi="ar-SA"/>
        </w:rPr>
        <w:t xml:space="preserve">و کتب المصنّف قدّس سرّه </w:t>
      </w:r>
      <w:r>
        <w:rPr>
          <w:rStyle w:val="FootnoteAnchor"/>
          <w:rtl w:val="true"/>
        </w:rPr>
        <w:footnoteReference w:id="838"/>
      </w:r>
      <w:r>
        <w:rPr>
          <w:rFonts w:ascii="IRNazanin" w:hAnsi="IRNazanin" w:eastAsia="IRNazanin"/>
          <w:color w:val="111111"/>
          <w:sz w:val="28"/>
          <w:sz w:val="28"/>
          <w:szCs w:val="28"/>
          <w:rtl w:val="true"/>
          <w:lang w:bidi="fa-IR"/>
        </w:rPr>
        <w:t xml:space="preserve">و من تأخّر عنه </w:t>
      </w:r>
      <w:r>
        <w:rPr>
          <w:rStyle w:val="FootnoteAnchor"/>
          <w:rtl w:val="true"/>
        </w:rPr>
        <w:footnoteReference w:id="839"/>
      </w:r>
      <w:r>
        <w:rPr>
          <w:rFonts w:ascii="IRNazanin" w:hAnsi="IRNazanin" w:eastAsia="IRNazanin"/>
          <w:color w:val="111111"/>
          <w:sz w:val="28"/>
          <w:sz w:val="28"/>
          <w:szCs w:val="28"/>
          <w:rtl w:val="true"/>
          <w:lang w:bidi="fa-IR"/>
        </w:rPr>
        <w:t>، بل عن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الحکم مقطوع به فی کلام الأصحاب </w:t>
      </w:r>
      <w:r>
        <w:rPr>
          <w:rStyle w:val="FootnoteAnchor"/>
          <w:rtl w:val="true"/>
        </w:rPr>
        <w:footnoteReference w:id="840"/>
      </w:r>
      <w:r>
        <w:rPr>
          <w:rFonts w:ascii="IRNazanin" w:hAnsi="IRNazanin" w:eastAsia="IRNazanin"/>
          <w:color w:val="111111"/>
          <w:sz w:val="28"/>
          <w:sz w:val="28"/>
          <w:szCs w:val="28"/>
          <w:rtl w:val="true"/>
          <w:lang w:bidi="fa-IR"/>
        </w:rPr>
        <w:t>، 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النفاس عرفاً؛ لعدم اعتبار الاتصال بالولادة و حکم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یشکل مع عدم الصدق أو عدم العلم به مع عدم العلم بکونه الدم المحتبس، و لذا ناقش فیه صاحب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الاستدلال له بظهور الإجماع، کالاستدلال به لاعتبار کون العشرة من مبدإ الولادة لا من حین رؤیة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له بروایة مالک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النفساء یغشاها زوجها و هی فی نفاسها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منذ یوم وضعت أیام عدّة حیضها، و استظهرت بیوم فلا بأس أن یغشاها زوجها</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من قول النبیّ صلی اللّٰه علیه و آله لأسماء بنت عمیس بعد سؤالها عن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کم ولدت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و لا یبعد دعوی انصرافها إلی مقارنة الدم</w:t>
      </w:r>
    </w:p>
    <w:p>
      <w:pPr>
        <w:pStyle w:val="BookText"/>
        <w:rPr/>
      </w:pPr>
      <w:r>
        <w:rPr>
          <w:rFonts w:ascii="IRNazanin" w:hAnsi="IRNazanin" w:eastAsia="IRNazanin"/>
          <w:color w:val="111111"/>
          <w:sz w:val="28"/>
          <w:sz w:val="28"/>
          <w:szCs w:val="28"/>
          <w:rtl w:val="true"/>
          <w:lang w:bidi="fa-IR"/>
        </w:rPr>
        <w:t>الأوّل بحکم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فربما یستفاد من إطلاق العبائر شمول الحکم لما إذا رأت الدم بعد العاشر أیضاً مع کونها معتادة لما دون العشرة، لکن قیّده جماعة کجامع المقاصد </w:t>
      </w:r>
      <w:r>
        <w:rPr>
          <w:rStyle w:val="FootnoteAnchor"/>
          <w:rtl w:val="true"/>
        </w:rPr>
        <w:footnoteReference w:id="843"/>
      </w:r>
      <w:r>
        <w:rPr>
          <w:rFonts w:ascii="IRNazanin" w:hAnsi="IRNazanin" w:eastAsia="IRNazanin"/>
          <w:color w:val="111111"/>
          <w:sz w:val="28"/>
          <w:sz w:val="28"/>
          <w:szCs w:val="28"/>
          <w:rtl w:val="true"/>
          <w:lang w:bidi="fa-IR"/>
        </w:rPr>
        <w:t xml:space="preserve">و من تبعه </w:t>
      </w:r>
      <w:r>
        <w:rPr>
          <w:rStyle w:val="FootnoteAnchor"/>
          <w:rtl w:val="true"/>
        </w:rPr>
        <w:footnoteReference w:id="844"/>
      </w:r>
      <w:r>
        <w:rPr>
          <w:rFonts w:ascii="IRNazanin" w:hAnsi="IRNazanin" w:eastAsia="IRNazanin"/>
          <w:color w:val="111111"/>
          <w:sz w:val="28"/>
          <w:sz w:val="28"/>
          <w:szCs w:val="28"/>
          <w:rtl w:val="true"/>
          <w:lang w:bidi="fa-IR"/>
        </w:rPr>
        <w:t>بما إذا کانت غیر معتادة أو اعتادت العشرة، و أمّا معتادة ما دونها فیشترط فی التنفّس عدم تجاوز الدم عنها؛ و لعلّه لما تقرّر عندهم فی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الدم المتجاوز عن العادة إذا لم ینقطع علی العشرة لیس بحیض فلیس نفاساً أیضاً، و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المستند فی هذا الحکم فیما تقدّم فی الحیض هو الأخبار الدالّة علی رجوع المستحاضة إلی عادتها و جعل ما عداها استحاضة </w:t>
      </w:r>
      <w:r>
        <w:rPr>
          <w:rStyle w:val="FootnoteAnchor"/>
          <w:rtl w:val="true"/>
        </w:rPr>
        <w:footnoteReference w:id="845"/>
      </w:r>
      <w:r>
        <w:rPr>
          <w:rFonts w:ascii="IRNazanin" w:hAnsi="IRNazanin" w:eastAsia="IRNazanin"/>
          <w:color w:val="111111"/>
          <w:sz w:val="28"/>
          <w:sz w:val="28"/>
          <w:szCs w:val="28"/>
          <w:rtl w:val="true"/>
          <w:lang w:bidi="fa-IR"/>
        </w:rPr>
        <w:t xml:space="preserve">، و هی إن کانت مختصّة بما عدا الدورة الاولی للمستحاضة، إلّا أنّک قد عرفت فی تلک المسألة ثبوت الحکم فی الدورة الاولی بتنقیح المناط، و لذا تأمّل فی الحکم المذکور جماعة </w:t>
      </w:r>
      <w:r>
        <w:rPr>
          <w:rStyle w:val="FootnoteAnchor"/>
          <w:rtl w:val="true"/>
        </w:rPr>
        <w:footnoteReference w:id="846"/>
      </w:r>
      <w:r>
        <w:rPr>
          <w:rFonts w:ascii="IRNazanin" w:hAnsi="IRNazanin" w:eastAsia="IRNazanin"/>
          <w:color w:val="111111"/>
          <w:sz w:val="28"/>
          <w:sz w:val="28"/>
          <w:szCs w:val="28"/>
          <w:rtl w:val="true"/>
          <w:lang w:bidi="fa-IR"/>
        </w:rPr>
        <w:t xml:space="preserve">تبعاً لصاحب المدارک </w:t>
      </w:r>
      <w:r>
        <w:rPr>
          <w:rStyle w:val="FootnoteAnchor"/>
          <w:rtl w:val="true"/>
        </w:rPr>
        <w:footnoteReference w:id="847"/>
      </w:r>
      <w:r>
        <w:rPr>
          <w:rFonts w:ascii="IRNazanin" w:hAnsi="IRNazanin" w:eastAsia="IRNazanin"/>
          <w:color w:val="111111"/>
          <w:sz w:val="28"/>
          <w:sz w:val="28"/>
          <w:szCs w:val="28"/>
          <w:rtl w:val="true"/>
          <w:lang w:bidi="fa-IR"/>
        </w:rPr>
        <w:t>، و هذا الدلیل مفقود فیما سمعت؛ لأنّها حیث لم تر إلّا العاشر و ما بعده لم یصدق علیها المستحاضة حتی ترجع إلی عادتها و تدع ما سواها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النفاس حیضاً لا یجدی؛ لأنّ الحکم بکون ما تراه الحائض بعد</w:t>
      </w:r>
    </w:p>
    <w:p>
      <w:pPr>
        <w:pStyle w:val="BookText"/>
        <w:rPr/>
      </w:pPr>
      <w:r>
        <w:rPr>
          <w:rFonts w:ascii="IRNazanin" w:hAnsi="IRNazanin" w:eastAsia="IRNazanin"/>
          <w:color w:val="111111"/>
          <w:sz w:val="28"/>
          <w:sz w:val="28"/>
          <w:szCs w:val="28"/>
          <w:rtl w:val="true"/>
          <w:lang w:bidi="fa-IR"/>
        </w:rPr>
        <w:t>العادة و تجاوز عن العشرة المستحاضة إنّما هو لمن استمرّ بها الدم إلی ما بعد العادة و العشرة، لا من لم تر إلّا بعد العادة،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یبعد جعل العاشر حیضاً؛ للصدق العرفی المتقدّم، و جعل ما عداه استحاضة؛ لما دلّ علی أنّ أکثرها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أبعد ما بینه و بین ما احتمله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ینبغی علی اعتبار عادة الحیض فی نفاس المعتادة أن یکون الخارج عنها استحاضة و إن انقطع علی العشرة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عادة الحیض فی نفاس المعتادة لم یستنبط إلّا من الأخبار الدالة علی التنفّس بقدر العادة، و جعل ما عداها استحاضة بدون الاستظهار أو معه، و هذه الأخبار إمّا أن تختَصّ بمن استمرّ دمها إلی العادة و تجاوز عنها، کما هو ظاهرها سؤالًا و جواباً، فلا ریب فی خروج الفرض عنها سواء انقطع الدم علی العشرة أو تجاوزها، فیجب الرجوع فی حکمه إلی قاعدة الإمکان و الصدق العرفی و أدلّة کون النفاس کالحیض فی کون أکثره عشرة، فلا وجه لما ذکره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الأخبار بحیث یشمل الفرض إمّا بالعموم اللفظی أو بتنقیح المناط، فلا یخفی أنّهم قد اعترفوا بأنّ هذه الأخبار لا تنافی جعل ما بعد العادة نفاساً إذا استمرّ الدم من الولادة إلی ما بعد العادة و انقطع علی العشرة، و لذا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الزائد علی العادة عند استمرار الدم إلیها و انقطاع الدم علی العشرة نفاس، فهی حینئذٍ لا تدلّ علی کون خصوص العادة معتبرة إلّا فی حقّ من تجاوز دمها عن العشرة، أمّا المنقطع علیها فهو نفاس</w:t>
      </w:r>
    </w:p>
    <w:p>
      <w:pPr>
        <w:pStyle w:val="BookText"/>
        <w:rPr/>
      </w:pPr>
      <w:r>
        <w:rPr>
          <w:rFonts w:ascii="IRNazanin" w:hAnsi="IRNazanin" w:eastAsia="IRNazanin"/>
          <w:color w:val="111111"/>
          <w:sz w:val="28"/>
          <w:sz w:val="28"/>
          <w:szCs w:val="28"/>
          <w:rtl w:val="true"/>
          <w:lang w:bidi="fa-IR"/>
        </w:rPr>
        <w:t xml:space="preserve">بحکم هذه الأخبار و إن کان بعد العادة </w:t>
      </w:r>
      <w:r>
        <w:rPr>
          <w:rStyle w:val="FootnoteAnchor"/>
          <w:rtl w:val="true"/>
        </w:rPr>
        <w:footnoteReference w:id="849"/>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ما یستفاد من الأدلّة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متی رأت الدم قبل العادة اتّصل بالولادة أو انفصل ثمّ استمرّ إلی ما بعد العادة و العشرة، فحکمها حکم المستحاضة فی الحیض فی وجوب جعل عادتها لا غیر نفاساً؛ لأنّ دعوی اختصاص الأخبار الواردة فی المعتادة بمن اتّصل دمها بالولادة أو قریباً منها و إن کانت غیر بعیدة، إلّا أنّ الاعتناء بهذا الانصراف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بین من استمرّ دمها من حین الولادة إلی ما بعد العشرة، و بین من حدث دمها فی الخامس مع کون عادتها الستة أو السبعة، فلو رأت معتادة السبعة الخامس إلی ما بعد العشرة فنفاسها ثلاثة أیّام، و هکذا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لم تر إلی ما بعد العادة ثم رأت و عبر العشرة، فالظاهر خروجه عن مورد الأخبار، فمقتضی الصدق تحقّق النفاس من زمان الرؤیة إلی العاشر، و ربما یشکل إذا کان عدده أکثر من العادة کما اعتادت فی الحیض ثلاثة أو أربعة فلم تر النفاس إلّا خامس الولادة و عبر العشرة، فهل یجعل الستّة نفاساً؛ لما عرفت من اختصاص الأخبار بمن رأت فی العادة ثم استمرّ، فیرجع فی هذا إلی عمومات النفاس؟، أو یجعل النفاس بمقدار عادتها الثلاثة أو الأربعة؛ لأنّ المستفاد من الأخبار علی وجه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النفساء المستحاضة کالحائض المستحاضة لا وقت لها إلّا أیّامها سواء رأت</w:t>
      </w:r>
      <w:bookmarkStart w:id="84" w:name="pg13042_127056"/>
    </w:p>
    <w:p>
      <w:pPr>
        <w:pStyle w:val="BookText"/>
        <w:rPr/>
      </w:pPr>
      <w:bookmarkEnd w:id="84"/>
      <w:r>
        <w:rPr>
          <w:rFonts w:ascii="IRNazanin" w:hAnsi="IRNazanin" w:eastAsia="IRNazanin"/>
          <w:color w:val="111111"/>
          <w:sz w:val="28"/>
          <w:sz w:val="28"/>
          <w:szCs w:val="28"/>
          <w:rtl w:val="true"/>
          <w:lang w:bidi="fa-IR"/>
        </w:rPr>
        <w:t xml:space="preserve">من الولادة إلی العادة أو لم تر إلّا بعد العادة فهی کحائض </w:t>
      </w:r>
      <w:r>
        <w:rPr>
          <w:rStyle w:val="FootnoteAnchor"/>
          <w:rtl w:val="true"/>
        </w:rPr>
        <w:footnoteReference w:id="850"/>
      </w:r>
      <w:r>
        <w:rPr>
          <w:rFonts w:ascii="IRNazanin" w:hAnsi="IRNazanin" w:eastAsia="IRNazanin"/>
          <w:color w:val="111111"/>
          <w:sz w:val="28"/>
          <w:sz w:val="28"/>
          <w:szCs w:val="28"/>
          <w:rtl w:val="true"/>
          <w:lang w:bidi="fa-IR"/>
        </w:rPr>
        <w:t>لم تر الدم إلّا بعد أیّامها و عبر عن عادتها و عن العشرة؟، و لعلّ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عند من یقول بهذه الکلّیة فی النفاس،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دم تجاوز عن العشرة و العادة فالنفاس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یجب علی المعتادة زیادة تمام العشرة علی العادة استظهاراً، فالمعتادة کالمبتدأة و المضطربة، فهذه الکلمات ساقطة رأساً، و المتّجه علیه ما ذکره المصنّف من الإطلاق تبعاً لشیخه المحقق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أنّه لا یؤخذ بشی‌ءٍ ممّا بعد العشرة و إن کان متمّما للعادة؛ لأنّ أکثر النفاس عشرة، و لیس هذا التحدید نظیر تحدید أکثر الحیض فی أنّ المراد منه أنّ أکثر أیام الدم عشرة فیکون تحدیداً لمقدار الدم فقط، بل المراد منه تحدید الأیّام القابلة لوقوع النفاس فیها من یوم الولادة سواء وقع فیها مقدار العشرة أو لم یقع فیها إلّا مقدار یوم، و لذا حکموا بأنّها لو لم تر إلّا الحادی عشر لم یکن نفاساً </w:t>
      </w:r>
      <w:r>
        <w:rPr>
          <w:rStyle w:val="FootnoteAnchor"/>
          <w:rtl w:val="true"/>
        </w:rPr>
        <w:footnoteReference w:id="852"/>
      </w:r>
      <w:r>
        <w:rPr>
          <w:rFonts w:ascii="IRNazanin" w:hAnsi="IRNazanin" w:eastAsia="IRNazanin"/>
          <w:color w:val="111111"/>
          <w:sz w:val="28"/>
          <w:sz w:val="28"/>
          <w:szCs w:val="28"/>
          <w:rtl w:val="true"/>
          <w:lang w:bidi="fa-IR"/>
        </w:rPr>
        <w:t>مستندین فی ذلک إلی أنّ أکثر النفاس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القرینة علی ما ذکرناه من التفسیر و إن کان ظاهر العبارة تفسیراً لمقدار الدم الإجماع علی أنّ مبدأ العشرة من حین الولادة، و علی أنّه لا یعتبر اتصال الدم بالولادة</w:t>
      </w:r>
      <w:r>
        <w:rPr>
          <w:rFonts w:eastAsia="IRNazanin" w:cs="IRNazanin"/>
          <w:color w:val="111111"/>
          <w:sz w:val="28"/>
          <w:szCs w:val="28"/>
          <w:rtl w:val="true"/>
          <w:lang w:bidi="fa-IR"/>
        </w:rPr>
        <w:t>.</w:t>
      </w:r>
    </w:p>
    <w:p>
      <w:pPr>
        <w:pStyle w:val="Heading6"/>
        <w:numPr>
          <w:ilvl w:val="5"/>
          <w:numId w:val="1"/>
        </w:numPr>
        <w:rPr/>
      </w:pPr>
      <w:bookmarkStart w:id="85" w:name="__RefHeading___Toc6530122_3224264995"/>
      <w:bookmarkStart w:id="86" w:name="_Toc33"/>
      <w:bookmarkEnd w:id="85"/>
      <w:r>
        <w:rPr>
          <w:rtl w:val="true"/>
        </w:rPr>
        <w:t>[</w:t>
      </w:r>
      <w:r>
        <w:rPr>
          <w:rtl w:val="true"/>
        </w:rPr>
        <w:t>لو رأت الدم الیوم الأوّل و العاشر فالعشرة نفاس</w:t>
      </w:r>
      <w:r>
        <w:rPr>
          <w:rtl w:val="true"/>
        </w:rPr>
        <w:t>]</w:t>
      </w:r>
      <w:bookmarkEnd w:id="8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فالعشرة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إجماعاً علی الظاهر المستظهر من بعض العبائر </w:t>
      </w:r>
      <w:r>
        <w:rPr>
          <w:rStyle w:val="FootnoteAnchor"/>
          <w:rtl w:val="true"/>
        </w:rPr>
        <w:footnoteReference w:id="853"/>
      </w:r>
      <w:r>
        <w:rPr>
          <w:rFonts w:ascii="IRNazanin" w:hAnsi="IRNazanin" w:eastAsia="IRNazanin"/>
          <w:color w:val="111111"/>
          <w:sz w:val="28"/>
          <w:sz w:val="28"/>
          <w:szCs w:val="28"/>
          <w:rtl w:val="true"/>
          <w:lang w:bidi="fa-IR"/>
        </w:rPr>
        <w:t>، أمّا الدمان فلصدق النفاس علیهما، و أمّا النقاء فلکون المرأة فی أیّامه نفساء عرفاً؛ إذ لا یعتبر فی مثل هذا المشتق تلبّس الذات بالمبدإ علی الدم، فیشمله حینئذٍ کلّ ما دلّ علی أنّ النفساء تکفّ عن الصلاة أیّام أقرائها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تقییدها بمن رأت الدم مستمراً غیر مفصول بالنقاء بعید جدّاً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ظهر أنّ الطهر فی النفاس الواحد لا یتحقّق علی مذهب القول بالعشرة، مع أنّ الطهر مطلقاً لا یقصر عن عشرة؛ لعموم النص </w:t>
      </w:r>
      <w:r>
        <w:rPr>
          <w:rStyle w:val="FootnoteAnchor"/>
          <w:rtl w:val="true"/>
        </w:rPr>
        <w:footnoteReference w:id="854"/>
      </w:r>
      <w:r>
        <w:rPr>
          <w:rFonts w:ascii="IRNazanin" w:hAnsi="IRNazanin" w:eastAsia="IRNazanin"/>
          <w:color w:val="111111"/>
          <w:sz w:val="28"/>
          <w:sz w:val="28"/>
          <w:szCs w:val="28"/>
          <w:rtl w:val="true"/>
          <w:lang w:bidi="fa-IR"/>
        </w:rPr>
        <w:t xml:space="preserve">و الإجماع </w:t>
      </w:r>
      <w:r>
        <w:rPr>
          <w:rStyle w:val="FootnoteAnchor"/>
          <w:rtl w:val="true"/>
        </w:rPr>
        <w:footnoteReference w:id="855"/>
      </w:r>
      <w:r>
        <w:rPr>
          <w:rFonts w:ascii="IRNazanin" w:hAnsi="IRNazanin" w:eastAsia="IRNazanin"/>
          <w:color w:val="111111"/>
          <w:sz w:val="28"/>
          <w:sz w:val="28"/>
          <w:szCs w:val="28"/>
          <w:rtl w:val="true"/>
          <w:lang w:bidi="fa-IR"/>
        </w:rPr>
        <w:t xml:space="preserve">خرج منه النفاسان المفصُولان بما دون العشرة لما تقدّم سابقاً، فما ذکره کاشف اللّثام من الإیراد علی من استدلّ فی المسألة بعدم قصور الطهر عن عشرة کالسرائر </w:t>
      </w:r>
      <w:r>
        <w:rPr>
          <w:rStyle w:val="FootnoteAnchor"/>
          <w:rtl w:val="true"/>
        </w:rPr>
        <w:footnoteReference w:id="856"/>
      </w:r>
      <w:r>
        <w:rPr>
          <w:rFonts w:ascii="IRNazanin" w:hAnsi="IRNazanin" w:eastAsia="IRNazanin"/>
          <w:color w:val="111111"/>
          <w:sz w:val="28"/>
          <w:sz w:val="28"/>
          <w:szCs w:val="28"/>
          <w:rtl w:val="true"/>
          <w:lang w:bidi="fa-IR"/>
        </w:rPr>
        <w:t xml:space="preserve">و المعتبر </w:t>
      </w:r>
      <w:r>
        <w:rPr>
          <w:rStyle w:val="FootnoteAnchor"/>
          <w:rtl w:val="true"/>
        </w:rPr>
        <w:footnoteReference w:id="857"/>
      </w:r>
      <w:r>
        <w:rPr>
          <w:rFonts w:ascii="IRNazanin" w:hAnsi="IRNazanin" w:eastAsia="IRNazanin"/>
          <w:color w:val="111111"/>
          <w:sz w:val="28"/>
          <w:sz w:val="28"/>
          <w:szCs w:val="28"/>
          <w:rtl w:val="true"/>
          <w:lang w:bidi="fa-IR"/>
        </w:rPr>
        <w:t xml:space="preserve">و التذکرة </w:t>
      </w:r>
      <w:r>
        <w:rPr>
          <w:rStyle w:val="FootnoteAnchor"/>
          <w:rtl w:val="true"/>
        </w:rPr>
        <w:footnoteReference w:id="858"/>
      </w:r>
      <w:r>
        <w:rPr>
          <w:rFonts w:ascii="IRNazanin" w:hAnsi="IRNazanin" w:eastAsia="IRNazanin"/>
          <w:color w:val="111111"/>
          <w:sz w:val="28"/>
          <w:sz w:val="28"/>
          <w:szCs w:val="28"/>
          <w:rtl w:val="true"/>
          <w:lang w:bidi="fa-IR"/>
        </w:rPr>
        <w:t xml:space="preserve">و الذکری </w:t>
      </w:r>
      <w:r>
        <w:rPr>
          <w:rStyle w:val="FootnoteAnchor"/>
          <w:rtl w:val="true"/>
        </w:rPr>
        <w:footnoteReference w:id="859"/>
      </w:r>
      <w:r>
        <w:rPr>
          <w:rFonts w:ascii="IRNazanin" w:hAnsi="IRNazanin" w:eastAsia="IRNazanin"/>
          <w:color w:val="111111"/>
          <w:sz w:val="28"/>
          <w:sz w:val="28"/>
          <w:szCs w:val="28"/>
          <w:rtl w:val="true"/>
          <w:lang w:bidi="fa-IR"/>
        </w:rPr>
        <w:t xml:space="preserve">و غیرها </w:t>
      </w:r>
      <w:r>
        <w:rPr>
          <w:rStyle w:val="FootnoteAnchor"/>
          <w:rtl w:val="true"/>
        </w:rPr>
        <w:footnoteReference w:id="860"/>
      </w:r>
      <w:r>
        <w:rPr>
          <w:rFonts w:ascii="IRNazanin" w:hAnsi="IRNazanin" w:eastAsia="IRNazanin"/>
          <w:color w:val="111111"/>
          <w:sz w:val="28"/>
          <w:sz w:val="28"/>
          <w:szCs w:val="28"/>
          <w:rtl w:val="true"/>
          <w:lang w:bidi="fa-IR"/>
        </w:rPr>
        <w:t xml:space="preserve">بالنقض بالطهر بین النفاسین </w:t>
      </w:r>
      <w:r>
        <w:rPr>
          <w:rStyle w:val="FootnoteAnchor"/>
          <w:rtl w:val="true"/>
        </w:rPr>
        <w:footnoteReference w:id="861"/>
      </w:r>
      <w:r>
        <w:rPr>
          <w:rFonts w:ascii="IRNazanin" w:hAnsi="IRNazanin" w:eastAsia="IRNazanin"/>
          <w:color w:val="111111"/>
          <w:sz w:val="28"/>
          <w:sz w:val="28"/>
          <w:szCs w:val="28"/>
          <w:rtl w:val="true"/>
          <w:lang w:bidi="fa-IR"/>
        </w:rPr>
        <w:t>لعلّه فی غیر محلّه، کتوقّف صاحب الذخیرة، حیث ذکر أنّه إن لم یثبت إجماع علی الکلّیة المذکورة کان للتوقّف المذکور</w:t>
      </w:r>
    </w:p>
    <w:p>
      <w:pPr>
        <w:pStyle w:val="BookText"/>
        <w:rPr/>
      </w:pPr>
      <w:r>
        <w:rPr>
          <w:rFonts w:ascii="IRNazanin" w:hAnsi="IRNazanin" w:eastAsia="IRNazanin"/>
          <w:color w:val="111111"/>
          <w:sz w:val="28"/>
          <w:sz w:val="28"/>
          <w:szCs w:val="28"/>
          <w:rtl w:val="true"/>
          <w:lang w:bidi="fa-IR"/>
        </w:rPr>
        <w:t xml:space="preserve">مجال لفقد النصّ الدالّ علیه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ربما یحسن الإیراد هنا من مثل صاحب الحدائق ممّن یری جواز الفصل بأقلّ الطهر بین أجزاء الحیضة الواحدة، و یحصر اعتبار الفصل بالعشر بین الحیضتین </w:t>
      </w:r>
      <w:r>
        <w:rPr>
          <w:rStyle w:val="FootnoteAnchor"/>
          <w:rtl w:val="true"/>
        </w:rPr>
        <w:footnoteReference w:id="863"/>
      </w:r>
      <w:r>
        <w:rPr>
          <w:rFonts w:ascii="IRNazanin" w:hAnsi="IRNazanin" w:eastAsia="IRNazanin"/>
          <w:color w:val="111111"/>
          <w:sz w:val="28"/>
          <w:sz w:val="28"/>
          <w:szCs w:val="28"/>
          <w:rtl w:val="true"/>
          <w:lang w:bidi="fa-IR"/>
        </w:rPr>
        <w:t>، و قد عرفت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بنفاسیّة العشرة هنا مقیّد کما فی السابق، عند من یری أکثر النفاس العادة بعدم کون المرأة معتادة لما دونها مع تجاوز الدم العشرة، و إلّا فالنفاس فی مسألة الکتاب هو الأوّل، قال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یترتّب علی کون الأوّل نفاساً خاصة إمکان الحکم بالحیض من الثانی عشر فصاعداً إن استفادت منه تمییزاً، أو لم تر فی العاشر و رأت الثانی و ما بعده إلی ثلاثة، قد یحکم بکونها حیضاً لإمکانه </w:t>
      </w:r>
      <w:r>
        <w:rPr>
          <w:rStyle w:val="FootnoteAnchor"/>
          <w:rtl w:val="true"/>
        </w:rPr>
        <w:footnoteReference w:id="864"/>
      </w:r>
      <w:r>
        <w:rPr>
          <w:rFonts w:ascii="IRNazanin" w:hAnsi="IRNazanin" w:eastAsia="IRNazanin"/>
          <w:color w:val="111111"/>
          <w:sz w:val="28"/>
          <w:sz w:val="28"/>
          <w:szCs w:val="28"/>
          <w:rtl w:val="true"/>
          <w:lang w:bidi="fa-IR"/>
        </w:rPr>
        <w:t>، انتهی،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مذهب من یحدّ الأکثر بالعشرة، و أمّا من یحدّه بثمانیة، فلو لم تر بعد الأوّل إلّا الخامس عشر و استمرّ ثلاثة، فإن کانت غیر معتادة أو کان فی غیر أیام عادتها فالظاهر الحکم بکونها نفاساً؛ لعموم دلیل النفاس فی الدم عقیب الولادة و لا یعارضها قاعدة الإمکان؛ لأنّ ذلک العموم دلیل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صادف أیّام المعتادة فهل یرجّح عموم أدلّة النفاس أو عموم أدلّة التحیّض فی العادة؟ وجهان، و لا یبعد ترجیح دلیل النفاس</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اجتمع شرائط الحیض، أمّا إذا کان أقلّ من ثلاثة مثلًا، فالظاهر تعیین کونه نفاساً، لأنّه فی وقت إمکانه مع الصدق عرفاً کما ذکرنا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من لم تر إلّا العاشر؛ إذ لا یفرّق العرف جزماً بین من رأت لحظة ثم رأت العاشر أو رأت الثانی عشر، لکن ذکر فی المنتهی تفریعاً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رأت ساعة بعد الولادة ثم انقطع عشرة أیام ثم رأته ثلاثة أیام فإنّه یحتمل أن یکون حیضاً؛ لأنّه بعد أیامه بقدر طهر کامل </w:t>
      </w:r>
      <w:r>
        <w:rPr>
          <w:rStyle w:val="FootnoteAnchor"/>
          <w:rtl w:val="true"/>
        </w:rPr>
        <w:footnoteReference w:id="865"/>
      </w:r>
      <w:r>
        <w:rPr>
          <w:rFonts w:ascii="IRNazanin" w:hAnsi="IRNazanin" w:eastAsia="IRNazanin"/>
          <w:color w:val="111111"/>
          <w:sz w:val="28"/>
          <w:sz w:val="28"/>
          <w:szCs w:val="28"/>
          <w:rtl w:val="true"/>
          <w:lang w:bidi="fa-IR"/>
        </w:rPr>
        <w:t xml:space="preserve">، و أن یکون نفاسا لأنّه فی وقت إمکانه، فعلی الأوّل لو رأته أقلّ من ثلاثة کان دم فساد؛ لأنّه أقلّ من عدد الحیض بعد طهر کامل، فکان فساداً، و علی الثانی یکون نفاساً و لم أقف له علی نصّ فی ذلک </w:t>
      </w:r>
      <w:r>
        <w:rPr>
          <w:rStyle w:val="FootnoteAnchor"/>
          <w:rtl w:val="true"/>
        </w:rPr>
        <w:footnoteReference w:id="86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مواضع للنظر تعرف ممّا قدّمناه سابقاً</w:t>
      </w:r>
      <w:r>
        <w:rPr>
          <w:rFonts w:eastAsia="IRNazanin" w:cs="IRNazanin"/>
          <w:color w:val="111111"/>
          <w:sz w:val="28"/>
          <w:szCs w:val="28"/>
          <w:rtl w:val="true"/>
          <w:lang w:bidi="fa-IR"/>
        </w:rPr>
        <w:t>.</w:t>
      </w:r>
      <w:bookmarkStart w:id="87" w:name="pg13042_127060"/>
    </w:p>
    <w:p>
      <w:pPr>
        <w:pStyle w:val="Heading4"/>
        <w:numPr>
          <w:ilvl w:val="3"/>
          <w:numId w:val="1"/>
        </w:numPr>
        <w:rPr/>
      </w:pPr>
      <w:bookmarkStart w:id="88" w:name="__RefHeading___Toc6530124_3224264995"/>
      <w:bookmarkStart w:id="89" w:name="_Toc34"/>
      <w:bookmarkEnd w:id="87"/>
      <w:bookmarkEnd w:id="88"/>
      <w:r>
        <w:rPr>
          <w:rtl w:val="true"/>
        </w:rPr>
        <w:t>[</w:t>
      </w:r>
      <w:r>
        <w:rPr>
          <w:rtl w:val="true"/>
        </w:rPr>
        <w:t>المقصد الرابع فی غسل الأموات</w:t>
      </w:r>
      <w:r>
        <w:rPr>
          <w:rtl w:val="true"/>
        </w:rPr>
        <w:t>]</w:t>
      </w:r>
      <w:bookmarkEnd w:id="89"/>
    </w:p>
    <w:p>
      <w:pPr>
        <w:pStyle w:val="Heading5"/>
        <w:numPr>
          <w:ilvl w:val="4"/>
          <w:numId w:val="1"/>
        </w:numPr>
        <w:rPr/>
      </w:pPr>
      <w:bookmarkStart w:id="90" w:name="__RefHeading___Toc6530126_3224264995"/>
      <w:bookmarkStart w:id="91" w:name="_Toc35"/>
      <w:bookmarkEnd w:id="90"/>
      <w:r>
        <w:rPr>
          <w:rtl w:val="true"/>
        </w:rPr>
        <w:t>اشارة</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الرابع فی غسل الأموات و هو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من الدین،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بین أهل العلم، کما عن المنتهی </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باقی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التکفین و الصلاة علیه و الدفن بإجماع العلماء کما عن التذکرة </w:t>
      </w:r>
      <w:r>
        <w:rPr>
          <w:rStyle w:val="FootnoteAnchor"/>
          <w:rtl w:val="true"/>
        </w:rPr>
        <w:footnoteReference w:id="868"/>
      </w:r>
      <w:r>
        <w:rPr>
          <w:rFonts w:ascii="IRNazanin" w:hAnsi="IRNazanin" w:eastAsia="IRNazanin"/>
          <w:color w:val="111111"/>
          <w:sz w:val="28"/>
          <w:sz w:val="28"/>
          <w:szCs w:val="28"/>
          <w:rtl w:val="true"/>
          <w:lang w:bidi="fa-IR"/>
        </w:rPr>
        <w:t xml:space="preserve">، و مذهب أهل العلم کما عن المعتبر </w:t>
      </w:r>
      <w:r>
        <w:rPr>
          <w:rStyle w:val="FootnoteAnchor"/>
          <w:rtl w:val="true"/>
        </w:rPr>
        <w:footnoteReference w:id="869"/>
      </w:r>
      <w:r>
        <w:rPr>
          <w:rFonts w:ascii="IRNazanin" w:hAnsi="IRNazanin" w:eastAsia="IRNazanin"/>
          <w:color w:val="111111"/>
          <w:sz w:val="28"/>
          <w:sz w:val="28"/>
          <w:szCs w:val="28"/>
          <w:rtl w:val="true"/>
          <w:lang w:bidi="fa-IR"/>
        </w:rPr>
        <w:t xml:space="preserve">، و بلا خلافٍ کما عن الغنیة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الحجّة بعد ظهور جملة من الأخبار الواردة فی جملةٍ من أحکام المیّت فیه </w:t>
      </w:r>
      <w:r>
        <w:rPr>
          <w:rStyle w:val="FootnoteAnchor"/>
          <w:rtl w:val="true"/>
        </w:rPr>
        <w:footnoteReference w:id="871"/>
      </w:r>
      <w:r>
        <w:rPr>
          <w:rFonts w:ascii="IRNazanin" w:hAnsi="IRNazanin" w:eastAsia="IRNazanin"/>
          <w:color w:val="111111"/>
          <w:sz w:val="28"/>
          <w:sz w:val="28"/>
          <w:szCs w:val="28"/>
          <w:rtl w:val="true"/>
          <w:lang w:bidi="fa-IR"/>
        </w:rPr>
        <w:t>، دون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نعلم أنّ مقصود الشارع وجود الفعل فی الخارج لا عن مباشرٍ معیّن؛ فإنّ ذلک لا یثبت إلّا سقوط الواجب بفعل أیِّ مباشرٍ کان، و هذا لا یوجب الوجوب الکفائی علی جمیع المباشرین؛ لأنّ غیر الواجب قد یسقط به الواجب؛ و لذا یسقط وجوب الاستقبال بالمیّت</w:t>
      </w:r>
    </w:p>
    <w:p>
      <w:pPr>
        <w:pStyle w:val="BookText"/>
        <w:rPr/>
      </w:pPr>
      <w:r>
        <w:rPr>
          <w:rFonts w:ascii="Amiri" w:hAnsi="Amiri" w:eastAsia="Amiri" w:cs="Amiri"/>
          <w:color w:val="111111"/>
          <w:sz w:val="28"/>
          <w:sz w:val="28"/>
          <w:szCs w:val="28"/>
          <w:rtl w:val="true"/>
          <w:lang w:bidi="ar-SA"/>
        </w:rPr>
        <w:t>بفعل صبیٍّ، بل بهیمة أو ریحٍ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جماعة </w:t>
      </w:r>
      <w:r>
        <w:rPr>
          <w:rStyle w:val="FootnoteAnchor"/>
          <w:rtl w:val="true"/>
        </w:rPr>
        <w:footnoteReference w:id="872"/>
      </w:r>
      <w:r>
        <w:rPr>
          <w:rFonts w:ascii="Amiri" w:hAnsi="Amiri" w:eastAsia="Amiri" w:cs="Amiri"/>
          <w:color w:val="111111"/>
          <w:sz w:val="28"/>
          <w:sz w:val="28"/>
          <w:szCs w:val="28"/>
          <w:rtl w:val="true"/>
          <w:lang w:bidi="ar-SA"/>
        </w:rPr>
        <w:t>بجواز تغسیل الصبیّ الممیّز للمیّت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حینئذٍ فیحتمل أن تکون أُمور المیّت واجبة علی بعضٍ، مستحبّة علی آخر و یسقط الواجب بفعلهم، مع أنّها مصادرة فی مقابل من یقول بوجوبها علی الولیّ عیناً، فإن امتنع فعلی غیره کفایةً، کما اختاره فی الحدائق، حیث قال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یظهر لی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توجّه الخطاب لجمیع هذه الأحکام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الاحتضار و نحوها إنّما هو إلی الولیّ، کأخبار الغسل و الصلاة و الدفن و التلقین کما ستقف علیها، و أخبار توجیه المیّت إلی القبلة و إن لم یصرّح فیها بالولیّ إلّا أنّ الخطاب فیها لأهل المیّت دون کافّة المسلمین، فیمکن حمل إطلاقها علی ما دلّ علیه تلک الأخبار، و لا أعرف للأصحاب مستنداً فیما صاروا إلیه من الوجوب الکفائی إلّا ما یظهر من دعوی الاتّفاق، حیث لم ینقل فیه خلاف، و لم یناقش فیه مناقش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أخلّ الولیّ بذلک و لم یکن هناک حاکمُ شرعٍ یجبره علی القیام بذلک، أو لم یکن ثَمَّةَ ولیٌّ، انتقل الحکم إلی المسلمین بالأدلّة العامّة، کما تشیر إلیه أخبار العُراة الذین وجدوا میّتاً قذفه البحر و لم یکن عندهم ما یکفّنونه و أنّهم أُمروا بالصلاة علیه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کفایة شامل للولیّ و غیره و إن کان الولیّ أو من یأمره أولی بذلک، فتکون هذه الأولویّة أولویّة</w:t>
      </w:r>
    </w:p>
    <w:p>
      <w:pPr>
        <w:pStyle w:val="BookText"/>
        <w:rPr/>
      </w:pPr>
      <w:r>
        <w:rPr>
          <w:rFonts w:ascii="IRNazanin" w:hAnsi="IRNazanin" w:eastAsia="IRNazanin"/>
          <w:color w:val="111111"/>
          <w:sz w:val="28"/>
          <w:sz w:val="28"/>
          <w:szCs w:val="28"/>
          <w:rtl w:val="true"/>
          <w:lang w:bidi="fa-IR"/>
        </w:rPr>
        <w:t>استحباب و فضل، کما یفهم من عبارة الشرائع فی مسألة التغسیل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فرض علی الکفایة، و أولی الناس به أولاهم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صرّح فی المنتهی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أن یتولّی تغسیله أولی الناس به</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ردّ القول بالاستحباب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فرع الدلیل علی الوجوب الکفائی أوّلًا، و أنّهم ذکروا فی الصلاة أنّه لا یجوز التقدّم بدون 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فرق بین الصلاة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ظهور الأخبار فی الوجوب عیناً علی الولیّ،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نعثر علی خبرٍ ظاهرٍ فی ذلک عدا ما ربما یتراءی ممّا ورد فی الغسل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یغسّل المیّت أولی الناس</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الجنازة أولی الناس بها</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 المتأمّل فی تلک الأخبار أنّ المراد بها ثبوت کون الولیّ أحقّ بذلک من غیره، بمعنی أنّه حقٌّ له و حقیقٌ به، لا أنّه یجب علی الولیّ أن یفعل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إثبات حقٍّ له، لا فی مقام إثبات تکلیفٍ علیه و لیس فی إرادة المعنی الأوّل مخالفة لظاهر الجملة الخبریّة، کما لا یخفی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ذیل الروایة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یأمر من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التعبیر عن الإذن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المأمور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عند الذوق السلیم علی أنّ المقام مقام إثبات حقٍّ و منصبٍ للولیّ، لا مقام إلزامه بکلفة، و إلّا کان 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یلتمس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أحقّ بزوجته من أبیها و أخیها و ولدها </w:t>
      </w:r>
      <w:r>
        <w:rPr>
          <w:rStyle w:val="FootnoteAnchor"/>
          <w:rtl w:val="true"/>
        </w:rPr>
        <w:footnoteReference w:id="877"/>
      </w:r>
      <w:r>
        <w:rPr>
          <w:rFonts w:ascii="Amiri" w:hAnsi="Amiri" w:eastAsia="Amiri" w:cs="Amiri"/>
          <w:color w:val="111111"/>
          <w:sz w:val="28"/>
          <w:sz w:val="28"/>
          <w:szCs w:val="28"/>
          <w:rtl w:val="true"/>
          <w:lang w:bidi="ar-SA"/>
        </w:rPr>
        <w:t>، فإنّ التعبیر بالأحقّ ظاهرٌ بل صریحٌ فی أنّ المقام مقام إثبات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روایة طلحة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الإمام الجنازة فهو أحقّ الناس بالصلاة علیها</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إن قدّمه الولیّ و إلّا فهو غاصب</w:t>
      </w:r>
      <w:r>
        <w:rPr>
          <w:rFonts w:eastAsia="Amiri" w:cs="Amiri" w:ascii="Amiri" w:hAnsi="Amiri"/>
          <w:color w:val="111111"/>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بمعنی أنّ الولیّ إذا لم یقدّم إمام الأصل فهو غاصب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المتأمّل فی هذه الأخبار یتّضح له أنّ مساقها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نسبه إلی ظاهر الشرائع فلم یعلم وجهه، و أنّ أیّ کلام منه یدلّ علی ما ذکره؟ فإن أراد به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أولی الناس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التعبیر قد صدر منه و من غیره من المشهور هنا، و فی باب الصلاة علی المیّت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 نسبه إلی المنتهی تبعاً للمحقّق الأردبیلی </w:t>
      </w:r>
      <w:r>
        <w:rPr>
          <w:rStyle w:val="FootnoteAnchor"/>
          <w:rtl w:val="true"/>
        </w:rPr>
        <w:footnoteReference w:id="880"/>
      </w:r>
      <w:r>
        <w:rPr>
          <w:rFonts w:ascii="IRNazanin" w:hAnsi="IRNazanin" w:eastAsia="IRNazanin"/>
          <w:color w:val="111111"/>
          <w:sz w:val="28"/>
          <w:sz w:val="28"/>
          <w:szCs w:val="28"/>
          <w:rtl w:val="true"/>
          <w:lang w:bidi="fa-IR"/>
        </w:rPr>
        <w:t>ربما یشهد له تأیید الحکم فیه بمرسلة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أولی الناس به</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 إلّا أنّ حمل کلامه علی استحباب المباشرة لیس بذلک البعید، بل جزم به بعض المعاصرین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 نسبة الاستحباب إلی الشرائع من جهة العبارة المذکورة </w:t>
      </w:r>
      <w:r>
        <w:rPr>
          <w:rStyle w:val="FootnoteAnchor"/>
          <w:rtl w:val="true"/>
        </w:rPr>
        <w:footnoteReference w:id="883"/>
      </w:r>
      <w:r>
        <w:rPr>
          <w:rFonts w:ascii="IRNazanin" w:hAnsi="IRNazanin" w:eastAsia="IRNazanin"/>
          <w:color w:val="111111"/>
          <w:sz w:val="28"/>
          <w:sz w:val="28"/>
          <w:szCs w:val="28"/>
          <w:rtl w:val="true"/>
          <w:lang w:bidi="fa-IR"/>
        </w:rPr>
        <w:t xml:space="preserve">نسبة ما اختاره فی المسألة إلی ظاهر کلام الشهید أو صریحه </w:t>
      </w:r>
      <w:r>
        <w:rPr>
          <w:rStyle w:val="FootnoteAnchor"/>
          <w:rtl w:val="true"/>
        </w:rPr>
        <w:footnoteReference w:id="884"/>
      </w:r>
      <w:r>
        <w:rPr>
          <w:rFonts w:ascii="IRNazanin" w:hAnsi="IRNazanin" w:eastAsia="IRNazanin"/>
          <w:color w:val="111111"/>
          <w:sz w:val="28"/>
          <w:sz w:val="28"/>
          <w:szCs w:val="28"/>
          <w:rtl w:val="true"/>
          <w:lang w:bidi="fa-IR"/>
        </w:rPr>
        <w:t>، حیث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الأوّل فی الغاسل، و أولی الناس به أولاهم بمیراثه، و کذا باقی الأحکام؛ لعموم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ذکر الآیة و الروایات المقدّم بعضها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أشعر هذا الکلام بعدم الوجوب علی کافّة المسلمین کما هو المشهور، بل علی الولیّ خاصّة، و یؤیّده قوله فی الکتاب المذکور علی إثر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ولیّ فالإمام ولیّه مع حضوره، و مع غیبته فالحاکم، و مع عدمه فالمسلمون، و لو امتنع الولیّ ففی إجباره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فی أنّ الولایة نظر له أو للمیّت،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کالصریح فی تعلّق الوجوب بالولیّ خاصّة، دون المسلمین المعبّر عنه بالوجوب الکفائی </w:t>
      </w:r>
      <w:r>
        <w:rPr>
          <w:rStyle w:val="FootnoteAnchor"/>
          <w:rtl w:val="true"/>
        </w:rPr>
        <w:footnoteReference w:id="88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لیت شعری، أیّ إشعار للکلام الأوّل باختصاص الوجوب بالولیّ، سیّما مع استدلاله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بل الصریحة فیما ذکرنا فی مساق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فی مقام إثبات الحقّ للولیّ، لا إلزام التکلیف علیه؟ و أیّ صراحةٍ أو ظهورٍ فی الفرع الذی ذکره الشهید أخیراً؟ فإنّه لم یزد علی أنّ الولایة تنقل إلی کافّة المسلمین مع عدم الولیّ الخاصّ و العامّ،</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لمن یشاء منهم أن یصلّی و لهم أن یقتدوا بمن شاؤوا، و هذا ترتیب فی مراتب الولایة، لا فی مراتب التکلیف،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یحکی عن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أخذ الأُجرة علی تجهیز المیّت </w:t>
      </w:r>
      <w:r>
        <w:rPr>
          <w:rStyle w:val="FootnoteAnchor"/>
          <w:rtl w:val="true"/>
        </w:rPr>
        <w:footnoteReference w:id="887"/>
      </w:r>
      <w:r>
        <w:rPr>
          <w:rFonts w:ascii="IRNazanin" w:hAnsi="IRNazanin" w:eastAsia="IRNazanin"/>
          <w:color w:val="111111"/>
          <w:sz w:val="28"/>
          <w:sz w:val="28"/>
          <w:szCs w:val="28"/>
          <w:rtl w:val="true"/>
          <w:lang w:bidi="fa-IR"/>
        </w:rPr>
        <w:t xml:space="preserve">، لعلّه موافق لمختار صاحب الحدائق </w:t>
      </w:r>
      <w:r>
        <w:rPr>
          <w:rStyle w:val="FootnoteAnchor"/>
          <w:rtl w:val="true"/>
        </w:rPr>
        <w:footnoteReference w:id="888"/>
      </w:r>
      <w:r>
        <w:rPr>
          <w:rFonts w:ascii="IRNazanin" w:hAnsi="IRNazanin" w:eastAsia="IRNazanin"/>
          <w:color w:val="111111"/>
          <w:sz w:val="28"/>
          <w:sz w:val="28"/>
          <w:szCs w:val="28"/>
          <w:rtl w:val="true"/>
          <w:lang w:bidi="fa-IR"/>
        </w:rPr>
        <w:t xml:space="preserve">بناءً علی ما استدلّ له غیر واحد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مختصّ بالولیّ، فلو استنهض بموافقة السیّد لکان أولی، إلّا أن یطّلع علی عدم ابتناء ما ذکره السیّد علی ما استدلّ به 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فیبقی فی المقام إشکال ذکره صاحب الحدائق </w:t>
      </w:r>
      <w:r>
        <w:rPr>
          <w:rStyle w:val="FootnoteAnchor"/>
          <w:rtl w:val="true"/>
        </w:rPr>
        <w:footnoteReference w:id="890"/>
      </w:r>
      <w:r>
        <w:rPr>
          <w:rFonts w:ascii="IRNazanin" w:hAnsi="IRNazanin" w:eastAsia="IRNazanin"/>
          <w:color w:val="111111"/>
          <w:sz w:val="28"/>
          <w:sz w:val="28"/>
          <w:szCs w:val="28"/>
          <w:rtl w:val="true"/>
          <w:lang w:bidi="fa-IR"/>
        </w:rPr>
        <w:t>و غیره،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الکفائی علی کافّة المسلمین ینافی اعتبار إذن الولیّ؛ فإنّ الواجب الکفائی لا یناط صحّته من بعض المکلّفین بإذن بعضهم الآخر، بل کلّهم فیه سواء؛ فإنّ لازم اعتبار الإذن فی الصحّة کون الوجوب علی غیر الولیّ مشروطاً بإذن الولیّ؛ لأنّ شرط المکلّف به إذا کان خارجاً عن قدرة المکلّف راجع إلی شرط التکلیف؛ لما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بالنسبة إلی المقدّمة الغیر المقدورة مشروط لا مطلق، فهو واجب مطلق علی الولیّ، و مشروط فی حقّ غیره بإذنه، فإن لم یأذن لغیره فغیره غیر منجّز علیه التکلیف الکفائی، فیکون الوجوب المطلق معیّناً فی حقّه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مخیّر فی المباشرة و الإذن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أذن لغیره شارکه فی الوجوب الکفائی،</w:t>
      </w:r>
    </w:p>
    <w:p>
      <w:pPr>
        <w:pStyle w:val="BookText"/>
        <w:rPr/>
      </w:pPr>
      <w:r>
        <w:rPr>
          <w:rFonts w:ascii="IRNazanin" w:hAnsi="IRNazanin" w:eastAsia="IRNazanin"/>
          <w:color w:val="111111"/>
          <w:sz w:val="28"/>
          <w:sz w:val="28"/>
          <w:szCs w:val="28"/>
          <w:rtl w:val="true"/>
          <w:lang w:bidi="fa-IR"/>
        </w:rPr>
        <w:t>إلّا أنّ الوجوب المطلق لا یتعدّاهما، و بقی غیرهما علی صفة عدم الوجوب لفقد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شرط المکلّف به هو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إذن الولیّ، و امتناعه من الإذن و الفعل، و لا ریب أنّ فقدهما الموجب لفقد الوجوب لا یتحقّق إلّا بامتثال الولیّ؛ إذ لا واسطة بین عدم کلٍّ من الإذن و الامتناع و بین الامتثال، فلا یفقد الوجوب إلّا بعد امتثال الولیّ، فالفعل بالنسبة إلی غیر الولیّ مع إذنه یتّصف بالوجوب فعلًا، و کذا مع امتناعه عن الإذن و الفعل، و أمّا مع عدم الأمرین فلا وجوب من جهة تحقّق الامتثال و حینئذٍ، فیصدق علی کلّ مکلّفٍ أنّه واجب علیه بقولٍ مطلق، إلّا أنّ الفعل بالنسبة إلی الولیّ غیر مشروطٍ و بالنسبة إلی غیره مشروط بإذن الولیّ أو امتناعه من الإذن و الفعل، و لا یتّصف الفعل فی حقّ الغیر بعدم الوجوب إلّا إذا تحقّق الامتثال، و هذا حال کلّ واجب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یتحقّق الإذن و الامتناع مع عدم تحقّق الامتثال، کما إذا لم یتضیّق وقت الفعل، فإنّ الولیّ لو امتنع حینئذٍ عن الإذن و الفعل لم ینجّز الوجوب فی حقّ الغیر بمجرّد ذلک،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بالإذن و الامتناع المعتبرین علی سبیل البدل فی صحّة فعل الغیر، هو الإذن و الامتناع عن الفعل المأمور به فی تمام وقته، لا الامتناع عنه فی هذا الزمان الخاصّ، و فوت کلا الأمرین فی تمام الوقت لا یتحقّق إلّا بامتثال الولیّ أو مأذونه، فینحصر عدم الوجوب علی الغیر فی صورة امتثال الولیّ أو مأذونه، و هذا لا ینافی الوجوب الکفائی المطلق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لیس له الاشتغال قبل الإذن و تضیّق الوقت؛ لعدم تأتّی الفعل الصحیح منه؛ لأنّ المفروض اشتراط الصحّة فی حقّه بإذن الولیّ أو امتناعه</w:t>
      </w:r>
    </w:p>
    <w:p>
      <w:pPr>
        <w:pStyle w:val="BookText"/>
        <w:rPr/>
      </w:pPr>
      <w:r>
        <w:rPr>
          <w:rFonts w:ascii="IRNazanin" w:hAnsi="IRNazanin" w:eastAsia="IRNazanin"/>
          <w:color w:val="111111"/>
          <w:sz w:val="28"/>
          <w:sz w:val="28"/>
          <w:szCs w:val="28"/>
          <w:rtl w:val="true"/>
          <w:lang w:bidi="fa-IR"/>
        </w:rPr>
        <w:t>من الإذن و الفعل فی تمام الوقت، و هذا لا ینفی ثبوت الوجوب علیه فی هذا الزمان؛ إذ ربما یتأخّر زمان الواجب عن زمان الوجوب؛ لترقّب بعض شروط الوجود أو الصحّة، فهذا الغیر من أوّل موت الشخص یجب علیه لا علی الفور أن یأتی بواجباته مقرونة بإذن الولیّ فیها أو امتناعه عنها فی تمام الوقت،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ثمرة مهمّة بین القول بتعیّن هذه الواجبات ابتداءً علی الولیّ و بین القول المشهور؛ و لعلّه لاتّفاق القولین علی استحقاق الکلّ للعقاب مع ترکهم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فإنّ الثمرات بین تحقّق الوجوب علی غیر الولیّ ابتداء و بین عدم تعلّقه علیه إلّا بعد فقد الولیّ أو امتناعه کثیرة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استیجار الولیّ غیره فی هذه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القول لا یتعلّق الوجوب إلّا بعد العلم أو الظنّ بامتناع الولیّ أو فقده، و علی المشهور لا یسقط الوجوب یعنی وجوب الاشتغال إلّا بعد العلم أو الظنّ بامتثال الولیّ أو مأذونه، فلو شکّ علی هذا القول فی امتثال الولیّ فالأصل حمل أمره علی الصحّة و هو الفعل، و إن کان مقتضی الاستصحاب عدم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ثبوت الولی إذا خصصنا الولیّ بمن یمکن فقده فالظاهر اشتغال الذمّة بذلک بناءً علی القول الآخر أیضاً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نفی هذه الثمرة؛ من جهة أنّ المشهور لمّا قالوا باشتراط صحّة فعل غیر الولیّ بإذن الولیّ أو امتناعه عن الفعل رأساً، کان اللازم من ذلک شکّ المکلّف فی تنجّز الطلب الکفائی علیه؛ لإمکان عدم تحقّق شرط الفعل بالنسبة إلیه، و هو إذن الولیّ أو امتناعه، مع أنّ الأصل عدم امتناع</w:t>
      </w:r>
    </w:p>
    <w:p>
      <w:pPr>
        <w:pStyle w:val="BookText"/>
        <w:rPr/>
      </w:pPr>
      <w:r>
        <w:rPr>
          <w:rFonts w:ascii="IRNazanin" w:hAnsi="IRNazanin" w:eastAsia="IRNazanin"/>
          <w:color w:val="111111"/>
          <w:sz w:val="28"/>
          <w:sz w:val="28"/>
          <w:szCs w:val="28"/>
          <w:rtl w:val="true"/>
          <w:lang w:bidi="fa-IR"/>
        </w:rPr>
        <w:t>المسلم من فعل الواجب و من الإذن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امتناعه من الفعل و الإذن، بمعنی فعله لأحدهما لا یوجب سقوط الواجب عن هذا الشخص؛ لاحتمال أن یأذن الولیّ نفس هذا الشخص أو یأذن لغیره و لا یفعله ذلک المأذون و لا نفس الولیّ، مع أنّ الأصل عدم فعلهما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حمل أمر المسلم علی فعل الواجبات إنّما هو فی الواجبات العینیّة لا الکفائیّة؛ و إلّا لکان احتمال فعل الغیر للواجب الکفائی مسقطاً عن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الأصل حسن علی مذهب القائل بتعیّنه علی الولیّ کما تقدّم،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عدم إخلاله بما تعیّن علیه فعله أو الاستنابة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جمیع أحکام التجهیز علی المسلمین کفایة إنّما هی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میّت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بإظهار 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جحد بعض الضروریّات کالنواصب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و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فی الحقیقة کُفّار و إن انتحلوا الإسلام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مُسْلِم علی المشهور، حتّی بالنسبة إلی أحکام ما بعد موته ممّا یتعلّق بالمباشرة و المواصلة، فیشمله عموم ما دلّ علی وجوب تغسیل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و النصوص،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کلّ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الغریق، و أکیل السبع، إلّا من قتل بین الصفّین</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و نحو ذلک، مضافاً إلی عموم أدلّة وجوب الصلاة علی کلّ مسلم </w:t>
      </w:r>
      <w:r>
        <w:rPr>
          <w:rStyle w:val="FootnoteAnchor"/>
          <w:rtl w:val="true"/>
        </w:rPr>
        <w:footnoteReference w:id="893"/>
      </w:r>
      <w:r>
        <w:rPr>
          <w:rFonts w:ascii="IRNazanin" w:hAnsi="IRNazanin" w:eastAsia="IRNazanin"/>
          <w:color w:val="111111"/>
          <w:sz w:val="28"/>
          <w:sz w:val="28"/>
          <w:szCs w:val="28"/>
          <w:rtl w:val="true"/>
          <w:lang w:bidi="fa-IR"/>
        </w:rPr>
        <w:t>، بضمیمة عدم القول بالفصل، و ما دلّ علی وجوب</w:t>
      </w:r>
    </w:p>
    <w:p>
      <w:pPr>
        <w:pStyle w:val="BookText"/>
        <w:rPr/>
      </w:pPr>
      <w:r>
        <w:rPr>
          <w:rFonts w:ascii="IRNazanin" w:hAnsi="IRNazanin" w:eastAsia="IRNazanin"/>
          <w:color w:val="111111"/>
          <w:sz w:val="28"/>
          <w:sz w:val="28"/>
          <w:szCs w:val="28"/>
          <w:rtl w:val="true"/>
          <w:lang w:bidi="fa-IR"/>
        </w:rPr>
        <w:t xml:space="preserve">تجهیز المیّت الذی قذفه البحر إلی الساحل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مخصّص لها عدا ما یتخیّل من الأخبار الواردة فی بیان تعلیل تغسیل المیّت، و أنّ الوجه فیه هو تنظیف المیّت و جعله أقرب إلی رحمة اللّٰه و ألیق بشفاعة الملائکة، أو أنّه تطهیرٌ للمیّت عن الجنابة الحادثة له عند الموت </w:t>
      </w:r>
      <w:r>
        <w:rPr>
          <w:rStyle w:val="FootnoteAnchor"/>
          <w:rtl w:val="true"/>
        </w:rPr>
        <w:footnoteReference w:id="895"/>
      </w:r>
      <w:r>
        <w:rPr>
          <w:rFonts w:ascii="IRNazanin" w:hAnsi="IRNazanin" w:eastAsia="IRNazanin"/>
          <w:color w:val="111111"/>
          <w:sz w:val="28"/>
          <w:sz w:val="28"/>
          <w:szCs w:val="28"/>
          <w:rtl w:val="true"/>
          <w:lang w:bidi="fa-IR"/>
        </w:rPr>
        <w:t>، و أیّاً ما کان فلا یلیق المخالف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أخبار التعلیل هو کون الغسل المشروع عندنا کذلک، و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المخالف لا یجوز أن یغسَّل هذا الغسل، بل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أخبار التعلیل </w:t>
      </w:r>
      <w:r>
        <w:rPr>
          <w:rStyle w:val="FootnoteAnchor"/>
          <w:rtl w:val="true"/>
        </w:rPr>
        <w:footnoteReference w:id="896"/>
      </w:r>
      <w:r>
        <w:rPr>
          <w:rFonts w:ascii="IRNazanin" w:hAnsi="IRNazanin" w:eastAsia="IRNazanin"/>
          <w:color w:val="111111"/>
          <w:sz w:val="28"/>
          <w:sz w:val="28"/>
          <w:szCs w:val="28"/>
          <w:rtl w:val="true"/>
          <w:lang w:bidi="fa-IR"/>
        </w:rPr>
        <w:t>کون أصل غسل المیّت کذلک، فیدلّ علی أنّه لا یجب غسل غیره و إلّا کان الجواب أخصّ من السؤال،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الغسل فی أخبار التعلیل سؤالًا و جواباً إلی الغسل المتعارف عند الخاصّة، مضافاً إلی أنّ ظاهرها رجوع العلّة إلی بیان المصلحة فی إیجاب الغسل من حیث هو فی أصل الشرع، و هذه المصلحة مسلّمة الانتفاء فی غسل أهل الخلاف، لکن لا ینافی ذلک إیجابه بحکم الإجماع علی کلّیة تغسیل المسلم، و إن کان وجوب غسل المخالف لا من حیث إنّه غسل، بل من حیث کونها مداراة، أو احتراماً صوریّاً لأجل إظهار کلمتی الشهادة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لازم ذلک عدم جواز إثبات وجوب هذا الغسل بعمومات</w:t>
      </w:r>
    </w:p>
    <w:p>
      <w:pPr>
        <w:pStyle w:val="BookText"/>
        <w:rPr/>
      </w:pPr>
      <w:r>
        <w:rPr>
          <w:rFonts w:ascii="IRNazanin" w:hAnsi="IRNazanin" w:eastAsia="IRNazanin"/>
          <w:color w:val="111111"/>
          <w:sz w:val="28"/>
          <w:sz w:val="28"/>
          <w:szCs w:val="28"/>
          <w:rtl w:val="true"/>
          <w:lang w:bidi="fa-IR"/>
        </w:rPr>
        <w:t>وجوب الغسل الثابت من حیث هو غسل، لکنّا فی غنیة عنها، بل التمسّک بها لا یخلو عن المناقشة؛ لأنّ أقوی تلک العمومات و الإطلاقات، العامّ و الإطلاق المتقدّمان، و کلٌّ منهما ممنوع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إطلاق الروایة الثانیة، فلأنه فی مقام بیان حکم الغسل بقولٍ مهمل،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الفلانیّة من الآیات أو الجمعة أو نحوها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عموم الروایة الأُولی، فهو و إن کان لغویّاً إلّا أنّه لا یبعد أن یکون بشهادة تفصیل بعض أفراده کالغریق و ما بعده، ثمّ استثناء الشهید وارداً فی مقام تعمیم الحکم لجمیع أصناف الموتی المتغایرة من حیث أسباب الموت، فکأنه بمنزلة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کلّ من مات بأیّ سبب کان إلّا بالقتل بین یدی الإمام علیه السلام، فهو بالنسبة إلی أفراد المیّت المتغایرة بخصوصیّات أُخر غیر سبب الموت کالمطلق،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کلّ لحم إلّا لحم البقرة، و هذا غیر بعید بعد التأمّل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المناقشة فی الإجماع و انعقاده علی الکلّیة لمخالفة جماعة فی المسألة، فهی فی غیر محلّها؛ فإنّ من خالف فی المسألة کالشیخین </w:t>
      </w:r>
      <w:r>
        <w:rPr>
          <w:rStyle w:val="FootnoteAnchor"/>
          <w:rtl w:val="true"/>
        </w:rPr>
        <w:footnoteReference w:id="897"/>
      </w:r>
      <w:r>
        <w:rPr>
          <w:rFonts w:ascii="Amiri" w:hAnsi="Amiri" w:eastAsia="Amiri" w:cs="Amiri"/>
          <w:color w:val="111111"/>
          <w:sz w:val="28"/>
          <w:sz w:val="28"/>
          <w:szCs w:val="28"/>
          <w:rtl w:val="true"/>
          <w:lang w:bidi="ar-SA"/>
        </w:rPr>
        <w:t xml:space="preserve">و سلّار </w:t>
      </w:r>
      <w:r>
        <w:rPr>
          <w:rStyle w:val="FootnoteAnchor"/>
          <w:rtl w:val="true"/>
        </w:rPr>
        <w:footnoteReference w:id="898"/>
      </w:r>
      <w:r>
        <w:rPr>
          <w:rFonts w:ascii="IRNazanin" w:hAnsi="IRNazanin" w:eastAsia="IRNazanin"/>
          <w:color w:val="111111"/>
          <w:sz w:val="28"/>
          <w:sz w:val="28"/>
          <w:szCs w:val="28"/>
          <w:rtl w:val="true"/>
          <w:lang w:bidi="fa-IR"/>
        </w:rPr>
        <w:t xml:space="preserve">و القاضی </w:t>
      </w:r>
      <w:r>
        <w:rPr>
          <w:rStyle w:val="FootnoteAnchor"/>
          <w:rtl w:val="true"/>
        </w:rPr>
        <w:footnoteReference w:id="899"/>
      </w:r>
      <w:r>
        <w:rPr>
          <w:rFonts w:ascii="Amiri" w:hAnsi="Amiri" w:eastAsia="Amiri" w:cs="Amiri"/>
          <w:color w:val="111111"/>
          <w:sz w:val="28"/>
          <w:sz w:val="28"/>
          <w:szCs w:val="28"/>
          <w:rtl w:val="true"/>
          <w:lang w:bidi="ar-SA"/>
        </w:rPr>
        <w:t xml:space="preserve">و الحلیّ </w:t>
      </w:r>
      <w:r>
        <w:rPr>
          <w:rStyle w:val="FootnoteAnchor"/>
          <w:rtl w:val="true"/>
        </w:rPr>
        <w:footnoteReference w:id="900"/>
      </w:r>
      <w:r>
        <w:rPr>
          <w:rFonts w:ascii="IRNazanin" w:hAnsi="IRNazanin" w:eastAsia="IRNazanin"/>
          <w:color w:val="111111"/>
          <w:sz w:val="28"/>
          <w:sz w:val="28"/>
          <w:szCs w:val="28"/>
          <w:rtl w:val="true"/>
          <w:lang w:bidi="fa-IR"/>
        </w:rPr>
        <w:t xml:space="preserve">و نحوهم </w:t>
      </w:r>
      <w:r>
        <w:rPr>
          <w:rStyle w:val="FootnoteAnchor"/>
          <w:rtl w:val="true"/>
        </w:rPr>
        <w:footnoteReference w:id="901"/>
      </w:r>
      <w:r>
        <w:rPr>
          <w:rFonts w:ascii="IRNazanin" w:hAnsi="IRNazanin" w:eastAsia="IRNazanin"/>
          <w:color w:val="111111"/>
          <w:sz w:val="28"/>
          <w:sz w:val="28"/>
          <w:szCs w:val="28"/>
          <w:rtl w:val="true"/>
          <w:lang w:bidi="fa-IR"/>
        </w:rPr>
        <w:t>من جهة القول بکفرهم، کما هو ظاهر بعضٍ و صریح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سلّمنا عدم ثبوت الإجماع علی الکلّیة، کفی فی المسألة ما دلّ علی أنّه یجب المعاملة مع المخالف معاملة المسلمین المؤمنین فی الأُمور المتعلّقة بالمعاشرة </w:t>
      </w:r>
      <w:r>
        <w:rPr>
          <w:rStyle w:val="FootnoteAnchor"/>
          <w:rtl w:val="true"/>
        </w:rPr>
        <w:footnoteReference w:id="902"/>
      </w:r>
      <w:r>
        <w:rPr>
          <w:rFonts w:ascii="IRNazanin" w:hAnsi="IRNazanin" w:eastAsia="IRNazanin"/>
          <w:color w:val="111111"/>
          <w:sz w:val="28"/>
          <w:sz w:val="28"/>
          <w:szCs w:val="28"/>
          <w:rtl w:val="true"/>
          <w:lang w:bidi="fa-IR"/>
        </w:rPr>
        <w:t>التی من أهمّها أن لا یعامل مع موتاهم معاملة الکلاب، و هذا واضح لمن لاحظ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إیجاب هذه المعاملة، إمّا من جهة المداراة معهم لدفع شرّهم أو لجلب قلوبهم إلی الإیمان،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إلینا بغیر ألسنتکم</w:t>
      </w:r>
      <w:r>
        <w:rPr>
          <w:rFonts w:eastAsia="IRNazanin" w:cs="IRNazanin"/>
          <w:color w:val="111111"/>
          <w:sz w:val="28"/>
          <w:szCs w:val="28"/>
          <w:rtl w:val="true"/>
          <w:lang w:bidi="fa-IR"/>
        </w:rPr>
        <w:t xml:space="preserve">» </w:t>
      </w:r>
      <w:r>
        <w:rPr>
          <w:rStyle w:val="FootnoteAnchor"/>
          <w:rtl w:val="true"/>
        </w:rPr>
        <w:footnoteReference w:id="903"/>
      </w:r>
      <w:r>
        <w:rPr>
          <w:rFonts w:ascii="Amiri" w:hAnsi="Amiri" w:eastAsia="Amiri" w:cs="Amiri"/>
          <w:color w:val="111111"/>
          <w:sz w:val="28"/>
          <w:sz w:val="28"/>
          <w:szCs w:val="28"/>
          <w:rtl w:val="true"/>
          <w:lang w:bidi="ar-SA"/>
        </w:rPr>
        <w:t>و إمّا من جهة احترام موتاهم؛ لتلبّسهم بصورة المسلم، و إمّا تعبّدٌ من جهة الإجماع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 فالواجب تغسیلهم علی الوجه المقرّر عندهم؛ إذ به یحصل المداراة و الاستمالة و به یحصل احترامهم؛ لأنّ احترام کلّ ملّة إنّما هو بما یکون احتراماً عندهم، و تغسیلهم غسل أهل الحقّ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احترام عندنا من جهة أنّه إیصال خیر و نفع أُخرویّ إلیهم، لکنّه غیر مطلوب للشارع، و کیف یطلب إیصال النفع الأُخرویّ إلی من طُلب لعنه و الدعاء علیه بتضعیف العذاب حیّاً و میّتاً، و جعله من 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ظهر الوجه فیما حکاه المحقّق الثانی فی حاشیة الشرائع عن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هو تغسیلهم غسل أهل الخلاف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المدارک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کان مستندهم فی 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و کأنّه أخذه عن کلام جدّه فی الروض فی باب توجیه المخالف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غیر واجب؛ إلزاماً له بمذهبه کما یغسل غسل المخالف، و یقتصر فی الصلاة علیه علی أربع تکبیرات </w:t>
      </w:r>
      <w:r>
        <w:rPr>
          <w:rStyle w:val="FootnoteAnchor"/>
          <w:rtl w:val="true"/>
        </w:rPr>
        <w:footnoteReference w:id="907"/>
      </w:r>
      <w:r>
        <w:rPr>
          <w:rFonts w:ascii="IRNazanin" w:hAnsi="IRNazanin" w:eastAsia="IRNazanin"/>
          <w:color w:val="111111"/>
          <w:sz w:val="28"/>
          <w:sz w:val="28"/>
          <w:szCs w:val="28"/>
          <w:rtl w:val="true"/>
          <w:lang w:bidi="fa-IR"/>
        </w:rPr>
        <w:t xml:space="preserve">، و حکی الاقتصار علی الأربع فی الروض عن بعض الأصحاب معلّلًا بإلزامهم علی مذهبهم </w:t>
      </w:r>
      <w:r>
        <w:rPr>
          <w:rStyle w:val="FootnoteAnchor"/>
          <w:rtl w:val="true"/>
        </w:rPr>
        <w:footnoteReference w:id="908"/>
      </w:r>
      <w:r>
        <w:rPr>
          <w:rFonts w:ascii="IRNazanin" w:hAnsi="IRNazanin" w:eastAsia="IRNazanin"/>
          <w:color w:val="111111"/>
          <w:sz w:val="28"/>
          <w:sz w:val="28"/>
          <w:szCs w:val="28"/>
          <w:rtl w:val="true"/>
          <w:lang w:bidi="fa-IR"/>
        </w:rPr>
        <w:t xml:space="preserve">، لکن الروایة لا تخلو عن قصور کما صرّح به بعض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الروایة الفارقة بین دم العذرة و دم الحیض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ارضوا لهم بما رضی اللّٰه لهم من الضلال</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ذلک </w:t>
      </w:r>
      <w:r>
        <w:rPr>
          <w:rStyle w:val="FootnoteAnchor"/>
          <w:rtl w:val="true"/>
        </w:rPr>
        <w:footnoteReference w:id="911"/>
      </w:r>
      <w:r>
        <w:rPr>
          <w:rFonts w:ascii="Amiri" w:hAnsi="Amiri" w:eastAsia="Amiri" w:cs="Amiri"/>
          <w:color w:val="111111"/>
          <w:sz w:val="28"/>
          <w:sz w:val="28"/>
          <w:szCs w:val="28"/>
          <w:rtl w:val="true"/>
          <w:lang w:bidi="ar-SA"/>
        </w:rPr>
        <w:t xml:space="preserve">المحقّق </w:t>
      </w:r>
      <w:r>
        <w:rPr>
          <w:rStyle w:val="FootnoteAnchor"/>
          <w:rtl w:val="true"/>
        </w:rPr>
        <w:footnoteReference w:id="912"/>
      </w:r>
      <w:r>
        <w:rPr>
          <w:rFonts w:ascii="IRNazanin" w:hAnsi="IRNazanin" w:eastAsia="IRNazanin"/>
          <w:color w:val="111111"/>
          <w:sz w:val="28"/>
          <w:sz w:val="28"/>
          <w:szCs w:val="28"/>
          <w:rtl w:val="true"/>
          <w:lang w:bidi="fa-IR"/>
        </w:rPr>
        <w:t>و تبعه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المغسّل إن جهل غسلهم، غسله غسلنا </w:t>
      </w:r>
      <w:r>
        <w:rPr>
          <w:rStyle w:val="FootnoteAnchor"/>
          <w:rtl w:val="true"/>
        </w:rPr>
        <w:footnoteReference w:id="913"/>
      </w:r>
      <w:r>
        <w:rPr>
          <w:rFonts w:ascii="IRNazanin" w:hAnsi="IRNazanin" w:eastAsia="IRNazanin"/>
          <w:color w:val="111111"/>
          <w:sz w:val="28"/>
          <w:sz w:val="28"/>
          <w:szCs w:val="28"/>
          <w:rtl w:val="true"/>
          <w:lang w:bidi="fa-IR"/>
        </w:rPr>
        <w:t>فلعلّ وجهه عمومات التغسیل، خرج صورة</w:t>
      </w:r>
    </w:p>
    <w:p>
      <w:pPr>
        <w:pStyle w:val="BookText"/>
        <w:rPr/>
      </w:pPr>
      <w:r>
        <w:rPr>
          <w:rFonts w:ascii="IRNazanin" w:hAnsi="IRNazanin" w:eastAsia="IRNazanin"/>
          <w:color w:val="111111"/>
          <w:sz w:val="28"/>
          <w:sz w:val="28"/>
          <w:szCs w:val="28"/>
          <w:rtl w:val="true"/>
          <w:lang w:bidi="fa-IR"/>
        </w:rPr>
        <w:t>القدرة علی غسلهم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به أیضاً علی تقدیر الاستناد فی حکمهم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المعاملة معهم معاملة المسلم مداراةً أو احتراماً؛ لأنّ تغسیلهم غسلنا و إن کان غیر مناسب لحالهم، أمّا عندهم من جهة الفساد، و أمّا عندنا فمن جهة الصحّة و السداد، إلّا أنّه خیر من الترک المستلزم لعدم المداراة و لهتک حرمة صورة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غسل غسلنا، فالظاهر ترتّب الآثار علیه من الطهارة و سقوط الغسل بمسّه، و لو غسل غسلهم فالظاهر أنّه کذلک، وفاقاً لجامع المقاصد </w:t>
      </w:r>
      <w:r>
        <w:rPr>
          <w:rStyle w:val="FootnoteAnchor"/>
          <w:rtl w:val="true"/>
        </w:rPr>
        <w:footnoteReference w:id="914"/>
      </w:r>
      <w:r>
        <w:rPr>
          <w:rFonts w:ascii="IRNazanin" w:hAnsi="IRNazanin" w:eastAsia="IRNazanin"/>
          <w:color w:val="111111"/>
          <w:sz w:val="28"/>
          <w:sz w:val="28"/>
          <w:szCs w:val="28"/>
          <w:rtl w:val="true"/>
          <w:lang w:bidi="fa-IR"/>
        </w:rPr>
        <w:t>و لعلّه للأمر به، فکان کالبدل الصادر من شخصٍ مجتهد أو مقلّد بالنسبة إلی غیره المخالف له فی کیفیّة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تغسیلهم لموتاهم، فلعلّه کذلک و إن لم یقع علیه أمر من اللّٰه، فیکون تغسیلهم کصلاتهم الموجبة للقبض المشروط فی صحّة الوقف،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معنی کراهة تغسیلهم مع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ترک التعرّض له و وکوله إلی مخالف مثله، کما یستحبّ المسابقة إلی تغسیل المؤمن الصالح العالم، و لا کراهة مع الانحصار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المحقّق الثانی کما عرفت </w:t>
      </w:r>
      <w:r>
        <w:rPr>
          <w:rStyle w:val="FootnoteAnchor"/>
          <w:rtl w:val="true"/>
        </w:rPr>
        <w:footnoteReference w:id="915"/>
      </w:r>
      <w:r>
        <w:rPr>
          <w:rFonts w:ascii="IRNazanin" w:hAnsi="IRNazanin" w:eastAsia="IRNazanin"/>
          <w:color w:val="111111"/>
          <w:sz w:val="28"/>
          <w:sz w:val="28"/>
          <w:szCs w:val="28"/>
          <w:rtl w:val="true"/>
          <w:lang w:bidi="fa-IR"/>
        </w:rPr>
        <w:t>دعوی اتّفاق الأصحاب علی أنّه لا یجوز أن یغسّل غسل أهل الحقّ اختیاراً، و مقتضی ذلک أنّ خلافهم فی الحرمة و عدمها إنّما هو فی تغسیله غسل أهل الخلاف، مع أنّ الظاهر من القول بالتحریم و الاستدلال لهم بأنّهم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حرمة التغسیل الصحیح دون الفاسد؛ إذ یکفی فی الفاسد الحرمة التشریعیّة، کما أنّ المتبادر من تحریم صلاة الحائض تحریم الصحیحة لولا الحرمة،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المحکیّ عن کشف اللثام فی المسألة تفصیل، حاصله علی ما حکی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فجسد المخالف کالجماد لا حرمة له عندنا، فإن غسّل کغسل الجمادات من غیر إرادة إکرام لم یکن به بأس، و عسی یکون مکروهاً لتشبّهه </w:t>
      </w:r>
      <w:r>
        <w:rPr>
          <w:rStyle w:val="FootnoteAnchor"/>
          <w:rtl w:val="true"/>
        </w:rPr>
        <w:footnoteReference w:id="916"/>
      </w:r>
      <w:r>
        <w:rPr>
          <w:rFonts w:ascii="IRNazanin" w:hAnsi="IRNazanin" w:eastAsia="IRNazanin"/>
          <w:color w:val="111111"/>
          <w:sz w:val="28"/>
          <w:sz w:val="28"/>
          <w:szCs w:val="28"/>
          <w:rtl w:val="true"/>
          <w:lang w:bidi="fa-IR"/>
        </w:rPr>
        <w:t xml:space="preserve">بالمؤمن، و کذا لو أُرید إکرامه لرحم أو صدقة، و إن أُرید إکرامه لکونه أهلًا لخصوص نحلته، أو لأنّها لا تخرجه عن الإسلام و الناجین حقیقة فهو حرام، و إن أُرید إکرامه لإقراره بالشهادتین احتمل الجواز </w:t>
      </w:r>
      <w:r>
        <w:rPr>
          <w:rStyle w:val="FootnoteAnchor"/>
          <w:rtl w:val="true"/>
        </w:rPr>
        <w:footnoteReference w:id="91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قُبیل هذه العبارة حمل الجواز و المنع فی کلام المانعین و المجوّزین علی ما ذکره، لیکون النزاع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حسن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 المیّت من قبیل المعاملات و لا یحتاج صحّتها و ترتّب الآثار علیها علی ثبوت أمرٍ من الشارع و لا إلی قصد التقرّب، و حینئذٍ فلا حاجة لنا إلی إثبات عمومٍ لأوامر الغسل، بل الغسل بنفسه موجب لترتّب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طهارة بدن المیّت و وصول النفع الأُخرویّ إلیه، و حینئذٍ یکون إیصال خیر إلی المخالف یتّصف تارة بالإباحة، و أُخری بالحرمة، و ثالثة بالکراهة، لکنّه لا یتّصف بالوجوب؛ لعدم وجوب إیصال النفع الأُخروی إلی المخالف، بل و لا استحبابه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هناک تقیّة وجب تغسیله غسل أهل الخلاف، و لا یصل من ذلک نفع إلیه، و أمّا تنزیل کلماتهم علی ذلک ففی غایة البعد</w:t>
      </w:r>
      <w:r>
        <w:rPr>
          <w:rFonts w:eastAsia="IRNazanin" w:cs="IRNazanin"/>
          <w:color w:val="111111"/>
          <w:sz w:val="28"/>
          <w:szCs w:val="28"/>
          <w:rtl w:val="true"/>
          <w:lang w:bidi="fa-IR"/>
        </w:rPr>
        <w:t>.</w:t>
      </w:r>
      <w:bookmarkStart w:id="92" w:name="pg13042_127075"/>
    </w:p>
    <w:p>
      <w:pPr>
        <w:pStyle w:val="Heading5"/>
        <w:numPr>
          <w:ilvl w:val="4"/>
          <w:numId w:val="1"/>
        </w:numPr>
        <w:rPr/>
      </w:pPr>
      <w:bookmarkStart w:id="93" w:name="__RefHeading___Toc6530128_3224264995"/>
      <w:bookmarkStart w:id="94" w:name="_Toc36"/>
      <w:bookmarkEnd w:id="92"/>
      <w:bookmarkEnd w:id="93"/>
      <w:r>
        <w:rPr>
          <w:rtl w:val="true"/>
        </w:rPr>
        <w:t>[</w:t>
      </w:r>
      <w:r>
        <w:rPr>
          <w:rtl w:val="true"/>
        </w:rPr>
        <w:t>الأول فی أحکام الاحتضار</w:t>
      </w:r>
      <w:r>
        <w:rPr>
          <w:rtl w:val="true"/>
        </w:rPr>
        <w:t>]</w:t>
      </w:r>
      <w:bookmarkEnd w:id="94"/>
    </w:p>
    <w:p>
      <w:pPr>
        <w:pStyle w:val="Heading6"/>
        <w:numPr>
          <w:ilvl w:val="5"/>
          <w:numId w:val="1"/>
        </w:numPr>
        <w:rPr/>
      </w:pPr>
      <w:bookmarkStart w:id="95" w:name="__RefHeading___Toc6530130_3224264995"/>
      <w:bookmarkStart w:id="96" w:name="_Toc37"/>
      <w:bookmarkEnd w:id="95"/>
      <w:r>
        <w:rPr>
          <w:rtl w:val="true"/>
        </w:rPr>
        <w:t>[</w:t>
      </w:r>
      <w:r>
        <w:rPr>
          <w:rtl w:val="true"/>
        </w:rPr>
        <w:t>یجب توجیهه إلی القبلة</w:t>
      </w:r>
      <w:r>
        <w:rPr>
          <w:rtl w:val="true"/>
        </w:rPr>
        <w:t>]</w:t>
      </w:r>
      <w:bookmarkEnd w:id="9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عند الاحتضار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حضور الملائکة لتوفّی النفس، أو حضور الروح، أو حضور إخوانه و أهله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توجیهه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للمحکیّ عن المقنعة </w:t>
      </w:r>
      <w:r>
        <w:rPr>
          <w:rStyle w:val="FootnoteAnchor"/>
          <w:rtl w:val="true"/>
        </w:rPr>
        <w:footnoteReference w:id="918"/>
      </w:r>
      <w:r>
        <w:rPr>
          <w:rFonts w:ascii="IRNazanin" w:hAnsi="IRNazanin" w:eastAsia="IRNazanin"/>
          <w:color w:val="111111"/>
          <w:sz w:val="28"/>
          <w:sz w:val="28"/>
          <w:szCs w:val="28"/>
          <w:rtl w:val="true"/>
          <w:lang w:bidi="fa-IR"/>
        </w:rPr>
        <w:t xml:space="preserve">، و عن النهایة فی باب القبلة </w:t>
      </w:r>
      <w:r>
        <w:rPr>
          <w:rStyle w:val="FootnoteAnchor"/>
          <w:rtl w:val="true"/>
        </w:rPr>
        <w:footnoteReference w:id="919"/>
      </w:r>
      <w:r>
        <w:rPr>
          <w:rFonts w:ascii="IRNazanin" w:hAnsi="IRNazanin" w:eastAsia="IRNazanin"/>
          <w:color w:val="111111"/>
          <w:sz w:val="28"/>
          <w:sz w:val="28"/>
          <w:szCs w:val="28"/>
          <w:rtl w:val="true"/>
          <w:lang w:bidi="fa-IR"/>
        </w:rPr>
        <w:t xml:space="preserve">، و المراسم </w:t>
      </w:r>
      <w:r>
        <w:rPr>
          <w:rStyle w:val="FootnoteAnchor"/>
          <w:rtl w:val="true"/>
        </w:rPr>
        <w:footnoteReference w:id="920"/>
      </w:r>
      <w:r>
        <w:rPr>
          <w:rFonts w:ascii="IRNazanin" w:hAnsi="IRNazanin" w:eastAsia="IRNazanin"/>
          <w:color w:val="111111"/>
          <w:sz w:val="28"/>
          <w:sz w:val="28"/>
          <w:szCs w:val="28"/>
          <w:rtl w:val="true"/>
          <w:lang w:bidi="fa-IR"/>
        </w:rPr>
        <w:t xml:space="preserve">و الوسیلة </w:t>
      </w:r>
      <w:r>
        <w:rPr>
          <w:rStyle w:val="FootnoteAnchor"/>
          <w:rtl w:val="true"/>
        </w:rPr>
        <w:footnoteReference w:id="921"/>
      </w:r>
      <w:r>
        <w:rPr>
          <w:rFonts w:ascii="Amiri" w:hAnsi="Amiri" w:eastAsia="Amiri" w:cs="Amiri"/>
          <w:color w:val="111111"/>
          <w:sz w:val="28"/>
          <w:sz w:val="28"/>
          <w:szCs w:val="28"/>
          <w:rtl w:val="true"/>
          <w:lang w:bidi="ar-SA"/>
        </w:rPr>
        <w:t xml:space="preserve">و المهذّب </w:t>
      </w:r>
      <w:r>
        <w:rPr>
          <w:rStyle w:val="FootnoteAnchor"/>
          <w:rtl w:val="true"/>
        </w:rPr>
        <w:footnoteReference w:id="922"/>
      </w:r>
      <w:r>
        <w:rPr>
          <w:rFonts w:ascii="IRNazanin" w:hAnsi="IRNazanin" w:eastAsia="IRNazanin"/>
          <w:color w:val="111111"/>
          <w:sz w:val="28"/>
          <w:sz w:val="28"/>
          <w:szCs w:val="28"/>
          <w:rtl w:val="true"/>
          <w:lang w:bidi="fa-IR"/>
        </w:rPr>
        <w:t xml:space="preserve">و الکافی </w:t>
      </w:r>
      <w:r>
        <w:rPr>
          <w:rStyle w:val="FootnoteAnchor"/>
          <w:rtl w:val="true"/>
        </w:rPr>
        <w:footnoteReference w:id="923"/>
      </w:r>
      <w:r>
        <w:rPr>
          <w:rFonts w:ascii="IRNazanin" w:hAnsi="IRNazanin" w:eastAsia="IRNazanin"/>
          <w:color w:val="111111"/>
          <w:sz w:val="28"/>
          <w:sz w:val="28"/>
          <w:szCs w:val="28"/>
          <w:rtl w:val="true"/>
          <w:lang w:bidi="fa-IR"/>
        </w:rPr>
        <w:t xml:space="preserve">و السرائر </w:t>
      </w:r>
      <w:r>
        <w:rPr>
          <w:rStyle w:val="FootnoteAnchor"/>
          <w:rtl w:val="true"/>
        </w:rPr>
        <w:footnoteReference w:id="924"/>
      </w:r>
      <w:r>
        <w:rPr>
          <w:rFonts w:ascii="Amiri" w:hAnsi="Amiri" w:eastAsia="Amiri" w:cs="Amiri"/>
          <w:color w:val="111111"/>
          <w:sz w:val="28"/>
          <w:sz w:val="28"/>
          <w:szCs w:val="28"/>
          <w:rtl w:val="true"/>
          <w:lang w:bidi="ar-SA"/>
        </w:rPr>
        <w:t xml:space="preserve">و المحقّق </w:t>
      </w:r>
      <w:r>
        <w:rPr>
          <w:rStyle w:val="FootnoteAnchor"/>
          <w:rtl w:val="true"/>
        </w:rPr>
        <w:footnoteReference w:id="925"/>
      </w:r>
      <w:r>
        <w:rPr>
          <w:rFonts w:ascii="IRNazanin" w:hAnsi="IRNazanin" w:eastAsia="IRNazanin"/>
          <w:color w:val="111111"/>
          <w:sz w:val="28"/>
          <w:sz w:val="28"/>
          <w:szCs w:val="28"/>
          <w:rtl w:val="true"/>
          <w:lang w:bidi="fa-IR"/>
        </w:rPr>
        <w:t xml:space="preserve">، و المصنّف هنا و فی المختلف </w:t>
      </w:r>
      <w:r>
        <w:rPr>
          <w:rStyle w:val="FootnoteAnchor"/>
          <w:rtl w:val="true"/>
        </w:rPr>
        <w:footnoteReference w:id="926"/>
      </w:r>
      <w:r>
        <w:rPr>
          <w:rFonts w:ascii="IRNazanin" w:hAnsi="IRNazanin" w:eastAsia="IRNazanin"/>
          <w:color w:val="111111"/>
          <w:sz w:val="28"/>
          <w:sz w:val="28"/>
          <w:szCs w:val="28"/>
          <w:rtl w:val="true"/>
          <w:lang w:bidi="fa-IR"/>
        </w:rPr>
        <w:t xml:space="preserve">، و الشهیدین </w:t>
      </w:r>
      <w:r>
        <w:rPr>
          <w:rStyle w:val="FootnoteAnchor"/>
          <w:rtl w:val="true"/>
        </w:rPr>
        <w:footnoteReference w:id="927"/>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928"/>
      </w:r>
      <w:r>
        <w:rPr>
          <w:rFonts w:ascii="IRNazanin" w:hAnsi="IRNazanin" w:eastAsia="IRNazanin"/>
          <w:color w:val="111111"/>
          <w:sz w:val="28"/>
          <w:sz w:val="28"/>
          <w:szCs w:val="28"/>
          <w:rtl w:val="true"/>
          <w:lang w:bidi="fa-IR"/>
        </w:rPr>
        <w:t>، بل حکی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929"/>
      </w:r>
      <w:r>
        <w:rPr>
          <w:rFonts w:ascii="IRNazanin" w:hAnsi="IRNazanin" w:eastAsia="IRNazanin"/>
          <w:color w:val="111111"/>
          <w:sz w:val="28"/>
          <w:sz w:val="28"/>
          <w:szCs w:val="28"/>
          <w:rtl w:val="true"/>
          <w:lang w:bidi="fa-IR"/>
        </w:rPr>
        <w:t xml:space="preserve">لمرسلة الفقیه </w:t>
      </w:r>
      <w:r>
        <w:rPr>
          <w:rStyle w:val="FootnoteAnchor"/>
          <w:rtl w:val="true"/>
        </w:rPr>
        <w:footnoteReference w:id="930"/>
      </w:r>
      <w:r>
        <w:rPr>
          <w:rFonts w:ascii="IRNazanin" w:hAnsi="IRNazanin" w:eastAsia="IRNazanin"/>
          <w:color w:val="111111"/>
          <w:sz w:val="28"/>
          <w:sz w:val="28"/>
          <w:szCs w:val="28"/>
          <w:rtl w:val="true"/>
          <w:lang w:bidi="fa-IR"/>
        </w:rPr>
        <w:t xml:space="preserve">المحکیّة عن العلل مسندة </w:t>
      </w:r>
      <w:r>
        <w:rPr>
          <w:rStyle w:val="FootnoteAnchor"/>
          <w:rtl w:val="true"/>
        </w:rPr>
        <w:footnoteReference w:id="931"/>
      </w:r>
      <w:r>
        <w:rPr>
          <w:rFonts w:ascii="IRNazanin" w:hAnsi="IRNazanin" w:eastAsia="IRNazanin"/>
          <w:color w:val="111111"/>
          <w:sz w:val="28"/>
          <w:sz w:val="28"/>
          <w:szCs w:val="28"/>
          <w:rtl w:val="true"/>
          <w:lang w:bidi="fa-IR"/>
        </w:rPr>
        <w:t xml:space="preserve">، و عن ثواب الأعمال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و الدعائم </w:t>
      </w:r>
      <w:r>
        <w:rPr>
          <w:rStyle w:val="FootnoteAnchor"/>
          <w:rtl w:val="true"/>
        </w:rPr>
        <w:footnoteReference w:id="933"/>
      </w:r>
      <w:r>
        <w:rPr>
          <w:rFonts w:ascii="IRNazanin" w:hAnsi="IRNazanin" w:eastAsia="IRNazanin"/>
          <w:color w:val="111111"/>
          <w:sz w:val="28"/>
          <w:sz w:val="28"/>
          <w:szCs w:val="28"/>
          <w:rtl w:val="true"/>
          <w:lang w:bidi="fa-IR"/>
        </w:rPr>
        <w:t>، عن أبی عبد اللّٰه علیه السلام،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صلّی اللّٰه علیه و آله و سلم علی رجلٍ من ولد عبد المطّلب و هو فی السوق و قد وُجِّه إلی غیر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وجِّهوه إلی القبلة؛ فإنّکم إذا فعلتم ذلک به أقبلت علیه الملائکة، و أقبل اللّٰه عزّ و جلّ علیه بوجهه، فلم یزل کذلک حتّی یقبض</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سلیمان بن خالد بن هاشم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لأحدکم میّت فسجّوه تجاه القبلة</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بباطن قدمیه القبلة</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یستدلّ بأخبارٍ ظاهرةٍ فی کیفیّة التوجیه لا فی حکمه </w:t>
      </w:r>
      <w:r>
        <w:rPr>
          <w:rStyle w:val="FootnoteAnchor"/>
          <w:rtl w:val="true"/>
        </w:rPr>
        <w:footnoteReference w:id="937"/>
      </w:r>
      <w:r>
        <w:rPr>
          <w:rFonts w:ascii="IRNazanin" w:hAnsi="IRNazanin" w:eastAsia="IRNazanin"/>
          <w:color w:val="111111"/>
          <w:sz w:val="28"/>
          <w:sz w:val="28"/>
          <w:szCs w:val="28"/>
          <w:rtl w:val="true"/>
          <w:lang w:bidi="fa-IR"/>
        </w:rPr>
        <w:t>، فالأولی الاقتصار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الأوّلین قاصران دلالة؛ لظهور الأوّل فی الاستحباب بقرینة التعلیل کما صرّح به فی المعتبر </w:t>
      </w:r>
      <w:r>
        <w:rPr>
          <w:rStyle w:val="FootnoteAnchor"/>
          <w:rtl w:val="true"/>
        </w:rPr>
        <w:footnoteReference w:id="938"/>
      </w:r>
      <w:r>
        <w:rPr>
          <w:rFonts w:ascii="IRNazanin" w:hAnsi="IRNazanin" w:eastAsia="IRNazanin"/>
          <w:color w:val="111111"/>
          <w:sz w:val="28"/>
          <w:sz w:val="28"/>
          <w:szCs w:val="28"/>
          <w:rtl w:val="true"/>
          <w:lang w:bidi="fa-IR"/>
        </w:rPr>
        <w:t>و منع إشعاره بالاستحباب خلاف الإنصاف ممّن له ذوق سلیم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 الثانی فیه؛ من جهة أنّ أصل التسجیة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مستحبّة، مع أنّ ظاهرها ترتّب الحکم لما بعد الموت، و إرادة الإشراف علی الموت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جدّاً؛ لأنّ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المشرف علی الموت، لا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هنا یکون قیاسه علی قوله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اغتسل یحفر له موضع تجاه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قیاساً مع الفارق، مع أنّ هذا التجوّز لیس بأولی من إرادة الاستحباب من الأمر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انجبار قصور دلالتها کقصور سند الأُولی بالشهرة المستفیضة، مدفوعة بعد تسلیم انجبار قصور الدلالة بالشهرة بمنع تحقّق الشهرة، کیف؟ و قد حکی القول بالاستحباب عن المفید فی الغریّة </w:t>
      </w:r>
      <w:r>
        <w:rPr>
          <w:rStyle w:val="FootnoteAnchor"/>
          <w:rtl w:val="true"/>
        </w:rPr>
        <w:footnoteReference w:id="939"/>
      </w:r>
      <w:r>
        <w:rPr>
          <w:rFonts w:ascii="IRNazanin" w:hAnsi="IRNazanin" w:eastAsia="IRNazanin"/>
          <w:color w:val="111111"/>
          <w:sz w:val="28"/>
          <w:sz w:val="28"/>
          <w:szCs w:val="28"/>
          <w:rtl w:val="true"/>
          <w:lang w:bidi="fa-IR"/>
        </w:rPr>
        <w:t xml:space="preserve">، و السیّد المرتضی </w:t>
      </w:r>
      <w:r>
        <w:rPr>
          <w:rStyle w:val="FootnoteAnchor"/>
          <w:rtl w:val="true"/>
        </w:rPr>
        <w:footnoteReference w:id="940"/>
      </w:r>
      <w:r>
        <w:rPr>
          <w:rFonts w:ascii="IRNazanin" w:hAnsi="IRNazanin" w:eastAsia="IRNazanin"/>
          <w:color w:val="111111"/>
          <w:sz w:val="28"/>
          <w:sz w:val="28"/>
          <w:szCs w:val="28"/>
          <w:rtl w:val="true"/>
          <w:lang w:bidi="fa-IR"/>
        </w:rPr>
        <w:t xml:space="preserve">، و الشیخ فی المبسوط </w:t>
      </w:r>
      <w:r>
        <w:rPr>
          <w:rStyle w:val="FootnoteAnchor"/>
          <w:rtl w:val="true"/>
        </w:rPr>
        <w:footnoteReference w:id="941"/>
      </w:r>
      <w:r>
        <w:rPr>
          <w:rFonts w:ascii="IRNazanin" w:hAnsi="IRNazanin" w:eastAsia="IRNazanin"/>
          <w:color w:val="111111"/>
          <w:sz w:val="28"/>
          <w:sz w:val="28"/>
          <w:szCs w:val="28"/>
          <w:rtl w:val="true"/>
          <w:lang w:bidi="fa-IR"/>
        </w:rPr>
        <w:t xml:space="preserve">و الخلاف </w:t>
      </w:r>
      <w:r>
        <w:rPr>
          <w:rStyle w:val="FootnoteAnchor"/>
          <w:rtl w:val="true"/>
        </w:rPr>
        <w:footnoteReference w:id="942"/>
      </w:r>
      <w:r>
        <w:rPr>
          <w:rFonts w:ascii="IRNazanin" w:hAnsi="IRNazanin" w:eastAsia="IRNazanin"/>
          <w:color w:val="111111"/>
          <w:sz w:val="28"/>
          <w:sz w:val="28"/>
          <w:szCs w:val="28"/>
          <w:rtl w:val="true"/>
          <w:lang w:bidi="fa-IR"/>
        </w:rPr>
        <w:t xml:space="preserve">و النهایة فی باب الاحتضار </w:t>
      </w:r>
      <w:r>
        <w:rPr>
          <w:rStyle w:val="FootnoteAnchor"/>
          <w:rtl w:val="true"/>
        </w:rPr>
        <w:footnoteReference w:id="943"/>
      </w:r>
      <w:r>
        <w:rPr>
          <w:rFonts w:ascii="IRNazanin" w:hAnsi="IRNazanin" w:eastAsia="IRNazanin"/>
          <w:color w:val="111111"/>
          <w:sz w:val="28"/>
          <w:sz w:val="28"/>
          <w:szCs w:val="28"/>
          <w:rtl w:val="true"/>
          <w:lang w:bidi="fa-IR"/>
        </w:rPr>
        <w:t xml:space="preserve">، و ابن سعید فی الجامع </w:t>
      </w:r>
      <w:r>
        <w:rPr>
          <w:rStyle w:val="FootnoteAnchor"/>
          <w:rtl w:val="true"/>
        </w:rPr>
        <w:footnoteReference w:id="944"/>
      </w:r>
      <w:r>
        <w:rPr>
          <w:rFonts w:ascii="IRNazanin" w:hAnsi="IRNazanin" w:eastAsia="IRNazanin"/>
          <w:color w:val="111111"/>
          <w:sz w:val="28"/>
          <w:sz w:val="28"/>
          <w:szCs w:val="28"/>
          <w:rtl w:val="true"/>
          <w:lang w:bidi="fa-IR"/>
        </w:rPr>
        <w:t xml:space="preserve">، و المحقّق فی المعتبر </w:t>
      </w:r>
      <w:r>
        <w:rPr>
          <w:rStyle w:val="FootnoteAnchor"/>
          <w:rtl w:val="true"/>
        </w:rPr>
        <w:footnoteReference w:id="945"/>
      </w:r>
      <w:r>
        <w:rPr>
          <w:rFonts w:ascii="IRNazanin" w:hAnsi="IRNazanin" w:eastAsia="IRNazanin"/>
          <w:color w:val="111111"/>
          <w:sz w:val="28"/>
          <w:sz w:val="28"/>
          <w:szCs w:val="28"/>
          <w:rtl w:val="true"/>
          <w:lang w:bidi="fa-IR"/>
        </w:rPr>
        <w:t xml:space="preserve">و النافع </w:t>
      </w:r>
      <w:r>
        <w:rPr>
          <w:rStyle w:val="FootnoteAnchor"/>
          <w:rtl w:val="true"/>
        </w:rPr>
        <w:footnoteReference w:id="946"/>
      </w:r>
      <w:r>
        <w:rPr>
          <w:rFonts w:ascii="IRNazanin" w:hAnsi="IRNazanin" w:eastAsia="IRNazanin"/>
          <w:color w:val="111111"/>
          <w:sz w:val="28"/>
          <w:sz w:val="28"/>
          <w:szCs w:val="28"/>
          <w:rtl w:val="true"/>
          <w:lang w:bidi="fa-IR"/>
        </w:rPr>
        <w:t xml:space="preserve">، و المصنّف فی التذکرة </w:t>
      </w:r>
      <w:r>
        <w:rPr>
          <w:rStyle w:val="FootnoteAnchor"/>
          <w:rtl w:val="true"/>
        </w:rPr>
        <w:footnoteReference w:id="947"/>
      </w:r>
      <w:r>
        <w:rPr>
          <w:rFonts w:ascii="IRNazanin" w:hAnsi="IRNazanin" w:eastAsia="IRNazanin"/>
          <w:color w:val="111111"/>
          <w:sz w:val="28"/>
          <w:sz w:val="28"/>
          <w:szCs w:val="28"/>
          <w:rtl w:val="true"/>
          <w:lang w:bidi="fa-IR"/>
        </w:rPr>
        <w:t xml:space="preserve">، و اختاره من المتأخّرین جماعة کالمحقّق الأردبیلی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و صاحبی المدارک </w:t>
      </w:r>
      <w:r>
        <w:rPr>
          <w:rStyle w:val="FootnoteAnchor"/>
          <w:rtl w:val="true"/>
        </w:rPr>
        <w:footnoteReference w:id="949"/>
      </w:r>
      <w:r>
        <w:rPr>
          <w:rFonts w:ascii="IRNazanin" w:hAnsi="IRNazanin" w:eastAsia="IRNazanin"/>
          <w:color w:val="111111"/>
          <w:sz w:val="28"/>
          <w:sz w:val="28"/>
          <w:szCs w:val="28"/>
          <w:rtl w:val="true"/>
          <w:lang w:bidi="fa-IR"/>
        </w:rPr>
        <w:t xml:space="preserve">و الکفایة </w:t>
      </w:r>
      <w:r>
        <w:rPr>
          <w:rStyle w:val="FootnoteAnchor"/>
          <w:rtl w:val="true"/>
        </w:rPr>
        <w:footnoteReference w:id="950"/>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951"/>
      </w:r>
      <w:r>
        <w:rPr>
          <w:rFonts w:ascii="IRNazanin" w:hAnsi="IRNazanin" w:eastAsia="IRNazanin"/>
          <w:color w:val="111111"/>
          <w:sz w:val="28"/>
          <w:sz w:val="28"/>
          <w:szCs w:val="28"/>
          <w:rtl w:val="true"/>
          <w:lang w:bidi="fa-IR"/>
        </w:rPr>
        <w:t xml:space="preserve">، بل ظاهر المحکیّ عن المعتبر </w:t>
      </w:r>
      <w:r>
        <w:rPr>
          <w:rStyle w:val="FootnoteAnchor"/>
          <w:rtl w:val="true"/>
        </w:rPr>
        <w:footnoteReference w:id="952"/>
      </w:r>
      <w:r>
        <w:rPr>
          <w:rFonts w:ascii="IRNazanin" w:hAnsi="IRNazanin" w:eastAsia="IRNazanin"/>
          <w:color w:val="111111"/>
          <w:sz w:val="28"/>
          <w:sz w:val="28"/>
          <w:szCs w:val="28"/>
          <w:rtl w:val="true"/>
          <w:lang w:bidi="fa-IR"/>
        </w:rPr>
        <w:t xml:space="preserve">و التذکرة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هو المشهور؛ حیث اقتصر فی المعتبر علی نسبة القول الأوّل هنا إلی المفید و سلّار مشعراً بذهاب باقی أهل الفتوی إلی الاستحباب، کما صرّح بهذا فی التذکرة، و قال بعد ذکر قول المفید و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الباقین علی الاستحباب، بل عن الخلاف دعوی الإجماع، لکن المحکیّ من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الإجماع إنّما هی بالنسبة إلی کیفیّة الاستقبال فی مقابل الشافعی لا فی أصل الاستحباب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روایة معاویة بن عمّار، فکما یحتمل أن یکون السؤال فیها عن المیّت من حیث أصل الاستقبال یحتمل أن یکون من حیث کیفیّته، بل هو الأهمّ؛ نظراً إلی اشتهار مخالفة الجمهور فی ذلک الزمان، کما یظهر من روایة ذریح الآتیة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یستدلّ باستمرار سیرة المسلمین علی الالتزام به فی جمیع الأعصار، حتّی أنّهم یعدّون فوته من الشنائع علی المیّت و أهله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کثیراً ما یلتزمون ببعض المستحبّات،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 فوت ذلک من الشنائع، فإن کان بالنسبة إلی المیّت فهو لا یدلّ علی المطلوب؛ إذ لا تقصیر 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یلومونه من جهة أنّ فی فوت ذلک منه إشعاراً بسوء الخاتمة باعتقاد العوامّ، کما لو مات من غیر تلقین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بالنسبة إلی أولیائه فهو من أجل إشعار ذلک بدنوّ الهمّة فی مقام وجوب الاهتمام فی رعایة حال المیّت، لعدم تفویت هذه الفضیلة علیه فی أشدّ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المسألة محلّ إشکال، و للتوقّف کما عن القواعد </w:t>
      </w:r>
      <w:r>
        <w:rPr>
          <w:rStyle w:val="FootnoteAnchor"/>
          <w:rtl w:val="true"/>
        </w:rPr>
        <w:footnoteReference w:id="956"/>
      </w:r>
      <w:r>
        <w:rPr>
          <w:rFonts w:ascii="IRNazanin" w:hAnsi="IRNazanin" w:eastAsia="IRNazanin"/>
          <w:color w:val="111111"/>
          <w:sz w:val="28"/>
          <w:sz w:val="28"/>
          <w:szCs w:val="28"/>
          <w:rtl w:val="true"/>
          <w:lang w:bidi="fa-IR"/>
        </w:rPr>
        <w:t xml:space="preserve">و التحریر </w:t>
      </w:r>
      <w:r>
        <w:rPr>
          <w:rStyle w:val="FootnoteAnchor"/>
          <w:rtl w:val="true"/>
        </w:rPr>
        <w:footnoteReference w:id="957"/>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بالوجوب، ففی وجوب إبقائه کذلک إلی ما بعد الموت فی أقلّ زمان، أو مطلقاً، أو ما لم ینقل عن محلّه، أو سقوطه بالموت،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المرسلة </w:t>
      </w:r>
      <w:r>
        <w:rPr>
          <w:rStyle w:val="FootnoteAnchor"/>
          <w:rtl w:val="true"/>
        </w:rPr>
        <w:footnoteReference w:id="958"/>
      </w:r>
      <w:r>
        <w:rPr>
          <w:rFonts w:ascii="IRNazanin" w:hAnsi="IRNazanin" w:eastAsia="IRNazanin"/>
          <w:color w:val="111111"/>
          <w:sz w:val="28"/>
          <w:sz w:val="28"/>
          <w:szCs w:val="28"/>
          <w:rtl w:val="true"/>
          <w:lang w:bidi="fa-IR"/>
        </w:rPr>
        <w:t>بل صریحها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ظاهر الحسنة </w:t>
      </w:r>
      <w:r>
        <w:rPr>
          <w:rStyle w:val="FootnoteAnchor"/>
          <w:rtl w:val="true"/>
        </w:rPr>
        <w:footnoteReference w:id="959"/>
      </w:r>
      <w:r>
        <w:rPr>
          <w:rFonts w:ascii="IRNazanin" w:hAnsi="IRNazanin" w:eastAsia="IRNazanin"/>
          <w:color w:val="111111"/>
          <w:sz w:val="28"/>
          <w:sz w:val="28"/>
          <w:szCs w:val="28"/>
          <w:rtl w:val="true"/>
          <w:lang w:bidi="fa-IR"/>
        </w:rPr>
        <w:t>بناءً علی أنّ المراد بالمیّت المشرف علی الموت،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إطلاق الأخبار </w:t>
      </w:r>
      <w:r>
        <w:rPr>
          <w:rStyle w:val="FootnoteAnchor"/>
          <w:rtl w:val="true"/>
        </w:rPr>
        <w:footnoteReference w:id="960"/>
      </w:r>
      <w:r>
        <w:rPr>
          <w:rFonts w:ascii="IRNazanin" w:hAnsi="IRNazanin" w:eastAsia="IRNazanin"/>
          <w:color w:val="111111"/>
          <w:sz w:val="28"/>
          <w:sz w:val="28"/>
          <w:szCs w:val="28"/>
          <w:rtl w:val="true"/>
          <w:lang w:bidi="fa-IR"/>
        </w:rPr>
        <w:t>بین الصغیر و الکبیر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تمکّن المحتضر نفسه من التوجّه، فلا یبعد أن یجب علیه کما صرّح به بعض </w:t>
      </w:r>
      <w:r>
        <w:rPr>
          <w:rStyle w:val="FootnoteAnchor"/>
          <w:rtl w:val="true"/>
        </w:rPr>
        <w:footnoteReference w:id="961"/>
      </w:r>
      <w:r>
        <w:rPr>
          <w:rFonts w:ascii="IRNazanin" w:hAnsi="IRNazanin" w:eastAsia="IRNazanin"/>
          <w:color w:val="111111"/>
          <w:sz w:val="28"/>
          <w:sz w:val="28"/>
          <w:szCs w:val="28"/>
          <w:rtl w:val="true"/>
          <w:lang w:bidi="fa-IR"/>
        </w:rPr>
        <w:t>لأنّ الظاهر من الأخبار وجوب وجود التوجّه فی الخارج لا عن</w:t>
      </w:r>
      <w:bookmarkStart w:id="97" w:name="pg13042_127080"/>
    </w:p>
    <w:p>
      <w:pPr>
        <w:pStyle w:val="BookText"/>
        <w:rPr/>
      </w:pPr>
      <w:bookmarkEnd w:id="97"/>
      <w:r>
        <w:rPr>
          <w:rFonts w:ascii="IRNazanin" w:hAnsi="IRNazanin" w:eastAsia="IRNazanin"/>
          <w:color w:val="111111"/>
          <w:sz w:val="28"/>
          <w:sz w:val="28"/>
          <w:szCs w:val="28"/>
          <w:rtl w:val="true"/>
          <w:lang w:bidi="fa-IR"/>
        </w:rPr>
        <w:t>مباشر، و المفروض قدرته علی ذلک، و لا یبعد حینئذٍ تقدّمه فی التکلیف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یتحقّق التوجیه بأن یُلقی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یجعل باطن قدمیه إلی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جلس کان مستقبلًا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خلاف فی ذلک کما عن الذخیرة </w:t>
      </w:r>
      <w:r>
        <w:rPr>
          <w:rStyle w:val="FootnoteAnchor"/>
          <w:rtl w:val="true"/>
        </w:rPr>
        <w:footnoteReference w:id="962"/>
      </w:r>
      <w:r>
        <w:rPr>
          <w:rFonts w:ascii="IRNazanin" w:hAnsi="IRNazanin" w:eastAsia="IRNazanin"/>
          <w:color w:val="111111"/>
          <w:sz w:val="28"/>
          <w:sz w:val="28"/>
          <w:szCs w:val="28"/>
          <w:rtl w:val="true"/>
          <w:lang w:bidi="fa-IR"/>
        </w:rPr>
        <w:t xml:space="preserve">، و عن المعتبر </w:t>
      </w:r>
      <w:r>
        <w:rPr>
          <w:rStyle w:val="FootnoteAnchor"/>
          <w:rtl w:val="true"/>
        </w:rPr>
        <w:footnoteReference w:id="963"/>
      </w:r>
      <w:r>
        <w:rPr>
          <w:rFonts w:ascii="IRNazanin" w:hAnsi="IRNazanin" w:eastAsia="IRNazanin"/>
          <w:color w:val="111111"/>
          <w:sz w:val="28"/>
          <w:sz w:val="28"/>
          <w:szCs w:val="28"/>
          <w:rtl w:val="true"/>
          <w:lang w:bidi="fa-IR"/>
        </w:rPr>
        <w:t xml:space="preserve">و التذکرة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علمائنا، و فی روایة ذریح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تجعله معترضاً کما یفعله الناس</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6530132_3224264995"/>
      <w:bookmarkStart w:id="99" w:name="_Toc38"/>
      <w:bookmarkEnd w:id="98"/>
      <w:r>
        <w:rPr>
          <w:rtl w:val="true"/>
        </w:rPr>
        <w:t>[</w:t>
      </w:r>
      <w:r>
        <w:rPr>
          <w:rtl w:val="true"/>
        </w:rPr>
        <w:t>و یستحبّ أُمور</w:t>
      </w:r>
      <w:r>
        <w:rPr>
          <w:rtl w:val="true"/>
        </w:rPr>
        <w:t>]</w:t>
      </w:r>
      <w:bookmarkEnd w:id="99"/>
    </w:p>
    <w:p>
      <w:pPr>
        <w:pStyle w:val="Heading6"/>
        <w:numPr>
          <w:ilvl w:val="5"/>
          <w:numId w:val="1"/>
        </w:numPr>
        <w:rPr/>
      </w:pPr>
      <w:bookmarkStart w:id="100" w:name="__RefHeading___Toc6530134_3224264995"/>
      <w:bookmarkStart w:id="101" w:name="_Toc39"/>
      <w:bookmarkEnd w:id="100"/>
      <w:r>
        <w:rPr>
          <w:rtl w:val="true"/>
        </w:rPr>
        <w:t>اشارة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6530136_3224264995"/>
      <w:bookmarkStart w:id="103" w:name="_Toc40"/>
      <w:bookmarkEnd w:id="102"/>
      <w:r>
        <w:rPr>
          <w:rtl w:val="true"/>
        </w:rPr>
        <w:t>[</w:t>
      </w:r>
      <w:r>
        <w:rPr>
          <w:rtl w:val="true"/>
        </w:rPr>
        <w:t>ما یتعلّق بما قبل الموت</w:t>
      </w:r>
      <w:r>
        <w:rPr>
          <w:rtl w:val="true"/>
        </w:rPr>
        <w:t>]</w:t>
      </w:r>
      <w:bookmarkEnd w:id="103"/>
    </w:p>
    <w:p>
      <w:pPr>
        <w:pStyle w:val="Heading6"/>
        <w:numPr>
          <w:ilvl w:val="5"/>
          <w:numId w:val="1"/>
        </w:numPr>
        <w:rPr/>
      </w:pPr>
      <w:bookmarkStart w:id="104" w:name="__RefHeading___Toc6530138_3224264995"/>
      <w:bookmarkStart w:id="105" w:name="_Toc41"/>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بما قبل موته،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بما بعده</w:t>
      </w:r>
      <w:r>
        <w:rPr>
          <w:rFonts w:eastAsia="IRNazanin" w:cs="IRNazanin"/>
          <w:color w:val="111111"/>
          <w:sz w:val="28"/>
          <w:szCs w:val="28"/>
          <w:rtl w:val="true"/>
          <w:lang w:bidi="fa-IR"/>
        </w:rPr>
        <w:t>.</w:t>
      </w:r>
    </w:p>
    <w:p>
      <w:pPr>
        <w:pStyle w:val="Heading6"/>
        <w:numPr>
          <w:ilvl w:val="5"/>
          <w:numId w:val="1"/>
        </w:numPr>
        <w:rPr/>
      </w:pPr>
      <w:bookmarkStart w:id="106" w:name="__RefHeading___Toc6530140_3224264995"/>
      <w:bookmarkStart w:id="107" w:name="_Toc42"/>
      <w:bookmarkEnd w:id="106"/>
      <w:r>
        <w:rPr>
          <w:rtl w:val="true"/>
        </w:rPr>
        <w:t>[</w:t>
      </w:r>
      <w:r>
        <w:rPr/>
        <w:t>1</w:t>
      </w:r>
      <w:r>
        <w:rPr>
          <w:rtl w:val="true"/>
        </w:rPr>
        <w:t xml:space="preserve">- </w:t>
      </w:r>
      <w:r>
        <w:rPr>
          <w:rtl w:val="true"/>
        </w:rPr>
        <w:t>تلقین المیت الشهادتین و الإقرار بالأئمّة علیهم السلام</w:t>
      </w:r>
      <w:r>
        <w:rPr>
          <w:rtl w:val="true"/>
        </w:rPr>
        <w:t>]</w:t>
      </w:r>
      <w:bookmarkEnd w:id="107"/>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التلقین بالشهادتین و الإقرار بالأئمّة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إجمالًا؛ فإنّ من کان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الجنّة، کما فی الخبر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لقّنوا موتاکم شهادة أن لا إله إلّا اللّٰه، و الولایة</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أنّ عابد وثنٍ وصف ما تصفون عند خروج نفسه ما طعمت النار من جسده شیئاً أبداً</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bookmarkStart w:id="108" w:name="pg13042_127081"/>
    </w:p>
    <w:p>
      <w:pPr>
        <w:pStyle w:val="BookText"/>
        <w:rPr/>
      </w:pPr>
      <w:bookmarkEnd w:id="108"/>
      <w:r>
        <w:rPr>
          <w:rFonts w:ascii="IRNazanin" w:hAnsi="IRNazanin" w:eastAsia="IRNazanin"/>
          <w:color w:val="111111"/>
          <w:sz w:val="28"/>
          <w:sz w:val="28"/>
          <w:szCs w:val="28"/>
          <w:rtl w:val="true"/>
          <w:lang w:bidi="fa-IR"/>
        </w:rPr>
        <w:t>و فی روایة أبی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یحضره الموت إلّا وکّل به إبلیس من شیاطینه من یأمره بالکفر، و یشکّکه فی دینه حتّی یخرج نفسه، فمن کان مؤمناً لم یقدر علیه، فإذا حضرتم موتاکم فلقّنوهم شهادة أن لا إله إلّا اللّٰه، و أنّ محمّداً رسول اللّٰه صلّی اللّٰه علیه و آله حتّی یموتوا</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هیثم بن واقد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ملک الموت یتصفّح الناس فی کلّ یوم خمس مرّات عند مواقیت الصلاة، فإن کان ممّن یواظب علیها عند مواقیتها لقّنه شهادة أن لا إله إلّا اللّٰه و أنّ محمّداً رسول اللّٰه، و نحّی عنه ملَک الموت إبلیس</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6530142_3224264995"/>
      <w:bookmarkStart w:id="110" w:name="_Toc43"/>
      <w:bookmarkEnd w:id="109"/>
      <w:r>
        <w:rPr>
          <w:rtl w:val="true"/>
        </w:rPr>
        <w:t>[</w:t>
      </w:r>
      <w:r>
        <w:rPr/>
        <w:t>2</w:t>
      </w:r>
      <w:r>
        <w:rPr>
          <w:rtl w:val="true"/>
        </w:rPr>
        <w:t xml:space="preserve">- </w:t>
      </w:r>
      <w:r>
        <w:rPr>
          <w:rtl w:val="true"/>
        </w:rPr>
        <w:t>تلقینه کلمات الفَرَج</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لحسنة زرارة بابن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الرجل عند النزع فلقّنه کلمات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 ربّ الأرضین السبع، و ما فیهنّ و ما بینهنّ، و ربّ العرش العظیم، و الحمد للّٰه ربّ العالمین</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النسخ </w:t>
      </w:r>
      <w:r>
        <w:rPr>
          <w:rStyle w:val="FootnoteAnchor"/>
          <w:rtl w:val="true"/>
        </w:rPr>
        <w:footnoteReference w:id="972"/>
      </w:r>
      <w:r>
        <w:rPr>
          <w:rFonts w:ascii="IRNazanin" w:hAnsi="IRNazanin" w:eastAsia="IRNazanin"/>
          <w:color w:val="111111"/>
          <w:sz w:val="28"/>
          <w:sz w:val="28"/>
          <w:szCs w:val="28"/>
          <w:rtl w:val="true"/>
          <w:lang w:bidi="fa-IR"/>
        </w:rPr>
        <w:t xml:space="preserve">کما عن الفقه الرضوی </w:t>
      </w:r>
      <w:r>
        <w:rPr>
          <w:rStyle w:val="FootnoteAnchor"/>
          <w:rtl w:val="true"/>
        </w:rPr>
        <w:footnoteReference w:id="973"/>
      </w:r>
      <w:r>
        <w:rPr>
          <w:rFonts w:ascii="Amiri" w:hAnsi="Amiri" w:eastAsia="Amiri" w:cs="Amiri"/>
          <w:color w:val="111111"/>
          <w:sz w:val="28"/>
          <w:sz w:val="28"/>
          <w:szCs w:val="28"/>
          <w:rtl w:val="true"/>
          <w:lang w:bidi="ar-SA"/>
        </w:rPr>
        <w:t xml:space="preserve">قبل التحمید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المحکیّ عن المفید </w:t>
      </w:r>
      <w:r>
        <w:rPr>
          <w:rStyle w:val="FootnoteAnchor"/>
          <w:rtl w:val="true"/>
        </w:rPr>
        <w:footnoteReference w:id="974"/>
      </w:r>
      <w:bookmarkStart w:id="111" w:name="pg13042_127082"/>
    </w:p>
    <w:p>
      <w:pPr>
        <w:pStyle w:val="BookText"/>
        <w:rPr/>
      </w:pPr>
      <w:bookmarkEnd w:id="111"/>
      <w:r>
        <w:rPr>
          <w:rFonts w:ascii="Amiri" w:hAnsi="Amiri" w:eastAsia="Amiri" w:cs="Amiri"/>
          <w:color w:val="111111"/>
          <w:sz w:val="28"/>
          <w:sz w:val="28"/>
          <w:szCs w:val="28"/>
          <w:rtl w:val="true"/>
          <w:lang w:bidi="ar-SA"/>
        </w:rPr>
        <w:t xml:space="preserve">و جماعة </w:t>
      </w:r>
      <w:r>
        <w:rPr>
          <w:rStyle w:val="FootnoteAnchor"/>
          <w:rtl w:val="true"/>
        </w:rPr>
        <w:footnoteReference w:id="975"/>
      </w:r>
      <w:r>
        <w:rPr>
          <w:rFonts w:ascii="IRNazanin" w:hAnsi="IRNazanin" w:eastAsia="IRNazanin"/>
          <w:color w:val="111111"/>
          <w:sz w:val="28"/>
          <w:sz w:val="28"/>
          <w:szCs w:val="28"/>
          <w:rtl w:val="true"/>
          <w:lang w:bidi="fa-IR"/>
        </w:rPr>
        <w:t xml:space="preserve">، و حکی أنّه سئل عنه المحقّق فجوّزه؛ لأنّه بلفظ القرآن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بینهنّ</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و الأقوی ما اشتملت علیه الحسنة؛ لأنّها أصحّ و أصرح</w:t>
      </w:r>
      <w:r>
        <w:rPr>
          <w:rFonts w:eastAsia="IRNazanin" w:cs="IRNazanin"/>
          <w:color w:val="111111"/>
          <w:sz w:val="28"/>
          <w:szCs w:val="28"/>
          <w:rtl w:val="true"/>
          <w:lang w:bidi="fa-IR"/>
        </w:rPr>
        <w:t>.</w:t>
      </w:r>
    </w:p>
    <w:p>
      <w:pPr>
        <w:pStyle w:val="Heading6"/>
        <w:numPr>
          <w:ilvl w:val="5"/>
          <w:numId w:val="1"/>
        </w:numPr>
        <w:rPr/>
      </w:pPr>
      <w:bookmarkStart w:id="112" w:name="__RefHeading___Toc6530144_3224264995"/>
      <w:bookmarkStart w:id="113" w:name="_Toc44"/>
      <w:bookmarkEnd w:id="112"/>
      <w:r>
        <w:rPr>
          <w:rtl w:val="true"/>
        </w:rPr>
        <w:t>[</w:t>
      </w:r>
      <w:r>
        <w:rPr/>
        <w:t>3</w:t>
      </w:r>
      <w:r>
        <w:rPr>
          <w:rtl w:val="true"/>
        </w:rPr>
        <w:t xml:space="preserve">- </w:t>
      </w:r>
      <w:r>
        <w:rPr>
          <w:rtl w:val="true"/>
        </w:rPr>
        <w:t>تلقینه الاستغفار</w:t>
      </w:r>
      <w:r>
        <w:rPr>
          <w:rtl w:val="true"/>
        </w:rPr>
        <w:t>]</w:t>
      </w:r>
      <w:bookmarkEnd w:id="113"/>
    </w:p>
    <w:p>
      <w:pPr>
        <w:pStyle w:val="BookText"/>
        <w:rPr/>
      </w:pPr>
      <w:r>
        <w:rPr>
          <w:rFonts w:ascii="IRNazanin" w:hAnsi="IRNazanin" w:eastAsia="IRNazanin"/>
          <w:color w:val="111111"/>
          <w:sz w:val="28"/>
          <w:sz w:val="28"/>
          <w:szCs w:val="28"/>
          <w:rtl w:val="true"/>
          <w:lang w:bidi="fa-IR"/>
        </w:rPr>
        <w:t>و یستحبّ أیضاً تلقینه الاستغفار، و المرویّ أنّه یقول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الکثیر من معاصیک، و اقبل منیّ الیسیر من طاعتک</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و فی روایة أُخری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یقبل الیسیر و یعفو عن الکثیر، اقبل منیّ الیسیر، و اعفُ عنی الکثیر، إنّک أنت الغفور الرحیم</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هذین الخبرین، بل و سائر الأخبار 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التلقین متابعة المریض للملقِّن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یقدر فبقلبه إخطار صورة الکلمات أو عقد القلب بمضمونها</w:t>
      </w:r>
      <w:r>
        <w:rPr>
          <w:rFonts w:eastAsia="IRNazanin" w:cs="IRNazanin"/>
          <w:color w:val="111111"/>
          <w:sz w:val="28"/>
          <w:szCs w:val="28"/>
          <w:rtl w:val="true"/>
          <w:lang w:bidi="fa-IR"/>
        </w:rPr>
        <w:t>.</w:t>
      </w:r>
    </w:p>
    <w:p>
      <w:pPr>
        <w:pStyle w:val="Heading6"/>
        <w:numPr>
          <w:ilvl w:val="5"/>
          <w:numId w:val="1"/>
        </w:numPr>
        <w:rPr/>
      </w:pPr>
      <w:bookmarkStart w:id="114" w:name="__RefHeading___Toc6530146_3224264995"/>
      <w:bookmarkStart w:id="115" w:name="_Toc45"/>
      <w:bookmarkEnd w:id="114"/>
      <w:r>
        <w:rPr>
          <w:rtl w:val="true"/>
        </w:rPr>
        <w:t>[</w:t>
      </w:r>
      <w:r>
        <w:rPr/>
        <w:t>4</w:t>
      </w:r>
      <w:r>
        <w:rPr>
          <w:rtl w:val="true"/>
        </w:rPr>
        <w:t xml:space="preserve">- </w:t>
      </w:r>
      <w:r>
        <w:rPr>
          <w:rtl w:val="true"/>
        </w:rPr>
        <w:t>نقله إلی مصلّاه</w:t>
      </w:r>
      <w:r>
        <w:rPr>
          <w:rtl w:val="true"/>
        </w:rPr>
        <w:t>]</w:t>
      </w:r>
      <w:bookmarkEnd w:id="11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إلی مصلّاه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عسر علی المیّت موته و نزعه قرّب إلی مصلّاه الذی کان یصلّی فیه</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و فی حسنة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اشتدّ علیه النزع فضعه فی مصلّاه الذی کان یصلّی فیه أو علیه</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bookmarkStart w:id="116" w:name="pg13042_127083"/>
    </w:p>
    <w:p>
      <w:pPr>
        <w:pStyle w:val="BookText"/>
        <w:rPr/>
      </w:pPr>
      <w:bookmarkEnd w:id="116"/>
      <w:r>
        <w:rPr>
          <w:rFonts w:ascii="IRNazanin" w:hAnsi="IRNazanin" w:eastAsia="IRNazanin"/>
          <w:color w:val="111111"/>
          <w:sz w:val="28"/>
          <w:sz w:val="28"/>
          <w:szCs w:val="28"/>
          <w:rtl w:val="true"/>
          <w:lang w:bidi="fa-IR"/>
        </w:rPr>
        <w:t>و ظاهرهما کغیرهما و أکثر العبارات و إن کان اختصاص الاستحباب بصورة اشتداد النزع، إلّا أنّ تعلیله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یخفّف علیه إن کان فی أجله تأخیر، و إن کانت منیته قد حضرت فإنّه یسهّل علیه إن شاء اللّٰه</w:t>
      </w:r>
      <w:r>
        <w:rPr>
          <w:rFonts w:eastAsia="IRNazanin" w:cs="IRNazanin"/>
          <w:color w:val="111111"/>
          <w:sz w:val="28"/>
          <w:szCs w:val="28"/>
          <w:rtl w:val="true"/>
          <w:lang w:bidi="fa-IR"/>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یدلّ علی کونه مطلوباً مطلقاً، فتعمیم المصنّف تبعاً للمحقّق فی کتبه </w:t>
      </w:r>
      <w:r>
        <w:rPr>
          <w:rStyle w:val="FootnoteAnchor"/>
          <w:rtl w:val="true"/>
        </w:rPr>
        <w:footnoteReference w:id="983"/>
      </w:r>
      <w:r>
        <w:rPr>
          <w:rFonts w:ascii="IRNazanin" w:hAnsi="IRNazanin" w:eastAsia="IRNazanin"/>
          <w:color w:val="111111"/>
          <w:sz w:val="28"/>
          <w:sz w:val="28"/>
          <w:szCs w:val="28"/>
          <w:rtl w:val="true"/>
          <w:lang w:bidi="fa-IR"/>
        </w:rPr>
        <w:t xml:space="preserve">أجود، و نسبه صاحب الحدائق علی ما حکی عنه إلی الأکثر، و اعترض علیهم باختصاص الأخبار </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نسبته کاعتراضه لم یصادف المحلّ إلّا أن یقال بعدم صراحة هذا التعلیل بحیث یخصّص ما سیأتی من أدلّة کراهة مسّ المحتضر، و أنّ من مسّ فقد أعان علیه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ظاهر العبارة کأکثر الأخبار </w:t>
      </w:r>
      <w:r>
        <w:rPr>
          <w:rStyle w:val="FootnoteAnchor"/>
          <w:rtl w:val="true"/>
        </w:rPr>
        <w:footnoteReference w:id="986"/>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الذی یصلّی فیه، و یظهر من الحسنة المتقدّمة التخییر، و لعلّ التردید من الراوی، و إلّا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لا یستعمل فی أکثر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یظهر من المحکیّ عن الوسیلة جمعه بینهما </w:t>
      </w:r>
      <w:r>
        <w:rPr>
          <w:rStyle w:val="FootnoteAnchor"/>
          <w:rtl w:val="true"/>
        </w:rPr>
        <w:footnoteReference w:id="987"/>
      </w:r>
      <w:r>
        <w:rPr>
          <w:rFonts w:ascii="IRNazanin" w:hAnsi="IRNazanin" w:eastAsia="IRNazanin"/>
          <w:color w:val="111111"/>
          <w:sz w:val="28"/>
          <w:sz w:val="28"/>
          <w:szCs w:val="28"/>
          <w:rtl w:val="true"/>
          <w:lang w:bidi="fa-IR"/>
        </w:rPr>
        <w:t>، و لا بأس به تسامحاً</w:t>
      </w:r>
      <w:r>
        <w:rPr>
          <w:rFonts w:eastAsia="IRNazanin" w:cs="IRNazanin"/>
          <w:color w:val="111111"/>
          <w:sz w:val="28"/>
          <w:szCs w:val="28"/>
          <w:rtl w:val="true"/>
          <w:lang w:bidi="fa-IR"/>
        </w:rPr>
        <w:t>.</w:t>
      </w:r>
    </w:p>
    <w:p>
      <w:pPr>
        <w:pStyle w:val="Heading6"/>
        <w:numPr>
          <w:ilvl w:val="5"/>
          <w:numId w:val="1"/>
        </w:numPr>
        <w:rPr/>
      </w:pPr>
      <w:bookmarkStart w:id="117" w:name="__RefHeading___Toc6530148_3224264995"/>
      <w:bookmarkStart w:id="118" w:name="_Toc46"/>
      <w:bookmarkEnd w:id="117"/>
      <w:r>
        <w:rPr>
          <w:rtl w:val="true"/>
        </w:rPr>
        <w:t>[</w:t>
      </w:r>
      <w:r>
        <w:rPr/>
        <w:t>5</w:t>
      </w:r>
      <w:r>
        <w:rPr>
          <w:rtl w:val="true"/>
        </w:rPr>
        <w:t xml:space="preserve">- </w:t>
      </w:r>
      <w:r>
        <w:rPr>
          <w:rtl w:val="true"/>
        </w:rPr>
        <w:t>استحباب قراءة القرآن عنده</w:t>
      </w:r>
      <w:r>
        <w:rPr>
          <w:rtl w:val="true"/>
        </w:rPr>
        <w:t>]</w:t>
      </w:r>
      <w:bookmarkEnd w:id="11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أیضاً أن یقرأ عنده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مطلق القرآن، کما عن الذکری </w:t>
      </w:r>
      <w:r>
        <w:rPr>
          <w:rStyle w:val="FootnoteAnchor"/>
          <w:rtl w:val="true"/>
        </w:rPr>
        <w:footnoteReference w:id="988"/>
      </w:r>
      <w:r>
        <w:rPr>
          <w:rFonts w:ascii="IRNazanin" w:hAnsi="IRNazanin" w:eastAsia="IRNazanin"/>
          <w:color w:val="111111"/>
          <w:sz w:val="28"/>
          <w:sz w:val="28"/>
          <w:szCs w:val="28"/>
          <w:rtl w:val="true"/>
          <w:lang w:bidi="fa-IR"/>
        </w:rPr>
        <w:t xml:space="preserve">و المعتبر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حضر أحدکم الوفاة فاقرؤا عنده القرآن </w:t>
      </w:r>
      <w:r>
        <w:rPr>
          <w:rStyle w:val="FootnoteAnchor"/>
          <w:rtl w:val="true"/>
        </w:rPr>
        <w:footnoteReference w:id="990"/>
      </w:r>
      <w:r>
        <w:rPr>
          <w:rFonts w:ascii="Amiri" w:hAnsi="Amiri" w:eastAsia="Amiri" w:cs="Amiri"/>
          <w:color w:val="111111"/>
          <w:sz w:val="28"/>
          <w:sz w:val="28"/>
          <w:szCs w:val="28"/>
          <w:rtl w:val="true"/>
          <w:lang w:bidi="ar-SA"/>
        </w:rPr>
        <w:t xml:space="preserve">و ذکر اللّٰه و الصلاة علی رسول اللّٰه صلّی اللّٰه علیه و آله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للمرویّ عن الکاظم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بنیّ فاقرأ عند رأس أخیک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تستتمّها، و 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أَشَدُّ خَلْقاً أَمْ 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الفتی، فلمّا سجیّ و خرجوا أقبل علیه یعقوب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نعهد المیّت إذا نزل به الموت یقرأ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تأمرنا بالصافات،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لم تقرأ عند مکروب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عجّل اللّٰه راحته</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حکایة یعقوب اشتهار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المحتضر، و لا بأس بالعمل به تسامحاً، بل لتقریر الإمام علیه السلام، بل للنبویّ المحکیّ عن کشف اللثام </w:t>
      </w:r>
      <w:r>
        <w:rPr>
          <w:rStyle w:val="FootnoteAnchor"/>
          <w:rtl w:val="true"/>
        </w:rPr>
        <w:footnoteReference w:id="9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سکرات الموت أو قُرِئت عنده جاء رضوان خازن الجنّة بشربة من شراب الجنّة فسقاه إیّاها و هو علی فراشه، فیشرب فیموت ریّان، و یبعث ریّان، و لا یحتاج إلی حوض من حیاض الأنبیاء</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مسلم قرئ عنده إذا نزل به ملک الموت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بکلّ حرف منها عشرة أملاک یقومون بین یدیه صفوفاً یصلّون</w:t>
      </w:r>
      <w:bookmarkStart w:id="119" w:name="pg13042_127085"/>
    </w:p>
    <w:p>
      <w:pPr>
        <w:pStyle w:val="BookText"/>
        <w:rPr/>
      </w:pPr>
      <w:bookmarkEnd w:id="119"/>
      <w:r>
        <w:rPr>
          <w:rFonts w:ascii="IRNazanin" w:hAnsi="IRNazanin" w:eastAsia="IRNazanin"/>
          <w:color w:val="111111"/>
          <w:sz w:val="28"/>
          <w:sz w:val="28"/>
          <w:szCs w:val="28"/>
          <w:rtl w:val="true"/>
          <w:lang w:bidi="fa-IR"/>
        </w:rPr>
        <w:t xml:space="preserve">علیه، و یستغفرون له، و یشهدون غسله، و یتبعون جنازته، و یصلّون علیه، و یشهدون دفنه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 w:name="__RefHeading___Toc6530150_3224264995"/>
      <w:bookmarkStart w:id="121" w:name="_Toc47"/>
      <w:bookmarkEnd w:id="120"/>
      <w:r>
        <w:rPr>
          <w:rtl w:val="true"/>
        </w:rPr>
        <w:t>[</w:t>
      </w:r>
      <w:r>
        <w:rPr>
          <w:rtl w:val="true"/>
        </w:rPr>
        <w:t>ما یستحبّ بعد الموت</w:t>
      </w:r>
      <w:r>
        <w:rPr>
          <w:rtl w:val="true"/>
        </w:rPr>
        <w:t>]</w:t>
      </w:r>
      <w:bookmarkEnd w:id="121"/>
    </w:p>
    <w:p>
      <w:pPr>
        <w:pStyle w:val="Heading6"/>
        <w:numPr>
          <w:ilvl w:val="5"/>
          <w:numId w:val="1"/>
        </w:numPr>
        <w:rPr/>
      </w:pPr>
      <w:bookmarkStart w:id="122" w:name="__RefHeading___Toc6530152_3224264995"/>
      <w:bookmarkStart w:id="123" w:name="_Toc48"/>
      <w:bookmarkEnd w:id="122"/>
      <w:r>
        <w:rPr>
          <w:rtl w:val="true"/>
        </w:rPr>
        <w:t>اشارة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یستحبّ بعد موته فهی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6"/>
        <w:numPr>
          <w:ilvl w:val="5"/>
          <w:numId w:val="1"/>
        </w:numPr>
        <w:rPr/>
      </w:pPr>
      <w:bookmarkStart w:id="124" w:name="__RefHeading___Toc6530154_3224264995"/>
      <w:bookmarkStart w:id="125" w:name="_Toc49"/>
      <w:bookmarkEnd w:id="124"/>
      <w:r>
        <w:rPr>
          <w:rtl w:val="true"/>
        </w:rPr>
        <w:t>[</w:t>
      </w:r>
      <w:r>
        <w:rPr/>
        <w:t>1</w:t>
      </w:r>
      <w:r>
        <w:rPr>
          <w:rtl w:val="true"/>
        </w:rPr>
        <w:t xml:space="preserve">- </w:t>
      </w:r>
      <w:r>
        <w:rPr>
          <w:rtl w:val="true"/>
        </w:rPr>
        <w:t>تغمیض عینه</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التغمیض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یغمّض عینه بعد موته،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یقبح منظره </w:t>
      </w:r>
      <w:r>
        <w:rPr>
          <w:rStyle w:val="FootnoteAnchor"/>
          <w:rtl w:val="true"/>
        </w:rPr>
        <w:footnoteReference w:id="997"/>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أبی کهمس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إسماعیل الموت </w:t>
      </w:r>
      <w:r>
        <w:rPr>
          <w:rStyle w:val="FootnoteAnchor"/>
          <w:rtl w:val="true"/>
        </w:rPr>
        <w:footnoteReference w:id="998"/>
      </w:r>
      <w:r>
        <w:rPr>
          <w:rFonts w:ascii="IRNazanin" w:hAnsi="IRNazanin" w:eastAsia="IRNazanin"/>
          <w:color w:val="111111"/>
          <w:sz w:val="28"/>
          <w:sz w:val="28"/>
          <w:szCs w:val="28"/>
          <w:rtl w:val="true"/>
          <w:lang w:bidi="fa-IR"/>
        </w:rPr>
        <w:t>و أبو عبد اللّٰه علیه السلام جالس عنده، فلمّا حضره الموت شدّ لحییه و غمّضه و غطّاه بالملحفة</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بحضور الموت موته فعلًا، لا الاحتضار؛ للنهی عن مسّ المیّت عند النزع؛ ففی 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ثقل ابن لجعفر علیه السلام و هو جالس فی ناحیته، فإذا دنی منه إنسان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تمسّه فإنّه إنّما یزداد ضعفاً، و أضعف ما یکون فی الحال، و من مسّه فی هذه الحال فکأنما أعان علیه، فلمّا قضی الغلام أمر به فغمّض عیناه و شدّ لحیاه</w:t>
      </w:r>
      <w:r>
        <w:rPr>
          <w:rFonts w:eastAsia="IRNazanin" w:cs="IRNazanin"/>
          <w:color w:val="111111"/>
          <w:sz w:val="28"/>
          <w:szCs w:val="28"/>
          <w:rtl w:val="true"/>
          <w:lang w:bidi="fa-IR"/>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اشتهر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غمس قطنة فی الماء و عصرها فی فم</w:t>
      </w:r>
      <w:bookmarkStart w:id="126" w:name="pg13042_127086"/>
    </w:p>
    <w:p>
      <w:pPr>
        <w:pStyle w:val="BookText"/>
        <w:rPr/>
      </w:pPr>
      <w:bookmarkEnd w:id="126"/>
      <w:r>
        <w:rPr>
          <w:rFonts w:ascii="IRNazanin" w:hAnsi="IRNazanin" w:eastAsia="IRNazanin"/>
          <w:color w:val="111111"/>
          <w:sz w:val="28"/>
          <w:sz w:val="28"/>
          <w:szCs w:val="28"/>
          <w:rtl w:val="true"/>
          <w:lang w:bidi="fa-IR"/>
        </w:rPr>
        <w:t xml:space="preserve">المیّت، لم أعثر علیه فی الأخبار، و لا علی مَن ذکره أو شهد له بوجود روایة، عدا ما حکاه شارح الوسائل </w:t>
      </w:r>
      <w:r>
        <w:rPr>
          <w:rStyle w:val="FootnoteAnchor"/>
          <w:rtl w:val="true"/>
        </w:rPr>
        <w:footnoteReference w:id="1001"/>
      </w:r>
      <w:r>
        <w:rPr>
          <w:rFonts w:ascii="IRNazanin" w:hAnsi="IRNazanin" w:eastAsia="IRNazanin"/>
          <w:color w:val="111111"/>
          <w:sz w:val="28"/>
          <w:sz w:val="28"/>
          <w:szCs w:val="28"/>
          <w:rtl w:val="true"/>
          <w:lang w:bidi="fa-IR"/>
        </w:rPr>
        <w:t>عن بعض معاصریه و لعلّه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بأس به، و أنّ فی بعض الروایات إشعاراً به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بعض </w:t>
      </w:r>
      <w:r>
        <w:rPr>
          <w:rStyle w:val="FootnoteAnchor"/>
          <w:rtl w:val="true"/>
        </w:rPr>
        <w:footnoteReference w:id="1003"/>
      </w:r>
      <w:r>
        <w:rPr>
          <w:rFonts w:ascii="IRNazanin" w:hAnsi="IRNazanin" w:eastAsia="IRNazanin"/>
          <w:color w:val="111111"/>
          <w:sz w:val="28"/>
          <w:sz w:val="28"/>
          <w:szCs w:val="28"/>
          <w:rtl w:val="true"/>
          <w:lang w:bidi="fa-IR"/>
        </w:rPr>
        <w:t>أنّه حکی عن بعض کتب الطبّ أنّه سبب لراحة الروح فی الإخراج و الانسلال؛ لأنّ الماء بارد و الروح بخار 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الحکم برجحانه إشکال بل منع؛ لعدم الدلیل، بل ظاهر تعلیل منع المسّ فی روایة زرارة المتقدّمة بکونه فی غایة الضعف، فیکون من مسّه کمن أعان علیه المنع عن عصر الماء فی فیه، لئلّا یحبس نفسه فیکون ذلک إعانة علیه</w:t>
      </w:r>
      <w:r>
        <w:rPr>
          <w:rFonts w:eastAsia="IRNazanin" w:cs="IRNazanin"/>
          <w:color w:val="111111"/>
          <w:sz w:val="28"/>
          <w:szCs w:val="28"/>
          <w:rtl w:val="true"/>
          <w:lang w:bidi="fa-IR"/>
        </w:rPr>
        <w:t>.</w:t>
      </w:r>
    </w:p>
    <w:p>
      <w:pPr>
        <w:pStyle w:val="Heading6"/>
        <w:numPr>
          <w:ilvl w:val="5"/>
          <w:numId w:val="1"/>
        </w:numPr>
        <w:rPr/>
      </w:pPr>
      <w:bookmarkStart w:id="127" w:name="__RefHeading___Toc6530156_3224264995"/>
      <w:bookmarkStart w:id="128" w:name="_Toc50"/>
      <w:bookmarkEnd w:id="127"/>
      <w:r>
        <w:rPr>
          <w:rtl w:val="true"/>
        </w:rPr>
        <w:t>[</w:t>
      </w:r>
      <w:r>
        <w:rPr/>
        <w:t>2</w:t>
      </w:r>
      <w:r>
        <w:rPr>
          <w:rtl w:val="true"/>
        </w:rPr>
        <w:t xml:space="preserve">- </w:t>
      </w:r>
      <w:r>
        <w:rPr>
          <w:rtl w:val="true"/>
        </w:rPr>
        <w:t>إطباق فمه و مدّ یدیه</w:t>
      </w:r>
      <w:r>
        <w:rPr>
          <w:rtl w:val="true"/>
        </w:rPr>
        <w:t>]</w:t>
      </w:r>
      <w:bookmarkEnd w:id="12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إطباق فمه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یقبح منظره أو یدخله الهوام </w:t>
      </w:r>
      <w:r>
        <w:rPr>
          <w:rStyle w:val="FootnoteAnchor"/>
          <w:rtl w:val="true"/>
        </w:rPr>
        <w:footnoteReference w:id="1005"/>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مستفاد من شدّ لحییه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ساقیه مع انقباضها، بلا خلاف ظاهراً کما عن ظاهر جماعة </w:t>
      </w:r>
      <w:r>
        <w:rPr>
          <w:rStyle w:val="FootnoteAnchor"/>
          <w:rtl w:val="true"/>
        </w:rPr>
        <w:footnoteReference w:id="1007"/>
      </w:r>
      <w:r>
        <w:rPr>
          <w:rFonts w:ascii="IRNazanin" w:hAnsi="IRNazanin" w:eastAsia="IRNazanin"/>
          <w:color w:val="111111"/>
          <w:sz w:val="28"/>
          <w:sz w:val="28"/>
          <w:szCs w:val="28"/>
          <w:rtl w:val="true"/>
          <w:lang w:bidi="fa-IR"/>
        </w:rPr>
        <w:t>و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bookmarkStart w:id="129" w:name="pg13042_127087"/>
    </w:p>
    <w:p>
      <w:pPr>
        <w:pStyle w:val="BookText"/>
        <w:rPr/>
      </w:pPr>
      <w:bookmarkEnd w:id="129"/>
      <w:r>
        <w:rPr>
          <w:rFonts w:ascii="IRNazanin" w:hAnsi="IRNazanin" w:eastAsia="IRNazanin"/>
          <w:color w:val="111111"/>
          <w:sz w:val="28"/>
          <w:sz w:val="28"/>
          <w:szCs w:val="28"/>
          <w:rtl w:val="true"/>
          <w:lang w:bidi="fa-IR"/>
        </w:rPr>
        <w:t xml:space="preserve">لم ینقل عن أهل البیت علیهم السلام فی ذلک روایة، و لعلّه لیکون أطوع للغسل و أسهل للدرج فی الکفن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6530158_3224264995"/>
      <w:bookmarkStart w:id="131" w:name="_Toc51"/>
      <w:bookmarkEnd w:id="130"/>
      <w:r>
        <w:rPr>
          <w:rtl w:val="true"/>
        </w:rPr>
        <w:t>[</w:t>
      </w:r>
      <w:r>
        <w:rPr/>
        <w:t>3</w:t>
      </w:r>
      <w:r>
        <w:rPr>
          <w:rtl w:val="true"/>
        </w:rPr>
        <w:t xml:space="preserve">- </w:t>
      </w:r>
      <w:r>
        <w:rPr>
          <w:rtl w:val="true"/>
        </w:rPr>
        <w:t>تغطیته بثوب</w:t>
      </w:r>
      <w:r>
        <w:rPr>
          <w:rtl w:val="true"/>
        </w:rPr>
        <w:t>]</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تغطیته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تأسّیاً بالصادق علیه السلام، کما تقدّم فی روایة أبی کهمس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6530160_3224264995"/>
      <w:bookmarkStart w:id="133" w:name="_Toc52"/>
      <w:bookmarkEnd w:id="132"/>
      <w:r>
        <w:rPr>
          <w:rtl w:val="true"/>
        </w:rPr>
        <w:t>[</w:t>
      </w:r>
      <w:r>
        <w:rPr/>
        <w:t>4</w:t>
      </w:r>
      <w:r>
        <w:rPr>
          <w:rtl w:val="true"/>
        </w:rPr>
        <w:t xml:space="preserve">- </w:t>
      </w:r>
      <w:r>
        <w:rPr>
          <w:rtl w:val="true"/>
        </w:rPr>
        <w:t>إیقاد المصباح عنده إن مات لیلًا</w:t>
      </w:r>
      <w:r>
        <w:rPr>
          <w:rtl w:val="true"/>
        </w:rPr>
        <w:t>]</w:t>
      </w:r>
      <w:bookmarkEnd w:id="133"/>
    </w:p>
    <w:p>
      <w:pPr>
        <w:pStyle w:val="BookText"/>
        <w:rPr/>
      </w:pP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یستحبّ أن یکون عنده مصباح إن مات لیلًا، و نسب إلی الشیخین </w:t>
      </w:r>
      <w:r>
        <w:rPr>
          <w:rStyle w:val="FootnoteAnchor"/>
          <w:rtl w:val="true"/>
        </w:rPr>
        <w:footnoteReference w:id="1010"/>
      </w:r>
      <w:r>
        <w:rPr>
          <w:rFonts w:ascii="IRNazanin" w:hAnsi="IRNazanin" w:eastAsia="IRNazanin"/>
          <w:color w:val="111111"/>
          <w:sz w:val="28"/>
          <w:sz w:val="28"/>
          <w:szCs w:val="28"/>
          <w:rtl w:val="true"/>
          <w:lang w:bidi="fa-IR"/>
        </w:rPr>
        <w:t xml:space="preserve">و أتباعهم </w:t>
      </w:r>
      <w:r>
        <w:rPr>
          <w:rStyle w:val="FootnoteAnchor"/>
          <w:rtl w:val="true"/>
        </w:rPr>
        <w:footnoteReference w:id="1011"/>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1012"/>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01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014"/>
      </w:r>
      <w:r>
        <w:rPr>
          <w:rFonts w:ascii="IRNazanin" w:hAnsi="IRNazanin" w:eastAsia="IRNazanin"/>
          <w:color w:val="111111"/>
          <w:sz w:val="28"/>
          <w:sz w:val="28"/>
          <w:szCs w:val="28"/>
          <w:rtl w:val="true"/>
          <w:lang w:bidi="fa-IR"/>
        </w:rPr>
        <w:t xml:space="preserve">و المتأخّرین </w:t>
      </w:r>
      <w:r>
        <w:rPr>
          <w:rStyle w:val="FootnoteAnchor"/>
          <w:rtl w:val="true"/>
        </w:rPr>
        <w:footnoteReference w:id="1015"/>
      </w:r>
      <w:r>
        <w:rPr>
          <w:rFonts w:ascii="IRNazanin" w:hAnsi="IRNazanin" w:eastAsia="IRNazanin"/>
          <w:color w:val="111111"/>
          <w:sz w:val="28"/>
          <w:sz w:val="28"/>
          <w:szCs w:val="28"/>
          <w:rtl w:val="true"/>
          <w:lang w:bidi="fa-IR"/>
        </w:rPr>
        <w:t xml:space="preserve">، قیل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فیه خلافاً، و عن جامع المقاصد نسبته إلی الأصحاب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استدلّ له بمرسلة عثمان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أبو جعفر علیه السلام أمر أبو عبد اللّٰه علیه السلام بالإسراج فی البیت الذی کان یسکنه، حتّی قبض أبو عبد اللّٰه علیه السلام فأمر أبو الحسن علیه السلام بمثل ذلک فی بیت أبی عبد اللّٰه علیه السلام حتّی أُخرج به إلی العراق، ثمّ لا أدری</w:t>
      </w:r>
    </w:p>
    <w:p>
      <w:pPr>
        <w:pStyle w:val="BookText"/>
        <w:rPr/>
      </w:pP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 و هو مبنیّ علی أنّ المراد بالبیت مسکنه فی مماته من البیت الذی مات فیه أو البیت الذی یدفن فیه؛ و لذا تعارف و اشتهر الإسراج عند قبور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ظهور الروایة فی مسکنه حال الحیاة، و حینئذٍ فیبقی الحکم خالیاً عن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المقام مقام التسامح من جهة فتوی الفقیه؛ لفرض العلم باستناد فتواهم إلی هذه الروایة التی لا دلالة لها علی المطلوب، و احتمال وجود روایة أُخری غیر کافٍ فی التسامح؛ لعدم صدق بلوغ الثواب بالنسبة إلی تلک الروایة المحتملة، و صدقه بالنسبة إلی فتاویهم لا یجدی بعد العلم بخطأهم فی دعوی البلوغ بتلک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احتمال الاستحباب المجرّد عن الروایة و الفتوی لا یصلح للحکم بالاستحباب حتّی یترتّب علیه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فعله بقصد الاستحباب القطعی، کما هو شأن ما یتسامح فیه من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فعله لاحتمال الاستحباب استحقّ علیه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الکلام فی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الأخبار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الاحتیاط فی جلب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 العقل لا یلیق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یستفاد استحباب الإسراج عنده من فحوی استحباب الإسراج فی بیته الذی کان یسکنه فی حیاته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و لو بقرینة الغلبة موت الإمام علیه السلام فی البیت الذی کان یسکنه، فیدلّ علی استحباب الإسراج فیه کلّ لیلة، فیدخل فیها لیلة الموت</w:t>
      </w:r>
      <w:r>
        <w:rPr>
          <w:rFonts w:eastAsia="IRNazanin" w:cs="IRNazanin"/>
          <w:color w:val="111111"/>
          <w:sz w:val="28"/>
          <w:szCs w:val="28"/>
          <w:rtl w:val="true"/>
          <w:lang w:bidi="fa-IR"/>
        </w:rPr>
        <w:t>.</w:t>
      </w:r>
      <w:bookmarkStart w:id="134" w:name="pg13042_127089"/>
    </w:p>
    <w:p>
      <w:pPr>
        <w:pStyle w:val="Heading6"/>
        <w:numPr>
          <w:ilvl w:val="5"/>
          <w:numId w:val="1"/>
        </w:numPr>
        <w:rPr/>
      </w:pPr>
      <w:bookmarkStart w:id="135" w:name="__RefHeading___Toc6530162_3224264995"/>
      <w:bookmarkStart w:id="136" w:name="_Toc53"/>
      <w:bookmarkEnd w:id="134"/>
      <w:bookmarkEnd w:id="135"/>
      <w:r>
        <w:rPr>
          <w:rtl w:val="true"/>
        </w:rPr>
        <w:t>[</w:t>
      </w:r>
      <w:r>
        <w:rPr/>
        <w:t>5</w:t>
      </w:r>
      <w:r>
        <w:rPr>
          <w:rtl w:val="true"/>
        </w:rPr>
        <w:t xml:space="preserve">- </w:t>
      </w:r>
      <w:r>
        <w:rPr>
          <w:rtl w:val="true"/>
        </w:rPr>
        <w:t>استحباب قراءة القرآن عنده</w:t>
      </w:r>
      <w:r>
        <w:rPr>
          <w:rtl w:val="true"/>
        </w:rPr>
        <w:t>]</w:t>
      </w:r>
      <w:bookmarkEnd w:id="136"/>
    </w:p>
    <w:p>
      <w:pPr>
        <w:pStyle w:val="BookText"/>
        <w:rPr/>
      </w:pPr>
      <w:r>
        <w:rPr>
          <w:rFonts w:ascii="IRNazanin" w:hAnsi="IRNazanin" w:eastAsia="IRNazanin"/>
          <w:color w:val="111111"/>
          <w:sz w:val="28"/>
          <w:sz w:val="28"/>
          <w:szCs w:val="28"/>
          <w:rtl w:val="true"/>
          <w:lang w:bidi="fa-IR"/>
        </w:rPr>
        <w:t>و یستحبّ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عنده من یقرأ القرآن، بلا خلاف ظاهر کما اعترف به بعض </w:t>
      </w:r>
      <w:r>
        <w:rPr>
          <w:rStyle w:val="FootnoteAnchor"/>
          <w:rtl w:val="true"/>
        </w:rPr>
        <w:footnoteReference w:id="1019"/>
      </w:r>
      <w:r>
        <w:rPr>
          <w:rFonts w:ascii="IRNazanin" w:hAnsi="IRNazanin" w:eastAsia="IRNazanin"/>
          <w:color w:val="111111"/>
          <w:sz w:val="28"/>
          <w:sz w:val="28"/>
          <w:szCs w:val="28"/>
          <w:rtl w:val="true"/>
          <w:lang w:bidi="fa-IR"/>
        </w:rPr>
        <w:t>، و یدلّ علیه المحکیّ عن الفقه الرضوی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أحدکم الموت فاقرؤا عنده القرآن</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بناءً علی أنّ حضور الموت یشمل حلوله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بالخصوص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للنبویّ المحکیّ عن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أقروا یس عند موتاکم</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 بل للنبویّ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 المقابر و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عنهم یومئذٍ، و کان له بعدد من فیها حسنات</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بناءً علی أنّ التخفیف لمطلق العذاب، لا لخصوص عذاب القبر و إلّا کان الاستحباب مختصّاً بما بعد الدفن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دعوات الراوندی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میّت إلّا خفّف اللّٰه عنه تلک الساعة</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الدعوات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أن یقرأ عنده حال الاحتضار و بعد الموت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السخرة</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 و ثلاث آیات من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bookmarkStart w:id="137" w:name="pg13042_127090"/>
    </w:p>
    <w:p>
      <w:pPr>
        <w:pStyle w:val="Heading6"/>
        <w:numPr>
          <w:ilvl w:val="5"/>
          <w:numId w:val="1"/>
        </w:numPr>
        <w:rPr/>
      </w:pPr>
      <w:bookmarkStart w:id="138" w:name="__RefHeading___Toc6530164_3224264995"/>
      <w:bookmarkStart w:id="139" w:name="_Toc54"/>
      <w:bookmarkEnd w:id="137"/>
      <w:bookmarkEnd w:id="138"/>
      <w:r>
        <w:rPr>
          <w:rtl w:val="true"/>
        </w:rPr>
        <w:t>[</w:t>
      </w:r>
      <w:r>
        <w:rPr/>
        <w:t>6</w:t>
      </w:r>
      <w:r>
        <w:rPr>
          <w:rtl w:val="true"/>
        </w:rPr>
        <w:t xml:space="preserve">- </w:t>
      </w:r>
      <w:r>
        <w:rPr>
          <w:rtl w:val="true"/>
        </w:rPr>
        <w:t>استحباب التعجیل إلا فی المشتبه</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تجهیز المیّت؛ للأمر به و النهی عن تأخیره فی عدّة روایات </w:t>
      </w:r>
      <w:r>
        <w:rPr>
          <w:rStyle w:val="FootnoteAnchor"/>
          <w:rtl w:val="true"/>
        </w:rPr>
        <w:footnoteReference w:id="1026"/>
      </w:r>
      <w:r>
        <w:rPr>
          <w:rFonts w:ascii="IRNazanin" w:hAnsi="IRNazanin" w:eastAsia="IRNazanin"/>
          <w:color w:val="111111"/>
          <w:sz w:val="28"/>
          <w:sz w:val="28"/>
          <w:szCs w:val="28"/>
          <w:rtl w:val="true"/>
          <w:lang w:bidi="fa-IR"/>
        </w:rPr>
        <w:t>محمولة علی الاستحباب؛ للإجماع، و لظاهر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کرامة المیّت تعجیله</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الاستثناء فی الحقیقة منقطع؛ لأنّ المشتبه ملحق بالأحیاء؛ لاستصحاب الحیاة إجماعاً، حتّی یستبرأ بعلامات الموت کما فی الروایات،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إسحاق بن عمّار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الغریق أ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یستبرأ،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یستبرأ؟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ثلاثة أیّام قبل أن یدفن، و کذلک أیضاً صاحب الصاعقة؛ فإنّه ربما ظنّوا أنّه مات و لم یمت</w:t>
      </w:r>
      <w:r>
        <w:rPr>
          <w:rFonts w:eastAsia="IRNazanin" w:cs="IRNazanin"/>
          <w:color w:val="111111"/>
          <w:sz w:val="28"/>
          <w:szCs w:val="28"/>
          <w:rtl w:val="true"/>
          <w:lang w:bidi="fa-IR"/>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التعلیل فی ذیله عموم وجوب الاستبراء لکلّ مشتبه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الغریق یحبس حتّی یتغیّر و یعلم أنّه قد مات، ثمّ یغسّل و یکفّن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المصعوق؟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صعق حبس یومین ثمّ یغسّل و یکفّن</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علیّ بن أبی حمزة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للغریق و المصعوق أن یتربّص بهما ثلاثاً لا یدفن، إلّا أن یجی‌ء منه ریح تدلّ علی موته</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المصعوق و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به ثلاثة أیّام إلّا أن یتغیّر قبل ذلک</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ینتظر بهم إلّا أن یتغیّروا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الغریق، و المصعوق، و المهدوم، و المبطون، و المدخن</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 و فی مرسلة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تنتظر بهم ثلاثة أیّام</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الدعائم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تصیبه الصاعقة، لا یدفن دون ثلاثة أیّام إلّا أن یتبیّن موته و یستیقن</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بالتغیّر تغیّر ریحه أو صفته فی بعض أجزائه بحیث یصیر إلی صفة لا یکون علیها الحیّ، کالعلامات التی ذکرها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فالمعیار العلم بالموت، فالتغییر مقدّمة علمیّة کما هو ظاهر موثّقة عمّار، بل روایة ابن أبی حمزة و کذا تربّص ثلاثة أیّام، کما یظهر من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روایة عبد الخالق المغیّا فیها الانتظار بالتغییر دون الأیّام، بل و روایة إسحاق بن عمّار حیث علّل وجوب الانتظار ثلاثاً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ظنّوا أنّه مات و لم 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فدلّ علی أنّه یجب الانتظار ما دام الاحتمال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المستفاد من المحکیّ عن المعتبر و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أنّ حدّ التربّص العلم، فعن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التربّص مع الاشتباه حتّی یظهر حاله،</w:t>
      </w:r>
    </w:p>
    <w:p>
      <w:pPr>
        <w:pStyle w:val="BookText"/>
        <w:rPr/>
      </w:pPr>
      <w:r>
        <w:rPr>
          <w:rFonts w:ascii="IRNazanin" w:hAnsi="IRNazanin" w:eastAsia="IRNazanin"/>
          <w:color w:val="111111"/>
          <w:sz w:val="28"/>
          <w:sz w:val="28"/>
          <w:szCs w:val="28"/>
          <w:rtl w:val="true"/>
          <w:lang w:bidi="fa-IR"/>
        </w:rPr>
        <w:t xml:space="preserve">و حدّه العلم، و هو إجماع </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التعجیل حتّی یظهر علامات الموت و یتحقّق العلم به بالإجماع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ظاهر بعض العبارات کظاهر روایتی هشام و علیّ بن أبی حمزة </w:t>
      </w:r>
      <w:r>
        <w:rPr>
          <w:rStyle w:val="FootnoteAnchor"/>
          <w:rtl w:val="true"/>
        </w:rPr>
        <w:footnoteReference w:id="1037"/>
      </w:r>
      <w:r>
        <w:rPr>
          <w:rFonts w:ascii="IRNazanin" w:hAnsi="IRNazanin" w:eastAsia="IRNazanin"/>
          <w:color w:val="111111"/>
          <w:sz w:val="28"/>
          <w:sz w:val="28"/>
          <w:szCs w:val="28"/>
          <w:rtl w:val="true"/>
          <w:lang w:bidi="fa-IR"/>
        </w:rPr>
        <w:t xml:space="preserve">و مرسلة الفقیه </w:t>
      </w:r>
      <w:r>
        <w:rPr>
          <w:rStyle w:val="FootnoteAnchor"/>
          <w:rtl w:val="true"/>
        </w:rPr>
        <w:footnoteReference w:id="1038"/>
      </w:r>
      <w:r>
        <w:rPr>
          <w:rFonts w:ascii="IRNazanin" w:hAnsi="IRNazanin" w:eastAsia="IRNazanin"/>
          <w:color w:val="111111"/>
          <w:sz w:val="28"/>
          <w:sz w:val="28"/>
          <w:szCs w:val="28"/>
          <w:rtl w:val="true"/>
          <w:lang w:bidi="fa-IR"/>
        </w:rPr>
        <w:t xml:space="preserve">و روایة الدعائم </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الانتظار ثلاثة أیّام و لو لم یعلم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هذه المدّة غایة تعبّدیّة أو کاشفة فی علم الشارع عن الموت واقعاً، و الثانی فی غایة البعد، و الأوّل و إن لم یکن بعیداً بل هو المتیقّن؛ من جهة کون هذه الروایات أخصّ مطلقاً من الأخبار التی علّق الحکم فیها بالعلم بالموت، إلّا أنّ الأظهر حمل ذکر الثلاث علی ما هو الغالب من حصول العلم بعد ذلک، کما ینبئ عن ذلک تعلیل وجوب الانتظار ثلاثاً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خروج الحیاة الدالّ علی ارتفاع هذا الاحتمال بعد الثلاثة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له الاقتصار فی ذیل موثّقة عمّار علی یومین </w:t>
      </w:r>
      <w:r>
        <w:rPr>
          <w:rStyle w:val="FootnoteAnchor"/>
          <w:rtl w:val="true"/>
        </w:rPr>
        <w:footnoteReference w:id="1040"/>
      </w:r>
      <w:r>
        <w:rPr>
          <w:rFonts w:ascii="IRNazanin" w:hAnsi="IRNazanin" w:eastAsia="IRNazanin"/>
          <w:color w:val="111111"/>
          <w:sz w:val="28"/>
          <w:sz w:val="28"/>
          <w:szCs w:val="28"/>
          <w:rtl w:val="true"/>
          <w:lang w:bidi="fa-IR"/>
        </w:rPr>
        <w:t xml:space="preserve">، فجعل الثلاثة أمارةً أُخری فی مقابل العلم مخالف للاحتیاط اللازم فی المقام، فالظاهر أنّ المراد </w:t>
      </w:r>
      <w:r>
        <w:rPr>
          <w:rStyle w:val="FootnoteAnchor"/>
          <w:rtl w:val="true"/>
        </w:rPr>
        <w:footnoteReference w:id="1041"/>
      </w:r>
      <w:r>
        <w:rPr>
          <w:rFonts w:ascii="IRNazanin" w:hAnsi="IRNazanin" w:eastAsia="IRNazanin"/>
          <w:color w:val="111111"/>
          <w:sz w:val="28"/>
          <w:sz w:val="28"/>
          <w:szCs w:val="28"/>
          <w:rtl w:val="true"/>
          <w:lang w:bidi="fa-IR"/>
        </w:rPr>
        <w:t>أن یستکشف موته بملاحظة الأمارات التی ذکروها للمیّت حتّی یعلم</w:t>
      </w:r>
      <w:bookmarkStart w:id="140" w:name="pg13042_127093"/>
    </w:p>
    <w:p>
      <w:pPr>
        <w:pStyle w:val="BookText"/>
        <w:rPr/>
      </w:pPr>
      <w:bookmarkEnd w:id="140"/>
      <w:r>
        <w:rPr>
          <w:rFonts w:ascii="IRNazanin" w:hAnsi="IRNazanin" w:eastAsia="IRNazanin"/>
          <w:color w:val="111111"/>
          <w:sz w:val="28"/>
          <w:sz w:val="28"/>
          <w:szCs w:val="28"/>
          <w:rtl w:val="true"/>
          <w:lang w:bidi="fa-IR"/>
        </w:rPr>
        <w:t xml:space="preserve">موته منها أو یصبر حتّی ینکشف حاله بنفسه </w:t>
      </w:r>
      <w:r>
        <w:rPr>
          <w:rStyle w:val="FootnoteAnchor"/>
          <w:rtl w:val="true"/>
        </w:rPr>
        <w:footnoteReference w:id="1042"/>
      </w:r>
      <w:r>
        <w:rPr>
          <w:rFonts w:ascii="IRNazanin" w:hAnsi="IRNazanin" w:eastAsia="IRNazanin"/>
          <w:color w:val="111111"/>
          <w:sz w:val="28"/>
          <w:sz w:val="28"/>
          <w:szCs w:val="28"/>
          <w:rtl w:val="true"/>
          <w:lang w:bidi="fa-IR"/>
        </w:rPr>
        <w:t>و یظهر موته للحسّ، و لیس المراد جعل المدّة حدّا علی حدة</w:t>
      </w:r>
      <w:r>
        <w:rPr>
          <w:rFonts w:eastAsia="IRNazanin" w:cs="IRNazanin"/>
          <w:color w:val="111111"/>
          <w:sz w:val="28"/>
          <w:szCs w:val="28"/>
          <w:rtl w:val="true"/>
          <w:lang w:bidi="fa-IR"/>
        </w:rPr>
        <w:t>.</w:t>
      </w:r>
    </w:p>
    <w:p>
      <w:pPr>
        <w:pStyle w:val="Heading6"/>
        <w:numPr>
          <w:ilvl w:val="5"/>
          <w:numId w:val="1"/>
        </w:numPr>
        <w:rPr/>
      </w:pPr>
      <w:bookmarkStart w:id="141" w:name="__RefHeading___Toc6530166_3224264995"/>
      <w:bookmarkStart w:id="142" w:name="_Toc55"/>
      <w:bookmarkEnd w:id="141"/>
      <w:r>
        <w:rPr>
          <w:rtl w:val="true"/>
        </w:rPr>
        <w:t>[</w:t>
      </w:r>
      <w:r>
        <w:rPr>
          <w:rtl w:val="true"/>
        </w:rPr>
        <w:t>و یکره طرح الحدید علی بطنه</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یکره طرح الحدید علی بطنه، و أن یحضره جنب أو حائض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کما عن المعتبر </w:t>
      </w:r>
      <w:r>
        <w:rPr>
          <w:rStyle w:val="FootnoteAnchor"/>
          <w:rtl w:val="true"/>
        </w:rPr>
        <w:footnoteReference w:id="1044"/>
      </w:r>
      <w:r>
        <w:rPr>
          <w:rFonts w:ascii="IRNazanin" w:hAnsi="IRNazanin" w:eastAsia="IRNazanin"/>
          <w:color w:val="111111"/>
          <w:sz w:val="28"/>
          <w:sz w:val="28"/>
          <w:szCs w:val="28"/>
          <w:rtl w:val="true"/>
          <w:lang w:bidi="fa-IR"/>
        </w:rPr>
        <w:t>، و للأخبار الکثیرة،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روایة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تحضر الحائض المیّت و لا الجنب عند التلقین، و لا بأس أن یلیا غسله</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و فی روایة ابن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تقعد عند رأس المریض و هی حائض فی حدّ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تمرّضه، فإذا خافوا علیه و قرب ذلک فلتتنحّ عنه و عن قربه؛ فإنّ الملائکة تتأذّی بذلک</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و فی غیر واحد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تتأذّی الملائکة بحضورهما</w:t>
      </w:r>
      <w:r>
        <w:rPr>
          <w:rFonts w:eastAsia="IRNazanin" w:cs="IRNazanin"/>
          <w:color w:val="111111"/>
          <w:sz w:val="28"/>
          <w:szCs w:val="28"/>
          <w:rtl w:val="true"/>
          <w:lang w:bidi="fa-IR"/>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الهدایة </w:t>
      </w:r>
      <w:r>
        <w:rPr>
          <w:rStyle w:val="FootnoteAnchor"/>
          <w:rtl w:val="true"/>
        </w:rPr>
        <w:footnoteReference w:id="1048"/>
      </w:r>
      <w:r>
        <w:rPr>
          <w:rFonts w:ascii="IRNazanin" w:hAnsi="IRNazanin" w:eastAsia="IRNazanin"/>
          <w:color w:val="111111"/>
          <w:sz w:val="28"/>
          <w:sz w:val="28"/>
          <w:szCs w:val="28"/>
          <w:rtl w:val="true"/>
          <w:lang w:bidi="fa-IR"/>
        </w:rPr>
        <w:t xml:space="preserve">و المقنع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بعدم الجواز، کالمضمر المحکیّ عن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للمرأة الحائض و الجنب الحضور عند تلقین المیّت؛ لأنّ الملائکة تتأذّی بهما، و لا یجوز إدخالهما المیّت فی قبره</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و ما تضمّنه ذیل</w:t>
      </w:r>
      <w:bookmarkStart w:id="143" w:name="pg13042_127094"/>
    </w:p>
    <w:p>
      <w:pPr>
        <w:pStyle w:val="BookText"/>
        <w:rPr/>
      </w:pPr>
      <w:bookmarkEnd w:id="143"/>
      <w:r>
        <w:rPr>
          <w:rFonts w:ascii="IRNazanin" w:hAnsi="IRNazanin" w:eastAsia="IRNazanin"/>
          <w:color w:val="111111"/>
          <w:sz w:val="28"/>
          <w:sz w:val="28"/>
          <w:szCs w:val="28"/>
          <w:rtl w:val="true"/>
          <w:lang w:bidi="fa-IR"/>
        </w:rPr>
        <w:t>هذا الخبر ممّا لم یعرف عامل به، لکن لا بأس بالعمل به، لکنّه أقوی قرینة علی إرادة الکراهة من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بأس أن یلیا غسله؛ للأصل و الأخبار </w:t>
      </w:r>
      <w:r>
        <w:rPr>
          <w:rStyle w:val="FootnoteAnchor"/>
          <w:rtl w:val="true"/>
        </w:rPr>
        <w:footnoteReference w:id="1051"/>
      </w:r>
      <w:r>
        <w:rPr>
          <w:rFonts w:ascii="IRNazanin" w:hAnsi="IRNazanin" w:eastAsia="IRNazanin"/>
          <w:color w:val="111111"/>
          <w:sz w:val="28"/>
          <w:sz w:val="28"/>
          <w:szCs w:val="28"/>
          <w:rtl w:val="true"/>
          <w:lang w:bidi="fa-IR"/>
        </w:rPr>
        <w:t>،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الوضوء للجنب إذا أراد تغسیل المیّت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غایة الکراهة تحقّق الموت؛ قیل لانصراف الملائکة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زوال الکراهة بانقطاع الدم وجه ضعیف، و فی زوالها بالتیمّم نظر؛ للأصل و الإطلاقات، و من أنّ التیمّم یبیح ما هو أقوی من ذلک، مع عمومات البدلیّة، و قد صرّح بعض من رجّح الثانی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یشرع التیمّم لمکان تضیّق هذه الغایة بحیث لو اغتسلت لم یدرکه حیّاً </w:t>
      </w:r>
      <w:r>
        <w:rPr>
          <w:rStyle w:val="FootnoteAnchor"/>
          <w:rtl w:val="true"/>
        </w:rPr>
        <w:footnoteReference w:id="1054"/>
      </w:r>
      <w:r>
        <w:rPr>
          <w:rFonts w:ascii="Amiri" w:hAnsi="Amiri" w:eastAsia="Amiri" w:cs="Amiri"/>
          <w:color w:val="111111"/>
          <w:sz w:val="28"/>
          <w:sz w:val="28"/>
          <w:szCs w:val="28"/>
          <w:rtl w:val="true"/>
          <w:lang w:bidi="ar-SA"/>
        </w:rPr>
        <w:t>، و فیه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یکره أیضاً إبقاء المیّت وحده؛ لخبر أبی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تدعنّ میّتک وحده؛ فإنّ الشیطان یعبث به</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6530168_3224264995"/>
      <w:bookmarkStart w:id="145" w:name="_Toc56"/>
      <w:bookmarkEnd w:id="144"/>
      <w:r>
        <w:rPr>
          <w:rtl w:val="true"/>
        </w:rPr>
        <w:t>[</w:t>
      </w:r>
      <w:r>
        <w:rPr>
          <w:rtl w:val="true"/>
        </w:rPr>
        <w:t>الثانی فی التغسیل</w:t>
      </w:r>
      <w:r>
        <w:rPr>
          <w:rtl w:val="true"/>
        </w:rPr>
        <w:t>]</w:t>
      </w:r>
      <w:bookmarkEnd w:id="145"/>
    </w:p>
    <w:p>
      <w:pPr>
        <w:pStyle w:val="Heading6"/>
        <w:numPr>
          <w:ilvl w:val="5"/>
          <w:numId w:val="1"/>
        </w:numPr>
        <w:rPr/>
      </w:pPr>
      <w:bookmarkStart w:id="146" w:name="__RefHeading___Toc6530170_3224264995"/>
      <w:bookmarkStart w:id="147" w:name="_Toc57"/>
      <w:bookmarkEnd w:id="146"/>
      <w:r>
        <w:rPr>
          <w:rtl w:val="true"/>
        </w:rPr>
        <w:t>[</w:t>
      </w:r>
      <w:r>
        <w:rPr>
          <w:rtl w:val="true"/>
        </w:rPr>
        <w:t>فروع</w:t>
      </w:r>
      <w:r>
        <w:rPr>
          <w:rtl w:val="true"/>
        </w:rPr>
        <w:t>]</w:t>
      </w:r>
      <w:bookmarkEnd w:id="147"/>
    </w:p>
    <w:p>
      <w:pPr>
        <w:pStyle w:val="Heading6"/>
        <w:numPr>
          <w:ilvl w:val="5"/>
          <w:numId w:val="1"/>
        </w:numPr>
        <w:rPr/>
      </w:pPr>
      <w:bookmarkStart w:id="148" w:name="__RefHeading___Toc6530172_3224264995"/>
      <w:bookmarkStart w:id="149" w:name="_Toc58"/>
      <w:bookmarkEnd w:id="148"/>
      <w:r>
        <w:rPr>
          <w:rtl w:val="true"/>
        </w:rPr>
        <w:t>[</w:t>
      </w:r>
      <w:r>
        <w:rPr>
          <w:rtl w:val="true"/>
        </w:rPr>
        <w:t>أولی الناس بغسله أولاهم بمیراثه</w:t>
      </w:r>
      <w:r>
        <w:rPr>
          <w:rtl w:val="true"/>
        </w:rPr>
        <w:t>]</w:t>
      </w:r>
      <w:bookmarkEnd w:id="14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الناس بغسله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بجمیع أحکامه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کما فی الحدائق نصّاً و فتوی </w:t>
      </w:r>
      <w:r>
        <w:rPr>
          <w:rStyle w:val="FootnoteAnchor"/>
          <w:rtl w:val="true"/>
        </w:rPr>
        <w:footnoteReference w:id="1056"/>
      </w:r>
      <w:r>
        <w:rPr>
          <w:rFonts w:ascii="IRNazanin" w:hAnsi="IRNazanin" w:eastAsia="IRNazanin"/>
          <w:color w:val="111111"/>
          <w:sz w:val="28"/>
          <w:sz w:val="28"/>
          <w:szCs w:val="28"/>
          <w:rtl w:val="true"/>
          <w:lang w:bidi="fa-IR"/>
        </w:rPr>
        <w:t xml:space="preserve">، بل إجماعاً علی ما حکی عن الخلاف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و ظاهر المنتهی </w:t>
      </w:r>
      <w:r>
        <w:rPr>
          <w:rStyle w:val="FootnoteAnchor"/>
          <w:rtl w:val="true"/>
        </w:rPr>
        <w:footnoteReference w:id="1058"/>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059"/>
      </w:r>
      <w:r>
        <w:rPr>
          <w:rFonts w:ascii="Amiri" w:hAnsi="Amiri" w:eastAsia="Amiri" w:cs="Amiri"/>
          <w:color w:val="111111"/>
          <w:sz w:val="28"/>
          <w:sz w:val="28"/>
          <w:szCs w:val="28"/>
          <w:rtl w:val="true"/>
          <w:lang w:bidi="ar-SA"/>
        </w:rPr>
        <w:t>لعموم قوله تعالی وَ أُولُوا الْأَرْحٰامِ بَعْضُهُمْ أَوْلیٰ بِبَعْضٍ</w:t>
      </w:r>
      <w:r>
        <w:rPr>
          <w:rFonts w:eastAsia="Amiri" w:cs="Amiri" w:ascii="Amiri" w:hAnsi="Amiri"/>
          <w:color w:val="111111"/>
          <w:sz w:val="28"/>
          <w:szCs w:val="28"/>
          <w:rtl w:val="true"/>
          <w:lang w:bidi="ar-SA"/>
        </w:rPr>
        <w:t xml:space="preserve">* </w:t>
      </w:r>
      <w:r>
        <w:rPr>
          <w:rStyle w:val="FootnoteAnchor"/>
          <w:rtl w:val="true"/>
        </w:rPr>
        <w:footnoteReference w:id="1060"/>
      </w:r>
      <w:r>
        <w:rPr>
          <w:rFonts w:ascii="IRNazanin" w:hAnsi="IRNazanin" w:eastAsia="IRNazanin"/>
          <w:color w:val="111111"/>
          <w:sz w:val="28"/>
          <w:sz w:val="28"/>
          <w:szCs w:val="28"/>
          <w:rtl w:val="true"/>
          <w:lang w:bidi="fa-IR"/>
        </w:rPr>
        <w:t>، بناء علی أنّ المراد الأولویّة من کلّ جهة حتّی الأُمور المتعلّقة بتجهیزه لا خصوص إرثه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للتعمیم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المتعلّق المعتضد باستدلال الفحول بها فی المقام کالفاضلین </w:t>
      </w:r>
      <w:r>
        <w:rPr>
          <w:rStyle w:val="FootnoteAnchor"/>
          <w:rtl w:val="true"/>
        </w:rPr>
        <w:footnoteReference w:id="1061"/>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062"/>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063"/>
      </w:r>
      <w:r>
        <w:rPr>
          <w:rFonts w:ascii="IRNazanin" w:hAnsi="IRNazanin" w:eastAsia="IRNazanin"/>
          <w:color w:val="111111"/>
          <w:sz w:val="28"/>
          <w:sz w:val="28"/>
          <w:szCs w:val="28"/>
          <w:rtl w:val="true"/>
          <w:lang w:bidi="fa-IR"/>
        </w:rPr>
        <w:t>، و لا یقدح فیه ما عن المحقّق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الآیة لا دلالة فیها أصلًا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قوله علیه السلام فی روایة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أولی الناس به</w:t>
      </w:r>
      <w:r>
        <w:rPr>
          <w:rFonts w:eastAsia="IRNazanin" w:cs="IRNazanin"/>
          <w:color w:val="111111"/>
          <w:sz w:val="28"/>
          <w:szCs w:val="28"/>
          <w:rtl w:val="true"/>
          <w:lang w:bidi="fa-IR"/>
        </w:rPr>
        <w:t xml:space="preserve">» </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مرسلة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أولی الناس به</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بزیادة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یأمره ذلک</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فإنّ المراد إن کان أولی الناس بإرثه ثبت المطلوب، و إن کان الأولی به من کلّ جهة کما یدلّ علیه حذف المتعلّق، فیستکشف من أولویّة الوارث بالإرث کونه أولی بالمیّت فی جمیع الأُمور؛ إذ</w:t>
      </w:r>
    </w:p>
    <w:p>
      <w:pPr>
        <w:pStyle w:val="BookText"/>
        <w:rPr/>
      </w:pPr>
      <w:r>
        <w:rPr>
          <w:rFonts w:ascii="IRNazanin" w:hAnsi="IRNazanin" w:eastAsia="IRNazanin"/>
          <w:color w:val="111111"/>
          <w:sz w:val="28"/>
          <w:sz w:val="28"/>
          <w:szCs w:val="28"/>
          <w:rtl w:val="true"/>
          <w:lang w:bidi="fa-IR"/>
        </w:rPr>
        <w:t>لا یمکن فرض کون غیره کذلک و إلّا لکان ذلک الغیر 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یستفاد من مجموع روایات قضاء الولیّ عن المیّت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ما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یبعد أن یکون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الناس به علاقة </w:t>
      </w:r>
      <w:r>
        <w:rPr>
          <w:rStyle w:val="FootnoteAnchor"/>
          <w:rtl w:val="true"/>
        </w:rPr>
        <w:footnoteReference w:id="1069"/>
      </w:r>
      <w:r>
        <w:rPr>
          <w:rFonts w:ascii="IRNazanin" w:hAnsi="IRNazanin" w:eastAsia="IRNazanin"/>
          <w:color w:val="111111"/>
          <w:sz w:val="28"/>
          <w:sz w:val="28"/>
          <w:szCs w:val="28"/>
          <w:rtl w:val="true"/>
          <w:lang w:bidi="fa-IR"/>
        </w:rPr>
        <w:t>، إن أراد العلاقة العرفیّة، و إن أراد أشدّیة العلاقة فی نظر الشارع فهو الأولی بالمیراث؛ لما یستفاد من الأخبار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المیراث للأقرب </w:t>
      </w:r>
      <w:r>
        <w:rPr>
          <w:rStyle w:val="FootnoteAnchor"/>
          <w:rtl w:val="true"/>
        </w:rPr>
        <w:footnoteReference w:id="1070"/>
      </w:r>
      <w:r>
        <w:rPr>
          <w:rFonts w:ascii="IRNazanin" w:hAnsi="IRNazanin" w:eastAsia="IRNazanin"/>
          <w:color w:val="111111"/>
          <w:sz w:val="28"/>
          <w:sz w:val="28"/>
          <w:szCs w:val="28"/>
          <w:rtl w:val="true"/>
          <w:lang w:bidi="fa-IR"/>
        </w:rPr>
        <w:t>، فلیس المراد من الأولی بالشخص إلّا الأولویّة المرادة فی قوله علیه السلام فی صحیحة الکناسی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ابنک أولی بک من ابن ابنک، و ابن ابنک أولی بک من أخیک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و فی قوله علیه السلام فی تفسیر العیّاشی للآیة المتقدّمة </w:t>
      </w:r>
      <w:r>
        <w:rPr>
          <w:rStyle w:val="FootnoteAnchor"/>
          <w:rtl w:val="true"/>
        </w:rPr>
        <w:footnoteReference w:id="10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أقربهم رحماً إلی المیّت أولی به</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هذه الأدلّة کون الأولویّة علی سبیل الوجوب، خلافاً لما یظهر من المحکیّ عن ابن زهرة فی 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یستحبّ تقدیم الأولی بالمیّت أو من یأمره </w:t>
      </w:r>
      <w:r>
        <w:rPr>
          <w:rStyle w:val="FootnoteAnchor"/>
          <w:rtl w:val="true"/>
        </w:rPr>
        <w:footnoteReference w:id="1074"/>
      </w:r>
      <w:r>
        <w:rPr>
          <w:rFonts w:ascii="IRNazanin" w:hAnsi="IRNazanin" w:eastAsia="IRNazanin"/>
          <w:color w:val="111111"/>
          <w:sz w:val="28"/>
          <w:sz w:val="28"/>
          <w:szCs w:val="28"/>
          <w:rtl w:val="true"/>
          <w:lang w:bidi="fa-IR"/>
        </w:rPr>
        <w:t>بناءً علی اتحاد الحکم فی الصلاة و الغسل،</w:t>
      </w:r>
    </w:p>
    <w:p>
      <w:pPr>
        <w:pStyle w:val="BookText"/>
        <w:rPr/>
      </w:pPr>
      <w:r>
        <w:rPr>
          <w:rFonts w:ascii="IRNazanin" w:hAnsi="IRNazanin" w:eastAsia="IRNazanin"/>
          <w:color w:val="111111"/>
          <w:sz w:val="28"/>
          <w:sz w:val="28"/>
          <w:szCs w:val="28"/>
          <w:rtl w:val="true"/>
          <w:lang w:bidi="fa-IR"/>
        </w:rPr>
        <w:t xml:space="preserve">و قوّاه فی کشف اللثام </w:t>
      </w:r>
      <w:r>
        <w:rPr>
          <w:rStyle w:val="FootnoteAnchor"/>
          <w:rtl w:val="true"/>
        </w:rPr>
        <w:footnoteReference w:id="1075"/>
      </w:r>
      <w:r>
        <w:rPr>
          <w:rFonts w:ascii="IRNazanin" w:hAnsi="IRNazanin" w:eastAsia="IRNazanin"/>
          <w:color w:val="111111"/>
          <w:sz w:val="28"/>
          <w:sz w:val="28"/>
          <w:szCs w:val="28"/>
          <w:rtl w:val="true"/>
          <w:lang w:bidi="fa-IR"/>
        </w:rPr>
        <w:t xml:space="preserve">، و إلیه مال فی الذخیرة </w:t>
      </w:r>
      <w:r>
        <w:rPr>
          <w:rStyle w:val="FootnoteAnchor"/>
          <w:rtl w:val="true"/>
        </w:rPr>
        <w:footnoteReference w:id="1076"/>
      </w:r>
      <w:r>
        <w:rPr>
          <w:rFonts w:ascii="Amiri" w:hAnsi="Amiri" w:eastAsia="Amiri" w:cs="Amiri"/>
          <w:color w:val="111111"/>
          <w:sz w:val="28"/>
          <w:sz w:val="28"/>
          <w:szCs w:val="28"/>
          <w:rtl w:val="true"/>
          <w:lang w:bidi="ar-SA"/>
        </w:rPr>
        <w:t xml:space="preserve">تبعاً للمحکیّ عن المحقّق الأردبیلی </w:t>
      </w:r>
      <w:r>
        <w:rPr>
          <w:rStyle w:val="FootnoteAnchor"/>
          <w:rtl w:val="true"/>
        </w:rPr>
        <w:footnoteReference w:id="1077"/>
      </w:r>
      <w:r>
        <w:rPr>
          <w:rFonts w:ascii="IRNazanin" w:hAnsi="IRNazanin" w:eastAsia="IRNazanin"/>
          <w:color w:val="111111"/>
          <w:sz w:val="28"/>
          <w:sz w:val="28"/>
          <w:szCs w:val="28"/>
          <w:rtl w:val="true"/>
          <w:lang w:bidi="fa-IR"/>
        </w:rPr>
        <w:t xml:space="preserve">، بل ربما نسب إلی المنتهی </w:t>
      </w:r>
      <w:r>
        <w:rPr>
          <w:rStyle w:val="FootnoteAnchor"/>
          <w:rtl w:val="true"/>
        </w:rPr>
        <w:footnoteReference w:id="1078"/>
      </w:r>
      <w:r>
        <w:rPr>
          <w:rFonts w:ascii="Amiri" w:hAnsi="Amiri" w:eastAsia="Amiri" w:cs="Amiri"/>
          <w:color w:val="111111"/>
          <w:sz w:val="28"/>
          <w:sz w:val="28"/>
          <w:szCs w:val="28"/>
          <w:rtl w:val="true"/>
          <w:lang w:bidi="ar-SA"/>
        </w:rPr>
        <w:t xml:space="preserve">من جهة عبارته المتقدّمة </w:t>
      </w:r>
      <w:r>
        <w:rPr>
          <w:rStyle w:val="FootnoteAnchor"/>
          <w:rtl w:val="true"/>
        </w:rPr>
        <w:footnoteReference w:id="1079"/>
      </w:r>
      <w:r>
        <w:rPr>
          <w:rFonts w:ascii="IRNazanin" w:hAnsi="IRNazanin" w:eastAsia="IRNazanin"/>
          <w:color w:val="111111"/>
          <w:sz w:val="28"/>
          <w:sz w:val="28"/>
          <w:szCs w:val="28"/>
          <w:rtl w:val="true"/>
          <w:lang w:bidi="fa-IR"/>
        </w:rPr>
        <w:t xml:space="preserve">حیث حمل مرسلة الصدوق </w:t>
      </w:r>
      <w:r>
        <w:rPr>
          <w:rStyle w:val="FootnoteAnchor"/>
          <w:rtl w:val="true"/>
        </w:rPr>
        <w:footnoteReference w:id="10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أولی الناس به أو من 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ریب فی ضعفه؛ لابتنائه علی منع دلالة الآیة، أو تضعیف سند الروایة، فیبقی عمومات وجوب التجهیز کفایة سلیمة عن المخصّص، مضافاً إلی اعتضادها بالسیرة المستمرّة من عدم الالتزام باستئذان الأولیاء، سیّما من یتعسّر استئذانه کالنساء و الحاکم، و لم یُسمع الأمر بإعادة غسلٍ أو صلاةٍ لفقد الإذن، مضافاً إلی لزوم الحرج، و قد عرفت دلالة الآیة سیّما مع تمسّک الفحول به </w:t>
      </w:r>
      <w:r>
        <w:rPr>
          <w:rStyle w:val="FootnoteAnchor"/>
          <w:rtl w:val="true"/>
        </w:rPr>
        <w:footnoteReference w:id="1081"/>
      </w:r>
      <w:r>
        <w:rPr>
          <w:rFonts w:ascii="IRNazanin" w:hAnsi="IRNazanin" w:eastAsia="IRNazanin"/>
          <w:color w:val="111111"/>
          <w:sz w:val="28"/>
          <w:sz w:val="28"/>
          <w:szCs w:val="28"/>
          <w:rtl w:val="true"/>
          <w:lang w:bidi="fa-IR"/>
        </w:rPr>
        <w:t>، و ضعف السند لو سلّم منجبر بموافقة الکتاب و فتوی الأصحاب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ما ورد فی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أحقّ بزوجته حتّی یضعها فی قبرها </w:t>
      </w:r>
      <w:r>
        <w:rPr>
          <w:rStyle w:val="FootnoteAnchor"/>
          <w:rtl w:val="true"/>
        </w:rPr>
        <w:footnoteReference w:id="1082"/>
      </w:r>
      <w:r>
        <w:rPr>
          <w:rFonts w:ascii="IRNazanin" w:hAnsi="IRNazanin" w:eastAsia="IRNazanin"/>
          <w:color w:val="111111"/>
          <w:sz w:val="28"/>
          <w:sz w:val="28"/>
          <w:szCs w:val="28"/>
          <w:rtl w:val="true"/>
          <w:lang w:bidi="fa-IR"/>
        </w:rPr>
        <w:t>، بضمیمة عدم القول بالفصل بین الزوج و غیره من</w:t>
      </w:r>
    </w:p>
    <w:p>
      <w:pPr>
        <w:pStyle w:val="BookText"/>
        <w:rPr/>
      </w:pPr>
      <w:r>
        <w:rPr>
          <w:rFonts w:ascii="IRNazanin" w:hAnsi="IRNazanin" w:eastAsia="IRNazanin"/>
          <w:color w:val="111111"/>
          <w:sz w:val="28"/>
          <w:sz w:val="28"/>
          <w:szCs w:val="28"/>
          <w:rtl w:val="true"/>
          <w:lang w:bidi="fa-IR"/>
        </w:rPr>
        <w:t xml:space="preserve">الأولیاء؛ فإنّ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المعین المختصّ بالشی‌ء، کما یستفاد ذلک من إطلاقات هذه اللفظة فی باب إحیاء الموات </w:t>
      </w:r>
      <w:r>
        <w:rPr>
          <w:rStyle w:val="FootnoteAnchor"/>
          <w:rtl w:val="true"/>
        </w:rPr>
        <w:footnoteReference w:id="1083"/>
      </w:r>
      <w:r>
        <w:rPr>
          <w:rFonts w:ascii="IRNazanin" w:hAnsi="IRNazanin" w:eastAsia="IRNazanin"/>
          <w:color w:val="111111"/>
          <w:sz w:val="28"/>
          <w:sz w:val="28"/>
          <w:szCs w:val="28"/>
          <w:rtl w:val="true"/>
          <w:lang w:bidi="fa-IR"/>
        </w:rPr>
        <w:t xml:space="preserve">و إحراز الشرکاء فی المواریث </w:t>
      </w:r>
      <w:r>
        <w:rPr>
          <w:rStyle w:val="FootnoteAnchor"/>
          <w:rtl w:val="true"/>
        </w:rPr>
        <w:footnoteReference w:id="1084"/>
      </w:r>
      <w:r>
        <w:rPr>
          <w:rFonts w:ascii="IRNazanin" w:hAnsi="IRNazanin" w:eastAsia="IRNazanin"/>
          <w:color w:val="111111"/>
          <w:sz w:val="28"/>
          <w:sz w:val="28"/>
          <w:szCs w:val="28"/>
          <w:rtl w:val="true"/>
          <w:lang w:bidi="fa-IR"/>
        </w:rPr>
        <w:t>و غیرها، و من خصوص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إذا حضر الإمام الجنازة فهو أحقّ بالصلاة علیها </w:t>
      </w:r>
      <w:r>
        <w:rPr>
          <w:rStyle w:val="FootnoteAnchor"/>
          <w:rtl w:val="true"/>
        </w:rPr>
        <w:footnoteReference w:id="1085"/>
      </w:r>
      <w:r>
        <w:rPr>
          <w:rFonts w:ascii="IRNazanin" w:hAnsi="IRNazanin" w:eastAsia="IRNazanin"/>
          <w:color w:val="111111"/>
          <w:sz w:val="28"/>
          <w:sz w:val="28"/>
          <w:szCs w:val="28"/>
          <w:rtl w:val="true"/>
          <w:lang w:bidi="fa-IR"/>
        </w:rPr>
        <w:t>، 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قدّمه الولیّ و إلّا فهو یعنی الولیّ غاصب</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فإنّهما صریحان فی إرادة الحقّ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مقتضی الأولویّة الوجوبیّة هو کون الفعل حقّا له، فلو تصرّف فیه غیره کان باطلًا، کما یشعر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المتقدّمة، و یلزمه بطلان الفعل إن کانت عبادة، و یکفی فی إباحة التصرّف فیه ما یکفی فی التصرّف فی سائر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الإذن الصریح و الفحوی و شاهد الحال، و إن کان ظاهر مرسلة الصدوق </w:t>
      </w:r>
      <w:r>
        <w:rPr>
          <w:rStyle w:val="FootnoteAnchor"/>
          <w:rtl w:val="true"/>
        </w:rPr>
        <w:footnoteReference w:id="1087"/>
      </w:r>
      <w:r>
        <w:rPr>
          <w:rFonts w:ascii="IRNazanin" w:hAnsi="IRNazanin" w:eastAsia="IRNazanin"/>
          <w:color w:val="111111"/>
          <w:sz w:val="28"/>
          <w:sz w:val="28"/>
          <w:szCs w:val="28"/>
          <w:rtl w:val="true"/>
          <w:lang w:bidi="fa-IR"/>
        </w:rPr>
        <w:t>حصر الفعل فی الولیّ أو مأذونه، إلّا أنّه محمول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 أنّه لا یشترط الإذن الخاصّ، بل لو أذن الولیّ إذناً عامّاً جاز لکلّ من یشمله، و لو لم یفعل و لم یأذن إعراضاً عن حقّه و إسقاطاً له، تساوی جمیع المکلّفین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هنا استئذان الحاکم و لو علی القول بوجوب استئذانه مع</w:t>
      </w:r>
    </w:p>
    <w:p>
      <w:pPr>
        <w:pStyle w:val="BookText"/>
        <w:rPr/>
      </w:pPr>
      <w:r>
        <w:rPr>
          <w:rFonts w:ascii="IRNazanin" w:hAnsi="IRNazanin" w:eastAsia="IRNazanin"/>
          <w:color w:val="111111"/>
          <w:sz w:val="28"/>
          <w:sz w:val="28"/>
          <w:szCs w:val="28"/>
          <w:rtl w:val="true"/>
          <w:lang w:bidi="fa-IR"/>
        </w:rPr>
        <w:t>امتناع الولیّ عن الفعل و الإذن کما سیأتی؛ لأنّ الإعراض عن الحقّ بمنزلة إباحته و بذله لغیره، بخلاف الامتناع فإنّه غیر راضٍ بفعل الغیر و ملتزم لحقّه غیر مسقط له فیحتمل أن ینتقل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فهم رضی الولیّ و لو من جهة شهادة القرائن، یعلم الجواب عن مخالفة اعتبار الإذن للسیرة و استلزامه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فرق فی ثبوت الولایة بین أن یکون الشخص قابلًا للفعل أو غیر قابل بالذات أو بالعرض؛ فإنّ انتفاء المباشرة لا یستلزم انتفاء الولایة، فلا یسقط حقّ الإناث فی تجهیز الرجال الأجانب، و لا حقّ العاجز عن التجهیز، بل یجب استئذانهما فی الفعل؛ لعموم الآیة المتقدّمة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الروایات أکثرها و إن کانت مختصّة بمن یمکنه المباشرة، إلّا أنّ المرسلة المتقدّمة </w:t>
      </w:r>
      <w:r>
        <w:rPr>
          <w:rStyle w:val="FootnoteAnchor"/>
          <w:rtl w:val="true"/>
        </w:rPr>
        <w:footnoteReference w:id="1089"/>
      </w:r>
      <w:r>
        <w:rPr>
          <w:rFonts w:ascii="IRNazanin" w:hAnsi="IRNazanin" w:eastAsia="IRNazanin"/>
          <w:color w:val="111111"/>
          <w:sz w:val="28"/>
          <w:sz w:val="28"/>
          <w:szCs w:val="28"/>
          <w:rtl w:val="true"/>
          <w:lang w:bidi="fa-IR"/>
        </w:rPr>
        <w:t>کالصریحة فی التعمیم و أنّ الفعل لا بدّ أن یحصل إمّا من الولیّ و إمّا بأمره، و کذا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 أحقّ بزوجته حتّی یضعها فی قبرها</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 بل هی أصرح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إذا تأمّلت فی سائر الروایات تجد ظاهرها کصریح المرسلة </w:t>
      </w:r>
      <w:r>
        <w:rPr>
          <w:rStyle w:val="FootnoteAnchor"/>
          <w:rtl w:val="true"/>
        </w:rPr>
        <w:footnoteReference w:id="1091"/>
      </w:r>
      <w:r>
        <w:rPr>
          <w:rFonts w:ascii="IRNazanin" w:hAnsi="IRNazanin" w:eastAsia="IRNazanin"/>
          <w:color w:val="111111"/>
          <w:sz w:val="28"/>
          <w:sz w:val="28"/>
          <w:szCs w:val="28"/>
          <w:rtl w:val="true"/>
          <w:lang w:bidi="fa-IR"/>
        </w:rPr>
        <w:t>مسوقاً لبیان مجرّد کون أمر الفعل بید الولیّ من غیر تعلّق قصد بمباشرة الفعل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وحدة الولیّ، و مع تعدّد الأولیاء فبیان المرجّح و حکم</w:t>
      </w:r>
    </w:p>
    <w:p>
      <w:pPr>
        <w:pStyle w:val="BookText"/>
        <w:rPr/>
      </w:pPr>
      <w:r>
        <w:rPr>
          <w:rFonts w:ascii="IRNazanin" w:hAnsi="IRNazanin" w:eastAsia="IRNazanin"/>
          <w:color w:val="111111"/>
          <w:sz w:val="28"/>
          <w:sz w:val="28"/>
          <w:szCs w:val="28"/>
          <w:rtl w:val="true"/>
          <w:lang w:bidi="fa-IR"/>
        </w:rPr>
        <w:t xml:space="preserve">صورة عدمه، یأتی فی باب الصلاة مفصّلًا إن شاء الهّٰة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فلو امتنع الولیّ عن الفعل و الإذن سقط، و هل یجب استئذان الحاکم حینئذٍ، أم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الموثّقة و المرسلة فی حصر المصلی فی الولیّ أو مأذونه، و من أنّ المستفاد من سیاق الأدلّة أن لیس لغیر الولیّ مزاحمته، و یشترط فی صحّة فعل غیر الولیّ عدم مزاحمة الولیّ، فإذا علم أنّه لا یرید الفعل و لا یأذن لغیره فلیس فی فعله مزاحمة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أوصی المیّت إلی شخص بتجهیزه، فالمحکیّ عن المشهور عدم تقدّمه علی الولیّ </w:t>
      </w:r>
      <w:r>
        <w:rPr>
          <w:rStyle w:val="FootnoteAnchor"/>
          <w:rtl w:val="true"/>
        </w:rPr>
        <w:footnoteReference w:id="1093"/>
      </w:r>
      <w:r>
        <w:rPr>
          <w:rFonts w:ascii="IRNazanin" w:hAnsi="IRNazanin" w:eastAsia="IRNazanin"/>
          <w:color w:val="111111"/>
          <w:sz w:val="28"/>
          <w:sz w:val="28"/>
          <w:szCs w:val="28"/>
          <w:rtl w:val="true"/>
          <w:lang w:bidi="fa-IR"/>
        </w:rPr>
        <w:t xml:space="preserve">، بل نسبه فی المختلف إلی علمائنا </w:t>
      </w:r>
      <w:r>
        <w:rPr>
          <w:rStyle w:val="FootnoteAnchor"/>
          <w:rtl w:val="true"/>
        </w:rPr>
        <w:footnoteReference w:id="1094"/>
      </w:r>
      <w:r>
        <w:rPr>
          <w:rFonts w:ascii="IRNazanin" w:hAnsi="IRNazanin" w:eastAsia="IRNazanin"/>
          <w:color w:val="111111"/>
          <w:sz w:val="28"/>
          <w:sz w:val="28"/>
          <w:szCs w:val="28"/>
          <w:rtl w:val="true"/>
          <w:lang w:bidi="fa-IR"/>
        </w:rPr>
        <w:t>لعموم دلیل ولایته؛ لکون الفعل من دون إذنه غیر مشروع، فإذا أوصی المیّت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به الفعل بدون إذنه، فهی وصیّة غیر مشروعة، و إن أراد الفعل لا بشرط، فوجوبه علی الموصی إلیه بناءً علی وجوب العمل بمثل هذه الوصایا مع قبولها مراعیً بإذن الولیّ، فإن لم یأذن سقط الفعل عن الوصیّ لأنّه غیر قادر علی الفعل المشروع</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أوصی بالفعل، و أمّا لو أوصی بولایته لغیر الولیّ و تفویض أمره إلیه فهو باطل رأساً؛ لأنّه تغییر لحکم الشارع، کما لو أوصی الشخص بولایة أولاده لغیر جدّهم، بل البطلان هنا أوضح؛ لأنّ الأب له الولایة ما دام الحیاة، بخلاف المیّت هنا؛ فإنّه لیس له ولایة فی تجهیزه، بل الولایة یحدث للولیّ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أنّه لا أثر لإجازة الولیّ فی حیاة المیّت أو بعد مماته، خلافاً للمحکیّ عن الإسکافی فقدّم الوصیّ علی الولیّ </w:t>
      </w:r>
      <w:r>
        <w:rPr>
          <w:rStyle w:val="FootnoteAnchor"/>
          <w:rtl w:val="true"/>
        </w:rPr>
        <w:footnoteReference w:id="1095"/>
      </w:r>
      <w:r>
        <w:rPr>
          <w:rFonts w:ascii="IRNazanin" w:hAnsi="IRNazanin" w:eastAsia="IRNazanin"/>
          <w:color w:val="111111"/>
          <w:sz w:val="28"/>
          <w:sz w:val="28"/>
          <w:szCs w:val="28"/>
          <w:rtl w:val="true"/>
          <w:lang w:bidi="fa-IR"/>
        </w:rPr>
        <w:t>لعموم حرمة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الوصیّة المشروعة، و الفعل بدون إذن الولیّ غیر مشروع، و دعوی انصراف أدلّة الولایة إلی غیر صورة الوصیّة غیر مسموعة، اللهمّ إلّا أن یستظهر من الأخبار أنّ هذه الولایة مراعاة لحقّ المیّت، بل هی الحکمة الأصلیّة فی تشریعها، فلا یناسب إهمال حال المیّت و طرح قوله و مخالفة ما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الأخبار بمعونة المقام منصرفة إلی غیر صورة الوصیّة؛ و لعلّه لذا مال فی جامع المقاصد فی باب الصلاة إلی هذا </w:t>
      </w:r>
      <w:r>
        <w:rPr>
          <w:rStyle w:val="FootnoteAnchor"/>
          <w:rtl w:val="true"/>
        </w:rPr>
        <w:footnoteReference w:id="1096"/>
      </w:r>
      <w:r>
        <w:rPr>
          <w:rFonts w:ascii="Amiri" w:hAnsi="Amiri" w:eastAsia="Amiri" w:cs="Amiri"/>
          <w:color w:val="111111"/>
          <w:sz w:val="28"/>
          <w:sz w:val="28"/>
          <w:szCs w:val="28"/>
          <w:rtl w:val="true"/>
          <w:lang w:bidi="ar-SA"/>
        </w:rPr>
        <w:t>، لکنّه محلّ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بالنسبة إلی غیر الحاکم، و أمّا بالنسبة إلی الحاکم فلا یبعد القول بتقدیم الوصیّ وفاقاً للمسالک </w:t>
      </w:r>
      <w:r>
        <w:rPr>
          <w:rStyle w:val="FootnoteAnchor"/>
          <w:rtl w:val="true"/>
        </w:rPr>
        <w:footnoteReference w:id="1097"/>
      </w:r>
      <w:r>
        <w:rPr>
          <w:rFonts w:ascii="IRNazanin" w:hAnsi="IRNazanin" w:eastAsia="IRNazanin"/>
          <w:color w:val="111111"/>
          <w:sz w:val="28"/>
          <w:sz w:val="28"/>
          <w:szCs w:val="28"/>
          <w:rtl w:val="true"/>
          <w:lang w:bidi="fa-IR"/>
        </w:rPr>
        <w:t>لأنّ الحاکم ولایته حسبیّة، فهی ثابتة عند عدم الولیّ، و لکن إثبات ولایة الوصیّ لعمومات وجوب العمل بالوصیّة، و لم یثبت توقّف الفعل إلی إذن الحاکم إلّا حیث فقد من یتعیّن علیه الفعل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ولایة غیر الحاکم و ولایته؛ فإنّ الأُولی ذاتیّة أصلیّة، فإذا دلّ دلیل علی ولایة غیره ثبت المعارضة، لکن أدلّة الوصیّة لمّا کانت مختصّة بالنصّ و الإجماع بالوصیّة المشروعة، کفت عمومات ولایة</w:t>
      </w:r>
      <w:bookmarkStart w:id="150" w:name="pg13042_127102"/>
    </w:p>
    <w:p>
      <w:pPr>
        <w:pStyle w:val="BookText"/>
        <w:rPr/>
      </w:pPr>
      <w:bookmarkEnd w:id="150"/>
      <w:r>
        <w:rPr>
          <w:rFonts w:ascii="IRNazanin" w:hAnsi="IRNazanin" w:eastAsia="IRNazanin"/>
          <w:color w:val="111111"/>
          <w:sz w:val="28"/>
          <w:sz w:val="28"/>
          <w:szCs w:val="28"/>
          <w:rtl w:val="true"/>
          <w:lang w:bidi="fa-IR"/>
        </w:rPr>
        <w:t>الأولیاء و حرمة مزاحمتهم فی عدم مشروعیّة فعل الوصیّ، فیکون تلک العمومات رافعة لموضوع عموم حرمة تبدیل الوصیّة، و هذا بخلاف ولایة الحاکم؛ فإنّها موقوفة علی عدم الولیّ، فإذا دلّ عمومٌ علی ولایة الوصیّ، لم یجر هنا عموم ولایة الحاکم؛ لارتفاع موضوعها، فأدلّة ولایة الوصیّ بالنسبة إلی ولایة الحاکم کأدلّة ولایة الأولیاء بالنسبة إلی أدلّة ولایة الوصیّ،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نیابة الحاکم عن الإمام علیه السلام، فلا یجدی بعد إمکان منع ثبوت تقدّم الإمام علیه السلام علی الوصیّ بمعنی وجوب استئذانه علیه السلام، و إلّا فهو أولی بالمؤمنین من أنفسهم، مع أنّ فی عموم أدلّة النیابة بحیث یشمل المقام نظراً؛ و لذا لا نقول، بل لم یقل أحد بأولویّة الحاکم من الولیّ الوارث بالصلاة، مع الاتفاق علی أنّ إمام الأصل أولی بها</w:t>
      </w:r>
      <w:r>
        <w:rPr>
          <w:rFonts w:eastAsia="IRNazanin" w:cs="IRNazanin"/>
          <w:color w:val="111111"/>
          <w:sz w:val="28"/>
          <w:szCs w:val="28"/>
          <w:rtl w:val="true"/>
          <w:lang w:bidi="fa-IR"/>
        </w:rPr>
        <w:t>.</w:t>
      </w:r>
    </w:p>
    <w:p>
      <w:pPr>
        <w:pStyle w:val="Heading6"/>
        <w:numPr>
          <w:ilvl w:val="5"/>
          <w:numId w:val="1"/>
        </w:numPr>
        <w:rPr/>
      </w:pPr>
      <w:bookmarkStart w:id="151" w:name="__RefHeading___Toc6530174_3224264995"/>
      <w:bookmarkStart w:id="152" w:name="_Toc59"/>
      <w:bookmarkEnd w:id="151"/>
      <w:r>
        <w:rPr>
          <w:rtl w:val="true"/>
        </w:rPr>
        <w:t>[</w:t>
      </w:r>
      <w:r>
        <w:rPr>
          <w:rtl w:val="true"/>
        </w:rPr>
        <w:t>الزوج أولی فی کلّ أحکام المیّت</w:t>
      </w:r>
      <w:r>
        <w:rPr>
          <w:rtl w:val="true"/>
        </w:rPr>
        <w:t>]</w:t>
      </w:r>
      <w:bookmarkEnd w:id="15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الزوج </w:t>
      </w:r>
      <w:r>
        <w:rPr>
          <w:rStyle w:val="FootnoteAnchor"/>
          <w:rtl w:val="true"/>
        </w:rPr>
        <w:footnoteReference w:id="1098"/>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أحد من الأقارب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أحکام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علی الظاهر من محکیّ جملة من العبائر، کالمعتبر </w:t>
      </w:r>
      <w:r>
        <w:rPr>
          <w:rStyle w:val="FootnoteAnchor"/>
          <w:rtl w:val="true"/>
        </w:rPr>
        <w:footnoteReference w:id="1099"/>
      </w:r>
      <w:r>
        <w:rPr>
          <w:rFonts w:ascii="IRNazanin" w:hAnsi="IRNazanin" w:eastAsia="IRNazanin"/>
          <w:color w:val="111111"/>
          <w:sz w:val="28"/>
          <w:sz w:val="28"/>
          <w:szCs w:val="28"/>
          <w:rtl w:val="true"/>
          <w:lang w:bidi="fa-IR"/>
        </w:rPr>
        <w:t xml:space="preserve">و المنتهی </w:t>
      </w:r>
      <w:r>
        <w:rPr>
          <w:rStyle w:val="FootnoteAnchor"/>
          <w:rtl w:val="true"/>
        </w:rPr>
        <w:footnoteReference w:id="1100"/>
      </w:r>
      <w:r>
        <w:rPr>
          <w:rFonts w:ascii="IRNazanin" w:hAnsi="IRNazanin" w:eastAsia="IRNazanin"/>
          <w:color w:val="111111"/>
          <w:sz w:val="28"/>
          <w:sz w:val="28"/>
          <w:szCs w:val="28"/>
          <w:rtl w:val="true"/>
          <w:lang w:bidi="fa-IR"/>
        </w:rPr>
        <w:t xml:space="preserve">و حاشیة المدارک </w:t>
      </w:r>
      <w:r>
        <w:rPr>
          <w:rStyle w:val="FootnoteAnchor"/>
          <w:rtl w:val="true"/>
        </w:rPr>
        <w:footnoteReference w:id="1101"/>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1102"/>
      </w:r>
      <w:r>
        <w:rPr>
          <w:rFonts w:ascii="IRNazanin" w:hAnsi="IRNazanin" w:eastAsia="IRNazanin"/>
          <w:color w:val="111111"/>
          <w:sz w:val="28"/>
          <w:sz w:val="28"/>
          <w:szCs w:val="28"/>
          <w:rtl w:val="true"/>
          <w:lang w:bidi="fa-IR"/>
        </w:rPr>
        <w:t xml:space="preserve">و الحدائق </w:t>
      </w:r>
      <w:r>
        <w:rPr>
          <w:rStyle w:val="FootnoteAnchor"/>
          <w:rtl w:val="true"/>
        </w:rPr>
        <w:footnoteReference w:id="1103"/>
      </w:r>
      <w:r>
        <w:rPr>
          <w:rFonts w:ascii="IRNazanin" w:hAnsi="IRNazanin" w:eastAsia="IRNazanin"/>
          <w:color w:val="111111"/>
          <w:sz w:val="28"/>
          <w:sz w:val="28"/>
          <w:szCs w:val="28"/>
          <w:rtl w:val="true"/>
          <w:lang w:bidi="fa-IR"/>
        </w:rPr>
        <w:t>لروایة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w:t>
      </w:r>
    </w:p>
    <w:p>
      <w:pPr>
        <w:pStyle w:val="BookText"/>
        <w:rPr/>
      </w:pPr>
      <w:r>
        <w:rPr>
          <w:rFonts w:ascii="IRNazanin" w:hAnsi="IRNazanin" w:eastAsia="IRNazanin"/>
          <w:color w:val="111111"/>
          <w:sz w:val="28"/>
          <w:sz w:val="28"/>
          <w:szCs w:val="28"/>
          <w:rtl w:val="true"/>
          <w:lang w:bidi="fa-IR"/>
        </w:rPr>
        <w:t>أحقّ بامرأته حتّی یضعها فی قبرها</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 و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تموت، من أحقّ بالصلاة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أحقّ من الأب و الأخ؟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یغسّلها</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 و لا یضرّ اختصاصها ببعض أحکام المیّت للإجماع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ذلک کلّه، فلا وجه لمناقشة صاحب المدارک فی الحکم </w:t>
      </w:r>
      <w:r>
        <w:rPr>
          <w:rStyle w:val="FootnoteAnchor"/>
          <w:rtl w:val="true"/>
        </w:rPr>
        <w:footnoteReference w:id="1106"/>
      </w:r>
      <w:r>
        <w:rPr>
          <w:rFonts w:ascii="IRNazanin" w:hAnsi="IRNazanin" w:eastAsia="IRNazanin"/>
          <w:color w:val="111111"/>
          <w:sz w:val="28"/>
          <w:sz w:val="28"/>
          <w:szCs w:val="28"/>
          <w:rtl w:val="true"/>
          <w:lang w:bidi="fa-IR"/>
        </w:rPr>
        <w:t xml:space="preserve">من جهة ضعف سند الروایة أو معارضتها بروایتی حفص </w:t>
      </w:r>
      <w:r>
        <w:rPr>
          <w:rStyle w:val="FootnoteAnchor"/>
          <w:rtl w:val="true"/>
        </w:rPr>
        <w:footnoteReference w:id="1107"/>
      </w:r>
      <w:r>
        <w:rPr>
          <w:rFonts w:ascii="IRNazanin" w:hAnsi="IRNazanin" w:eastAsia="IRNazanin"/>
          <w:color w:val="111111"/>
          <w:sz w:val="28"/>
          <w:sz w:val="28"/>
          <w:szCs w:val="28"/>
          <w:rtl w:val="true"/>
          <w:lang w:bidi="fa-IR"/>
        </w:rPr>
        <w:t xml:space="preserve">و عبد الرحمن بن أبی عبد اللّٰه </w:t>
      </w:r>
      <w:r>
        <w:rPr>
          <w:rStyle w:val="FootnoteAnchor"/>
          <w:rtl w:val="true"/>
        </w:rPr>
        <w:footnoteReference w:id="1108"/>
      </w:r>
      <w:r>
        <w:rPr>
          <w:rFonts w:ascii="IRNazanin" w:hAnsi="IRNazanin" w:eastAsia="IRNazanin"/>
          <w:color w:val="111111"/>
          <w:sz w:val="28"/>
          <w:sz w:val="28"/>
          <w:szCs w:val="28"/>
          <w:rtl w:val="true"/>
          <w:lang w:bidi="fa-IR"/>
        </w:rPr>
        <w:t xml:space="preserve">، الدالّین علی أنّ الأخ أحقّ بالصلاة من الزوج، المحمولین علی التقیّة، علی ما ذکره جماعة </w:t>
      </w:r>
      <w:r>
        <w:rPr>
          <w:rStyle w:val="FootnoteAnchor"/>
          <w:rtl w:val="true"/>
        </w:rPr>
        <w:footnoteReference w:id="1109"/>
      </w:r>
      <w:r>
        <w:rPr>
          <w:rFonts w:ascii="IRNazanin" w:hAnsi="IRNazanin" w:eastAsia="IRNazanin"/>
          <w:color w:val="111111"/>
          <w:sz w:val="28"/>
          <w:sz w:val="28"/>
          <w:szCs w:val="28"/>
          <w:rtl w:val="true"/>
          <w:lang w:bidi="fa-IR"/>
        </w:rPr>
        <w:t xml:space="preserve">، تبعاً للشیخ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مقتضی إطلاق النصّ و کلام الأصحاب کما فی المدارک </w:t>
      </w:r>
      <w:r>
        <w:rPr>
          <w:rStyle w:val="FootnoteAnchor"/>
          <w:rtl w:val="true"/>
        </w:rPr>
        <w:footnoteReference w:id="1111"/>
      </w:r>
      <w:r>
        <w:rPr>
          <w:rFonts w:ascii="IRNazanin" w:hAnsi="IRNazanin" w:eastAsia="IRNazanin"/>
          <w:color w:val="111111"/>
          <w:sz w:val="28"/>
          <w:sz w:val="28"/>
          <w:szCs w:val="28"/>
          <w:rtl w:val="true"/>
          <w:lang w:bidi="fa-IR"/>
        </w:rPr>
        <w:t xml:space="preserve">عدم الفرق فی الزوجة بین الحرّة و الأمة و لا بین الدائمة و المنقطعة، بل المطلّقة فی العدّة الرجعیّة؛ لأنّها زوجة علی ما فی بعض الأخبار </w:t>
      </w:r>
      <w:r>
        <w:rPr>
          <w:rStyle w:val="FootnoteAnchor"/>
          <w:rtl w:val="true"/>
        </w:rPr>
        <w:footnoteReference w:id="1112"/>
      </w:r>
      <w:r>
        <w:rPr>
          <w:rFonts w:ascii="IRNazanin" w:hAnsi="IRNazanin" w:eastAsia="IRNazanin"/>
          <w:color w:val="111111"/>
          <w:sz w:val="28"/>
          <w:sz w:val="28"/>
          <w:szCs w:val="28"/>
          <w:rtl w:val="true"/>
          <w:lang w:bidi="fa-IR"/>
        </w:rPr>
        <w:t>، بخلاف البائنة؛ لصیرورتها أجنبیّة بمقتضی البینونة، فالزوج بالنسبة إلیها خاطب من الخطّاب</w:t>
      </w:r>
      <w:bookmarkStart w:id="153" w:name="pg13042_127104"/>
    </w:p>
    <w:p>
      <w:pPr>
        <w:pStyle w:val="BookText"/>
        <w:rPr/>
      </w:pPr>
      <w:bookmarkEnd w:id="153"/>
      <w:r>
        <w:rPr>
          <w:rFonts w:ascii="IRNazanin" w:hAnsi="IRNazanin" w:eastAsia="IRNazanin"/>
          <w:color w:val="111111"/>
          <w:sz w:val="28"/>
          <w:sz w:val="28"/>
          <w:szCs w:val="28"/>
          <w:rtl w:val="true"/>
          <w:lang w:bidi="fa-IR"/>
        </w:rPr>
        <w:t xml:space="preserve">کما فی الروایات </w:t>
      </w:r>
      <w:r>
        <w:rPr>
          <w:rStyle w:val="FootnoteAnchor"/>
          <w:rtl w:val="true"/>
        </w:rPr>
        <w:footnoteReference w:id="1113"/>
      </w:r>
      <w:r>
        <w:rPr>
          <w:rFonts w:ascii="IRNazanin" w:hAnsi="IRNazanin" w:eastAsia="IRNazanin"/>
          <w:color w:val="111111"/>
          <w:sz w:val="28"/>
          <w:sz w:val="28"/>
          <w:szCs w:val="28"/>
          <w:rtl w:val="true"/>
          <w:lang w:bidi="fa-IR"/>
        </w:rPr>
        <w:t>یعنی أجنبیّ من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تنزیل الرجعیّة منزلة الزوجة لا یشمل مثل هذا الحکم، و لذا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طلّق امرأته فإن کان رجعیّاً ففی جواز تغسیل الآخر له نظر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6530176_3224264995"/>
      <w:bookmarkStart w:id="155" w:name="_Toc60"/>
      <w:bookmarkEnd w:id="154"/>
      <w:r>
        <w:rPr>
          <w:rtl w:val="true"/>
        </w:rPr>
        <w:t>[</w:t>
      </w:r>
      <w:r>
        <w:rPr>
          <w:rtl w:val="true"/>
        </w:rPr>
        <w:t>و یغسِّل کلٌّ من الرجل و المرأة مثلَه إلا الزوجین</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یغسِّل کلٌّ من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الأجنبیّین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ظاهراً کما صرّح به فی محکیّ الذکری </w:t>
      </w:r>
      <w:r>
        <w:rPr>
          <w:rStyle w:val="FootnoteAnchor"/>
          <w:rtl w:val="true"/>
        </w:rPr>
        <w:footnoteReference w:id="1115"/>
      </w:r>
      <w:r>
        <w:rPr>
          <w:rFonts w:ascii="IRNazanin" w:hAnsi="IRNazanin" w:eastAsia="IRNazanin"/>
          <w:color w:val="111111"/>
          <w:sz w:val="28"/>
          <w:sz w:val="28"/>
          <w:szCs w:val="28"/>
          <w:rtl w:val="true"/>
          <w:lang w:bidi="fa-IR"/>
        </w:rPr>
        <w:t xml:space="preserve">و الروض </w:t>
      </w:r>
      <w:r>
        <w:rPr>
          <w:rStyle w:val="FootnoteAnchor"/>
          <w:rtl w:val="true"/>
        </w:rPr>
        <w:footnoteReference w:id="1116"/>
      </w:r>
      <w:r>
        <w:rPr>
          <w:rFonts w:ascii="IRNazanin" w:hAnsi="IRNazanin" w:eastAsia="IRNazanin"/>
          <w:color w:val="111111"/>
          <w:sz w:val="28"/>
          <w:sz w:val="28"/>
          <w:szCs w:val="28"/>
          <w:rtl w:val="true"/>
          <w:lang w:bidi="fa-IR"/>
        </w:rPr>
        <w:t xml:space="preserve">و الحدائق </w:t>
      </w:r>
      <w:r>
        <w:rPr>
          <w:rStyle w:val="FootnoteAnchor"/>
          <w:rtl w:val="true"/>
        </w:rPr>
        <w:footnoteReference w:id="1117"/>
      </w:r>
      <w:r>
        <w:rPr>
          <w:rFonts w:ascii="IRNazanin" w:hAnsi="IRNazanin" w:eastAsia="IRNazanin"/>
          <w:color w:val="111111"/>
          <w:sz w:val="28"/>
          <w:sz w:val="28"/>
          <w:szCs w:val="28"/>
          <w:rtl w:val="true"/>
          <w:lang w:bidi="fa-IR"/>
        </w:rPr>
        <w:t>، بل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علیه إجماع أهل العلم </w:t>
      </w:r>
      <w:r>
        <w:rPr>
          <w:rStyle w:val="FootnoteAnchor"/>
          <w:rtl w:val="true"/>
        </w:rPr>
        <w:footnoteReference w:id="1118"/>
      </w:r>
      <w:r>
        <w:rPr>
          <w:rFonts w:ascii="IRNazanin" w:hAnsi="IRNazanin" w:eastAsia="IRNazanin"/>
          <w:color w:val="111111"/>
          <w:sz w:val="28"/>
          <w:sz w:val="28"/>
          <w:szCs w:val="28"/>
          <w:rtl w:val="true"/>
          <w:lang w:bidi="fa-IR"/>
        </w:rPr>
        <w:t>، و یدلّ علیه کثیر من الأخبار الآتیة فی المسائل الآتیة إن شاء اللّٰه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لکلٍّ من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بالزوجیّة الدائمیّة أو المنقطعة، و فی حکم الزوجة المطلّقة الرجعیّة علی إشکال تقدّم عن المنتهی </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تغسیل الآخر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للمحکیّ عن الشیخ </w:t>
      </w:r>
      <w:r>
        <w:rPr>
          <w:rStyle w:val="FootnoteAnchor"/>
          <w:rtl w:val="true"/>
        </w:rPr>
        <w:footnoteReference w:id="1120"/>
      </w:r>
      <w:r>
        <w:rPr>
          <w:rFonts w:ascii="IRNazanin" w:hAnsi="IRNazanin" w:eastAsia="IRNazanin"/>
          <w:color w:val="111111"/>
          <w:sz w:val="28"/>
          <w:sz w:val="28"/>
          <w:szCs w:val="28"/>
          <w:rtl w:val="true"/>
          <w:lang w:bidi="fa-IR"/>
        </w:rPr>
        <w:t xml:space="preserve">و الإسکافی </w:t>
      </w:r>
      <w:r>
        <w:rPr>
          <w:rStyle w:val="FootnoteAnchor"/>
          <w:rtl w:val="true"/>
        </w:rPr>
        <w:footnoteReference w:id="1121"/>
      </w:r>
      <w:r>
        <w:rPr>
          <w:rFonts w:ascii="IRNazanin" w:hAnsi="IRNazanin" w:eastAsia="IRNazanin"/>
          <w:color w:val="111111"/>
          <w:sz w:val="28"/>
          <w:sz w:val="28"/>
          <w:szCs w:val="28"/>
          <w:rtl w:val="true"/>
          <w:lang w:bidi="fa-IR"/>
        </w:rPr>
        <w:t xml:space="preserve">و الجعفی </w:t>
      </w:r>
      <w:r>
        <w:rPr>
          <w:rStyle w:val="FootnoteAnchor"/>
          <w:rtl w:val="true"/>
        </w:rPr>
        <w:footnoteReference w:id="1122"/>
      </w:r>
      <w:r>
        <w:rPr>
          <w:rFonts w:ascii="IRNazanin" w:hAnsi="IRNazanin" w:eastAsia="IRNazanin"/>
          <w:color w:val="111111"/>
          <w:sz w:val="28"/>
          <w:sz w:val="28"/>
          <w:szCs w:val="28"/>
          <w:rtl w:val="true"/>
          <w:lang w:bidi="fa-IR"/>
        </w:rPr>
        <w:t xml:space="preserve">و المرتضی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 سلّار </w:t>
      </w:r>
      <w:r>
        <w:rPr>
          <w:rStyle w:val="FootnoteAnchor"/>
          <w:rtl w:val="true"/>
        </w:rPr>
        <w:footnoteReference w:id="1124"/>
      </w:r>
      <w:r>
        <w:rPr>
          <w:rFonts w:ascii="Amiri" w:hAnsi="Amiri" w:eastAsia="Amiri" w:cs="Amiri"/>
          <w:color w:val="111111"/>
          <w:sz w:val="28"/>
          <w:sz w:val="28"/>
          <w:szCs w:val="28"/>
          <w:rtl w:val="true"/>
          <w:lang w:bidi="ar-SA"/>
        </w:rPr>
        <w:t xml:space="preserve">و الحلیّ </w:t>
      </w:r>
      <w:r>
        <w:rPr>
          <w:rStyle w:val="FootnoteAnchor"/>
          <w:rtl w:val="true"/>
        </w:rPr>
        <w:footnoteReference w:id="1125"/>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1126"/>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127"/>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128"/>
      </w:r>
      <w:r>
        <w:rPr>
          <w:rFonts w:ascii="IRNazanin" w:hAnsi="IRNazanin" w:eastAsia="IRNazanin"/>
          <w:color w:val="111111"/>
          <w:sz w:val="28"/>
          <w:sz w:val="28"/>
          <w:szCs w:val="28"/>
          <w:rtl w:val="true"/>
          <w:lang w:bidi="fa-IR"/>
        </w:rPr>
        <w:t xml:space="preserve">و المحقّق الأردبیلی </w:t>
      </w:r>
      <w:r>
        <w:rPr>
          <w:rStyle w:val="FootnoteAnchor"/>
          <w:rtl w:val="true"/>
        </w:rPr>
        <w:footnoteReference w:id="1129"/>
      </w:r>
      <w:r>
        <w:rPr>
          <w:rFonts w:ascii="IRNazanin" w:hAnsi="IRNazanin" w:eastAsia="IRNazanin"/>
          <w:color w:val="111111"/>
          <w:sz w:val="28"/>
          <w:sz w:val="28"/>
          <w:szCs w:val="28"/>
          <w:rtl w:val="true"/>
          <w:lang w:bidi="fa-IR"/>
        </w:rPr>
        <w:t xml:space="preserve">و من تأخّر عنهم </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الوفاق علی تغسیل المرأة زوجها اختیاراً </w:t>
      </w:r>
      <w:r>
        <w:rPr>
          <w:rStyle w:val="FootnoteAnchor"/>
          <w:rtl w:val="true"/>
        </w:rPr>
        <w:footnoteReference w:id="1131"/>
      </w:r>
      <w:r>
        <w:rPr>
          <w:rFonts w:ascii="IRNazanin" w:hAnsi="IRNazanin" w:eastAsia="IRNazanin"/>
          <w:color w:val="111111"/>
          <w:sz w:val="28"/>
          <w:sz w:val="28"/>
          <w:szCs w:val="28"/>
          <w:rtl w:val="true"/>
          <w:lang w:bidi="fa-IR"/>
        </w:rPr>
        <w:t xml:space="preserve">و نسبة العکس إلی أکثر أصحابنا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عندنا أن یغسل الرجل امرأته و المرأة زوجها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مضافاً إلی إطلاق أحقّیة الزوج بالزوجة حتّی یضعها فی قبرها </w:t>
      </w:r>
      <w:r>
        <w:rPr>
          <w:rStyle w:val="FootnoteAnchor"/>
          <w:rtl w:val="true"/>
        </w:rPr>
        <w:footnoteReference w:id="1134"/>
      </w:r>
      <w:r>
        <w:rPr>
          <w:rFonts w:ascii="IRNazanin" w:hAnsi="IRNazanin" w:eastAsia="IRNazanin"/>
          <w:color w:val="111111"/>
          <w:sz w:val="28"/>
          <w:sz w:val="28"/>
          <w:szCs w:val="28"/>
          <w:rtl w:val="true"/>
          <w:lang w:bidi="fa-IR"/>
        </w:rPr>
        <w:t>مصحّحة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أ یصلح له أن ینظر إلی امرأته حین تموت، أو یغسّلها إن لم یکن عندها من یغسّلها، و عن المرأة هل تنظر إلی مثل ذلک من زوجها حین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إنّما یفعل ذلک أهل المرأة کراهة أن ینظر زوجها إلی شی‌ء یکرهونه منها</w:t>
      </w:r>
      <w:r>
        <w:rPr>
          <w:rFonts w:eastAsia="IRNazanin" w:cs="IRNazanin"/>
          <w:color w:val="111111"/>
          <w:sz w:val="28"/>
          <w:szCs w:val="28"/>
          <w:rtl w:val="true"/>
          <w:lang w:bidi="fa-IR"/>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التقیید فی السؤال لأجل أنّ الغالب أنّ الرجل لا یباشر تغسیل المرأة مع وجود النساء، مع أنّ حلّیة النظر یکفی فی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یغسّل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یمنعها أهلها تعصّباً</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یخرج فی السفر و معه امرأته، یغسّلها؟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أُمّه و أُخته و نحوهما، یلقی علی عورتها خرقة</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یغسّل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وراء الثوب، لا ینظر إلی شعرها، و لا إلی شی‌ء منها، و المرأة تغسّل زوجها؛ لأنّه إذا مات کانت فی عدّةٍ منه، و إذا ماتت هی فقد انقضت عدّتها</w:t>
      </w:r>
      <w:r>
        <w:rPr>
          <w:rFonts w:eastAsia="IRNazanin" w:cs="IRNazanin"/>
          <w:color w:val="111111"/>
          <w:sz w:val="28"/>
          <w:szCs w:val="28"/>
          <w:rtl w:val="true"/>
          <w:lang w:bidi="fa-IR"/>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الشیخ فی التهذیبین </w:t>
      </w:r>
      <w:r>
        <w:rPr>
          <w:rStyle w:val="FootnoteAnchor"/>
          <w:rtl w:val="true"/>
        </w:rPr>
        <w:footnoteReference w:id="1139"/>
      </w:r>
      <w:r>
        <w:rPr>
          <w:rFonts w:ascii="IRNazanin" w:hAnsi="IRNazanin" w:eastAsia="IRNazanin"/>
          <w:color w:val="111111"/>
          <w:sz w:val="28"/>
          <w:sz w:val="28"/>
          <w:szCs w:val="28"/>
          <w:rtl w:val="true"/>
          <w:lang w:bidi="fa-IR"/>
        </w:rPr>
        <w:t xml:space="preserve">و ابن زهرة فی الغنیة </w:t>
      </w:r>
      <w:r>
        <w:rPr>
          <w:rStyle w:val="FootnoteAnchor"/>
          <w:rtl w:val="true"/>
        </w:rPr>
        <w:footnoteReference w:id="1140"/>
      </w:r>
      <w:r>
        <w:rPr>
          <w:rFonts w:ascii="Amiri" w:hAnsi="Amiri" w:eastAsia="Amiri" w:cs="Amiri"/>
          <w:color w:val="111111"/>
          <w:sz w:val="28"/>
          <w:sz w:val="28"/>
          <w:szCs w:val="28"/>
          <w:rtl w:val="true"/>
          <w:lang w:bidi="ar-SA"/>
        </w:rPr>
        <w:t xml:space="preserve">و جماعة من الأصحاب </w:t>
      </w:r>
      <w:r>
        <w:rPr>
          <w:rStyle w:val="FootnoteAnchor"/>
          <w:rtl w:val="true"/>
        </w:rPr>
        <w:footnoteReference w:id="1141"/>
      </w:r>
      <w:r>
        <w:rPr>
          <w:rFonts w:ascii="IRNazanin" w:hAnsi="IRNazanin" w:eastAsia="IRNazanin"/>
          <w:color w:val="111111"/>
          <w:sz w:val="28"/>
          <w:sz w:val="28"/>
          <w:szCs w:val="28"/>
          <w:rtl w:val="true"/>
          <w:lang w:bidi="fa-IR"/>
        </w:rPr>
        <w:t xml:space="preserve">فخصّوا ذلک بحال الاضطرار، بل الحاصل من نسبة الشهید إلی کثیر من الأصحاب أنّ الزوجین کسائر المحارم </w:t>
      </w:r>
      <w:r>
        <w:rPr>
          <w:rStyle w:val="FootnoteAnchor"/>
          <w:rtl w:val="true"/>
        </w:rPr>
        <w:footnoteReference w:id="1142"/>
      </w:r>
      <w:r>
        <w:rPr>
          <w:rFonts w:ascii="Amiri" w:hAnsi="Amiri" w:eastAsia="Amiri" w:cs="Amiri"/>
          <w:color w:val="111111"/>
          <w:sz w:val="28"/>
          <w:sz w:val="28"/>
          <w:szCs w:val="28"/>
          <w:rtl w:val="true"/>
          <w:lang w:bidi="ar-SA"/>
        </w:rPr>
        <w:t>، مع نسبة</w:t>
      </w:r>
    </w:p>
    <w:p>
      <w:pPr>
        <w:pStyle w:val="BookText"/>
        <w:rPr/>
      </w:pPr>
      <w:r>
        <w:rPr>
          <w:rFonts w:ascii="IRNazanin" w:hAnsi="IRNazanin" w:eastAsia="IRNazanin"/>
          <w:color w:val="111111"/>
          <w:sz w:val="28"/>
          <w:sz w:val="28"/>
          <w:szCs w:val="28"/>
          <w:rtl w:val="true"/>
          <w:lang w:bidi="fa-IR"/>
        </w:rPr>
        <w:t xml:space="preserve">کاشف اللثام إلی الأکثر اختصاص جواز تغسیل المحارم بصورة الاضطرار </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قول الشیخ لکثیر من الأصحاب،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فمستند هذا القول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الزوج امرأته فی السفر و المرأة زوجها فی السفر إذا لم یکن معهم رجل</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الرجل المرأة إلّا أن لا توجد امرأة</w:t>
      </w:r>
      <w:r>
        <w:rPr>
          <w:rFonts w:eastAsia="IRNazanin" w:cs="IRNazanin"/>
          <w:color w:val="111111"/>
          <w:sz w:val="28"/>
          <w:szCs w:val="28"/>
          <w:rtl w:val="true"/>
          <w:lang w:bidi="fa-IR"/>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دلّ علی تغسیل أمیر المؤمنین علیه السلام لفاطمة صلوات اللّٰه علیها، و تعلیلها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صدّیقة لا یغسّلها إلّا صدّیق، و أنّ مریم لم یغسِّلها إلّا عیسی علیه السلام</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یؤیّدهما ما حکی عن البحار من أنّه وجد بخطّ الشیخ محمّد بن علی الجبعی نقلًا من خطّ الشهید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غسَّل علیّ علیه السلام فاطمة علیها السلام، 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غسّلت فاطمة؟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زوجتک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التعلیل یدلّ علی انقطاع العلقة بالموت فلا یجوز للزوج التغسیل </w:t>
      </w:r>
      <w:r>
        <w:rPr>
          <w:rStyle w:val="FootnoteAnchor"/>
          <w:rtl w:val="true"/>
        </w:rPr>
        <w:footnoteReference w:id="11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فهی لا تقاوم ما قدّمنا من الأخبار مع اشتهارها و مخالفتها لأبی حنیفة </w:t>
      </w:r>
      <w:r>
        <w:rPr>
          <w:rStyle w:val="FootnoteAnchor"/>
          <w:rtl w:val="true"/>
        </w:rPr>
        <w:footnoteReference w:id="1148"/>
      </w:r>
      <w:r>
        <w:rPr>
          <w:rFonts w:ascii="IRNazanin" w:hAnsi="IRNazanin" w:eastAsia="IRNazanin"/>
          <w:color w:val="111111"/>
          <w:sz w:val="28"/>
          <w:sz w:val="28"/>
          <w:szCs w:val="28"/>
          <w:rtl w:val="true"/>
          <w:lang w:bidi="fa-IR"/>
        </w:rPr>
        <w:t>و موافقتها للأُصول و العمومات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یشترط فی الجواز فی الطرفین کونه من وراء الثیاب، کما عن نهایة الشیخ </w:t>
      </w:r>
      <w:r>
        <w:rPr>
          <w:rStyle w:val="FootnoteAnchor"/>
          <w:rtl w:val="true"/>
        </w:rPr>
        <w:footnoteReference w:id="1149"/>
      </w:r>
      <w:r>
        <w:rPr>
          <w:rFonts w:ascii="IRNazanin" w:hAnsi="IRNazanin" w:eastAsia="IRNazanin"/>
          <w:color w:val="111111"/>
          <w:sz w:val="28"/>
          <w:sz w:val="28"/>
          <w:szCs w:val="28"/>
          <w:rtl w:val="true"/>
          <w:lang w:bidi="fa-IR"/>
        </w:rPr>
        <w:t xml:space="preserve">و المنتهی </w:t>
      </w:r>
      <w:r>
        <w:rPr>
          <w:rStyle w:val="FootnoteAnchor"/>
          <w:rtl w:val="true"/>
        </w:rPr>
        <w:footnoteReference w:id="1150"/>
      </w:r>
      <w:r>
        <w:rPr>
          <w:rFonts w:ascii="IRNazanin" w:hAnsi="IRNazanin" w:eastAsia="IRNazanin"/>
          <w:color w:val="111111"/>
          <w:sz w:val="28"/>
          <w:sz w:val="28"/>
          <w:szCs w:val="28"/>
          <w:rtl w:val="true"/>
          <w:lang w:bidi="fa-IR"/>
        </w:rPr>
        <w:t xml:space="preserve">و البیان </w:t>
      </w:r>
      <w:r>
        <w:rPr>
          <w:rStyle w:val="FootnoteAnchor"/>
          <w:rtl w:val="true"/>
        </w:rPr>
        <w:footnoteReference w:id="115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152"/>
      </w:r>
      <w:r>
        <w:rPr>
          <w:rFonts w:ascii="Amiri" w:hAnsi="Amiri" w:eastAsia="Amiri" w:cs="Amiri"/>
          <w:color w:val="111111"/>
          <w:sz w:val="28"/>
          <w:sz w:val="28"/>
          <w:szCs w:val="28"/>
          <w:rtl w:val="true"/>
          <w:lang w:bidi="ar-SA"/>
        </w:rPr>
        <w:t xml:space="preserve">و الروضة </w:t>
      </w:r>
      <w:r>
        <w:rPr>
          <w:rStyle w:val="FootnoteAnchor"/>
          <w:rtl w:val="true"/>
        </w:rPr>
        <w:footnoteReference w:id="1153"/>
      </w:r>
      <w:r>
        <w:rPr>
          <w:rFonts w:ascii="IRNazanin" w:hAnsi="IRNazanin" w:eastAsia="IRNazanin"/>
          <w:color w:val="111111"/>
          <w:sz w:val="28"/>
          <w:sz w:val="28"/>
          <w:szCs w:val="28"/>
          <w:rtl w:val="true"/>
          <w:lang w:bidi="fa-IR"/>
        </w:rPr>
        <w:t xml:space="preserve">، و فی الروض أنّه المشهور فی الأخبار و الفتاوی </w:t>
      </w:r>
      <w:r>
        <w:rPr>
          <w:rStyle w:val="FootnoteAnchor"/>
          <w:rtl w:val="true"/>
        </w:rPr>
        <w:footnoteReference w:id="1154"/>
      </w:r>
      <w:r>
        <w:rPr>
          <w:rFonts w:ascii="IRNazanin" w:hAnsi="IRNazanin" w:eastAsia="IRNazanin"/>
          <w:color w:val="111111"/>
          <w:sz w:val="28"/>
          <w:sz w:val="28"/>
          <w:szCs w:val="28"/>
          <w:rtl w:val="true"/>
          <w:lang w:bidi="fa-IR"/>
        </w:rPr>
        <w:t xml:space="preserve">، و عن المختلف نسبته إلی أکثر علمائنا؟ </w:t>
      </w:r>
      <w:r>
        <w:rPr>
          <w:rStyle w:val="FootnoteAnchor"/>
          <w:rtl w:val="true"/>
        </w:rPr>
        <w:footnoteReference w:id="1155"/>
      </w:r>
      <w:r>
        <w:rPr>
          <w:rFonts w:ascii="IRNazanin" w:hAnsi="IRNazanin" w:eastAsia="IRNazanin"/>
          <w:color w:val="111111"/>
          <w:sz w:val="28"/>
          <w:sz w:val="28"/>
          <w:szCs w:val="28"/>
          <w:rtl w:val="true"/>
          <w:lang w:bidi="fa-IR"/>
        </w:rPr>
        <w:t xml:space="preserve">أم لا یشترط مطلقاً، کما عن الإسکافی </w:t>
      </w:r>
      <w:r>
        <w:rPr>
          <w:rStyle w:val="FootnoteAnchor"/>
          <w:rtl w:val="true"/>
        </w:rPr>
        <w:footnoteReference w:id="1156"/>
      </w:r>
      <w:r>
        <w:rPr>
          <w:rFonts w:ascii="IRNazanin" w:hAnsi="IRNazanin" w:eastAsia="IRNazanin"/>
          <w:color w:val="111111"/>
          <w:sz w:val="28"/>
          <w:sz w:val="28"/>
          <w:szCs w:val="28"/>
          <w:rtl w:val="true"/>
          <w:lang w:bidi="fa-IR"/>
        </w:rPr>
        <w:t xml:space="preserve">و الجعفی </w:t>
      </w:r>
      <w:r>
        <w:rPr>
          <w:rStyle w:val="FootnoteAnchor"/>
          <w:rtl w:val="true"/>
        </w:rPr>
        <w:footnoteReference w:id="1157"/>
      </w:r>
      <w:r>
        <w:rPr>
          <w:rFonts w:ascii="IRNazanin" w:hAnsi="IRNazanin" w:eastAsia="IRNazanin"/>
          <w:color w:val="111111"/>
          <w:sz w:val="28"/>
          <w:sz w:val="28"/>
          <w:szCs w:val="28"/>
          <w:rtl w:val="true"/>
          <w:lang w:bidi="fa-IR"/>
        </w:rPr>
        <w:t xml:space="preserve">و شرح الرسالة لعلم الهدی </w:t>
      </w:r>
      <w:r>
        <w:rPr>
          <w:rStyle w:val="FootnoteAnchor"/>
          <w:rtl w:val="true"/>
        </w:rPr>
        <w:footnoteReference w:id="1158"/>
      </w:r>
      <w:r>
        <w:rPr>
          <w:rFonts w:ascii="IRNazanin" w:hAnsi="IRNazanin" w:eastAsia="IRNazanin"/>
          <w:color w:val="111111"/>
          <w:sz w:val="28"/>
          <w:sz w:val="28"/>
          <w:szCs w:val="28"/>
          <w:rtl w:val="true"/>
          <w:lang w:bidi="fa-IR"/>
        </w:rPr>
        <w:t xml:space="preserve">و التهذیب </w:t>
      </w:r>
      <w:r>
        <w:rPr>
          <w:rStyle w:val="FootnoteAnchor"/>
          <w:rtl w:val="true"/>
        </w:rPr>
        <w:footnoteReference w:id="1159"/>
      </w:r>
      <w:r>
        <w:rPr>
          <w:rFonts w:ascii="IRNazanin" w:hAnsi="IRNazanin" w:eastAsia="IRNazanin"/>
          <w:color w:val="111111"/>
          <w:sz w:val="28"/>
          <w:sz w:val="28"/>
          <w:szCs w:val="28"/>
          <w:rtl w:val="true"/>
          <w:lang w:bidi="fa-IR"/>
        </w:rPr>
        <w:t xml:space="preserve">و المعتبر </w:t>
      </w:r>
      <w:r>
        <w:rPr>
          <w:rStyle w:val="FootnoteAnchor"/>
          <w:rtl w:val="true"/>
        </w:rPr>
        <w:footnoteReference w:id="1160"/>
      </w: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1161"/>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1162"/>
      </w:r>
      <w:r>
        <w:rPr>
          <w:rFonts w:ascii="IRNazanin" w:hAnsi="IRNazanin" w:eastAsia="IRNazanin"/>
          <w:color w:val="111111"/>
          <w:sz w:val="28"/>
          <w:sz w:val="28"/>
          <w:szCs w:val="28"/>
          <w:rtl w:val="true"/>
          <w:lang w:bidi="fa-IR"/>
        </w:rPr>
        <w:t xml:space="preserve">و المدارک </w:t>
      </w:r>
      <w:r>
        <w:rPr>
          <w:rStyle w:val="FootnoteAnchor"/>
          <w:rtl w:val="true"/>
        </w:rPr>
        <w:footnoteReference w:id="1163"/>
      </w:r>
      <w:r>
        <w:rPr>
          <w:rFonts w:ascii="IRNazanin" w:hAnsi="IRNazanin" w:eastAsia="IRNazanin"/>
          <w:color w:val="111111"/>
          <w:sz w:val="28"/>
          <w:sz w:val="28"/>
          <w:szCs w:val="28"/>
          <w:rtl w:val="true"/>
          <w:lang w:bidi="fa-IR"/>
        </w:rPr>
        <w:t xml:space="preserve">و الحدائق </w:t>
      </w:r>
      <w:r>
        <w:rPr>
          <w:rStyle w:val="FootnoteAnchor"/>
          <w:rtl w:val="true"/>
        </w:rPr>
        <w:footnoteReference w:id="1164"/>
      </w:r>
      <w:r>
        <w:rPr>
          <w:rFonts w:ascii="IRNazanin" w:hAnsi="IRNazanin" w:eastAsia="IRNazanin"/>
          <w:color w:val="111111"/>
          <w:sz w:val="28"/>
          <w:sz w:val="28"/>
          <w:szCs w:val="28"/>
          <w:rtl w:val="true"/>
          <w:lang w:bidi="fa-IR"/>
        </w:rPr>
        <w:t>و الریاض،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الأشهر؟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أم یشترط فی تغسیل الزوج المرأة دون العکس، کما عن الإستبصار </w:t>
      </w:r>
      <w:r>
        <w:rPr>
          <w:rStyle w:val="FootnoteAnchor"/>
          <w:rtl w:val="true"/>
        </w:rPr>
        <w:footnoteReference w:id="1166"/>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1167"/>
      </w:r>
      <w:r>
        <w:rPr>
          <w:rFonts w:ascii="IRNazanin" w:hAnsi="IRNazanin" w:eastAsia="IRNazanin"/>
          <w:color w:val="111111"/>
          <w:sz w:val="28"/>
          <w:sz w:val="28"/>
          <w:szCs w:val="28"/>
          <w:rtl w:val="true"/>
          <w:lang w:bidi="fa-IR"/>
        </w:rPr>
        <w:t xml:space="preserve">و الحدائق </w:t>
      </w:r>
      <w:r>
        <w:rPr>
          <w:rStyle w:val="FootnoteAnchor"/>
          <w:rtl w:val="true"/>
        </w:rPr>
        <w:footnoteReference w:id="11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أقوال، خیرها أوسطها؛ لاستصحاب جواز النظر، بناءً علی أنّ کون الستر بالثیاب من تعبّدیات الغسل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لإطلاق صحیحة ابن مسلم المتقدّمة </w:t>
      </w:r>
      <w:r>
        <w:rPr>
          <w:rStyle w:val="FootnoteAnchor"/>
          <w:rtl w:val="true"/>
        </w:rPr>
        <w:footnoteReference w:id="1169"/>
      </w:r>
      <w:r>
        <w:rPr>
          <w:rFonts w:ascii="IRNazanin" w:hAnsi="IRNazanin" w:eastAsia="IRNazanin"/>
          <w:color w:val="111111"/>
          <w:sz w:val="28"/>
          <w:sz w:val="28"/>
          <w:szCs w:val="28"/>
          <w:rtl w:val="true"/>
          <w:lang w:bidi="fa-IR"/>
        </w:rPr>
        <w:t xml:space="preserve">، و ظاهر صحیحة منصور المتقدّمة </w:t>
      </w:r>
      <w:r>
        <w:rPr>
          <w:rStyle w:val="FootnoteAnchor"/>
          <w:rtl w:val="true"/>
        </w:rPr>
        <w:footnoteReference w:id="1170"/>
      </w:r>
      <w:r>
        <w:rPr>
          <w:rFonts w:ascii="IRNazanin" w:hAnsi="IRNazanin" w:eastAsia="IRNazanin"/>
          <w:color w:val="111111"/>
          <w:sz w:val="28"/>
          <w:sz w:val="28"/>
          <w:szCs w:val="28"/>
          <w:rtl w:val="true"/>
          <w:lang w:bidi="fa-IR"/>
        </w:rPr>
        <w:t>حیث اکتفی فیها بإلقاء الخرقة علی عورتها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سنان الدالّة علی جواز النظر بالإطلاق الشامل لحالة الغسل </w:t>
      </w:r>
      <w:r>
        <w:rPr>
          <w:rStyle w:val="FootnoteAnchor"/>
          <w:rtl w:val="true"/>
        </w:rPr>
        <w:footnoteReference w:id="1171"/>
      </w:r>
      <w:r>
        <w:rPr>
          <w:rFonts w:ascii="IRNazanin" w:hAnsi="IRNazanin" w:eastAsia="IRNazanin"/>
          <w:color w:val="111111"/>
          <w:sz w:val="28"/>
          <w:sz w:val="28"/>
          <w:szCs w:val="28"/>
          <w:rtl w:val="true"/>
          <w:lang w:bidi="fa-IR"/>
        </w:rPr>
        <w:t>، و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توفّت، أ یصلح لزوجها أن ینظر إلی وجهها و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الأخبار المقیّدة لذلک بکونه من وراء الثیاب </w:t>
      </w:r>
      <w:r>
        <w:rPr>
          <w:rStyle w:val="FootnoteAnchor"/>
          <w:rtl w:val="true"/>
        </w:rPr>
        <w:footnoteReference w:id="1173"/>
      </w:r>
      <w:r>
        <w:rPr>
          <w:rFonts w:ascii="IRNazanin" w:hAnsi="IRNazanin" w:eastAsia="IRNazanin"/>
          <w:color w:val="111111"/>
          <w:sz w:val="28"/>
          <w:sz w:val="28"/>
          <w:szCs w:val="28"/>
          <w:rtl w:val="true"/>
          <w:lang w:bidi="fa-IR"/>
        </w:rPr>
        <w:t xml:space="preserve">و إن کانت کثیرة، إلّا أنّ ضمّ بعضها إلی بعض و ملاحظة التعلیلات الواردة فیها یکشف عن کون ذلک علی وجه الاستحباب؛ فإنّها بین مقیّدٍ بکونه من وراء الثوب </w:t>
      </w:r>
      <w:r>
        <w:rPr>
          <w:rStyle w:val="FootnoteAnchor"/>
          <w:rtl w:val="true"/>
        </w:rPr>
        <w:footnoteReference w:id="1174"/>
      </w:r>
      <w:r>
        <w:rPr>
          <w:rFonts w:ascii="IRNazanin" w:hAnsi="IRNazanin" w:eastAsia="IRNazanin"/>
          <w:color w:val="111111"/>
          <w:sz w:val="28"/>
          <w:sz w:val="28"/>
          <w:szCs w:val="28"/>
          <w:rtl w:val="true"/>
          <w:lang w:bidi="fa-IR"/>
        </w:rPr>
        <w:t xml:space="preserve">أو فوق الدرع </w:t>
      </w:r>
      <w:r>
        <w:rPr>
          <w:rStyle w:val="FootnoteAnchor"/>
          <w:rtl w:val="true"/>
        </w:rPr>
        <w:footnoteReference w:id="1175"/>
      </w:r>
      <w:r>
        <w:rPr>
          <w:rFonts w:ascii="Amiri" w:hAnsi="Amiri" w:eastAsia="Amiri" w:cs="Amiri"/>
          <w:color w:val="111111"/>
          <w:sz w:val="28"/>
          <w:sz w:val="28"/>
          <w:szCs w:val="28"/>
          <w:rtl w:val="true"/>
          <w:lang w:bidi="ar-SA"/>
        </w:rPr>
        <w:t xml:space="preserve">، و مرخِّصٍ لإدخال الید تحت قمیصها </w:t>
      </w:r>
      <w:r>
        <w:rPr>
          <w:rStyle w:val="FootnoteAnchor"/>
          <w:rtl w:val="true"/>
        </w:rPr>
        <w:footnoteReference w:id="1176"/>
      </w:r>
      <w:r>
        <w:rPr>
          <w:rFonts w:ascii="IRNazanin" w:hAnsi="IRNazanin" w:eastAsia="IRNazanin"/>
          <w:color w:val="111111"/>
          <w:sz w:val="28"/>
          <w:sz w:val="28"/>
          <w:szCs w:val="28"/>
          <w:rtl w:val="true"/>
          <w:lang w:bidi="fa-IR"/>
        </w:rPr>
        <w:t>، و مانعٍ عن النظر إلی شعرها أو شی‌ءٍ</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1177"/>
      </w:r>
      <w:r>
        <w:rPr>
          <w:rFonts w:ascii="IRNazanin" w:hAnsi="IRNazanin" w:eastAsia="IRNazanin"/>
          <w:color w:val="111111"/>
          <w:sz w:val="28"/>
          <w:sz w:val="28"/>
          <w:szCs w:val="28"/>
          <w:rtl w:val="true"/>
          <w:lang w:bidi="fa-IR"/>
        </w:rPr>
        <w:t xml:space="preserve">، و مقتصرٍ فی المنع علی عورتها </w:t>
      </w:r>
      <w:r>
        <w:rPr>
          <w:rStyle w:val="FootnoteAnchor"/>
          <w:rtl w:val="true"/>
        </w:rPr>
        <w:footnoteReference w:id="1178"/>
      </w:r>
      <w:r>
        <w:rPr>
          <w:rFonts w:ascii="Amiri" w:hAnsi="Amiri" w:eastAsia="Amiri" w:cs="Amiri"/>
          <w:color w:val="111111"/>
          <w:sz w:val="28"/>
          <w:sz w:val="28"/>
          <w:szCs w:val="28"/>
          <w:rtl w:val="true"/>
          <w:lang w:bidi="ar-SA"/>
        </w:rPr>
        <w:t xml:space="preserve">، و معلّلٍ لذلک بأنّه لیس منها فی عدّةٍ و هی منه </w:t>
      </w:r>
      <w:r>
        <w:rPr>
          <w:rStyle w:val="FootnoteAnchor"/>
          <w:rtl w:val="true"/>
        </w:rPr>
        <w:footnoteReference w:id="1179"/>
      </w:r>
      <w:r>
        <w:rPr>
          <w:rFonts w:ascii="Amiri" w:hAnsi="Amiri" w:eastAsia="Amiri" w:cs="Amiri"/>
          <w:color w:val="111111"/>
          <w:sz w:val="28"/>
          <w:sz w:val="28"/>
          <w:szCs w:val="28"/>
          <w:rtl w:val="true"/>
          <w:lang w:bidi="ar-SA"/>
        </w:rPr>
        <w:t xml:space="preserve">فی عدّة </w:t>
      </w:r>
      <w:r>
        <w:rPr>
          <w:rStyle w:val="FootnoteAnchor"/>
          <w:rtl w:val="true"/>
        </w:rPr>
        <w:footnoteReference w:id="1180"/>
      </w:r>
      <w:r>
        <w:rPr>
          <w:rFonts w:ascii="Amiri" w:hAnsi="Amiri" w:eastAsia="Amiri" w:cs="Amiri"/>
          <w:color w:val="111111"/>
          <w:sz w:val="28"/>
          <w:sz w:val="28"/>
          <w:szCs w:val="28"/>
          <w:rtl w:val="true"/>
          <w:lang w:bidi="ar-SA"/>
        </w:rPr>
        <w:t xml:space="preserve">، و مبدِّلٍ لذلک بأنّها أسوأ منظراً حین تموت بخلاف الرجل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ما حکی عن بعض </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لیس فی الأخبار ما یدلّ علی وجوب کون تغسیل المرأة للرجل من وراء الثوب، بل ظاهر بعضها بملاحظة التعلیلین المتقدّمین اختصاص الحکم بصورة موت الزوجة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الاستدلال بروایة زید الشحّام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ماتت و هی فی موضع لیس معهم امرأة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فیهم لها زوج و لا ذو رحم دفنوها بثیابها و لا یغسِّلونها، و إن کان معهم زوجها أو ذو رحم لها فلیغسّلها من غیر أن ینظر إلی عورتها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مات فی السفر مع نساءٍ لیس معهنّ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له فیهنّ امرأة فلیدفن فی ثیابه و لا یغسَّل، و إن کان له فیهنّ امرأة فلیغسَّل فی قمیصه من غیر أن تنظر إلی عورته</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مات و لیس عنده إلّا 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امرأة ذات محرم منه، و تصبّ النساء علیه الماء، و لا تخلع ثوبه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 إلّا أنّ الاولی قاصرة سنداً بأبی جمیلة، و الثانیة دلالة، بأنّ الظاهر من المرأة ما عدا الزوجة من المحارم، مع قوّة احتمال استناد المنع عن خلع ثوبه إلی حضور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مستند القول الثالث مضافاً إلی 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یموت و لیس معه إلّا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امرأته لأنّها منه فی عدّة، و إذا ماتت هی لم یغسّلها، لأنّه لیس منها فی عدّة</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بحمل المنع علی کونها مجرّدة کما فعله فی الاستبصار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المعهودة، کما فی الروض </w:t>
      </w:r>
      <w:r>
        <w:rPr>
          <w:rStyle w:val="FootnoteAnchor"/>
          <w:rtl w:val="true"/>
        </w:rPr>
        <w:footnoteReference w:id="1188"/>
      </w:r>
      <w:r>
        <w:rPr>
          <w:rFonts w:ascii="IRNazanin" w:hAnsi="IRNazanin" w:eastAsia="IRNazanin"/>
          <w:color w:val="111111"/>
          <w:sz w:val="28"/>
          <w:sz w:val="28"/>
          <w:szCs w:val="28"/>
          <w:rtl w:val="true"/>
          <w:lang w:bidi="fa-IR"/>
        </w:rPr>
        <w:t>، فلا یقدح انکشاف الوجه و الکفّین و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قوله علیه السلام فی روایة الحلبی المتقدّمة </w:t>
      </w:r>
      <w:r>
        <w:rPr>
          <w:rStyle w:val="FootnoteAnchor"/>
          <w:rtl w:val="true"/>
        </w:rPr>
        <w:footnoteReference w:id="11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ینظر إلی شعرها و لا إلی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ستر جمیع بدنه، إلّا أن یجعل الشی‌ء کنایة عن الزینة الباطنة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یطهر الثیاب بعد تمام الغسل من غیر عصر؟ قولان، صرّح بأوّلهما فی محکیّ الذکری </w:t>
      </w:r>
      <w:r>
        <w:rPr>
          <w:rStyle w:val="FootnoteAnchor"/>
          <w:rtl w:val="true"/>
        </w:rPr>
        <w:footnoteReference w:id="1190"/>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191"/>
      </w:r>
      <w:r>
        <w:rPr>
          <w:rFonts w:ascii="Amiri" w:hAnsi="Amiri" w:eastAsia="Amiri" w:cs="Amiri"/>
          <w:color w:val="111111"/>
          <w:sz w:val="28"/>
          <w:sz w:val="28"/>
          <w:szCs w:val="28"/>
          <w:rtl w:val="true"/>
          <w:lang w:bidi="ar-SA"/>
        </w:rPr>
        <w:t xml:space="preserve">و الروضة </w:t>
      </w:r>
      <w:r>
        <w:rPr>
          <w:rStyle w:val="FootnoteAnchor"/>
          <w:rtl w:val="true"/>
        </w:rPr>
        <w:footnoteReference w:id="1192"/>
      </w:r>
      <w:r>
        <w:rPr>
          <w:rFonts w:ascii="IRNazanin" w:hAnsi="IRNazanin" w:eastAsia="IRNazanin"/>
          <w:color w:val="111111"/>
          <w:sz w:val="28"/>
          <w:sz w:val="28"/>
          <w:szCs w:val="28"/>
          <w:rtl w:val="true"/>
          <w:lang w:bidi="fa-IR"/>
        </w:rPr>
        <w:t xml:space="preserve">و الحدائق </w:t>
      </w:r>
      <w:r>
        <w:rPr>
          <w:rStyle w:val="FootnoteAnchor"/>
          <w:rtl w:val="true"/>
        </w:rPr>
        <w:footnoteReference w:id="1193"/>
      </w:r>
      <w:r>
        <w:rPr>
          <w:rFonts w:ascii="Amiri" w:hAnsi="Amiri" w:eastAsia="Amiri" w:cs="Amiri"/>
          <w:color w:val="111111"/>
          <w:sz w:val="28"/>
          <w:sz w:val="28"/>
          <w:szCs w:val="28"/>
          <w:rtl w:val="true"/>
          <w:lang w:bidi="ar-SA"/>
        </w:rPr>
        <w:t>نظراً</w:t>
      </w:r>
    </w:p>
    <w:p>
      <w:pPr>
        <w:pStyle w:val="BookText"/>
        <w:rPr/>
      </w:pPr>
      <w:r>
        <w:rPr>
          <w:rFonts w:ascii="IRNazanin" w:hAnsi="IRNazanin" w:eastAsia="IRNazanin"/>
          <w:color w:val="111111"/>
          <w:sz w:val="28"/>
          <w:sz w:val="28"/>
          <w:szCs w:val="28"/>
          <w:rtl w:val="true"/>
          <w:lang w:bidi="fa-IR"/>
        </w:rPr>
        <w:t>إلی إطلاق الأمر و خلوّ الأخبار عن التعرّض، فحاله حال الخرقة التی یستعملها الغاسل، و عن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أن یجری مجری ما لا یمکن عصره </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الروض الثانی </w:t>
      </w:r>
      <w:r>
        <w:rPr>
          <w:rStyle w:val="FootnoteAnchor"/>
          <w:rtl w:val="true"/>
        </w:rPr>
        <w:footnoteReference w:id="1195"/>
      </w:r>
      <w:r>
        <w:rPr>
          <w:rFonts w:ascii="IRNazanin" w:hAnsi="IRNazanin" w:eastAsia="IRNazanin"/>
          <w:color w:val="111111"/>
          <w:sz w:val="28"/>
          <w:sz w:val="28"/>
          <w:szCs w:val="28"/>
          <w:rtl w:val="true"/>
          <w:lang w:bidi="fa-IR"/>
        </w:rPr>
        <w:t xml:space="preserve">، و ربما ینسب إلی المعتبر </w:t>
      </w:r>
      <w:r>
        <w:rPr>
          <w:rStyle w:val="FootnoteAnchor"/>
          <w:rtl w:val="true"/>
        </w:rPr>
        <w:footnoteReference w:id="1196"/>
      </w:r>
      <w:r>
        <w:rPr>
          <w:rFonts w:ascii="IRNazanin" w:hAnsi="IRNazanin" w:eastAsia="IRNazanin"/>
          <w:color w:val="111111"/>
          <w:sz w:val="28"/>
          <w:sz w:val="28"/>
          <w:szCs w:val="28"/>
          <w:rtl w:val="true"/>
          <w:lang w:bidi="fa-IR"/>
        </w:rPr>
        <w:t>، إلّا أنّ کلامه فی مسألة تغسیل المیّت فی قمیصه یختصّ بما إذا تنجّس القمیص بما یخرج من المیّت لا بملاقاة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جعله فی الروض مقتضی المذهب </w:t>
      </w:r>
      <w:r>
        <w:rPr>
          <w:rStyle w:val="FootnoteAnchor"/>
          <w:rtl w:val="true"/>
        </w:rPr>
        <w:footnoteReference w:id="1197"/>
      </w:r>
      <w:r>
        <w:rPr>
          <w:rFonts w:ascii="IRNazanin" w:hAnsi="IRNazanin" w:eastAsia="IRNazanin"/>
          <w:color w:val="111111"/>
          <w:sz w:val="28"/>
          <w:sz w:val="28"/>
          <w:szCs w:val="28"/>
          <w:rtl w:val="true"/>
          <w:lang w:bidi="fa-IR"/>
        </w:rPr>
        <w:t>، و هو الأجود؛ فإنّ عدم تعرّض الأخبار له إنّما یدلّ علی عدم تنجّس المیّت به ما دام ملاصقاً لبدنه، و هذا لا یستلزم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ضعیفاً الحکم بعدم تنجّسه أوّلًا ببدن المیّت؛ لأنّ أدلّة تنجّس الملاقی لیس بأقوی من أدلّة اعتبار العصر،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فرق فی الزوجة بین الدائم و المنقطع، و فی المطلّقة الرجعیّة فی العدّة نظر، تقدّم عن المنتهی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البائن فهی أجنبیّة قطعاً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فی الروض تبعاً للذکری </w:t>
      </w:r>
      <w:r>
        <w:rPr>
          <w:rStyle w:val="FootnoteAnchor"/>
          <w:rtl w:val="true"/>
        </w:rPr>
        <w:footnoteReference w:id="1199"/>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یقدح انقضاء العدّة فی جواز التغسیل عندنا، بل لو تزوّجت جاز لها تغسیله و إن بعُد الفرض </w:t>
      </w:r>
      <w:r>
        <w:rPr>
          <w:rStyle w:val="FootnoteAnchor"/>
          <w:rtl w:val="true"/>
        </w:rPr>
        <w:footnoteReference w:id="120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حاشیة منه علی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الفرض فیما إذا دفن المیّت بغیر غسل ثمّ نبش لإقامة الشهادة علی شخصه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استشکل ذلک بعض </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الزوجة أجنبیّة بعد التزویج، و آخر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جواز تغسیل الزوجة ینصرف إلی الأفراد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الانصرافات لتشکیکات ابتدائیّة ترتفع بعد التأمّل، و إلّا فلو بنی علی عدم شمول الإطلاقات </w:t>
      </w:r>
      <w:r>
        <w:rPr>
          <w:rStyle w:val="FootnoteAnchor"/>
          <w:rtl w:val="true"/>
        </w:rPr>
        <w:footnoteReference w:id="1205"/>
      </w:r>
      <w:r>
        <w:rPr>
          <w:rFonts w:ascii="IRNazanin" w:hAnsi="IRNazanin" w:eastAsia="IRNazanin"/>
          <w:color w:val="111111"/>
          <w:sz w:val="28"/>
          <w:sz w:val="28"/>
          <w:szCs w:val="28"/>
          <w:rtl w:val="true"/>
          <w:lang w:bidi="fa-IR"/>
        </w:rPr>
        <w:t>لکلّ فردٍ بعید الفرض، لم تبق قاعدة کلّیة؛ لأنّ أکثرها مستفادة من الإطلاقات دون العمومات اللفظیّة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أیضاً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الموت لیس کالطلاق رافعاً لعلقة الزوجیّة، و إنّما هو مانع عن ترتّب الآثار المتوقّفة علی حیاة الطرفین، کیف؟ و لو کان کذلک لم یبقَ فرق بین صورتی التزویج و عدمه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یلحق بالزوجة المملوکةُ مطلقاً غیر المتزوّجة و لا المعتدّة و لا المکاتبة و لا المبعّضة کما عن القواعد </w:t>
      </w:r>
      <w:r>
        <w:rPr>
          <w:rStyle w:val="FootnoteAnchor"/>
          <w:rtl w:val="true"/>
        </w:rPr>
        <w:footnoteReference w:id="1206"/>
      </w:r>
      <w:r>
        <w:rPr>
          <w:rFonts w:ascii="IRNazanin" w:hAnsi="IRNazanin" w:eastAsia="IRNazanin"/>
          <w:color w:val="111111"/>
          <w:sz w:val="28"/>
          <w:sz w:val="28"/>
          <w:szCs w:val="28"/>
          <w:rtl w:val="true"/>
          <w:lang w:bidi="fa-IR"/>
        </w:rPr>
        <w:t xml:space="preserve">و البیان </w:t>
      </w:r>
      <w:r>
        <w:rPr>
          <w:rStyle w:val="FootnoteAnchor"/>
          <w:rtl w:val="true"/>
        </w:rPr>
        <w:footnoteReference w:id="1207"/>
      </w:r>
      <w:r>
        <w:rPr>
          <w:rFonts w:ascii="IRNazanin" w:hAnsi="IRNazanin" w:eastAsia="IRNazanin"/>
          <w:color w:val="111111"/>
          <w:sz w:val="28"/>
          <w:sz w:val="28"/>
          <w:szCs w:val="28"/>
          <w:rtl w:val="true"/>
          <w:lang w:bidi="fa-IR"/>
        </w:rPr>
        <w:t xml:space="preserve">و مجمع البرهان </w:t>
      </w:r>
      <w:r>
        <w:rPr>
          <w:rStyle w:val="FootnoteAnchor"/>
          <w:rtl w:val="true"/>
        </w:rPr>
        <w:footnoteReference w:id="1208"/>
      </w:r>
      <w:r>
        <w:rPr>
          <w:rFonts w:ascii="IRNazanin" w:hAnsi="IRNazanin" w:eastAsia="IRNazanin"/>
          <w:color w:val="111111"/>
          <w:sz w:val="28"/>
          <w:sz w:val="28"/>
          <w:szCs w:val="28"/>
          <w:rtl w:val="true"/>
          <w:lang w:bidi="fa-IR"/>
        </w:rPr>
        <w:t xml:space="preserve">، بل عنه </w:t>
      </w:r>
      <w:r>
        <w:rPr>
          <w:rStyle w:val="FootnoteAnchor"/>
          <w:rtl w:val="true"/>
        </w:rPr>
        <w:footnoteReference w:id="1209"/>
      </w:r>
      <w:r>
        <w:rPr>
          <w:rFonts w:ascii="IRNazanin" w:hAnsi="IRNazanin" w:eastAsia="IRNazanin"/>
          <w:color w:val="111111"/>
          <w:sz w:val="28"/>
          <w:sz w:val="28"/>
          <w:szCs w:val="28"/>
          <w:rtl w:val="true"/>
          <w:lang w:bidi="fa-IR"/>
        </w:rPr>
        <w:t xml:space="preserve">کما فی غیره </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عن جواز تغسیل السیّد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یشترط کونها أُمّ ولد </w:t>
      </w:r>
      <w:r>
        <w:rPr>
          <w:rStyle w:val="FootnoteAnchor"/>
          <w:rtl w:val="true"/>
        </w:rPr>
        <w:footnoteReference w:id="1211"/>
      </w:r>
      <w:r>
        <w:rPr>
          <w:rFonts w:ascii="IRNazanin" w:hAnsi="IRNazanin" w:eastAsia="IRNazanin"/>
          <w:color w:val="111111"/>
          <w:sz w:val="28"/>
          <w:sz w:val="28"/>
          <w:szCs w:val="28"/>
          <w:rtl w:val="true"/>
          <w:lang w:bidi="fa-IR"/>
        </w:rPr>
        <w:t xml:space="preserve">، کما عن المعتبر </w:t>
      </w:r>
      <w:r>
        <w:rPr>
          <w:rStyle w:val="FootnoteAnchor"/>
          <w:rtl w:val="true"/>
        </w:rPr>
        <w:footnoteReference w:id="1212"/>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213"/>
      </w:r>
      <w:r>
        <w:rPr>
          <w:rFonts w:ascii="Amiri" w:hAnsi="Amiri" w:eastAsia="Amiri" w:cs="Amiri"/>
          <w:color w:val="111111"/>
          <w:sz w:val="28"/>
          <w:sz w:val="28"/>
          <w:szCs w:val="28"/>
          <w:rtl w:val="true"/>
          <w:lang w:bidi="ar-SA"/>
        </w:rPr>
        <w:t xml:space="preserve">و الروضة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لا یلحق مطلقاً، کما عن المدارک </w:t>
      </w:r>
      <w:r>
        <w:rPr>
          <w:rStyle w:val="FootnoteAnchor"/>
          <w:rtl w:val="true"/>
        </w:rPr>
        <w:footnoteReference w:id="1215"/>
      </w:r>
      <w:r>
        <w:rPr>
          <w:rFonts w:ascii="IRNazanin" w:hAnsi="IRNazanin" w:eastAsia="IRNazanin"/>
          <w:color w:val="111111"/>
          <w:sz w:val="28"/>
          <w:sz w:val="28"/>
          <w:szCs w:val="28"/>
          <w:rtl w:val="true"/>
          <w:lang w:bidi="fa-IR"/>
        </w:rPr>
        <w:t xml:space="preserve">و الحدائق </w:t>
      </w:r>
      <w:r>
        <w:rPr>
          <w:rStyle w:val="FootnoteAnchor"/>
          <w:rtl w:val="true"/>
        </w:rPr>
        <w:footnoteReference w:id="1216"/>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لأوّلها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التغسیل أو أصالة البراءة بناءً علی جریانه فیما یشکّ فی مدخلیّته فی العبادة و استصحاب المحرمیّة و إن انتقل الملک إلی غیره أو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المحرمیّة فی غیر أُمّ الولد بانتقال الملک، و یجوز فی أُمّ الولد؛ لروایة إسحاق بن عمّار الواردة فی إیصاء علیّ بن الحسین علیه السلام بأن تغسِّله أُمّ ولد له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المحرمیّة فی أُمّ الولد بالانعتاق أیضاً، و ضعف الروایة المجوّزة فی أُمّ الولد، مع مخالفتها لما ثبت أنّ الإمام لا یغسّله إلّا الإمام، إلّا أن یحمل علی المعاونة، فلا یبقی لها ظهور فی المطلب، إلّا أنّ المحکیّ عن الفقه</w:t>
      </w:r>
      <w:bookmarkStart w:id="156" w:name="pg13042_127115"/>
    </w:p>
    <w:p>
      <w:pPr>
        <w:pStyle w:val="BookText"/>
        <w:rPr/>
      </w:pPr>
      <w:bookmarkEnd w:id="156"/>
      <w:r>
        <w:rPr>
          <w:rFonts w:ascii="IRNazanin" w:hAnsi="IRNazanin" w:eastAsia="IRNazanin"/>
          <w:color w:val="111111"/>
          <w:sz w:val="28"/>
          <w:sz w:val="28"/>
          <w:szCs w:val="28"/>
          <w:rtl w:val="true"/>
          <w:lang w:bidi="fa-IR"/>
        </w:rPr>
        <w:t xml:space="preserve">الرضویّ صریح فی أنّها هی التی غسّلت عورته علیه السلام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المسألة محلّ إشکال، فللتوقّف فیها کما عن المنتهی </w:t>
      </w:r>
      <w:r>
        <w:rPr>
          <w:rStyle w:val="FootnoteAnchor"/>
          <w:rtl w:val="true"/>
        </w:rPr>
        <w:footnoteReference w:id="1219"/>
      </w:r>
      <w:r>
        <w:rPr>
          <w:rFonts w:ascii="IRNazanin" w:hAnsi="IRNazanin" w:eastAsia="IRNazanin"/>
          <w:color w:val="111111"/>
          <w:sz w:val="28"/>
          <w:sz w:val="28"/>
          <w:szCs w:val="28"/>
          <w:rtl w:val="true"/>
          <w:lang w:bidi="fa-IR"/>
        </w:rPr>
        <w:t xml:space="preserve">و التحریر </w:t>
      </w:r>
      <w:r>
        <w:rPr>
          <w:rStyle w:val="FootnoteAnchor"/>
          <w:rtl w:val="true"/>
        </w:rPr>
        <w:footnoteReference w:id="1220"/>
      </w:r>
      <w:r>
        <w:rPr>
          <w:rFonts w:ascii="IRNazanin" w:hAnsi="IRNazanin" w:eastAsia="IRNazanin"/>
          <w:color w:val="111111"/>
          <w:sz w:val="28"/>
          <w:sz w:val="28"/>
          <w:szCs w:val="28"/>
          <w:rtl w:val="true"/>
          <w:lang w:bidi="fa-IR"/>
        </w:rPr>
        <w:t xml:space="preserve">و التذکرة </w:t>
      </w:r>
      <w:r>
        <w:rPr>
          <w:rStyle w:val="FootnoteAnchor"/>
          <w:rtl w:val="true"/>
        </w:rPr>
        <w:footnoteReference w:id="1221"/>
      </w:r>
      <w:r>
        <w:rPr>
          <w:rFonts w:ascii="IRNazanin" w:hAnsi="IRNazanin" w:eastAsia="IRNazanin"/>
          <w:color w:val="111111"/>
          <w:sz w:val="28"/>
          <w:sz w:val="28"/>
          <w:szCs w:val="28"/>
          <w:rtl w:val="true"/>
          <w:lang w:bidi="fa-IR"/>
        </w:rPr>
        <w:t>مجال، و الاحتیاط لا یترک علی حالٍ</w:t>
      </w:r>
      <w:r>
        <w:rPr>
          <w:rFonts w:eastAsia="IRNazanin" w:cs="IRNazanin"/>
          <w:color w:val="111111"/>
          <w:sz w:val="28"/>
          <w:szCs w:val="28"/>
          <w:rtl w:val="true"/>
          <w:lang w:bidi="fa-IR"/>
        </w:rPr>
        <w:t>.</w:t>
      </w:r>
    </w:p>
    <w:p>
      <w:pPr>
        <w:pStyle w:val="Heading6"/>
        <w:numPr>
          <w:ilvl w:val="5"/>
          <w:numId w:val="1"/>
        </w:numPr>
        <w:rPr/>
      </w:pPr>
      <w:bookmarkStart w:id="157" w:name="__RefHeading___Toc6530178_3224264995"/>
      <w:bookmarkStart w:id="158" w:name="_Toc61"/>
      <w:bookmarkEnd w:id="157"/>
      <w:r>
        <w:rPr>
          <w:rtl w:val="true"/>
        </w:rPr>
        <w:t>[</w:t>
      </w:r>
      <w:r>
        <w:rPr>
          <w:rtl w:val="true"/>
        </w:rPr>
        <w:t>و یغسِّل الخنثی المشکل محارمه</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الخنثی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إمکان الوقوف علی المماثل، فیکون من مواضع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جواز تغسیل المحارم للمیّت حینئذٍ، و إنّما الخلاف فی جواز تغسیلهم له اختیاراً، و الأقوی المنع أیضاً وفاقاً للمشهور، بل عن ظاهر الحبل المتین الاتفاق علیه،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تغسیل المحارم فقد قطعوا بکونه من وراء الثیاب و اشترطوا فقد المماثل </w:t>
      </w:r>
      <w:r>
        <w:rPr>
          <w:rStyle w:val="FootnoteAnchor"/>
          <w:rtl w:val="true"/>
        </w:rPr>
        <w:footnoteReference w:id="12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کلامهم </w:t>
      </w:r>
      <w:r>
        <w:rPr>
          <w:rStyle w:val="FootnoteAnchor"/>
          <w:rtl w:val="true"/>
        </w:rPr>
        <w:footnoteReference w:id="1223"/>
      </w:r>
      <w:r>
        <w:rPr>
          <w:rFonts w:ascii="IRNazanin" w:hAnsi="IRNazanin" w:eastAsia="IRNazanin"/>
          <w:color w:val="111111"/>
          <w:sz w:val="28"/>
          <w:sz w:val="28"/>
          <w:szCs w:val="28"/>
          <w:rtl w:val="true"/>
          <w:lang w:bidi="fa-IR"/>
        </w:rPr>
        <w:t xml:space="preserve">کما عن الحدائق </w:t>
      </w:r>
      <w:r>
        <w:rPr>
          <w:rStyle w:val="FootnoteAnchor"/>
          <w:rtl w:val="true"/>
        </w:rPr>
        <w:footnoteReference w:id="1224"/>
      </w:r>
      <w:r>
        <w:rPr>
          <w:rFonts w:ascii="IRNazanin" w:hAnsi="IRNazanin" w:eastAsia="IRNazanin"/>
          <w:color w:val="111111"/>
          <w:sz w:val="28"/>
          <w:sz w:val="28"/>
          <w:szCs w:val="28"/>
          <w:rtl w:val="true"/>
          <w:lang w:bidi="fa-IR"/>
        </w:rPr>
        <w:t>نسبته إلی علمائنا؛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الرجل المرأة إلّا أن لا توجد امرأة</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و یؤیّده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مع النساء غسَّلته امرأته و إن لم تکن امرأته معه غسّلته أولاهنّ به، و تلفّ علی یدیها خرقة</w:t>
      </w:r>
      <w:r>
        <w:rPr>
          <w:rFonts w:eastAsia="IRNazanin" w:cs="IRNazanin"/>
          <w:color w:val="111111"/>
          <w:sz w:val="28"/>
          <w:szCs w:val="28"/>
          <w:rtl w:val="true"/>
          <w:lang w:bidi="fa-IR"/>
        </w:rPr>
        <w:t xml:space="preserve">» </w:t>
      </w:r>
      <w:r>
        <w:rPr>
          <w:rStyle w:val="FootnoteAnchor"/>
          <w:rtl w:val="true"/>
        </w:rPr>
        <w:footnoteReference w:id="1226"/>
      </w:r>
      <w:r>
        <w:rPr>
          <w:rFonts w:ascii="Amiri" w:hAnsi="Amiri" w:eastAsia="Amiri" w:cs="Amiri"/>
          <w:color w:val="111111"/>
          <w:sz w:val="28"/>
          <w:sz w:val="28"/>
          <w:szCs w:val="28"/>
          <w:rtl w:val="true"/>
          <w:lang w:bidi="ar-SA"/>
        </w:rPr>
        <w:t>، فإنّ المراد بأولاهُنّ من کان</w:t>
      </w:r>
    </w:p>
    <w:p>
      <w:pPr>
        <w:pStyle w:val="BookText"/>
        <w:rPr/>
      </w:pPr>
      <w:r>
        <w:rPr>
          <w:rFonts w:ascii="IRNazanin" w:hAnsi="IRNazanin" w:eastAsia="IRNazanin"/>
          <w:color w:val="111111"/>
          <w:sz w:val="28"/>
          <w:sz w:val="28"/>
          <w:szCs w:val="28"/>
          <w:rtl w:val="true"/>
          <w:lang w:bidi="fa-IR"/>
        </w:rPr>
        <w:t>محرماً؛ لأنّ الأجنبیّة لا تتولّی الغسل کما سیجی‌ء، و تأخیرها عن المرأة ظاهر فی تأخّرها عن المماثل؛ للإجماع المرکّب بل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أکثر الأسئلة الواردة فی الروایات </w:t>
      </w:r>
      <w:r>
        <w:rPr>
          <w:rStyle w:val="FootnoteAnchor"/>
          <w:rtl w:val="true"/>
        </w:rPr>
        <w:footnoteReference w:id="1227"/>
      </w:r>
      <w:r>
        <w:rPr>
          <w:rFonts w:ascii="IRNazanin" w:hAnsi="IRNazanin" w:eastAsia="IRNazanin"/>
          <w:color w:val="111111"/>
          <w:sz w:val="28"/>
          <w:sz w:val="28"/>
          <w:szCs w:val="28"/>
          <w:rtl w:val="true"/>
          <w:lang w:bidi="fa-IR"/>
        </w:rPr>
        <w:t>علی التقیید بصورة فقد المماثل، فکأنّ الاشتراط کان مرکوزاً فی أذهانهم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أن یکون التقیید من جهة أنّ الغالب عدم مباشرة المحارم مع وجود المماثل للمانع العرفی دون الشرعی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السرائر </w:t>
      </w:r>
      <w:r>
        <w:rPr>
          <w:rStyle w:val="FootnoteAnchor"/>
          <w:rtl w:val="true"/>
        </w:rPr>
        <w:footnoteReference w:id="1228"/>
      </w:r>
      <w:r>
        <w:rPr>
          <w:rFonts w:ascii="IRNazanin" w:hAnsi="IRNazanin" w:eastAsia="IRNazanin"/>
          <w:color w:val="111111"/>
          <w:sz w:val="28"/>
          <w:sz w:val="28"/>
          <w:szCs w:val="28"/>
          <w:rtl w:val="true"/>
          <w:lang w:bidi="fa-IR"/>
        </w:rPr>
        <w:t xml:space="preserve">و المنتهی </w:t>
      </w:r>
      <w:r>
        <w:rPr>
          <w:rStyle w:val="FootnoteAnchor"/>
          <w:rtl w:val="true"/>
        </w:rPr>
        <w:footnoteReference w:id="1229"/>
      </w:r>
      <w:r>
        <w:rPr>
          <w:rFonts w:ascii="IRNazanin" w:hAnsi="IRNazanin" w:eastAsia="IRNazanin"/>
          <w:color w:val="111111"/>
          <w:sz w:val="28"/>
          <w:sz w:val="28"/>
          <w:szCs w:val="28"/>
          <w:rtl w:val="true"/>
          <w:lang w:bidi="fa-IR"/>
        </w:rPr>
        <w:t xml:space="preserve">و المدارک </w:t>
      </w:r>
      <w:r>
        <w:rPr>
          <w:rStyle w:val="FootnoteAnchor"/>
          <w:rtl w:val="true"/>
        </w:rPr>
        <w:footnoteReference w:id="1230"/>
      </w:r>
      <w:r>
        <w:rPr>
          <w:rFonts w:ascii="IRNazanin" w:hAnsi="IRNazanin" w:eastAsia="IRNazanin"/>
          <w:color w:val="111111"/>
          <w:sz w:val="28"/>
          <w:sz w:val="28"/>
          <w:szCs w:val="28"/>
          <w:rtl w:val="true"/>
          <w:lang w:bidi="fa-IR"/>
        </w:rPr>
        <w:t xml:space="preserve">و الذخیرة </w:t>
      </w:r>
      <w:r>
        <w:rPr>
          <w:rStyle w:val="FootnoteAnchor"/>
          <w:rtl w:val="true"/>
        </w:rPr>
        <w:footnoteReference w:id="1231"/>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1232"/>
      </w:r>
      <w:r>
        <w:rPr>
          <w:rFonts w:ascii="IRNazanin" w:hAnsi="IRNazanin" w:eastAsia="IRNazanin"/>
          <w:color w:val="111111"/>
          <w:sz w:val="28"/>
          <w:sz w:val="28"/>
          <w:szCs w:val="28"/>
          <w:rtl w:val="true"/>
          <w:lang w:bidi="fa-IR"/>
        </w:rPr>
        <w:t>، بل ظاهر کلام المصنّف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الأکثر، حیث قال فیما حکی عنه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للرجل أن یغسّل امرأته، و للمرأة أن تغسّل زوجها من وراء الثیاب حال الاختیار، و کذا کلّ ذی محرم، ذهب إلیه أکثر علمائنا </w:t>
      </w:r>
      <w:r>
        <w:rPr>
          <w:rStyle w:val="FootnoteAnchor"/>
          <w:rtl w:val="true"/>
        </w:rPr>
        <w:footnoteReference w:id="1233"/>
      </w:r>
      <w:r>
        <w:rPr>
          <w:rFonts w:ascii="IRNazanin" w:hAnsi="IRNazanin" w:eastAsia="IRNazanin"/>
          <w:color w:val="111111"/>
          <w:sz w:val="28"/>
          <w:sz w:val="28"/>
          <w:szCs w:val="28"/>
          <w:rtl w:val="true"/>
          <w:lang w:bidi="fa-IR"/>
        </w:rPr>
        <w:t>و لعلّه للأصل و الاستصحاب و العمومات و خصوص صحیحة ابن حازم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یخرج فی السفر و معه امرأة، یغسّلها؟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أُمّه و أُخته، و نحو هذا یلقی علی عورتها خرقة</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الأصل و العمومات مندفعة بما عرفت، و ظاهر تقیید السؤال فی الصحیحة بالسفر الاختصاص، مع إمکان تقییدها بصحیحة ابن سنان المتقدّمة </w:t>
      </w:r>
      <w:r>
        <w:rPr>
          <w:rStyle w:val="FootnoteAnchor"/>
          <w:rtl w:val="true"/>
        </w:rPr>
        <w:footnoteReference w:id="1235"/>
      </w:r>
      <w:r>
        <w:rPr>
          <w:rFonts w:ascii="IRNazanin" w:hAnsi="IRNazanin" w:eastAsia="IRNazanin"/>
          <w:color w:val="111111"/>
          <w:sz w:val="28"/>
          <w:sz w:val="28"/>
          <w:szCs w:val="28"/>
          <w:rtl w:val="true"/>
          <w:lang w:bidi="fa-IR"/>
        </w:rPr>
        <w:t>، فلا محیص عن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أنّه یشترط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المعروف فی کلامهم </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ینسب إلی التذکرة نسبته إلی علمائنا </w:t>
      </w:r>
      <w:r>
        <w:rPr>
          <w:rStyle w:val="FootnoteAnchor"/>
          <w:rtl w:val="true"/>
        </w:rPr>
        <w:footnoteReference w:id="1237"/>
      </w:r>
      <w:r>
        <w:rPr>
          <w:rFonts w:ascii="Amiri" w:hAnsi="Amiri" w:eastAsia="Amiri" w:cs="Amiri"/>
          <w:color w:val="111111"/>
          <w:sz w:val="28"/>
          <w:sz w:val="28"/>
          <w:szCs w:val="28"/>
          <w:rtl w:val="true"/>
          <w:lang w:bidi="ar-SA"/>
        </w:rPr>
        <w:t xml:space="preserve">، لکنّ المحکیّ عن عبارته </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خصّ معقد الإجماع بصورة کون الغسل من وراء الثیاب لا اشتراط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ظاهر ما تقدّم عن الحبل المتین،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تغسیل المحارم فقد قطعوا بکونه من وراء الثیاب </w:t>
      </w:r>
      <w:r>
        <w:rPr>
          <w:rStyle w:val="FootnoteAnchor"/>
          <w:rtl w:val="true"/>
        </w:rPr>
        <w:footnoteReference w:id="1239"/>
      </w:r>
      <w:r>
        <w:rPr>
          <w:rFonts w:ascii="IRNazanin" w:hAnsi="IRNazanin" w:eastAsia="IRNazanin"/>
          <w:color w:val="111111"/>
          <w:sz w:val="28"/>
          <w:sz w:val="28"/>
          <w:szCs w:val="28"/>
          <w:rtl w:val="true"/>
          <w:lang w:bidi="fa-IR"/>
        </w:rPr>
        <w:t xml:space="preserve">للأخبار الکثیرة </w:t>
      </w:r>
      <w:r>
        <w:rPr>
          <w:rStyle w:val="FootnoteAnchor"/>
          <w:rtl w:val="true"/>
        </w:rPr>
        <w:footnoteReference w:id="1240"/>
      </w:r>
      <w:r>
        <w:rPr>
          <w:rFonts w:ascii="IRNazanin" w:hAnsi="IRNazanin" w:eastAsia="IRNazanin"/>
          <w:color w:val="111111"/>
          <w:sz w:val="28"/>
          <w:sz w:val="28"/>
          <w:szCs w:val="28"/>
          <w:rtl w:val="true"/>
          <w:lang w:bidi="fa-IR"/>
        </w:rPr>
        <w:t>الظاهرة فی 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عدم الوجوب؛ وفاقاً للمحکیّ عن ظاهر الغنیة </w:t>
      </w:r>
      <w:r>
        <w:rPr>
          <w:rStyle w:val="FootnoteAnchor"/>
          <w:rtl w:val="true"/>
        </w:rPr>
        <w:footnoteReference w:id="1241"/>
      </w:r>
      <w:r>
        <w:rPr>
          <w:rFonts w:ascii="IRNazanin" w:hAnsi="IRNazanin" w:eastAsia="IRNazanin"/>
          <w:color w:val="111111"/>
          <w:sz w:val="28"/>
          <w:sz w:val="28"/>
          <w:szCs w:val="28"/>
          <w:rtl w:val="true"/>
          <w:lang w:bidi="fa-IR"/>
        </w:rPr>
        <w:t xml:space="preserve">و الکافی </w:t>
      </w:r>
      <w:r>
        <w:rPr>
          <w:rStyle w:val="FootnoteAnchor"/>
          <w:rtl w:val="true"/>
        </w:rPr>
        <w:footnoteReference w:id="1242"/>
      </w:r>
      <w:r>
        <w:rPr>
          <w:rFonts w:ascii="IRNazanin" w:hAnsi="IRNazanin" w:eastAsia="IRNazanin"/>
          <w:color w:val="111111"/>
          <w:sz w:val="28"/>
          <w:sz w:val="28"/>
          <w:szCs w:val="28"/>
          <w:rtl w:val="true"/>
          <w:lang w:bidi="fa-IR"/>
        </w:rPr>
        <w:t xml:space="preserve">و الإصباح </w:t>
      </w:r>
      <w:r>
        <w:rPr>
          <w:rStyle w:val="FootnoteAnchor"/>
          <w:rtl w:val="true"/>
        </w:rPr>
        <w:footnoteReference w:id="1243"/>
      </w:r>
      <w:r>
        <w:rPr>
          <w:rFonts w:ascii="IRNazanin" w:hAnsi="IRNazanin" w:eastAsia="IRNazanin"/>
          <w:color w:val="111111"/>
          <w:sz w:val="28"/>
          <w:sz w:val="28"/>
          <w:szCs w:val="28"/>
          <w:rtl w:val="true"/>
          <w:lang w:bidi="fa-IR"/>
        </w:rPr>
        <w:t xml:space="preserve">و الذکری </w:t>
      </w:r>
      <w:r>
        <w:rPr>
          <w:rStyle w:val="FootnoteAnchor"/>
          <w:rtl w:val="true"/>
        </w:rPr>
        <w:footnoteReference w:id="1244"/>
      </w:r>
      <w:r>
        <w:rPr>
          <w:rFonts w:ascii="IRNazanin" w:hAnsi="IRNazanin" w:eastAsia="IRNazanin"/>
          <w:color w:val="111111"/>
          <w:sz w:val="28"/>
          <w:sz w:val="28"/>
          <w:szCs w:val="28"/>
          <w:rtl w:val="true"/>
          <w:lang w:bidi="fa-IR"/>
        </w:rPr>
        <w:t>، و صریح 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کصاحبی المدارک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و الذخیرة </w:t>
      </w:r>
      <w:r>
        <w:rPr>
          <w:rStyle w:val="FootnoteAnchor"/>
          <w:rtl w:val="true"/>
        </w:rPr>
        <w:footnoteReference w:id="1246"/>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1247"/>
      </w:r>
      <w:r>
        <w:rPr>
          <w:rFonts w:ascii="IRNazanin" w:hAnsi="IRNazanin" w:eastAsia="IRNazanin"/>
          <w:color w:val="111111"/>
          <w:sz w:val="28"/>
          <w:sz w:val="28"/>
          <w:szCs w:val="28"/>
          <w:rtl w:val="true"/>
          <w:lang w:bidi="fa-IR"/>
        </w:rPr>
        <w:t xml:space="preserve">و غیرهم </w:t>
      </w:r>
      <w:r>
        <w:rPr>
          <w:rStyle w:val="FootnoteAnchor"/>
          <w:rtl w:val="true"/>
        </w:rPr>
        <w:footnoteReference w:id="1248"/>
      </w:r>
      <w:r>
        <w:rPr>
          <w:rFonts w:ascii="IRNazanin" w:hAnsi="IRNazanin" w:eastAsia="IRNazanin"/>
          <w:color w:val="111111"/>
          <w:sz w:val="28"/>
          <w:sz w:val="28"/>
          <w:szCs w:val="28"/>
          <w:rtl w:val="true"/>
          <w:lang w:bidi="fa-IR"/>
        </w:rPr>
        <w:t xml:space="preserve">بحمل الأخبار علی الاستحباب، أو علی صورة وجود الأجنبیّ، أو علی أنّ الغرض محافظة العورة، کما صرّح به فی الذکری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ضمّ الزوجة إلیها فی بعضها کموثّقتی البصریّ </w:t>
      </w:r>
      <w:r>
        <w:rPr>
          <w:rStyle w:val="FootnoteAnchor"/>
          <w:rtl w:val="true"/>
        </w:rPr>
        <w:footnoteReference w:id="1250"/>
      </w:r>
      <w:r>
        <w:rPr>
          <w:rFonts w:ascii="Amiri" w:hAnsi="Amiri" w:eastAsia="Amiri" w:cs="Amiri"/>
          <w:color w:val="111111"/>
          <w:sz w:val="28"/>
          <w:sz w:val="28"/>
          <w:szCs w:val="28"/>
          <w:rtl w:val="true"/>
          <w:lang w:bidi="ar-SA"/>
        </w:rPr>
        <w:t xml:space="preserve">و سماعة </w:t>
      </w:r>
      <w:r>
        <w:rPr>
          <w:rStyle w:val="FootnoteAnchor"/>
          <w:rtl w:val="true"/>
        </w:rPr>
        <w:footnoteReference w:id="1251"/>
      </w:r>
      <w:r>
        <w:rPr>
          <w:rFonts w:ascii="IRNazanin" w:hAnsi="IRNazanin" w:eastAsia="IRNazanin"/>
          <w:color w:val="111111"/>
          <w:sz w:val="28"/>
          <w:sz w:val="28"/>
          <w:szCs w:val="28"/>
          <w:rtl w:val="true"/>
          <w:lang w:bidi="fa-IR"/>
        </w:rPr>
        <w:t xml:space="preserve">، و الاقتصار علی ستر عورتها فی مقام البیان، کما فی صحیحة منصور المتقدّمة </w:t>
      </w:r>
      <w:r>
        <w:rPr>
          <w:rStyle w:val="FootnoteAnchor"/>
          <w:rtl w:val="true"/>
        </w:rPr>
        <w:footnoteReference w:id="1252"/>
      </w:r>
      <w:r>
        <w:rPr>
          <w:rFonts w:ascii="IRNazanin" w:hAnsi="IRNazanin" w:eastAsia="IRNazanin"/>
          <w:color w:val="111111"/>
          <w:sz w:val="28"/>
          <w:sz w:val="28"/>
          <w:szCs w:val="28"/>
          <w:rtl w:val="true"/>
          <w:lang w:bidi="fa-IR"/>
        </w:rPr>
        <w:t>، و روایة الشحّام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معهم زوجها أو ذو رحم لها فیغسّلها من غیر أن ینظر إلی عورتها</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و روایة زید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معه نساء ذوات محرم یؤزِّرنه إلی الرکبتین و یصببن علیه الماء صبّاً، و یمسسن جسده و لا یمسسن عورته</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 فإنّ الظاهر أنّ التوزیر مع التجرّد لا مع الثیاب، إلی غیر ذلک ممّا یظهر منه 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یغسِّل الرجل </w:t>
      </w:r>
      <w:r>
        <w:rPr>
          <w:rStyle w:val="FootnoteAnchor"/>
          <w:rtl w:val="true"/>
        </w:rPr>
        <w:footnoteReference w:id="1255"/>
      </w:r>
      <w:r>
        <w:rPr>
          <w:rFonts w:ascii="IRNazanin" w:hAnsi="IRNazanin" w:eastAsia="IRNazanin"/>
          <w:color w:val="111111"/>
          <w:sz w:val="28"/>
          <w:sz w:val="28"/>
          <w:szCs w:val="28"/>
          <w:rtl w:val="true"/>
          <w:lang w:bidi="fa-IR"/>
        </w:rPr>
        <w:t>بنت ثلاث سنین مجرّدة، و کذا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ثلاث سنین، علی المشهور فیهما، بل عن المصنّف فی التذکرة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الحکمین</w:t>
      </w:r>
    </w:p>
    <w:p>
      <w:pPr>
        <w:pStyle w:val="BookText"/>
        <w:rPr/>
      </w:pPr>
      <w:r>
        <w:rPr>
          <w:rFonts w:ascii="IRNazanin" w:hAnsi="IRNazanin" w:eastAsia="IRNazanin"/>
          <w:color w:val="111111"/>
          <w:sz w:val="28"/>
          <w:sz w:val="28"/>
          <w:szCs w:val="28"/>
          <w:rtl w:val="true"/>
          <w:lang w:bidi="fa-IR"/>
        </w:rPr>
        <w:t>إلی جمیع علمائنا،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للنساء غسل الطفل مجرّداً عن ثیابه إجماعاً اختیاراً أو اضطراراً، لکن اختلفوا فی تقدیره، و کذا یغسل الرجل الصبیّة عند جمیع علمائنا و إن کان أجنبیّا إذا کانت بنت ثلاث سنین مجرّدة و إن کانت أجنبیّة </w:t>
      </w:r>
      <w:r>
        <w:rPr>
          <w:rStyle w:val="FootnoteAnchor"/>
          <w:rtl w:val="true"/>
        </w:rPr>
        <w:footnoteReference w:id="125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العبارة المحکیّة عن التذکرة </w:t>
      </w:r>
      <w:r>
        <w:rPr>
          <w:rStyle w:val="FootnoteAnchor"/>
          <w:rtl w:val="true"/>
        </w:rPr>
        <w:footnoteReference w:id="1257"/>
      </w:r>
      <w:r>
        <w:rPr>
          <w:rFonts w:ascii="Amiri" w:hAnsi="Amiri" w:eastAsia="Amiri" w:cs="Amiri"/>
          <w:color w:val="111111"/>
          <w:sz w:val="28"/>
          <w:sz w:val="28"/>
          <w:szCs w:val="28"/>
          <w:rtl w:val="true"/>
          <w:lang w:bidi="ar-SA"/>
        </w:rPr>
        <w:t>، إلّا أنّه لم یقیّد البنت بثلاث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دلّ علی الحکم الثانی مضافاً إلی الإجماع المحقّق و المنقول </w:t>
      </w:r>
      <w:r>
        <w:rPr>
          <w:rStyle w:val="FootnoteAnchor"/>
          <w:rtl w:val="true"/>
        </w:rPr>
        <w:footnoteReference w:id="1258"/>
      </w:r>
      <w:r>
        <w:rPr>
          <w:rFonts w:ascii="IRNazanin" w:hAnsi="IRNazanin" w:eastAsia="IRNazanin"/>
          <w:color w:val="111111"/>
          <w:sz w:val="28"/>
          <w:sz w:val="28"/>
          <w:szCs w:val="28"/>
          <w:rtl w:val="true"/>
          <w:lang w:bidi="fa-IR"/>
        </w:rPr>
        <w:t>و عمومات وجوب الغسل السلیمة عن المعارض خصوص روایة الحارث بن المغیرة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الصبیّ، إلی کم تغسِّله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ثلاث سنین</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 و ضعف السند لو کان منجبر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الحکم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العمومات السلیمة عن المخصِّص، المعتضدة بالشهرة المحقّقة و الإجماع المحکیّ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المعتبر فمنع منه؛ بناءً علی أنّ الأصل تحریم النظر، خرج منه تغسیل المرأة للصبیّ </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مبناه واضح؛ إذ لو فرض تسلیم حرمة النظر إلی العورة، فغایة الأمر کونها کالمحارم یجب غسلها من وراء</w:t>
      </w:r>
    </w:p>
    <w:p>
      <w:pPr>
        <w:pStyle w:val="BookText"/>
        <w:rPr/>
      </w:pPr>
      <w:r>
        <w:rPr>
          <w:rFonts w:ascii="IRNazanin" w:hAnsi="IRNazanin" w:eastAsia="IRNazanin"/>
          <w:color w:val="111111"/>
          <w:sz w:val="28"/>
          <w:sz w:val="28"/>
          <w:szCs w:val="28"/>
          <w:rtl w:val="true"/>
          <w:lang w:bidi="fa-IR"/>
        </w:rPr>
        <w:t xml:space="preserve">الثیاب کما اختاره </w:t>
      </w:r>
      <w:r>
        <w:rPr>
          <w:rStyle w:val="FootnoteAnchor"/>
          <w:rtl w:val="true"/>
        </w:rPr>
        <w:footnoteReference w:id="1262"/>
      </w:r>
      <w:r>
        <w:rPr>
          <w:rFonts w:ascii="IRNazanin" w:hAnsi="IRNazanin" w:eastAsia="IRNazanin"/>
          <w:color w:val="111111"/>
          <w:sz w:val="28"/>
          <w:sz w:val="28"/>
          <w:szCs w:val="28"/>
          <w:rtl w:val="true"/>
          <w:lang w:bidi="fa-IR"/>
        </w:rPr>
        <w:t>فی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حرمة النظر إلی ما عدا عورة الصبیّة الغیر الممیّزة مخالف لما ثبت فی النصّ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لا تغطیّ رأسها عن الرجل حتّی تحیض </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فی الحدائق عدم الخلاف فی جواز النظر </w:t>
      </w:r>
      <w:r>
        <w:rPr>
          <w:rStyle w:val="FootnoteAnchor"/>
          <w:rtl w:val="true"/>
        </w:rPr>
        <w:footnoteReference w:id="1264"/>
      </w:r>
      <w:r>
        <w:rPr>
          <w:rFonts w:ascii="IRNazanin" w:hAnsi="IRNazanin" w:eastAsia="IRNazanin"/>
          <w:color w:val="111111"/>
          <w:sz w:val="28"/>
          <w:sz w:val="28"/>
          <w:szCs w:val="28"/>
          <w:rtl w:val="true"/>
          <w:lang w:bidi="fa-IR"/>
        </w:rPr>
        <w:t>، مضافاً إلی السیرة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للمحکیّ عن الشیخ فی النهایة </w:t>
      </w:r>
      <w:r>
        <w:rPr>
          <w:rStyle w:val="FootnoteAnchor"/>
          <w:rtl w:val="true"/>
        </w:rPr>
        <w:footnoteReference w:id="1265"/>
      </w:r>
      <w:r>
        <w:rPr>
          <w:rFonts w:ascii="IRNazanin" w:hAnsi="IRNazanin" w:eastAsia="IRNazanin"/>
          <w:color w:val="111111"/>
          <w:sz w:val="28"/>
          <w:sz w:val="28"/>
          <w:szCs w:val="28"/>
          <w:rtl w:val="true"/>
          <w:lang w:bidi="fa-IR"/>
        </w:rPr>
        <w:t xml:space="preserve">و المبسوط </w:t>
      </w:r>
      <w:r>
        <w:rPr>
          <w:rStyle w:val="FootnoteAnchor"/>
          <w:rtl w:val="true"/>
        </w:rPr>
        <w:footnoteReference w:id="1266"/>
      </w:r>
      <w:r>
        <w:rPr>
          <w:rFonts w:ascii="Amiri" w:hAnsi="Amiri" w:eastAsia="Amiri" w:cs="Amiri"/>
          <w:color w:val="111111"/>
          <w:sz w:val="28"/>
          <w:sz w:val="28"/>
          <w:szCs w:val="28"/>
          <w:rtl w:val="true"/>
          <w:lang w:bidi="ar-SA"/>
        </w:rPr>
        <w:t xml:space="preserve">و الحلیّ </w:t>
      </w:r>
      <w:r>
        <w:rPr>
          <w:rStyle w:val="FootnoteAnchor"/>
          <w:rtl w:val="true"/>
        </w:rPr>
        <w:footnoteReference w:id="1267"/>
      </w:r>
      <w:r>
        <w:rPr>
          <w:rFonts w:ascii="IRNazanin" w:hAnsi="IRNazanin" w:eastAsia="IRNazanin"/>
          <w:color w:val="111111"/>
          <w:sz w:val="28"/>
          <w:sz w:val="28"/>
          <w:szCs w:val="28"/>
          <w:rtl w:val="true"/>
          <w:lang w:bidi="fa-IR"/>
        </w:rPr>
        <w:t>فخصّا هذا الحکم بصورة فقد المماثل، و هو محجوج بالعمومات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تخصیصها بعموم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الرجل المرأة إلّا أن لا توجد امرأة</w:t>
      </w:r>
      <w:r>
        <w:rPr>
          <w:rFonts w:eastAsia="IRNazanin" w:cs="IRNazanin"/>
          <w:color w:val="111111"/>
          <w:sz w:val="28"/>
          <w:szCs w:val="28"/>
          <w:rtl w:val="true"/>
          <w:lang w:bidi="fa-IR"/>
        </w:rPr>
        <w:t xml:space="preserve">» </w:t>
      </w:r>
      <w:r>
        <w:rPr>
          <w:rStyle w:val="FootnoteAnchor"/>
          <w:rtl w:val="true"/>
        </w:rPr>
        <w:footnoteReference w:id="1268"/>
      </w:r>
      <w:r>
        <w:rPr>
          <w:rFonts w:ascii="IRNazanin" w:hAnsi="IRNazanin" w:eastAsia="IRNazanin"/>
          <w:color w:val="111111"/>
          <w:sz w:val="28"/>
          <w:sz w:val="28"/>
          <w:szCs w:val="28"/>
          <w:rtl w:val="true"/>
          <w:lang w:bidi="fa-IR"/>
        </w:rPr>
        <w:t>ضعیف؛ لضعف الروایة، مع منع صدق المرأة علی الصبیّة؛ لأنّها مؤنّث المرء، و لو سلّم الصدق فلا شبهة فی الانصراف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إطلاق الأصحاب الحکم بجواز غسل الصبیّ و الصبیّة مجرّداً عدم وجوب ستر العورة، کما استظهر ذلک منهم فی جامع المقاصد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مضافاً إلی أصالة عدم وجوب ستر العورة لا نفساً و لا لأجل الغسل، و إطلاق معاقد إجماعاتهم المطلقة لجواز التجرید إطلاق روایة الحارث </w:t>
      </w:r>
      <w:r>
        <w:rPr>
          <w:rStyle w:val="FootnoteAnchor"/>
          <w:rtl w:val="true"/>
        </w:rPr>
        <w:footnoteReference w:id="1270"/>
      </w:r>
      <w:r>
        <w:rPr>
          <w:rFonts w:ascii="Amiri" w:hAnsi="Amiri" w:eastAsia="Amiri" w:cs="Amiri"/>
          <w:color w:val="111111"/>
          <w:sz w:val="28"/>
          <w:sz w:val="28"/>
          <w:szCs w:val="28"/>
          <w:rtl w:val="true"/>
          <w:lang w:bidi="ar-SA"/>
        </w:rPr>
        <w:t xml:space="preserve">و عمّار </w:t>
      </w:r>
      <w:r>
        <w:rPr>
          <w:rStyle w:val="FootnoteAnchor"/>
          <w:rtl w:val="true"/>
        </w:rPr>
        <w:footnoteReference w:id="1271"/>
      </w:r>
      <w:r>
        <w:rPr>
          <w:rFonts w:ascii="IRNazanin" w:hAnsi="IRNazanin" w:eastAsia="IRNazanin"/>
          <w:color w:val="111111"/>
          <w:sz w:val="28"/>
          <w:sz w:val="28"/>
          <w:szCs w:val="28"/>
          <w:rtl w:val="true"/>
          <w:lang w:bidi="fa-IR"/>
        </w:rPr>
        <w:t>المتقدّمتین مع اقتضاء المقام للبیان، مع أنّ السؤال عن الجواز عاریاً کما هو المتعارف فی غسل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التحدید الوارد فی النصّ و الفتوی إنّما هو للموت لا الغسل، فلو مات علی الثلاث فلا بأس بالغسل فی الرابعة؛ لوضوح أنّ العمر إنّما هی مدّة الحیاة و لا یحسب ما بعد الموت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ما فی جامع المقاصد، حیث اعتبر وقوع الغسل قبل الرابعة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فاسد، کما اعترف به فی الروض </w:t>
      </w:r>
      <w:r>
        <w:rPr>
          <w:rStyle w:val="FootnoteAnchor"/>
          <w:rtl w:val="true"/>
        </w:rPr>
        <w:footnoteReference w:id="1273"/>
      </w:r>
      <w:r>
        <w:rPr>
          <w:rFonts w:ascii="Amiri" w:hAnsi="Amiri" w:eastAsia="Amiri" w:cs="Amiri"/>
          <w:color w:val="111111"/>
          <w:sz w:val="28"/>
          <w:sz w:val="28"/>
          <w:szCs w:val="28"/>
          <w:rtl w:val="true"/>
          <w:lang w:bidi="ar-SA"/>
        </w:rPr>
        <w:t xml:space="preserve">و الروضة </w:t>
      </w:r>
      <w:r>
        <w:rPr>
          <w:rStyle w:val="FootnoteAnchor"/>
          <w:rtl w:val="true"/>
        </w:rPr>
        <w:footnoteReference w:id="1274"/>
      </w:r>
      <w:r>
        <w:rPr>
          <w:rFonts w:ascii="IRNazanin" w:hAnsi="IRNazanin" w:eastAsia="IRNazanin"/>
          <w:color w:val="111111"/>
          <w:sz w:val="28"/>
          <w:sz w:val="28"/>
          <w:szCs w:val="28"/>
          <w:rtl w:val="true"/>
          <w:lang w:bidi="fa-IR"/>
        </w:rPr>
        <w:t xml:space="preserve">و المسالک </w:t>
      </w:r>
      <w:r>
        <w:rPr>
          <w:rStyle w:val="FootnoteAnchor"/>
          <w:rtl w:val="true"/>
        </w:rPr>
        <w:footnoteReference w:id="1275"/>
      </w:r>
      <w:r>
        <w:rPr>
          <w:rFonts w:ascii="IRNazanin" w:hAnsi="IRNazanin" w:eastAsia="IRNazanin"/>
          <w:color w:val="111111"/>
          <w:sz w:val="28"/>
          <w:sz w:val="28"/>
          <w:szCs w:val="28"/>
          <w:rtl w:val="true"/>
          <w:lang w:bidi="fa-IR"/>
        </w:rPr>
        <w:t xml:space="preserve">و الذخیرة </w:t>
      </w:r>
      <w:r>
        <w:rPr>
          <w:rStyle w:val="FootnoteAnchor"/>
          <w:rtl w:val="true"/>
        </w:rPr>
        <w:footnoteReference w:id="1276"/>
      </w:r>
      <w:r>
        <w:rPr>
          <w:rFonts w:ascii="IRNazanin" w:hAnsi="IRNazanin" w:eastAsia="IRNazanin"/>
          <w:color w:val="111111"/>
          <w:sz w:val="28"/>
          <w:sz w:val="28"/>
          <w:szCs w:val="28"/>
          <w:rtl w:val="true"/>
          <w:lang w:bidi="fa-IR"/>
        </w:rPr>
        <w:t xml:space="preserve">و الحدائق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المسلمة </w:t>
      </w:r>
      <w:r>
        <w:rPr>
          <w:rStyle w:val="FootnoteAnchor"/>
          <w:rtl w:val="true"/>
        </w:rPr>
        <w:footnoteReference w:id="1278"/>
      </w:r>
      <w:r>
        <w:rPr>
          <w:rFonts w:ascii="IRNazanin" w:hAnsi="IRNazanin" w:eastAsia="IRNazanin"/>
          <w:color w:val="111111"/>
          <w:sz w:val="28"/>
          <w:sz w:val="28"/>
          <w:szCs w:val="28"/>
          <w:rtl w:val="true"/>
          <w:lang w:bidi="fa-IR"/>
        </w:rPr>
        <w:t>مع فقد المسلم و ذات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القادرین</w:t>
      </w:r>
    </w:p>
    <w:p>
      <w:pPr>
        <w:pStyle w:val="BookText"/>
        <w:rPr/>
      </w:pPr>
      <w:r>
        <w:rPr>
          <w:rFonts w:ascii="IRNazanin" w:hAnsi="IRNazanin" w:eastAsia="IRNazanin"/>
          <w:color w:val="111111"/>
          <w:sz w:val="28"/>
          <w:sz w:val="28"/>
          <w:szCs w:val="28"/>
          <w:rtl w:val="true"/>
          <w:lang w:bidi="fa-IR"/>
        </w:rPr>
        <w:t xml:space="preserve">علی التغسیل،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تعبّداً و إمّا لزوال النجاسة الطارئة، کما عن التذکرة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بتغسیل المیّت </w:t>
      </w:r>
      <w:r>
        <w:rPr>
          <w:rStyle w:val="FootnoteAnchor"/>
          <w:rtl w:val="true"/>
        </w:rPr>
        <w:footnoteReference w:id="1280"/>
      </w:r>
      <w:r>
        <w:rPr>
          <w:rFonts w:ascii="IRNazanin" w:hAnsi="IRNazanin" w:eastAsia="IRNazanin"/>
          <w:color w:val="111111"/>
          <w:sz w:val="28"/>
          <w:sz w:val="28"/>
          <w:szCs w:val="28"/>
          <w:rtl w:val="true"/>
          <w:lang w:bidi="fa-IR"/>
        </w:rPr>
        <w:t>غسله، و کذا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الکافرة بالاغتسال کما عن الإسکافی </w:t>
      </w:r>
      <w:r>
        <w:rPr>
          <w:rStyle w:val="FootnoteAnchor"/>
          <w:rtl w:val="true"/>
        </w:rPr>
        <w:footnoteReference w:id="1281"/>
      </w:r>
      <w:r>
        <w:rPr>
          <w:rFonts w:ascii="IRNazanin" w:hAnsi="IRNazanin" w:eastAsia="IRNazanin"/>
          <w:color w:val="111111"/>
          <w:sz w:val="28"/>
          <w:sz w:val="28"/>
          <w:szCs w:val="28"/>
          <w:rtl w:val="true"/>
          <w:lang w:bidi="fa-IR"/>
        </w:rPr>
        <w:t xml:space="preserve">و الصدوقین </w:t>
      </w:r>
      <w:r>
        <w:rPr>
          <w:rStyle w:val="FootnoteAnchor"/>
          <w:rtl w:val="true"/>
        </w:rPr>
        <w:footnoteReference w:id="1282"/>
      </w:r>
      <w:r>
        <w:rPr>
          <w:rFonts w:ascii="IRNazanin" w:hAnsi="IRNazanin" w:eastAsia="IRNazanin"/>
          <w:color w:val="111111"/>
          <w:sz w:val="28"/>
          <w:sz w:val="28"/>
          <w:szCs w:val="28"/>
          <w:rtl w:val="true"/>
          <w:lang w:bidi="fa-IR"/>
        </w:rPr>
        <w:t xml:space="preserve">و الشیخین </w:t>
      </w:r>
      <w:r>
        <w:rPr>
          <w:rStyle w:val="FootnoteAnchor"/>
          <w:rtl w:val="true"/>
        </w:rPr>
        <w:footnoteReference w:id="1283"/>
      </w:r>
      <w:r>
        <w:rPr>
          <w:rFonts w:ascii="Amiri" w:hAnsi="Amiri" w:eastAsia="Amiri" w:cs="Amiri"/>
          <w:color w:val="111111"/>
          <w:sz w:val="28"/>
          <w:sz w:val="28"/>
          <w:szCs w:val="28"/>
          <w:rtl w:val="true"/>
          <w:lang w:bidi="ar-SA"/>
        </w:rPr>
        <w:t xml:space="preserve">و سلّار </w:t>
      </w:r>
      <w:r>
        <w:rPr>
          <w:rStyle w:val="FootnoteAnchor"/>
          <w:rtl w:val="true"/>
        </w:rPr>
        <w:footnoteReference w:id="1284"/>
      </w:r>
      <w:r>
        <w:rPr>
          <w:rFonts w:ascii="Amiri" w:hAnsi="Amiri" w:eastAsia="Amiri" w:cs="Amiri"/>
          <w:color w:val="111111"/>
          <w:sz w:val="28"/>
          <w:sz w:val="28"/>
          <w:szCs w:val="28"/>
          <w:rtl w:val="true"/>
          <w:lang w:bidi="ar-SA"/>
        </w:rPr>
        <w:t xml:space="preserve">و ابن حمزة </w:t>
      </w:r>
      <w:r>
        <w:rPr>
          <w:rStyle w:val="FootnoteAnchor"/>
          <w:rtl w:val="true"/>
        </w:rPr>
        <w:footnoteReference w:id="1285"/>
      </w:r>
      <w:r>
        <w:rPr>
          <w:rFonts w:ascii="IRNazanin" w:hAnsi="IRNazanin" w:eastAsia="IRNazanin"/>
          <w:color w:val="111111"/>
          <w:sz w:val="28"/>
          <w:sz w:val="28"/>
          <w:szCs w:val="28"/>
          <w:rtl w:val="true"/>
          <w:lang w:bidi="fa-IR"/>
        </w:rPr>
        <w:t xml:space="preserve">و ابن سعید </w:t>
      </w:r>
      <w:r>
        <w:rPr>
          <w:rStyle w:val="FootnoteAnchor"/>
          <w:rtl w:val="true"/>
        </w:rPr>
        <w:footnoteReference w:id="1286"/>
      </w:r>
      <w:r>
        <w:rPr>
          <w:rFonts w:ascii="IRNazanin" w:hAnsi="IRNazanin" w:eastAsia="IRNazanin"/>
          <w:color w:val="111111"/>
          <w:sz w:val="28"/>
          <w:sz w:val="28"/>
          <w:szCs w:val="28"/>
          <w:rtl w:val="true"/>
          <w:lang w:bidi="fa-IR"/>
        </w:rPr>
        <w:t xml:space="preserve">، بل هو المشهور کما صرّح به جماعة </w:t>
      </w:r>
      <w:r>
        <w:rPr>
          <w:rStyle w:val="FootnoteAnchor"/>
          <w:rtl w:val="true"/>
        </w:rPr>
        <w:footnoteReference w:id="1287"/>
      </w:r>
      <w:r>
        <w:rPr>
          <w:rFonts w:ascii="IRNazanin" w:hAnsi="IRNazanin" w:eastAsia="IRNazanin"/>
          <w:color w:val="111111"/>
          <w:sz w:val="28"/>
          <w:sz w:val="28"/>
          <w:szCs w:val="28"/>
          <w:rtl w:val="true"/>
          <w:lang w:bidi="fa-IR"/>
        </w:rPr>
        <w:t>، و عن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لا أعلم فی الحکم مخالفاً سوی المحقّق </w:t>
      </w:r>
      <w:r>
        <w:rPr>
          <w:rStyle w:val="FootnoteAnchor"/>
          <w:rtl w:val="true"/>
        </w:rPr>
        <w:footnoteReference w:id="1288"/>
      </w:r>
      <w:r>
        <w:rPr>
          <w:rFonts w:ascii="IRNazanin" w:hAnsi="IRNazanin" w:eastAsia="IRNazanin"/>
          <w:color w:val="111111"/>
          <w:sz w:val="28"/>
          <w:sz w:val="28"/>
          <w:szCs w:val="28"/>
          <w:rtl w:val="true"/>
          <w:lang w:bidi="fa-IR"/>
        </w:rPr>
        <w:t xml:space="preserve">، بل و عن التذکرة نسبته إلی علمائنا </w:t>
      </w:r>
      <w:r>
        <w:rPr>
          <w:rStyle w:val="FootnoteAnchor"/>
          <w:rtl w:val="true"/>
        </w:rPr>
        <w:footnoteReference w:id="1289"/>
      </w:r>
      <w:r>
        <w:rPr>
          <w:rFonts w:ascii="IRNazanin" w:hAnsi="IRNazanin" w:eastAsia="IRNazanin"/>
          <w:color w:val="111111"/>
          <w:sz w:val="28"/>
          <w:sz w:val="28"/>
          <w:szCs w:val="28"/>
          <w:rtl w:val="true"/>
          <w:lang w:bidi="fa-IR"/>
        </w:rPr>
        <w:t xml:space="preserve">لروایتی عمّار الساباطی </w:t>
      </w:r>
      <w:r>
        <w:rPr>
          <w:rStyle w:val="FootnoteAnchor"/>
          <w:rtl w:val="true"/>
        </w:rPr>
        <w:footnoteReference w:id="1290"/>
      </w:r>
      <w:r>
        <w:rPr>
          <w:rFonts w:ascii="IRNazanin" w:hAnsi="IRNazanin" w:eastAsia="IRNazanin"/>
          <w:color w:val="111111"/>
          <w:sz w:val="28"/>
          <w:sz w:val="28"/>
          <w:szCs w:val="28"/>
          <w:rtl w:val="true"/>
          <w:lang w:bidi="fa-IR"/>
        </w:rPr>
        <w:t xml:space="preserve">و زید بن علیّ علیه السلام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الحکم لا یخلو من إشکال؛ لمخالفته للقواعد و عدم الوثوق</w:t>
      </w:r>
    </w:p>
    <w:p>
      <w:pPr>
        <w:pStyle w:val="BookText"/>
        <w:rPr/>
      </w:pPr>
      <w:r>
        <w:rPr>
          <w:rFonts w:ascii="IRNazanin" w:hAnsi="IRNazanin" w:eastAsia="IRNazanin"/>
          <w:color w:val="111111"/>
          <w:sz w:val="28"/>
          <w:sz w:val="28"/>
          <w:szCs w:val="28"/>
          <w:rtl w:val="true"/>
          <w:lang w:bidi="fa-IR"/>
        </w:rPr>
        <w:t xml:space="preserve">بالروایتین و عدم تعرّض کثیر للحکم </w:t>
      </w:r>
      <w:r>
        <w:rPr>
          <w:rStyle w:val="FootnoteAnchor"/>
          <w:rtl w:val="true"/>
        </w:rPr>
        <w:footnoteReference w:id="1292"/>
      </w:r>
      <w:r>
        <w:rPr>
          <w:rFonts w:ascii="IRNazanin" w:hAnsi="IRNazanin" w:eastAsia="IRNazanin"/>
          <w:color w:val="111111"/>
          <w:sz w:val="28"/>
          <w:sz w:val="28"/>
          <w:szCs w:val="28"/>
          <w:rtl w:val="true"/>
          <w:lang w:bidi="fa-IR"/>
        </w:rPr>
        <w:t xml:space="preserve">، الظاهر فی رجوعهم فی المسألة إلی عمومات اعتبار إسلام المغسِّل؛ و من هنا توقّف المحقّق فی المعتبر و حَکَمَ بالدفن بغیر غسل </w:t>
      </w:r>
      <w:r>
        <w:rPr>
          <w:rStyle w:val="FootnoteAnchor"/>
          <w:rtl w:val="true"/>
        </w:rPr>
        <w:footnoteReference w:id="1293"/>
      </w:r>
      <w:r>
        <w:rPr>
          <w:rFonts w:ascii="IRNazanin" w:hAnsi="IRNazanin" w:eastAsia="IRNazanin"/>
          <w:color w:val="111111"/>
          <w:sz w:val="28"/>
          <w:sz w:val="28"/>
          <w:szCs w:val="28"/>
          <w:rtl w:val="true"/>
          <w:lang w:bidi="fa-IR"/>
        </w:rPr>
        <w:t xml:space="preserve">، و حکی ذلک عن ظاهر الشهیدین </w:t>
      </w:r>
      <w:r>
        <w:rPr>
          <w:rStyle w:val="FootnoteAnchor"/>
          <w:rtl w:val="true"/>
        </w:rPr>
        <w:footnoteReference w:id="1294"/>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295"/>
      </w:r>
      <w:r>
        <w:rPr>
          <w:rFonts w:ascii="IRNazanin" w:hAnsi="IRNazanin" w:eastAsia="IRNazanin"/>
          <w:color w:val="111111"/>
          <w:sz w:val="28"/>
          <w:sz w:val="28"/>
          <w:szCs w:val="28"/>
          <w:rtl w:val="true"/>
          <w:lang w:bidi="fa-IR"/>
        </w:rPr>
        <w:t xml:space="preserve">و المحقّق الأردبیلی </w:t>
      </w:r>
      <w:r>
        <w:rPr>
          <w:rStyle w:val="FootnoteAnchor"/>
          <w:rtl w:val="true"/>
        </w:rPr>
        <w:footnoteReference w:id="1296"/>
      </w:r>
      <w:r>
        <w:rPr>
          <w:rFonts w:ascii="IRNazanin" w:hAnsi="IRNazanin" w:eastAsia="IRNazanin"/>
          <w:color w:val="111111"/>
          <w:sz w:val="28"/>
          <w:sz w:val="28"/>
          <w:szCs w:val="28"/>
          <w:rtl w:val="true"/>
          <w:lang w:bidi="fa-IR"/>
        </w:rPr>
        <w:t xml:space="preserve">و صاحب المدارک </w:t>
      </w:r>
      <w:r>
        <w:rPr>
          <w:rStyle w:val="FootnoteAnchor"/>
          <w:rtl w:val="true"/>
        </w:rPr>
        <w:footnoteReference w:id="1297"/>
      </w:r>
      <w:r>
        <w:rPr>
          <w:rFonts w:ascii="Amiri" w:hAnsi="Amiri" w:eastAsia="Amiri" w:cs="Amiri"/>
          <w:color w:val="111111"/>
          <w:sz w:val="28"/>
          <w:sz w:val="28"/>
          <w:szCs w:val="28"/>
          <w:rtl w:val="true"/>
          <w:lang w:bidi="ar-SA"/>
        </w:rPr>
        <w:t xml:space="preserve">و محشّیه </w:t>
      </w:r>
      <w:r>
        <w:rPr>
          <w:rStyle w:val="FootnoteAnchor"/>
          <w:rtl w:val="true"/>
        </w:rPr>
        <w:footnoteReference w:id="1298"/>
      </w:r>
      <w:r>
        <w:rPr>
          <w:rFonts w:ascii="IRNazanin" w:hAnsi="IRNazanin" w:eastAsia="IRNazanin"/>
          <w:color w:val="111111"/>
          <w:sz w:val="28"/>
          <w:sz w:val="28"/>
          <w:szCs w:val="28"/>
          <w:rtl w:val="true"/>
          <w:lang w:bidi="fa-IR"/>
        </w:rPr>
        <w:t xml:space="preserve">و صاحب الحدائق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لحصول الظنّ بصدق الروایتین و اشتهارهما بین أرباب الحدیث، و لا یقدح مخالفتهما للقواعد من جهة اعتبار النیّة فی الغسل بناءً علی اعتبارها فیه، و من جهة نجاسة الکافر المتعدّیة إلی المیّت، و کیف کان فهو أحوط سیّما إذا تمکّن المسلم من أمر الکافر باغتساله فی الماء الکثیر أو الجاری بحیث لا یلزم نجاسة المیّت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فلو طرأ التمکّن من الغسل الاختیاری فالأقوی عدم سقوطه وفاقاً للشهیدین </w:t>
      </w:r>
      <w:r>
        <w:rPr>
          <w:rStyle w:val="FootnoteAnchor"/>
          <w:rtl w:val="true"/>
        </w:rPr>
        <w:footnoteReference w:id="1300"/>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301"/>
      </w:r>
      <w:r>
        <w:rPr>
          <w:rFonts w:ascii="IRNazanin" w:hAnsi="IRNazanin" w:eastAsia="IRNazanin"/>
          <w:color w:val="111111"/>
          <w:sz w:val="28"/>
          <w:sz w:val="28"/>
          <w:szCs w:val="28"/>
          <w:rtl w:val="true"/>
          <w:lang w:bidi="fa-IR"/>
        </w:rPr>
        <w:t xml:space="preserve">و غیرهم </w:t>
      </w:r>
      <w:r>
        <w:rPr>
          <w:rStyle w:val="FootnoteAnchor"/>
          <w:rtl w:val="true"/>
        </w:rPr>
        <w:footnoteReference w:id="1302"/>
      </w:r>
      <w:r>
        <w:rPr>
          <w:rFonts w:ascii="IRNazanin" w:hAnsi="IRNazanin" w:eastAsia="IRNazanin"/>
          <w:color w:val="111111"/>
          <w:sz w:val="28"/>
          <w:sz w:val="28"/>
          <w:szCs w:val="28"/>
          <w:rtl w:val="true"/>
          <w:lang w:bidi="fa-IR"/>
        </w:rPr>
        <w:t>للعمومات</w:t>
      </w:r>
    </w:p>
    <w:p>
      <w:pPr>
        <w:pStyle w:val="BookText"/>
        <w:rPr/>
      </w:pPr>
      <w:r>
        <w:rPr>
          <w:rFonts w:ascii="IRNazanin" w:hAnsi="IRNazanin" w:eastAsia="IRNazanin"/>
          <w:color w:val="111111"/>
          <w:sz w:val="28"/>
          <w:sz w:val="28"/>
          <w:szCs w:val="28"/>
          <w:rtl w:val="true"/>
          <w:lang w:bidi="fa-IR"/>
        </w:rPr>
        <w:t>و عدم کفایة مجرّد وجوب الشی‌ء عند الاضطرار لبدلیّته، إلّا إذا فهم البدلیّة من دلیله، کما فی التیمّم و نحوه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المستفاد ممّا ذکره المصنّف و غیره فی هذا المقام هو أنّ اشتراط مماثلة الغاسل أو محرمیّته من الشروط المطلقة، و لا یخصّ بحال الاختیار، فلو لم یوجد أحدهما سقط الغسل، کما هو المشهور، بل عن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مقطوع به فی کلامهم </w:t>
      </w:r>
      <w:r>
        <w:rPr>
          <w:rStyle w:val="FootnoteAnchor"/>
          <w:rtl w:val="true"/>
        </w:rPr>
        <w:footnoteReference w:id="1303"/>
      </w:r>
      <w:r>
        <w:rPr>
          <w:rFonts w:ascii="IRNazanin" w:hAnsi="IRNazanin" w:eastAsia="IRNazanin"/>
          <w:color w:val="111111"/>
          <w:sz w:val="28"/>
          <w:sz w:val="28"/>
          <w:szCs w:val="28"/>
          <w:rtl w:val="true"/>
          <w:lang w:bidi="fa-IR"/>
        </w:rPr>
        <w:t xml:space="preserve">، بل المحکیّ عن التذکرة </w:t>
      </w:r>
      <w:r>
        <w:rPr>
          <w:rStyle w:val="FootnoteAnchor"/>
          <w:rtl w:val="true"/>
        </w:rPr>
        <w:footnoteReference w:id="1304"/>
      </w:r>
      <w:r>
        <w:rPr>
          <w:rFonts w:ascii="IRNazanin" w:hAnsi="IRNazanin" w:eastAsia="IRNazanin"/>
          <w:color w:val="111111"/>
          <w:sz w:val="28"/>
          <w:sz w:val="28"/>
          <w:szCs w:val="28"/>
          <w:rtl w:val="true"/>
          <w:lang w:bidi="fa-IR"/>
        </w:rPr>
        <w:t>بل عن المعتبر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305"/>
      </w:r>
      <w:r>
        <w:rPr>
          <w:rFonts w:ascii="IRNazanin" w:hAnsi="IRNazanin" w:eastAsia="IRNazanin"/>
          <w:color w:val="111111"/>
          <w:sz w:val="28"/>
          <w:sz w:val="28"/>
          <w:szCs w:val="28"/>
          <w:rtl w:val="true"/>
          <w:lang w:bidi="fa-IR"/>
        </w:rPr>
        <w:t xml:space="preserve">، و کذا عن الخلاف فی صورة موت المرأة </w:t>
      </w:r>
      <w:r>
        <w:rPr>
          <w:rStyle w:val="FootnoteAnchor"/>
          <w:rtl w:val="true"/>
        </w:rPr>
        <w:footnoteReference w:id="1306"/>
      </w:r>
      <w:r>
        <w:rPr>
          <w:rFonts w:ascii="IRNazanin" w:hAnsi="IRNazanin" w:eastAsia="IRNazanin"/>
          <w:color w:val="111111"/>
          <w:sz w:val="28"/>
          <w:sz w:val="28"/>
          <w:szCs w:val="28"/>
          <w:rtl w:val="true"/>
          <w:lang w:bidi="fa-IR"/>
        </w:rPr>
        <w:t>، و إذا لوحظ ذلک مع ما یظهر من محکیّ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الفصل بین حکمی الرجل و المرأة </w:t>
      </w:r>
      <w:r>
        <w:rPr>
          <w:rStyle w:val="FootnoteAnchor"/>
          <w:rtl w:val="true"/>
        </w:rPr>
        <w:footnoteReference w:id="1307"/>
      </w:r>
      <w:r>
        <w:rPr>
          <w:rFonts w:ascii="IRNazanin" w:hAnsi="IRNazanin" w:eastAsia="IRNazanin"/>
          <w:color w:val="111111"/>
          <w:sz w:val="28"/>
          <w:sz w:val="28"/>
          <w:szCs w:val="28"/>
          <w:rtl w:val="true"/>
          <w:lang w:bidi="fa-IR"/>
        </w:rPr>
        <w:t>، صار الإجماع علی الحکمین؛ للنصوص المستفیضة، کصحیحة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تموت فی السفر و لیس معها ذو محرم و لا 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کما هی فی ثیابها، و عن الرجل یموت فی السفر و لیس معه ذو محرم و لا 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کما هو فی ثیابه</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 xml:space="preserve">و نحوها فی الاشتمال علی حکمی الرجل و المرأة مصحّحة الکنانی </w:t>
      </w:r>
      <w:r>
        <w:rPr>
          <w:rStyle w:val="FootnoteAnchor"/>
          <w:rtl w:val="true"/>
        </w:rPr>
        <w:footnoteReference w:id="1309"/>
      </w:r>
      <w:r>
        <w:rPr>
          <w:rFonts w:ascii="IRNazanin" w:hAnsi="IRNazanin" w:eastAsia="IRNazanin"/>
          <w:color w:val="111111"/>
          <w:sz w:val="28"/>
          <w:sz w:val="28"/>
          <w:szCs w:val="28"/>
          <w:rtl w:val="true"/>
          <w:lang w:bidi="fa-IR"/>
        </w:rPr>
        <w:t xml:space="preserve">، و روایتا داود بن سرحان </w:t>
      </w:r>
      <w:r>
        <w:rPr>
          <w:rStyle w:val="FootnoteAnchor"/>
          <w:rtl w:val="true"/>
        </w:rPr>
        <w:footnoteReference w:id="1310"/>
      </w:r>
      <w:r>
        <w:rPr>
          <w:rFonts w:ascii="IRNazanin" w:hAnsi="IRNazanin" w:eastAsia="IRNazanin"/>
          <w:color w:val="111111"/>
          <w:sz w:val="28"/>
          <w:sz w:val="28"/>
          <w:szCs w:val="28"/>
          <w:rtl w:val="true"/>
          <w:lang w:bidi="fa-IR"/>
        </w:rPr>
        <w:t>و زید</w:t>
      </w:r>
    </w:p>
    <w:p>
      <w:pPr>
        <w:pStyle w:val="BookText"/>
        <w:rPr/>
      </w:pPr>
      <w:r>
        <w:rPr>
          <w:rFonts w:ascii="Amiri" w:hAnsi="Amiri" w:eastAsia="Amiri" w:cs="Amiri"/>
          <w:color w:val="111111"/>
          <w:sz w:val="28"/>
          <w:sz w:val="28"/>
          <w:szCs w:val="28"/>
          <w:rtl w:val="true"/>
          <w:lang w:bidi="ar-SA"/>
        </w:rPr>
        <w:t xml:space="preserve">الشحّام </w:t>
      </w:r>
      <w:r>
        <w:rPr>
          <w:rStyle w:val="FootnoteAnchor"/>
          <w:rtl w:val="true"/>
        </w:rPr>
        <w:footnoteReference w:id="1311"/>
      </w:r>
      <w:r>
        <w:rPr>
          <w:rFonts w:ascii="IRNazanin" w:hAnsi="IRNazanin" w:eastAsia="IRNazanin"/>
          <w:color w:val="111111"/>
          <w:sz w:val="28"/>
          <w:sz w:val="28"/>
          <w:szCs w:val="28"/>
          <w:rtl w:val="true"/>
          <w:lang w:bidi="fa-IR"/>
        </w:rPr>
        <w:t>، و مصحّحة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ماتت مع 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و تدفن و لا تغسّل</w:t>
      </w:r>
      <w:r>
        <w:rPr>
          <w:rFonts w:eastAsia="IRNazanin" w:cs="IRNazanin"/>
          <w:color w:val="111111"/>
          <w:sz w:val="28"/>
          <w:szCs w:val="28"/>
          <w:rtl w:val="true"/>
          <w:lang w:bidi="fa-IR"/>
        </w:rPr>
        <w:t xml:space="preserve">» </w:t>
      </w:r>
      <w:r>
        <w:rPr>
          <w:rStyle w:val="FootnoteAnchor"/>
          <w:rtl w:val="true"/>
        </w:rPr>
        <w:footnoteReference w:id="1312"/>
      </w:r>
      <w:r>
        <w:rPr>
          <w:rFonts w:ascii="IRNazanin" w:hAnsi="IRNazanin" w:eastAsia="IRNazanin"/>
          <w:color w:val="111111"/>
          <w:sz w:val="28"/>
          <w:sz w:val="28"/>
          <w:szCs w:val="28"/>
          <w:rtl w:val="true"/>
          <w:lang w:bidi="fa-IR"/>
        </w:rPr>
        <w:t xml:space="preserve">و نحوها روایة سماعة </w:t>
      </w:r>
      <w:r>
        <w:rPr>
          <w:rStyle w:val="FootnoteAnchor"/>
          <w:rtl w:val="true"/>
        </w:rPr>
        <w:footnoteReference w:id="1313"/>
      </w:r>
      <w:r>
        <w:rPr>
          <w:rFonts w:ascii="IRNazanin" w:hAnsi="IRNazanin" w:eastAsia="IRNazanin"/>
          <w:color w:val="111111"/>
          <w:sz w:val="28"/>
          <w:sz w:val="28"/>
          <w:szCs w:val="28"/>
          <w:rtl w:val="true"/>
          <w:lang w:bidi="fa-IR"/>
        </w:rPr>
        <w:t>، و مصحّحة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یموت فی السفر مع النساء لیس فیهنّ رجل، کیف یصنعن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یلففنه لفّاً فی ثیابه و یدفنه و لا یغسلنَّه</w:t>
      </w:r>
      <w:r>
        <w:rPr>
          <w:rFonts w:eastAsia="IRNazanin" w:cs="IRNazanin"/>
          <w:color w:val="111111"/>
          <w:sz w:val="28"/>
          <w:szCs w:val="28"/>
          <w:rtl w:val="true"/>
          <w:lang w:bidi="fa-IR"/>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للمحکی عن الشیخین </w:t>
      </w:r>
      <w:r>
        <w:rPr>
          <w:rStyle w:val="FootnoteAnchor"/>
          <w:rtl w:val="true"/>
        </w:rPr>
        <w:footnoteReference w:id="1315"/>
      </w:r>
      <w:r>
        <w:rPr>
          <w:rFonts w:ascii="IRNazanin" w:hAnsi="IRNazanin" w:eastAsia="IRNazanin"/>
          <w:color w:val="111111"/>
          <w:sz w:val="28"/>
          <w:sz w:val="28"/>
          <w:szCs w:val="28"/>
          <w:rtl w:val="true"/>
          <w:lang w:bidi="fa-IR"/>
        </w:rPr>
        <w:t xml:space="preserve">و الحلبی فی الکافی </w:t>
      </w:r>
      <w:r>
        <w:rPr>
          <w:rStyle w:val="FootnoteAnchor"/>
          <w:rtl w:val="true"/>
        </w:rPr>
        <w:footnoteReference w:id="1316"/>
      </w:r>
      <w:r>
        <w:rPr>
          <w:rFonts w:ascii="IRNazanin" w:hAnsi="IRNazanin" w:eastAsia="IRNazanin"/>
          <w:color w:val="111111"/>
          <w:sz w:val="28"/>
          <w:sz w:val="28"/>
          <w:szCs w:val="28"/>
          <w:rtl w:val="true"/>
          <w:lang w:bidi="fa-IR"/>
        </w:rPr>
        <w:t xml:space="preserve">و ابن زهرة فی الغنیة </w:t>
      </w:r>
      <w:r>
        <w:rPr>
          <w:rStyle w:val="FootnoteAnchor"/>
          <w:rtl w:val="true"/>
        </w:rPr>
        <w:footnoteReference w:id="1317"/>
      </w:r>
      <w:r>
        <w:rPr>
          <w:rFonts w:ascii="IRNazanin" w:hAnsi="IRNazanin" w:eastAsia="IRNazanin"/>
          <w:color w:val="111111"/>
          <w:sz w:val="28"/>
          <w:sz w:val="28"/>
          <w:szCs w:val="28"/>
          <w:rtl w:val="true"/>
          <w:lang w:bidi="fa-IR"/>
        </w:rPr>
        <w:t>، إلّا أنّ الأخیر جعله أحوط، و زاد کالحلبی اعتبار تغمیض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تبعهم فی المفاتیح </w:t>
      </w:r>
      <w:r>
        <w:rPr>
          <w:rStyle w:val="FootnoteAnchor"/>
          <w:rtl w:val="true"/>
        </w:rPr>
        <w:footnoteReference w:id="1318"/>
      </w:r>
      <w:r>
        <w:rPr>
          <w:rFonts w:ascii="IRNazanin" w:hAnsi="IRNazanin" w:eastAsia="IRNazanin"/>
          <w:color w:val="111111"/>
          <w:sz w:val="28"/>
          <w:sz w:val="28"/>
          <w:szCs w:val="28"/>
          <w:rtl w:val="true"/>
          <w:lang w:bidi="fa-IR"/>
        </w:rPr>
        <w:t>، فأوجبوا تغسیلها من وراء الثیاب؛ لقوله علیه السلام فی روایة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الرجل المرأة إلّا أن لا توجد المرأة</w:t>
      </w:r>
      <w:r>
        <w:rPr>
          <w:rFonts w:eastAsia="IRNazanin" w:cs="IRNazanin"/>
          <w:color w:val="111111"/>
          <w:sz w:val="28"/>
          <w:szCs w:val="28"/>
          <w:rtl w:val="true"/>
          <w:lang w:bidi="fa-IR"/>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لروایة ابن سنان عن مولانا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ماتت مع الرجال فلم یجدوا امرأة تغسّلها، غسّلها بعض الرجال من وراء الثوب، و یستحبّ أن یلفّ علی یدیه خرقة</w:t>
      </w:r>
      <w:r>
        <w:rPr>
          <w:rFonts w:eastAsia="IRNazanin" w:cs="IRNazanin"/>
          <w:color w:val="111111"/>
          <w:sz w:val="28"/>
          <w:szCs w:val="28"/>
          <w:rtl w:val="true"/>
          <w:lang w:bidi="fa-IR"/>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جابر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مات و معه نسوة لیس معهن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یصببن علیه الماء من خلف الثوب و یلففنه فی أکفانه من تحت الستر و یصلّین علیه صفّاً و یدخلنه قبره، و المرأة تموت مع الرجال لیس معهم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یصبّون الماء من خلف الثوب و یلفّونها فی أکفانها و یصلّون و یدفنون</w:t>
      </w:r>
      <w:r>
        <w:rPr>
          <w:rFonts w:eastAsia="IRNazanin" w:cs="IRNazanin"/>
          <w:color w:val="111111"/>
          <w:sz w:val="28"/>
          <w:szCs w:val="28"/>
          <w:rtl w:val="true"/>
          <w:lang w:bidi="fa-IR"/>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ماتت المرأة مع قوم لیس فیهم محرم یصبّون علیها الماء صبّاً، و رجل مات مع نسوة لیس فیهنّ له محرم، 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یصببن علیه الماء صبّاً،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یحلّ لهنّ أن یمسسن منه ما کان یحلّ لهنّ أن ینظرن إلیه و هو حیّ، فإذا بلغن الموضع الذی لا یحلّ لهنّ النظر إلیه و لا مسّه و هو حیّ صببن علیه الماء </w:t>
      </w:r>
      <w:r>
        <w:rPr>
          <w:rStyle w:val="FootnoteAnchor"/>
          <w:rtl w:val="true"/>
        </w:rPr>
        <w:footnoteReference w:id="1322"/>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زید بن علیّ علیه السلام عن آبائه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مات الرجل فی السفر مع النساء لیس فیهنّ امرأته و لا ذو محرم من نسائه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یؤزّرنه إلی الرکبتین و یصببن علیه الماء صبّاً و لا ینظرن إلی عورته و لا یلمسنه بأیدیهنّ و یطهّرنه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ضعیفة سنداً، مع قصور دلالة بعضها، و مع ذلک فالکلّ</w:t>
      </w:r>
    </w:p>
    <w:p>
      <w:pPr>
        <w:pStyle w:val="BookText"/>
        <w:rPr/>
      </w:pPr>
      <w:r>
        <w:rPr>
          <w:rFonts w:ascii="IRNazanin" w:hAnsi="IRNazanin" w:eastAsia="IRNazanin"/>
          <w:color w:val="111111"/>
          <w:sz w:val="28"/>
          <w:sz w:val="28"/>
          <w:szCs w:val="28"/>
          <w:rtl w:val="true"/>
          <w:lang w:bidi="fa-IR"/>
        </w:rPr>
        <w:t xml:space="preserve">قابل للحمل علی الاستحباب، کما عن الإستبصار </w:t>
      </w:r>
      <w:r>
        <w:rPr>
          <w:rStyle w:val="FootnoteAnchor"/>
          <w:rtl w:val="true"/>
        </w:rPr>
        <w:footnoteReference w:id="1326"/>
      </w:r>
      <w:r>
        <w:rPr>
          <w:rFonts w:ascii="IRNazanin" w:hAnsi="IRNazanin" w:eastAsia="IRNazanin"/>
          <w:color w:val="111111"/>
          <w:sz w:val="28"/>
          <w:sz w:val="28"/>
          <w:szCs w:val="28"/>
          <w:rtl w:val="true"/>
          <w:lang w:bidi="fa-IR"/>
        </w:rPr>
        <w:t xml:space="preserve">و زیادات التهذیب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یستشکل فی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النهی عن التغسیل و الأمر بدفن المیّت کما هو فی ثیابه، لکن الإشکال فی غیر محلّه؛ لعدم دلالة الأدلّة السابقة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تقییده بما إذا لم یستلزم نظراً أو لمساً محرّماً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 أخباراً شاذّة لم یعمل بها ظاهراً أحد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علی وجوب تیمّم المیّت </w:t>
      </w:r>
      <w:r>
        <w:rPr>
          <w:rStyle w:val="FootnoteAnchor"/>
          <w:rtl w:val="true"/>
        </w:rPr>
        <w:footnoteReference w:id="1328"/>
      </w:r>
      <w:r>
        <w:rPr>
          <w:rFonts w:ascii="IRNazanin" w:hAnsi="IRNazanin" w:eastAsia="IRNazanin"/>
          <w:color w:val="111111"/>
          <w:sz w:val="28"/>
          <w:sz w:val="28"/>
          <w:szCs w:val="28"/>
          <w:rtl w:val="true"/>
          <w:lang w:bidi="fa-IR"/>
        </w:rPr>
        <w:t xml:space="preserve">کما عن أبی حنیفة </w:t>
      </w:r>
      <w:r>
        <w:rPr>
          <w:rStyle w:val="FootnoteAnchor"/>
          <w:rtl w:val="true"/>
        </w:rPr>
        <w:footnoteReference w:id="1329"/>
      </w:r>
      <w:r>
        <w:rPr>
          <w:rFonts w:ascii="IRNazanin" w:hAnsi="IRNazanin" w:eastAsia="IRNazanin"/>
          <w:color w:val="111111"/>
          <w:sz w:val="28"/>
          <w:sz w:val="28"/>
          <w:szCs w:val="28"/>
          <w:rtl w:val="true"/>
          <w:lang w:bidi="fa-IR"/>
        </w:rPr>
        <w:t xml:space="preserve">، و عن التذکرة </w:t>
      </w:r>
      <w:r>
        <w:rPr>
          <w:rStyle w:val="FootnoteAnchor"/>
          <w:rtl w:val="true"/>
        </w:rPr>
        <w:footnoteReference w:id="1330"/>
      </w:r>
      <w:r>
        <w:rPr>
          <w:rFonts w:ascii="IRNazanin" w:hAnsi="IRNazanin" w:eastAsia="IRNazanin"/>
          <w:color w:val="111111"/>
          <w:sz w:val="28"/>
          <w:sz w:val="28"/>
          <w:szCs w:val="28"/>
          <w:rtl w:val="true"/>
          <w:lang w:bidi="fa-IR"/>
        </w:rPr>
        <w:t>و ظاهر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 نفیه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تغسیل مواضع التیمّم حتّی باطن الکفّین </w:t>
      </w:r>
      <w:r>
        <w:rPr>
          <w:rStyle w:val="FootnoteAnchor"/>
          <w:rtl w:val="true"/>
        </w:rPr>
        <w:footnoteReference w:id="1332"/>
      </w:r>
      <w:r>
        <w:rPr>
          <w:rFonts w:ascii="IRNazanin" w:hAnsi="IRNazanin" w:eastAsia="IRNazanin"/>
          <w:color w:val="111111"/>
          <w:sz w:val="28"/>
          <w:sz w:val="28"/>
          <w:szCs w:val="28"/>
          <w:rtl w:val="true"/>
          <w:lang w:bidi="fa-IR"/>
        </w:rPr>
        <w:t xml:space="preserve">، و هو أیضاً متروک، لکن عن المبسوط </w:t>
      </w:r>
      <w:r>
        <w:rPr>
          <w:rStyle w:val="FootnoteAnchor"/>
          <w:rtl w:val="true"/>
        </w:rPr>
        <w:footnoteReference w:id="1333"/>
      </w:r>
      <w:r>
        <w:rPr>
          <w:rFonts w:ascii="IRNazanin" w:hAnsi="IRNazanin" w:eastAsia="IRNazanin"/>
          <w:color w:val="111111"/>
          <w:sz w:val="28"/>
          <w:sz w:val="28"/>
          <w:szCs w:val="28"/>
          <w:rtl w:val="true"/>
          <w:lang w:bidi="fa-IR"/>
        </w:rPr>
        <w:t xml:space="preserve">و النهایة </w:t>
      </w:r>
      <w:r>
        <w:rPr>
          <w:rStyle w:val="FootnoteAnchor"/>
          <w:rtl w:val="true"/>
        </w:rPr>
        <w:footnoteReference w:id="1334"/>
      </w:r>
      <w:r>
        <w:rPr>
          <w:rFonts w:ascii="IRNazanin" w:hAnsi="IRNazanin" w:eastAsia="IRNazanin"/>
          <w:color w:val="111111"/>
          <w:sz w:val="28"/>
          <w:sz w:val="28"/>
          <w:szCs w:val="28"/>
          <w:rtl w:val="true"/>
          <w:lang w:bidi="fa-IR"/>
        </w:rPr>
        <w:t xml:space="preserve">و التهذیب </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العمل به، و ینبغی تقییده بما إذا لم یستلزم المحرّم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أنّه یغسل منها مواضع الوضوء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bookmarkStart w:id="159" w:name="pg13042_127128"/>
    </w:p>
    <w:p>
      <w:pPr>
        <w:pStyle w:val="BookText"/>
        <w:rPr/>
      </w:pPr>
      <w:bookmarkEnd w:id="15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یغسل کفّاها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 شاذٌّ لا قائل به ظاهراً، و الأحوط الجمع بین الکلّ فی العمل، حیث لا یستلزم محرّماً</w:t>
      </w:r>
      <w:r>
        <w:rPr>
          <w:rFonts w:eastAsia="IRNazanin" w:cs="IRNazanin"/>
          <w:color w:val="111111"/>
          <w:sz w:val="28"/>
          <w:szCs w:val="28"/>
          <w:rtl w:val="true"/>
          <w:lang w:bidi="fa-IR"/>
        </w:rPr>
        <w:t>.</w:t>
      </w:r>
    </w:p>
    <w:p>
      <w:pPr>
        <w:pStyle w:val="Heading6"/>
        <w:numPr>
          <w:ilvl w:val="5"/>
          <w:numId w:val="1"/>
        </w:numPr>
        <w:rPr/>
      </w:pPr>
      <w:bookmarkStart w:id="160" w:name="__RefHeading___Toc6530180_3224264995"/>
      <w:bookmarkStart w:id="161" w:name="_Toc62"/>
      <w:bookmarkEnd w:id="160"/>
      <w:r>
        <w:rPr>
          <w:rtl w:val="true"/>
        </w:rPr>
        <w:t>[</w:t>
      </w:r>
      <w:r>
        <w:rPr>
          <w:rtl w:val="true"/>
        </w:rPr>
        <w:t>وجوب إزالة النجاسة عن بدن المیت أولا</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إزالة النجاسة </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العرضیّة عن بدنه، بلا خلاف ظاهراً کما عن المنتهی </w:t>
      </w:r>
      <w:r>
        <w:rPr>
          <w:rStyle w:val="FootnoteAnchor"/>
          <w:rtl w:val="true"/>
        </w:rPr>
        <w:footnoteReference w:id="1339"/>
      </w:r>
      <w:r>
        <w:rPr>
          <w:rFonts w:ascii="IRNazanin" w:hAnsi="IRNazanin" w:eastAsia="IRNazanin"/>
          <w:color w:val="111111"/>
          <w:sz w:val="28"/>
          <w:sz w:val="28"/>
          <w:szCs w:val="28"/>
          <w:rtl w:val="true"/>
          <w:lang w:bidi="fa-IR"/>
        </w:rPr>
        <w:t xml:space="preserve">و مجمع البرهان </w:t>
      </w:r>
      <w:r>
        <w:rPr>
          <w:rStyle w:val="FootnoteAnchor"/>
          <w:rtl w:val="true"/>
        </w:rPr>
        <w:footnoteReference w:id="1340"/>
      </w:r>
      <w:r>
        <w:rPr>
          <w:rFonts w:ascii="IRNazanin" w:hAnsi="IRNazanin" w:eastAsia="IRNazanin"/>
          <w:color w:val="111111"/>
          <w:sz w:val="28"/>
          <w:sz w:val="28"/>
          <w:szCs w:val="28"/>
          <w:rtl w:val="true"/>
          <w:lang w:bidi="fa-IR"/>
        </w:rPr>
        <w:t xml:space="preserve">و الذخیرة </w:t>
      </w:r>
      <w:r>
        <w:rPr>
          <w:rStyle w:val="FootnoteAnchor"/>
          <w:rtl w:val="true"/>
        </w:rPr>
        <w:footnoteReference w:id="1341"/>
      </w:r>
      <w:r>
        <w:rPr>
          <w:rFonts w:ascii="IRNazanin" w:hAnsi="IRNazanin" w:eastAsia="IRNazanin"/>
          <w:color w:val="111111"/>
          <w:sz w:val="28"/>
          <w:sz w:val="28"/>
          <w:szCs w:val="28"/>
          <w:rtl w:val="true"/>
          <w:lang w:bidi="fa-IR"/>
        </w:rPr>
        <w:t xml:space="preserve">و الحدائق </w:t>
      </w:r>
      <w:r>
        <w:rPr>
          <w:rStyle w:val="FootnoteAnchor"/>
          <w:rtl w:val="true"/>
        </w:rPr>
        <w:footnoteReference w:id="1342"/>
      </w:r>
      <w:r>
        <w:rPr>
          <w:rFonts w:ascii="IRNazanin" w:hAnsi="IRNazanin" w:eastAsia="IRNazanin"/>
          <w:color w:val="111111"/>
          <w:sz w:val="28"/>
          <w:sz w:val="28"/>
          <w:szCs w:val="28"/>
          <w:rtl w:val="true"/>
          <w:lang w:bidi="fa-IR"/>
        </w:rPr>
        <w:t xml:space="preserve">، و عن التذکرة </w:t>
      </w:r>
      <w:r>
        <w:rPr>
          <w:rStyle w:val="FootnoteAnchor"/>
          <w:rtl w:val="true"/>
        </w:rPr>
        <w:footnoteReference w:id="1343"/>
      </w:r>
      <w:r>
        <w:rPr>
          <w:rFonts w:ascii="IRNazanin" w:hAnsi="IRNazanin" w:eastAsia="IRNazanin"/>
          <w:color w:val="111111"/>
          <w:sz w:val="28"/>
          <w:sz w:val="28"/>
          <w:szCs w:val="28"/>
          <w:rtl w:val="true"/>
          <w:lang w:bidi="fa-IR"/>
        </w:rPr>
        <w:t xml:space="preserve">و النهایة </w:t>
      </w:r>
      <w:r>
        <w:rPr>
          <w:rStyle w:val="FootnoteAnchor"/>
          <w:rtl w:val="true"/>
        </w:rPr>
        <w:footnoteReference w:id="1344"/>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علیه کما عن المعتبر </w:t>
      </w:r>
      <w:r>
        <w:rPr>
          <w:rStyle w:val="FootnoteAnchor"/>
          <w:rtl w:val="true"/>
        </w:rPr>
        <w:footnoteReference w:id="1346"/>
      </w:r>
      <w:r>
        <w:rPr>
          <w:rFonts w:ascii="IRNazanin" w:hAnsi="IRNazanin" w:eastAsia="IRNazanin"/>
          <w:color w:val="111111"/>
          <w:sz w:val="28"/>
          <w:sz w:val="28"/>
          <w:szCs w:val="28"/>
          <w:rtl w:val="true"/>
          <w:lang w:bidi="fa-IR"/>
        </w:rPr>
        <w:t xml:space="preserve">و الذکری </w:t>
      </w:r>
      <w:r>
        <w:rPr>
          <w:rStyle w:val="FootnoteAnchor"/>
          <w:rtl w:val="true"/>
        </w:rPr>
        <w:footnoteReference w:id="1347"/>
      </w:r>
      <w:r>
        <w:rPr>
          <w:rFonts w:ascii="IRNazanin" w:hAnsi="IRNazanin" w:eastAsia="IRNazanin"/>
          <w:color w:val="111111"/>
          <w:sz w:val="28"/>
          <w:sz w:val="28"/>
          <w:szCs w:val="28"/>
          <w:rtl w:val="true"/>
          <w:lang w:bidi="fa-IR"/>
        </w:rPr>
        <w:t xml:space="preserve">بتوقّف التطهیر علیها، و أولویّة إزالتها من إزالة النجاسة الحکمیّة، و صون ماء الغسل عن النجاسة، و لخبر یونس </w:t>
      </w:r>
      <w:r>
        <w:rPr>
          <w:rStyle w:val="FootnoteAnchor"/>
          <w:rtl w:val="true"/>
        </w:rPr>
        <w:footnoteReference w:id="1348"/>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التعلیل الأوّل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الشرطی، و مقتضی الثانی</w:t>
      </w:r>
    </w:p>
    <w:p>
      <w:pPr>
        <w:pStyle w:val="BookText"/>
        <w:rPr/>
      </w:pPr>
      <w:r>
        <w:rPr>
          <w:rFonts w:ascii="IRNazanin" w:hAnsi="IRNazanin" w:eastAsia="IRNazanin"/>
          <w:color w:val="111111"/>
          <w:sz w:val="28"/>
          <w:sz w:val="28"/>
          <w:szCs w:val="28"/>
          <w:rtl w:val="true"/>
          <w:lang w:bidi="fa-IR"/>
        </w:rPr>
        <w:t>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تقدیمها علی الغسل، إلّا أنّ ظاهر أکثر الفتاوی و معاقد الإجماعات هو وجوب الابتداء بها، لکن التأمّل التامّ فیها یقتضی أنّ الوجوب فی کلامهم راجع إلی أصل الفعل، لا إلی الابتداء به، و ذکر الابتداء من باب الفرد الغالب المتعارف، و لکونه أسهل و أسلم عن سرایة النجاسة إلی المواضع الأُخر من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ذکروه فی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إزالة النجاسة أوّلًا ثمّ الاغتسال ثانیاً، کما عبّر به فی القواعد </w:t>
      </w:r>
      <w:r>
        <w:rPr>
          <w:rStyle w:val="FootnoteAnchor"/>
          <w:rtl w:val="true"/>
        </w:rPr>
        <w:footnoteReference w:id="1349"/>
      </w:r>
      <w:r>
        <w:rPr>
          <w:rFonts w:ascii="IRNazanin" w:hAnsi="IRNazanin" w:eastAsia="IRNazanin"/>
          <w:color w:val="111111"/>
          <w:sz w:val="28"/>
          <w:sz w:val="28"/>
          <w:szCs w:val="28"/>
          <w:rtl w:val="true"/>
          <w:lang w:bidi="fa-IR"/>
        </w:rPr>
        <w:t>، بل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المفروض علی من أراد غسل الجنابة البول ثمّ غسل ما فی بدنه من نجاسة ثمّ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Style w:val="FootnoteAnchor"/>
          <w:rtl w:val="true"/>
        </w:rPr>
        <w:footnoteReference w:id="1350"/>
      </w:r>
      <w:r>
        <w:rPr>
          <w:rFonts w:ascii="IRNazanin" w:hAnsi="IRNazanin" w:eastAsia="IRNazanin"/>
          <w:color w:val="111111"/>
          <w:sz w:val="28"/>
          <w:sz w:val="28"/>
          <w:szCs w:val="28"/>
          <w:rtl w:val="true"/>
          <w:lang w:bidi="fa-IR"/>
        </w:rPr>
        <w:t>، ثمّ صرّح هو بانعقاد الإجماع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صرّح الأصحاب من غیر خلاف یعرف بإزالة النجاسة أوّلًا ثمّ الغسل ثانیاً </w:t>
      </w:r>
      <w:r>
        <w:rPr>
          <w:rStyle w:val="FootnoteAnchor"/>
          <w:rtl w:val="true"/>
        </w:rPr>
        <w:footnoteReference w:id="13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الأخبار الواردة فی غسل الجنابة </w:t>
      </w:r>
      <w:r>
        <w:rPr>
          <w:rStyle w:val="FootnoteAnchor"/>
          <w:rtl w:val="true"/>
        </w:rPr>
        <w:footnoteReference w:id="1352"/>
      </w:r>
      <w:r>
        <w:rPr>
          <w:rFonts w:ascii="IRNazanin" w:hAnsi="IRNazanin" w:eastAsia="IRNazanin"/>
          <w:color w:val="111111"/>
          <w:sz w:val="28"/>
          <w:sz w:val="28"/>
          <w:szCs w:val="28"/>
          <w:rtl w:val="true"/>
          <w:lang w:bidi="fa-IR"/>
        </w:rPr>
        <w:t>أیضاً وجوب تقدیم الإزالة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المستدلّین بالدلیلین المذکورین قد عنونوا المسألة بما ظاهره وجوب الابتداء، مع ما عرفت من أنّ شیئاً من الدلیلین لا إشعار فیه بوجوب الابتداء، ففی محکیّ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الواجب أمامه یعنی أمام الغسل إزالة النجاسة عن بدنه </w:t>
      </w:r>
      <w:r>
        <w:rPr>
          <w:rStyle w:val="FootnoteAnchor"/>
          <w:rtl w:val="true"/>
        </w:rPr>
        <w:footnoteReference w:id="1353"/>
      </w:r>
      <w:r>
        <w:rPr>
          <w:rFonts w:ascii="IRNazanin" w:hAnsi="IRNazanin" w:eastAsia="IRNazanin"/>
          <w:color w:val="111111"/>
          <w:sz w:val="28"/>
          <w:sz w:val="28"/>
          <w:szCs w:val="28"/>
          <w:rtl w:val="true"/>
          <w:lang w:bidi="fa-IR"/>
        </w:rPr>
        <w:t>، و فی محکیّ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w:t>
      </w:r>
    </w:p>
    <w:p>
      <w:pPr>
        <w:pStyle w:val="BookText"/>
        <w:rPr/>
      </w:pPr>
      <w:r>
        <w:rPr>
          <w:rFonts w:ascii="IRNazanin" w:hAnsi="IRNazanin" w:eastAsia="IRNazanin"/>
          <w:color w:val="111111"/>
          <w:sz w:val="28"/>
          <w:sz w:val="28"/>
          <w:szCs w:val="28"/>
          <w:rtl w:val="true"/>
          <w:lang w:bidi="fa-IR"/>
        </w:rPr>
        <w:t xml:space="preserve">یبدأ بإزالة النجاسة من بدنه إجماعاً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محکیّ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إزالة النجاسة عن بدنه أوّلًا </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إزالة النجاسة العرضیّة من بدنه أوّلًا؛ لتوقّف التطهیر علیها، و أولویّة إزالتها علی الحکمیّة، و لخبر یونس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فلا یبقی للمتأمّل شبهة فی أنّ مرادهم بهذه العبارات بیان أصل الوجوب لا وجوب التقدیم، و إن کان ظاهرها یوهم ذلک، کما اعترف به فی جامع المقاصد فی باب غسل الجنابة فی شرح قول المصنّف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إزالة النجاسة أوّلًا، ثمّ الاغتسال ثانیاً</w:t>
      </w:r>
      <w:r>
        <w:rPr>
          <w:rFonts w:eastAsia="IRNazanin" w:cs="IRNazanin"/>
          <w:color w:val="111111"/>
          <w:sz w:val="28"/>
          <w:szCs w:val="28"/>
          <w:rtl w:val="true"/>
          <w:lang w:bidi="fa-IR"/>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فساد ما اعترضه فی المدارک </w:t>
      </w:r>
      <w:r>
        <w:rPr>
          <w:rStyle w:val="FootnoteAnchor"/>
          <w:rtl w:val="true"/>
        </w:rPr>
        <w:footnoteReference w:id="1358"/>
      </w:r>
      <w:r>
        <w:rPr>
          <w:rFonts w:ascii="IRNazanin" w:hAnsi="IRNazanin" w:eastAsia="IRNazanin"/>
          <w:color w:val="111111"/>
          <w:sz w:val="28"/>
          <w:sz w:val="28"/>
          <w:szCs w:val="28"/>
          <w:rtl w:val="true"/>
          <w:lang w:bidi="fa-IR"/>
        </w:rPr>
        <w:t xml:space="preserve">علی جدّه قدّس سرّه فی الروض، حیث یظهر منه انّ وجوب الإزالة هنا نظیر وجوبها فی غسل الجنابة، فیکفی طهارة کلّ جزء من البدن قبل غسله، و تبعه فی ذلک بعض متأخّری المتأخّرین </w:t>
      </w:r>
      <w:r>
        <w:rPr>
          <w:rStyle w:val="FootnoteAnchor"/>
          <w:rtl w:val="true"/>
        </w:rPr>
        <w:footnoteReference w:id="1359"/>
      </w:r>
      <w:r>
        <w:rPr>
          <w:rFonts w:ascii="IRNazanin" w:hAnsi="IRNazanin" w:eastAsia="IRNazanin"/>
          <w:color w:val="111111"/>
          <w:sz w:val="28"/>
          <w:sz w:val="28"/>
          <w:szCs w:val="28"/>
          <w:rtl w:val="true"/>
          <w:lang w:bidi="fa-IR"/>
        </w:rPr>
        <w:t>، فاعترض علی کاشف اللثام، حیث صرّح بذلک أیضاً فی شرح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أن یبدأ الغاسل بإزالة النجاسة عن بدنه</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 بل یظهر من کلامه أنّ هذا هو المراد من الفتاوی و معاقد الإجماعات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خلوّ کثیر من کلمات الأصحاب التی حکاها کاشف اللثام عن بیان وجوب تقدیم الإزالة، بل فی بعضها </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الإزالة من دون الوجوب، و فی بعضها </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الإزالة من دون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صرّح فی بعضها بالأمرین </w:t>
      </w:r>
      <w:r>
        <w:rPr>
          <w:rStyle w:val="FootnoteAnchor"/>
          <w:rtl w:val="true"/>
        </w:rPr>
        <w:footnoteReference w:id="1363"/>
      </w:r>
      <w:r>
        <w:rPr>
          <w:rFonts w:ascii="IRNazanin" w:hAnsi="IRNazanin" w:eastAsia="IRNazanin"/>
          <w:color w:val="111111"/>
          <w:sz w:val="28"/>
          <w:sz w:val="28"/>
          <w:szCs w:val="28"/>
          <w:rtl w:val="true"/>
          <w:lang w:bidi="fa-IR"/>
        </w:rPr>
        <w:t xml:space="preserve">، مع أنّه لا دلیل علی وجوب التقدیم بعد ما عرفت المراد من معاقد الإجماعات، کما لا یخفی علی من تتبّع الأخبار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قد یظهر من بعضها الأمر بغسل الفرج، و الظاهر أنّه للاستحباب فی کلّ غسل من أغساله الثلاثة، کما یظهر من روایة الحلبی </w:t>
      </w:r>
      <w:r>
        <w:rPr>
          <w:rStyle w:val="FootnoteAnchor"/>
          <w:rtl w:val="true"/>
        </w:rPr>
        <w:footnoteReference w:id="1365"/>
      </w:r>
      <w:r>
        <w:rPr>
          <w:rFonts w:ascii="IRNazanin" w:hAnsi="IRNazanin" w:eastAsia="IRNazanin"/>
          <w:color w:val="111111"/>
          <w:sz w:val="28"/>
          <w:sz w:val="28"/>
          <w:szCs w:val="28"/>
          <w:rtl w:val="true"/>
          <w:lang w:bidi="fa-IR"/>
        </w:rPr>
        <w:t xml:space="preserve">و مرسلة یونس </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 ظهور بعض الأخبار فی ذلک کان سبیله سبیل الأخبار الواردة فی غسل الجنابة الآمرة بوجوب غسل النجاسة أوّلًا ثمّ الغسل ثانیاً </w:t>
      </w:r>
      <w:r>
        <w:rPr>
          <w:rStyle w:val="FootnoteAnchor"/>
          <w:rtl w:val="true"/>
        </w:rPr>
        <w:footnoteReference w:id="1367"/>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روایة العلاء بن سیابة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قتل و قطع رأسه فی معصیة اللّٰه، فإنّه یغسل منه أوّلًا الدم ثمّ یصبّ علیه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الوجه فی ذلک أنّ مقطوع الرأس لا یمکن الابتداء بتغسیله إلّا</w:t>
      </w:r>
    </w:p>
    <w:p>
      <w:pPr>
        <w:pStyle w:val="BookText"/>
        <w:rPr/>
      </w:pPr>
      <w:r>
        <w:rPr>
          <w:rFonts w:ascii="IRNazanin" w:hAnsi="IRNazanin" w:eastAsia="IRNazanin"/>
          <w:color w:val="111111"/>
          <w:sz w:val="28"/>
          <w:sz w:val="28"/>
          <w:szCs w:val="28"/>
          <w:rtl w:val="true"/>
          <w:lang w:bidi="fa-IR"/>
        </w:rPr>
        <w:t>بعد غسل الدم من رأسه و رقبته و سائر بدنه، فالاستدلال بها علی وجوب التقدیم و لو فی صورة عدم توقّف تغسیل عضو علیه، غلط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من أدلّة وجوب تقدیم إزالة نجاسة کلّ عضو علی غُسلها بضمّ الغین و هو کاف فی ذلک بعد الإجماعات المتقدّمة </w:t>
      </w:r>
      <w:r>
        <w:rPr>
          <w:rStyle w:val="FootnoteAnchor"/>
          <w:rtl w:val="true"/>
        </w:rPr>
        <w:footnoteReference w:id="1369"/>
      </w:r>
      <w:r>
        <w:rPr>
          <w:rFonts w:ascii="IRNazanin" w:hAnsi="IRNazanin" w:eastAsia="IRNazanin"/>
          <w:color w:val="111111"/>
          <w:sz w:val="28"/>
          <w:sz w:val="28"/>
          <w:szCs w:val="28"/>
          <w:rtl w:val="true"/>
          <w:lang w:bidi="fa-IR"/>
        </w:rPr>
        <w:t xml:space="preserve">المحکیّة، و ما دلّ علی أنّها کغسل الجنابة أو عینه </w:t>
      </w:r>
      <w:r>
        <w:rPr>
          <w:rStyle w:val="FootnoteAnchor"/>
          <w:rtl w:val="true"/>
        </w:rPr>
        <w:footnoteReference w:id="1370"/>
      </w:r>
      <w:r>
        <w:rPr>
          <w:rFonts w:ascii="IRNazanin" w:hAnsi="IRNazanin" w:eastAsia="IRNazanin"/>
          <w:color w:val="111111"/>
          <w:sz w:val="28"/>
          <w:sz w:val="28"/>
          <w:szCs w:val="28"/>
          <w:rtl w:val="true"/>
          <w:lang w:bidi="fa-IR"/>
        </w:rPr>
        <w:t>بناءً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طهارة محلّ الغسل فیه، کما تقدّم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إزالة النجاسة هنا ممتنعة؛ لملاقاة ماء الإزالة لبدن المیّت المفروض کونه نجس العین قبل الغسل، و لذا ربما یحتمل التزام کفایة مجرّد مسح النجاسة عنه لئلّا یمتزج عینها بماء الغسل، سیّما بناءً علی أنّ نجس العین لا یتنجّس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الإشکال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ما ثبت بالإجماع بل الضرورة ثبوت حال طهارة للمیّت بعد الغُسل بالضمّ و إن کان ملوّثاً قبله بالنجاسة العرضیّة، فیدور الأمر حینئذٍ بین التزام عدم انفعال المیّت بالنجاسة العرضیّة، و بین التزام العفو عن ملاقاة ماء الإزالة لنجس العین، و بین کفایة الغُسل بالضمّ لرفع العینیّة و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الأوّل ضعیف بما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انفعال الأعیان النجسة بملاقاة نجاسة أُخری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الثالث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التزام العفو عن ملاقاة ماء الغُسل بالضمّ للنجاسة العرضیّة لیس بأولی من التزام العفو عن ملاقاة ماء</w:t>
      </w:r>
    </w:p>
    <w:p>
      <w:pPr>
        <w:pStyle w:val="BookText"/>
        <w:rPr/>
      </w:pPr>
      <w:r>
        <w:rPr>
          <w:rFonts w:ascii="IRNazanin" w:hAnsi="IRNazanin" w:eastAsia="IRNazanin"/>
          <w:color w:val="111111"/>
          <w:sz w:val="28"/>
          <w:sz w:val="28"/>
          <w:szCs w:val="28"/>
          <w:rtl w:val="true"/>
          <w:lang w:bidi="fa-IR"/>
        </w:rPr>
        <w:t>الغسل بالفتح للنجاسة العینیّة، فیرجع إلی أصالة عدم کفایة الغسل بالضمّ لإزالة العینیّة و العرضیّة فتعیّن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بوجوب الإزالة الوجوب الشرطی، نظیر وجوبها لغسل الجنابة لأجل الغسل، و أمّا وجوب الإزالة نفساً و إن حدث النجاسة بعد الغسل فهو أمر آخر سیجی‌ء تعرّض المصنّف له، و کأنّ هذا مراد من استدلّ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إزالة النجاسة العینیّة أولی من الحکمیّة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ما فی کلام کاشف اللثام فی تقریر الإشکال الثانی و دفعه، حیث قال فی مقام تضعیف القول المشهور بعد أن منع اعتبار طهارة المحلّ فی غسل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نزید هنا أنّ بدن المیّت نجس ینجّس الماء لا یطهر إلّا بعد الغسل، فالتقدیم ممتنع إلّا أن تجوز الطهارة من نجاسة دون اخری و لم یعهد، فالظاهر أنّ الفاضلین و کلّ من ذکر تقدیم الإزالة أرادوا إزالة العین؛ لئلّا یمتزج بماء الغسل و إن لم یحصل التطهیر </w:t>
      </w:r>
      <w:r>
        <w:rPr>
          <w:rStyle w:val="FootnoteAnchor"/>
          <w:rtl w:val="true"/>
        </w:rPr>
        <w:footnoteReference w:id="137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المقصود من طهارة المحلّ عن نجاسة دون أُخری إلّا زوال الأحکام الشرعیّة المترتّبة علی النجاسة دون المترتّبة علی اخری، و لا استبعاد فی ذلک أصلًا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استظهره من الفاضلین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أنّهم بنوا علی عدم تنجّس المیّت بالنجاسة العرضیّة کما هو أحد الوجوه التی ذکرنا أنّه لا بدّ من التزام أحدها فلا معنی لقوله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یحصل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أنّهم بنوا علی أنّ النجاسة العرضیّة لا یحصل التطهیر منها بعد إزالة العین، و إنّما تحصل مع حصول الطهارة من النجاسة العینیّة الحاصلة بالغسل،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منافٍ لما اختاروه فی باب غسل الجنابة المتّحد مع هذا الغسل حکماً من وجوب طهارة محلّ الغسل </w:t>
      </w:r>
      <w:r>
        <w:rPr>
          <w:rStyle w:val="FootnoteAnchor"/>
          <w:rtl w:val="true"/>
        </w:rPr>
        <w:footnoteReference w:id="1373"/>
      </w:r>
      <w:r>
        <w:rPr>
          <w:rFonts w:ascii="Amiri" w:hAnsi="Amiri" w:eastAsia="Amiri" w:cs="Amiri"/>
          <w:color w:val="111111"/>
          <w:sz w:val="28"/>
          <w:sz w:val="28"/>
          <w:szCs w:val="28"/>
          <w:rtl w:val="true"/>
          <w:lang w:bidi="ar-SA"/>
        </w:rPr>
        <w:t>، بل مناقض لما استدلّوا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صون ماء الغسل عن النجاسة </w:t>
      </w:r>
      <w:r>
        <w:rPr>
          <w:rStyle w:val="FootnoteAnchor"/>
          <w:rtl w:val="true"/>
        </w:rPr>
        <w:footnoteReference w:id="1374"/>
      </w:r>
      <w:r>
        <w:rPr>
          <w:rFonts w:ascii="IRNazanin" w:hAnsi="IRNazanin" w:eastAsia="IRNazanin"/>
          <w:color w:val="111111"/>
          <w:sz w:val="28"/>
          <w:sz w:val="28"/>
          <w:szCs w:val="28"/>
          <w:rtl w:val="true"/>
          <w:lang w:bidi="fa-IR"/>
        </w:rPr>
        <w:t>إذ لا فرق فی تأثّر النجاسة العرضیّة بین بقاء عینها و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المصنّف هنا الالتزام بالمذهب المشهور فی جمیع کتبه </w:t>
      </w:r>
      <w:r>
        <w:rPr>
          <w:rStyle w:val="FootnoteAnchor"/>
          <w:rtl w:val="true"/>
        </w:rPr>
        <w:footnoteReference w:id="1375"/>
      </w:r>
      <w:r>
        <w:rPr>
          <w:rFonts w:ascii="IRNazanin" w:hAnsi="IRNazanin" w:eastAsia="IRNazanin"/>
          <w:color w:val="111111"/>
          <w:sz w:val="28"/>
          <w:sz w:val="28"/>
          <w:szCs w:val="28"/>
          <w:rtl w:val="true"/>
          <w:lang w:bidi="fa-IR"/>
        </w:rPr>
        <w:t xml:space="preserve">، حتّی فی نهایته مدّعیاً فیها الإجماع </w:t>
      </w:r>
      <w:r>
        <w:rPr>
          <w:rStyle w:val="FootnoteAnchor"/>
          <w:rtl w:val="true"/>
        </w:rPr>
        <w:footnoteReference w:id="1376"/>
      </w:r>
      <w:r>
        <w:rPr>
          <w:rFonts w:ascii="IRNazanin" w:hAnsi="IRNazanin" w:eastAsia="IRNazanin"/>
          <w:color w:val="111111"/>
          <w:sz w:val="28"/>
          <w:sz w:val="28"/>
          <w:szCs w:val="28"/>
          <w:rtl w:val="true"/>
          <w:lang w:bidi="fa-IR"/>
        </w:rPr>
        <w:t xml:space="preserve">، مع أنّه اختار فی غسل الجنابة من ذلک الکتاب عدم اعتبار خلوّ المحلّ من النجاسة </w:t>
      </w:r>
      <w:r>
        <w:rPr>
          <w:rStyle w:val="FootnoteAnchor"/>
          <w:rtl w:val="true"/>
        </w:rPr>
        <w:footnoteReference w:id="1377"/>
      </w:r>
      <w:r>
        <w:rPr>
          <w:rFonts w:ascii="IRNazanin" w:hAnsi="IRNazanin" w:eastAsia="IRNazanin"/>
          <w:color w:val="111111"/>
          <w:sz w:val="28"/>
          <w:sz w:val="28"/>
          <w:szCs w:val="28"/>
          <w:rtl w:val="true"/>
          <w:lang w:bidi="fa-IR"/>
        </w:rPr>
        <w:t xml:space="preserve">، فلعلّ الخصوصیّة فی هذا الغسل للأخبار أو الإجماع، أو المراد منه صورة الغسل بالماء القلیل مع کون النجاسة فی غیر الجزء الآخر من العضو، فإنّه مع هذین القیدین کما هو الغالب یعتبر طهارة المحلّ أیضاً، کما صرّح به فی محکیّ النهایة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یشرع فی تغسیله مقارناً للنیّة کما عن الخلاف </w:t>
      </w:r>
      <w:r>
        <w:rPr>
          <w:rStyle w:val="FootnoteAnchor"/>
          <w:rtl w:val="true"/>
        </w:rPr>
        <w:footnoteReference w:id="1379"/>
      </w:r>
      <w:r>
        <w:rPr>
          <w:rFonts w:ascii="IRNazanin" w:hAnsi="IRNazanin" w:eastAsia="IRNazanin"/>
          <w:color w:val="111111"/>
          <w:sz w:val="28"/>
          <w:sz w:val="28"/>
          <w:szCs w:val="28"/>
          <w:rtl w:val="true"/>
          <w:lang w:bidi="fa-IR"/>
        </w:rPr>
        <w:t xml:space="preserve">و الکافی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و المهذّب </w:t>
      </w:r>
      <w:r>
        <w:rPr>
          <w:rStyle w:val="FootnoteAnchor"/>
          <w:rtl w:val="true"/>
        </w:rPr>
        <w:footnoteReference w:id="1381"/>
      </w:r>
      <w:r>
        <w:rPr>
          <w:rFonts w:ascii="IRNazanin" w:hAnsi="IRNazanin" w:eastAsia="IRNazanin"/>
          <w:color w:val="111111"/>
          <w:sz w:val="28"/>
          <w:sz w:val="28"/>
          <w:szCs w:val="28"/>
          <w:rtl w:val="true"/>
          <w:lang w:bidi="fa-IR"/>
        </w:rPr>
        <w:t xml:space="preserve">، بل هو المشهور کما عن جماعة </w:t>
      </w:r>
      <w:r>
        <w:rPr>
          <w:rStyle w:val="FootnoteAnchor"/>
          <w:rtl w:val="true"/>
        </w:rPr>
        <w:footnoteReference w:id="1382"/>
      </w:r>
      <w:r>
        <w:rPr>
          <w:rFonts w:ascii="IRNazanin" w:hAnsi="IRNazanin" w:eastAsia="IRNazanin"/>
          <w:color w:val="111111"/>
          <w:sz w:val="28"/>
          <w:sz w:val="28"/>
          <w:szCs w:val="28"/>
          <w:rtl w:val="true"/>
          <w:lang w:bidi="fa-IR"/>
        </w:rPr>
        <w:t xml:space="preserve">، بل نسبه فی جامع المقاصد تارةً إلی المتأخّرین کافة، عدا المحقّق فی المعتبر، و أُخری جعله مقتضی المذهب </w:t>
      </w:r>
      <w:r>
        <w:rPr>
          <w:rStyle w:val="FootnoteAnchor"/>
          <w:rtl w:val="true"/>
        </w:rPr>
        <w:footnoteReference w:id="1383"/>
      </w:r>
      <w:r>
        <w:rPr>
          <w:rFonts w:ascii="IRNazanin" w:hAnsi="IRNazanin" w:eastAsia="IRNazanin"/>
          <w:color w:val="111111"/>
          <w:sz w:val="28"/>
          <w:sz w:val="28"/>
          <w:szCs w:val="28"/>
          <w:rtl w:val="true"/>
          <w:lang w:bidi="fa-IR"/>
        </w:rPr>
        <w:t xml:space="preserve">، بل و عن المعتبر </w:t>
      </w:r>
      <w:r>
        <w:rPr>
          <w:rStyle w:val="FootnoteAnchor"/>
          <w:rtl w:val="true"/>
        </w:rPr>
        <w:footnoteReference w:id="1384"/>
      </w:r>
      <w:r>
        <w:rPr>
          <w:rFonts w:ascii="IRNazanin" w:hAnsi="IRNazanin" w:eastAsia="IRNazanin"/>
          <w:color w:val="111111"/>
          <w:sz w:val="28"/>
          <w:sz w:val="28"/>
          <w:szCs w:val="28"/>
          <w:rtl w:val="true"/>
          <w:lang w:bidi="fa-IR"/>
        </w:rPr>
        <w:t xml:space="preserve">و الذکری </w:t>
      </w:r>
      <w:r>
        <w:rPr>
          <w:rStyle w:val="FootnoteAnchor"/>
          <w:rtl w:val="true"/>
        </w:rPr>
        <w:footnoteReference w:id="138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الإجماع عن الخلاف علی اعتبارها، و إن ذکر کاشف اللثام </w:t>
      </w:r>
      <w:r>
        <w:rPr>
          <w:rStyle w:val="FootnoteAnchor"/>
          <w:rtl w:val="true"/>
        </w:rPr>
        <w:footnoteReference w:id="1387"/>
      </w:r>
      <w:r>
        <w:rPr>
          <w:rFonts w:ascii="IRNazanin" w:hAnsi="IRNazanin" w:eastAsia="IRNazanin"/>
          <w:color w:val="111111"/>
          <w:sz w:val="28"/>
          <w:sz w:val="28"/>
          <w:szCs w:val="28"/>
          <w:rtl w:val="true"/>
          <w:lang w:bidi="fa-IR"/>
        </w:rPr>
        <w:t xml:space="preserve">و غیره </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نجده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 عموم الکتاب </w:t>
      </w:r>
      <w:r>
        <w:rPr>
          <w:rStyle w:val="FootnoteAnchor"/>
          <w:rtl w:val="true"/>
        </w:rPr>
        <w:footnoteReference w:id="1389"/>
      </w:r>
      <w:r>
        <w:rPr>
          <w:rFonts w:ascii="Amiri" w:hAnsi="Amiri" w:eastAsia="Amiri" w:cs="Amiri"/>
          <w:color w:val="111111"/>
          <w:sz w:val="28"/>
          <w:sz w:val="28"/>
          <w:szCs w:val="28"/>
          <w:rtl w:val="true"/>
          <w:lang w:bidi="ar-SA"/>
        </w:rPr>
        <w:t xml:space="preserve">و السنّة </w:t>
      </w:r>
      <w:r>
        <w:rPr>
          <w:rStyle w:val="FootnoteAnchor"/>
          <w:rtl w:val="true"/>
        </w:rPr>
        <w:footnoteReference w:id="1390"/>
      </w:r>
      <w:r>
        <w:rPr>
          <w:rFonts w:ascii="IRNazanin" w:hAnsi="IRNazanin" w:eastAsia="IRNazanin"/>
          <w:color w:val="111111"/>
          <w:sz w:val="28"/>
          <w:sz w:val="28"/>
          <w:szCs w:val="28"/>
          <w:rtl w:val="true"/>
          <w:lang w:bidi="fa-IR"/>
        </w:rPr>
        <w:t xml:space="preserve">الدالّ علی اعتبار نیّة التقرّب فی کلّ عمل خرج ما خرج، و لکونه مثل غسل الجنابة کما فی صحیحة ابن مسلم </w:t>
      </w:r>
      <w:r>
        <w:rPr>
          <w:rStyle w:val="FootnoteAnchor"/>
          <w:rtl w:val="true"/>
        </w:rPr>
        <w:footnoteReference w:id="1391"/>
      </w:r>
      <w:r>
        <w:rPr>
          <w:rFonts w:ascii="IRNazanin" w:hAnsi="IRNazanin" w:eastAsia="IRNazanin"/>
          <w:color w:val="111111"/>
          <w:sz w:val="28"/>
          <w:sz w:val="28"/>
          <w:szCs w:val="28"/>
          <w:rtl w:val="true"/>
          <w:lang w:bidi="fa-IR"/>
        </w:rPr>
        <w:t xml:space="preserve">، بل عینه کما فی المستفیضة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الجمیع نظر؛ لمنع الأصل بعد إطلاق أدلّة الغسل، و منع دلالة</w:t>
      </w:r>
    </w:p>
    <w:p>
      <w:pPr>
        <w:pStyle w:val="BookText"/>
        <w:rPr/>
      </w:pPr>
      <w:r>
        <w:rPr>
          <w:rFonts w:ascii="IRNazanin" w:hAnsi="IRNazanin" w:eastAsia="IRNazanin"/>
          <w:color w:val="111111"/>
          <w:sz w:val="28"/>
          <w:sz w:val="28"/>
          <w:szCs w:val="28"/>
          <w:rtl w:val="true"/>
          <w:lang w:bidi="fa-IR"/>
        </w:rPr>
        <w:t>العمومات علی أصالة کون کلّ عمل عبادة یعتبر فیه التقرّب کما قرّر فی موضعه، و الصحیحة ظاهرة فی المشابهة فی أصل العمل، و النیّة علی تقدیر اعتبارها خارجة عن الفعل ذهناً و خارجاً، مع أنّ المعتبر فی غسل الجنابة إنّما هی نیّة المغتسل و هی هنا ممتنعة، و نیّة المغسِّل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منهما یظهر الجواب عن المستفیضة،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الشارع بتغسیل المیّت غسل الجنابة یستفاد منه بقرینة کون الغرض منه رفع الجنابة الحکمیّة أو الحقیقیّة عنه التی لا تحصل إلّا بعد إتیان هذا العمل علی وجه العبادة أنّه أمر بتولی هذه العبادة عنه، لا تولّی مجرّد الفعل الصوری الذی لا یترتّب علیه أثر، فهو فی الحقیقة نائب عن المیّت فی إیجاد هذه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النیّة قویّ، مع أنّه أحوط</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أنّ المحکیّ عن السیّد فی مصریّاته </w:t>
      </w:r>
      <w:r>
        <w:rPr>
          <w:rStyle w:val="FootnoteAnchor"/>
          <w:rtl w:val="true"/>
        </w:rPr>
        <w:footnoteReference w:id="1393"/>
      </w:r>
      <w:r>
        <w:rPr>
          <w:rFonts w:ascii="IRNazanin" w:hAnsi="IRNazanin" w:eastAsia="IRNazanin"/>
          <w:color w:val="111111"/>
          <w:sz w:val="28"/>
          <w:sz w:val="28"/>
          <w:szCs w:val="28"/>
          <w:rtl w:val="true"/>
          <w:lang w:bidi="fa-IR"/>
        </w:rPr>
        <w:t xml:space="preserve">و عن المصنّف فی منتهاه </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وجوبها معلّلًا کما قیل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إزالة خبث، ضعیف؛ لأنّ إزالته للخبث إنّما یترتّب علی تحقّقه علی وجه العبادة، کما عرفت استفادته من أدلّة وجوب تغسیله </w:t>
      </w:r>
      <w:r>
        <w:rPr>
          <w:rStyle w:val="FootnoteAnchor"/>
          <w:rtl w:val="true"/>
        </w:rPr>
        <w:footnoteReference w:id="1396"/>
      </w:r>
      <w:r>
        <w:rPr>
          <w:rFonts w:ascii="Amiri" w:hAnsi="Amiri" w:eastAsia="Amiri" w:cs="Amiri"/>
          <w:color w:val="111111"/>
          <w:sz w:val="28"/>
          <w:sz w:val="28"/>
          <w:szCs w:val="28"/>
          <w:rtl w:val="true"/>
          <w:lang w:bidi="ar-SA"/>
        </w:rPr>
        <w:t xml:space="preserve">غسل الجنابة </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کانت </w:t>
      </w:r>
      <w:r>
        <w:rPr>
          <w:rStyle w:val="FootnoteAnchor"/>
          <w:rtl w:val="true"/>
        </w:rPr>
        <w:footnoteReference w:id="1398"/>
      </w:r>
      <w:r>
        <w:rPr>
          <w:rFonts w:ascii="Amiri" w:hAnsi="Amiri" w:eastAsia="Amiri" w:cs="Amiri"/>
          <w:color w:val="111111"/>
          <w:sz w:val="28"/>
          <w:sz w:val="28"/>
          <w:szCs w:val="28"/>
          <w:rtl w:val="true"/>
          <w:lang w:bidi="ar-SA"/>
        </w:rPr>
        <w:t>مجرّد إزالة خبث لسقط</w:t>
      </w:r>
    </w:p>
    <w:p>
      <w:pPr>
        <w:pStyle w:val="BookText"/>
        <w:rPr/>
      </w:pPr>
      <w:r>
        <w:rPr>
          <w:rFonts w:ascii="IRNazanin" w:hAnsi="IRNazanin" w:eastAsia="IRNazanin"/>
          <w:color w:val="111111"/>
          <w:sz w:val="28"/>
          <w:sz w:val="28"/>
          <w:szCs w:val="28"/>
          <w:rtl w:val="true"/>
          <w:lang w:bidi="fa-IR"/>
        </w:rPr>
        <w:t>التکلیف بمجرّد بروز هذا الفعل الخاصّ إلی الوجود کیفما اتّفق کما هو الحال فی زوال الخبث و الظاهر أنّ أحداً لا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فهل تعتبر فی کلّ غسل من الأغسال الثلاثة نیّة مستقلّة؟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علی جعل النیّة الصورة المخطرة؛ للأصل و عموم اعتبار النیّة فی کلّ عمل و لو کان جزءاً من واجب </w:t>
      </w:r>
      <w:r>
        <w:rPr>
          <w:rStyle w:val="FootnoteAnchor"/>
          <w:rtl w:val="true"/>
        </w:rPr>
        <w:footnoteReference w:id="1399"/>
      </w:r>
      <w:r>
        <w:rPr>
          <w:rFonts w:ascii="IRNazanin" w:hAnsi="IRNazanin" w:eastAsia="IRNazanin"/>
          <w:color w:val="111111"/>
          <w:sz w:val="28"/>
          <w:sz w:val="28"/>
          <w:szCs w:val="28"/>
          <w:rtl w:val="true"/>
          <w:lang w:bidi="fa-IR"/>
        </w:rPr>
        <w:t>، خرج ما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جعلها عبارة من الداعی فالأقوی الاکتفاء بنیّة واحدة، و الأحوط نیّة الجمیع فی الابتداء و تجدید النیّة لکلّ من الأخیرین عند الشروع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أحوط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فی الأوّل بین نیّة الجمیع و نیّة خصوصه،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کون هذا الغسل عبادة جمیع خواصّ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عدم اجتماعه مع الحرام فلا یجوز إیقاعه بالماء المغصوب، بل و لا فی المکان المغصوب بناءً علی القول به فی الطهارات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عدم جواز وقوعه ممّن لا شعور له أو لا تمیّز له کالطفل و المجنون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الممیّز ففی صحّته منه قولان، و الأحوط بل الأقوی عدم الصحّة و لو قلنا بشرعیّة عباداته و صحّتها؛ لعدم وجوبه علیه، فصحّته منه و سقوطه عمّن یجب علیه یحتاج إلی الأمر، إلّا أن یکتفی بما ورد من محبوبیّة هذا الفعل و کثرة الثواب فیه، و أنّ من غسَّل مؤمناً کان له کذا </w:t>
      </w:r>
      <w:r>
        <w:rPr>
          <w:rStyle w:val="FootnoteAnchor"/>
          <w:rtl w:val="true"/>
        </w:rPr>
        <w:footnoteReference w:id="1400"/>
      </w:r>
      <w:r>
        <w:rPr>
          <w:rFonts w:ascii="IRNazanin" w:hAnsi="IRNazanin" w:eastAsia="IRNazanin"/>
          <w:color w:val="111111"/>
          <w:sz w:val="28"/>
          <w:sz w:val="28"/>
          <w:szCs w:val="28"/>
          <w:rtl w:val="true"/>
          <w:lang w:bidi="fa-IR"/>
        </w:rPr>
        <w:t>، و غیر ذلک، و التمسّک</w:t>
      </w:r>
    </w:p>
    <w:p>
      <w:pPr>
        <w:pStyle w:val="BookText"/>
        <w:rPr/>
      </w:pPr>
      <w:r>
        <w:rPr>
          <w:rFonts w:ascii="IRNazanin" w:hAnsi="IRNazanin" w:eastAsia="IRNazanin"/>
          <w:color w:val="111111"/>
          <w:sz w:val="28"/>
          <w:sz w:val="28"/>
          <w:szCs w:val="28"/>
          <w:rtl w:val="true"/>
          <w:lang w:bidi="fa-IR"/>
        </w:rPr>
        <w:t>بها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إشکال فی أنّ المعتبر نیّة فاعل الغسل حقیقة، و الغسل عبارة عن إجراء الماء علی المحلّ، فإذا اجتمع الصابّ و المقلّب، فالمحکیّ عن المحقّق </w:t>
      </w:r>
      <w:r>
        <w:rPr>
          <w:rStyle w:val="FootnoteAnchor"/>
          <w:rtl w:val="true"/>
        </w:rPr>
        <w:footnoteReference w:id="1401"/>
      </w:r>
      <w:r>
        <w:rPr>
          <w:rFonts w:ascii="IRNazanin" w:hAnsi="IRNazanin" w:eastAsia="IRNazanin"/>
          <w:color w:val="111111"/>
          <w:sz w:val="28"/>
          <w:sz w:val="28"/>
          <w:szCs w:val="28"/>
          <w:rtl w:val="true"/>
          <w:lang w:bidi="fa-IR"/>
        </w:rPr>
        <w:t xml:space="preserve">و الشهید الثانی </w:t>
      </w:r>
      <w:r>
        <w:rPr>
          <w:rStyle w:val="FootnoteAnchor"/>
          <w:rtl w:val="true"/>
        </w:rPr>
        <w:footnoteReference w:id="1402"/>
      </w:r>
      <w:r>
        <w:rPr>
          <w:rFonts w:ascii="Amiri" w:hAnsi="Amiri" w:eastAsia="Amiri" w:cs="Amiri"/>
          <w:color w:val="111111"/>
          <w:sz w:val="28"/>
          <w:sz w:val="28"/>
          <w:szCs w:val="28"/>
          <w:rtl w:val="true"/>
          <w:lang w:bidi="ar-SA"/>
        </w:rPr>
        <w:t xml:space="preserve">و جماعة ممّن تأخّر عنهم </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النیّة بالصابّ؛ معلّلین بأنّه الغاسل حقیقة، و حکوا عن الذکری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اشترک جماعة فی غسله نووا، و لو نوی الصابّ وحده أجزأ؛ لأنّه الغاسل حقیقة، و لو نوی الآخر فالأقرب الإجزاء؛ لأنّ الصابّ کالآلة </w:t>
      </w:r>
      <w:r>
        <w:rPr>
          <w:rStyle w:val="FootnoteAnchor"/>
          <w:rtl w:val="true"/>
        </w:rPr>
        <w:footnoteReference w:id="140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بشی‌ء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المقلّب قد لا یصدر منه إلّا التقلیب کما هو الظاهر من معناه، و حینئذٍ فالظاهر عدم العبرة بنیّته؛ لأنّه کالآلة؛ و لذا یجوز أن یکون المقلّب طفلًا غیر ممیّز، بل بهیمة، بل یکتفی بتقلیب الریح</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یقال هنا بکفایة النیّة من المقلّب؛ لصدق الغاسل علیه إذا قصد الغُسل بتقلیبه، فیکون کما لو وقع المیّت تحت میزاب و شبهه و قلّبه بقصد الغُسل، کما اختاره فی الذکری </w:t>
      </w:r>
      <w:r>
        <w:rPr>
          <w:rStyle w:val="FootnoteAnchor"/>
          <w:rtl w:val="true"/>
        </w:rPr>
        <w:footnoteReference w:id="1406"/>
      </w:r>
      <w:r>
        <w:rPr>
          <w:rFonts w:ascii="IRNazanin" w:hAnsi="IRNazanin" w:eastAsia="IRNazanin"/>
          <w:color w:val="111111"/>
          <w:sz w:val="28"/>
          <w:sz w:val="28"/>
          <w:szCs w:val="28"/>
          <w:rtl w:val="true"/>
          <w:lang w:bidi="fa-IR"/>
        </w:rPr>
        <w:t>، و لیس ببعید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تقدّم </w:t>
      </w:r>
      <w:r>
        <w:rPr>
          <w:rStyle w:val="FootnoteAnchor"/>
          <w:rtl w:val="true"/>
        </w:rPr>
        <w:footnoteReference w:id="1407"/>
      </w:r>
      <w:r>
        <w:rPr>
          <w:rFonts w:ascii="IRNazanin" w:hAnsi="IRNazanin" w:eastAsia="IRNazanin"/>
          <w:color w:val="111111"/>
          <w:sz w:val="28"/>
          <w:sz w:val="28"/>
          <w:szCs w:val="28"/>
          <w:rtl w:val="true"/>
          <w:lang w:bidi="fa-IR"/>
        </w:rPr>
        <w:t>فی تغسیل المحارم للمیّت من جواز صبّ الأجانب، إلّا أن تحمل تلک الإطلاقات علی الصورة الثانیة أو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یشترک مع الصابّ فی الغسل، و هذا أیضاً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یصبّ أحدهما الماء فی موضع فیجریه الآخر إلی موضع آخر بیده، و هذا و إن لم یکن مقلّباً من هذه الجهة إلّا أنّ المقلّب فی العرف لا یخلو عن هذا الفعل،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ینبغی الخلاف و الإشکال هنا فی اشتراط النیّة من کلٍّ منهما فی عمله، کما صرّح به فی جامع المقاصد معلّلًا بامتناع ابتناء فعل أحدهما علی نیّة الآخر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یصبّ أحدهما الماء بحیث یعمّ جمیع العضو حیث لا یحتاج إلی استعمال الآخر، و یستعمل الآخر الماء أیضاً فی جمیع المحلّ بحیث یکون وقوع الصبّ من الصابّ کالانصباب من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جواز النیّة من کلٍّ منهما، و ترکها من کلٍّ منهما؛ لأنّ کلّ واحد منهما غاسل حقیقة، فإذا لوحظ صدور الغسل من الصابّ و قیامه کان المقلّب کاللاغی، إلّا أن یرید الاهتمام فی إیصال الماء و تنظیف المیّت، فیکون عمله مستحبّاً، و إذا لوحظ صدور الفعل من المقلّب و قیامه به کان الصابّ کالآلة و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حمل کلام الشهید </w:t>
      </w:r>
      <w:r>
        <w:rPr>
          <w:rStyle w:val="FootnoteAnchor"/>
          <w:rtl w:val="true"/>
        </w:rPr>
        <w:footnoteReference w:id="1409"/>
      </w:r>
      <w:r>
        <w:rPr>
          <w:rFonts w:ascii="IRNazanin" w:hAnsi="IRNazanin" w:eastAsia="IRNazanin"/>
          <w:color w:val="111111"/>
          <w:sz w:val="28"/>
          <w:sz w:val="28"/>
          <w:szCs w:val="28"/>
          <w:rtl w:val="true"/>
          <w:lang w:bidi="fa-IR"/>
        </w:rPr>
        <w:t>علی هذا القسم الثالث؛ بقرینة فرض الاشتراک فی الغسل، و عدم التعبیر عن غیر الصابّ بالمقلّب، و تعلیله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الصابّ کالآلة، فتأمّل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إشکال فی المسألة بحمد اللّٰه سبحانه</w:t>
      </w:r>
      <w:r>
        <w:rPr>
          <w:rFonts w:eastAsia="IRNazanin" w:cs="IRNazanin"/>
          <w:color w:val="111111"/>
          <w:sz w:val="28"/>
          <w:szCs w:val="28"/>
          <w:rtl w:val="true"/>
          <w:lang w:bidi="fa-IR"/>
        </w:rPr>
        <w:t>.</w:t>
      </w:r>
      <w:bookmarkStart w:id="162" w:name="pg13042_127140"/>
    </w:p>
    <w:p>
      <w:pPr>
        <w:pStyle w:val="Heading6"/>
        <w:numPr>
          <w:ilvl w:val="5"/>
          <w:numId w:val="1"/>
        </w:numPr>
        <w:rPr/>
      </w:pPr>
      <w:bookmarkStart w:id="163" w:name="__RefHeading___Toc6530182_3224264995"/>
      <w:bookmarkStart w:id="164" w:name="_Toc63"/>
      <w:bookmarkEnd w:id="162"/>
      <w:bookmarkEnd w:id="163"/>
      <w:r>
        <w:rPr>
          <w:rtl w:val="true"/>
        </w:rPr>
        <w:t>[</w:t>
      </w:r>
      <w:r>
        <w:rPr>
          <w:rtl w:val="true"/>
        </w:rPr>
        <w:t>وجوب الغسلات الثلاث</w:t>
      </w:r>
      <w:r>
        <w:rPr>
          <w:rtl w:val="true"/>
        </w:rPr>
        <w:t>]</w:t>
      </w:r>
      <w:bookmarkEnd w:id="164"/>
    </w:p>
    <w:p>
      <w:pPr>
        <w:pStyle w:val="BookText"/>
        <w:rPr/>
      </w:pPr>
      <w:r>
        <w:rPr>
          <w:rFonts w:ascii="IRNazanin" w:hAnsi="IRNazanin" w:eastAsia="IRNazanin"/>
          <w:color w:val="111111"/>
          <w:sz w:val="28"/>
          <w:sz w:val="28"/>
          <w:szCs w:val="28"/>
          <w:rtl w:val="true"/>
          <w:lang w:bidi="fa-IR"/>
        </w:rPr>
        <w:t xml:space="preserve">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غسله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یجب غسل الشعر کما سیأتی فی مسألة ترجیل الشعر و به صرّح کاشف الغطاء </w:t>
      </w:r>
      <w:r>
        <w:rPr>
          <w:rStyle w:val="FootnoteAnchor"/>
          <w:rtl w:val="true"/>
        </w:rPr>
        <w:footnoteReference w:id="1411"/>
      </w:r>
      <w:r>
        <w:rPr>
          <w:rFonts w:ascii="IRNazanin" w:hAnsi="IRNazanin" w:eastAsia="IRNazanin"/>
          <w:color w:val="111111"/>
          <w:sz w:val="28"/>
          <w:sz w:val="28"/>
          <w:szCs w:val="28"/>
          <w:rtl w:val="true"/>
          <w:lang w:bidi="fa-IR"/>
        </w:rPr>
        <w:t>، 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بإکثار الماء عند وفور شعر المیّت </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الکافور کذلک، ثمّ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أی الخالص من السدر و الکافور، لا من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خلاف فی کونه کغسل الجنابة فی الترتیب بین الأعضاء، و فی وجوب تثلیث الأغسال، بل عن الغنیة </w:t>
      </w:r>
      <w:r>
        <w:rPr>
          <w:rStyle w:val="FootnoteAnchor"/>
          <w:rtl w:val="true"/>
        </w:rPr>
        <w:footnoteReference w:id="1413"/>
      </w:r>
      <w:r>
        <w:rPr>
          <w:rFonts w:ascii="IRNazanin" w:hAnsi="IRNazanin" w:eastAsia="IRNazanin"/>
          <w:color w:val="111111"/>
          <w:sz w:val="28"/>
          <w:sz w:val="28"/>
          <w:szCs w:val="28"/>
          <w:rtl w:val="true"/>
          <w:lang w:bidi="fa-IR"/>
        </w:rPr>
        <w:t xml:space="preserve">و الخلاف </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للمحکیّ عن سلّار </w:t>
      </w:r>
      <w:r>
        <w:rPr>
          <w:rStyle w:val="FootnoteAnchor"/>
          <w:rtl w:val="true"/>
        </w:rPr>
        <w:footnoteReference w:id="1415"/>
      </w:r>
      <w:r>
        <w:rPr>
          <w:rFonts w:ascii="Amiri" w:hAnsi="Amiri" w:eastAsia="Amiri" w:cs="Amiri"/>
          <w:color w:val="111111"/>
          <w:sz w:val="28"/>
          <w:sz w:val="28"/>
          <w:szCs w:val="28"/>
          <w:rtl w:val="true"/>
          <w:lang w:bidi="ar-SA"/>
        </w:rPr>
        <w:t xml:space="preserve">، و ربما استظهره جماعة </w:t>
      </w:r>
      <w:r>
        <w:rPr>
          <w:rStyle w:val="FootnoteAnchor"/>
          <w:rtl w:val="true"/>
        </w:rPr>
        <w:footnoteReference w:id="1416"/>
      </w:r>
      <w:r>
        <w:rPr>
          <w:rFonts w:ascii="IRNazanin" w:hAnsi="IRNazanin" w:eastAsia="IRNazanin"/>
          <w:color w:val="111111"/>
          <w:sz w:val="28"/>
          <w:sz w:val="28"/>
          <w:szCs w:val="28"/>
          <w:rtl w:val="true"/>
          <w:lang w:bidi="fa-IR"/>
        </w:rPr>
        <w:t xml:space="preserve">من سکوت المختلف و الذکری و التنقیح </w:t>
      </w:r>
      <w:r>
        <w:rPr>
          <w:rStyle w:val="FootnoteAnchor"/>
          <w:rtl w:val="true"/>
        </w:rPr>
        <w:footnoteReference w:id="1417"/>
      </w:r>
      <w:r>
        <w:rPr>
          <w:rFonts w:ascii="IRNazanin" w:hAnsi="IRNazanin" w:eastAsia="IRNazanin"/>
          <w:color w:val="111111"/>
          <w:sz w:val="28"/>
          <w:sz w:val="28"/>
          <w:szCs w:val="28"/>
          <w:rtl w:val="true"/>
          <w:lang w:bidi="fa-IR"/>
        </w:rPr>
        <w:t xml:space="preserve">و غیرها علیه، و هو ضعیف کالاستناد له إلی ما دلّ علی أنّه یکفی المیّت الجنب غسل واحد </w:t>
      </w:r>
      <w:r>
        <w:rPr>
          <w:rStyle w:val="FootnoteAnchor"/>
          <w:rtl w:val="true"/>
        </w:rPr>
        <w:footnoteReference w:id="1418"/>
      </w:r>
      <w:r>
        <w:rPr>
          <w:rFonts w:ascii="IRNazanin" w:hAnsi="IRNazanin" w:eastAsia="IRNazanin"/>
          <w:color w:val="111111"/>
          <w:sz w:val="28"/>
          <w:sz w:val="28"/>
          <w:szCs w:val="28"/>
          <w:rtl w:val="true"/>
          <w:lang w:bidi="fa-IR"/>
        </w:rPr>
        <w:t>إذ لا یخفی أنّ الوحدة فی</w:t>
      </w:r>
    </w:p>
    <w:p>
      <w:pPr>
        <w:pStyle w:val="BookText"/>
        <w:rPr/>
      </w:pPr>
      <w:r>
        <w:rPr>
          <w:rFonts w:ascii="IRNazanin" w:hAnsi="IRNazanin" w:eastAsia="IRNazanin"/>
          <w:color w:val="111111"/>
          <w:sz w:val="28"/>
          <w:sz w:val="28"/>
          <w:szCs w:val="28"/>
          <w:rtl w:val="true"/>
          <w:lang w:bidi="fa-IR"/>
        </w:rPr>
        <w:t>مقابل انضمام غسل الجنابة لا فی مقابل تعدّد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هذا القول ما نسب إلی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سقوط الترتیب بین الأغسال، حیث قال فی محکیّ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تنجیة المیّت، و غسله مجرّداً عن ثیابه غیر عورته، و تغسیله ثلاث مرّات علی ترتیب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من جملة 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أوّلًا بماء السدر، و ثانیاً بماء جلال الکافور، و ثالثاً بالماء القراح </w:t>
      </w:r>
      <w:r>
        <w:rPr>
          <w:rStyle w:val="FootnoteAnchor"/>
          <w:rtl w:val="true"/>
        </w:rPr>
        <w:footnoteReference w:id="141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استصوب کاشف اللثام نسبة استحباب الخلیط إلی ابن حمزة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غرضه أنّ ابن حمزة قائل باستحباب الترتیب من جهة استحباب الخلیط؛ إذ لا یتصوّر ترتیب بدون الخلیط، لا أنّه قائل بوجوب الخلیط مع استحباب الترتیب کما فهمه المصنّف و الشهید </w:t>
      </w:r>
      <w:r>
        <w:rPr>
          <w:rStyle w:val="FootnoteAnchor"/>
          <w:rtl w:val="true"/>
        </w:rPr>
        <w:footnoteReference w:id="1421"/>
      </w:r>
      <w:r>
        <w:rPr>
          <w:rFonts w:ascii="Amiri" w:hAnsi="Amiri" w:eastAsia="Amiri" w:cs="Amiri"/>
          <w:color w:val="111111"/>
          <w:sz w:val="28"/>
          <w:sz w:val="28"/>
          <w:szCs w:val="28"/>
          <w:rtl w:val="true"/>
          <w:lang w:bidi="ar-SA"/>
        </w:rPr>
        <w:t xml:space="preserve">قدّس سرّه، و هو جیّد و إن خطّأه بعض المعاصرین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فالقول علی فرض وجود القائل به ضعیف جدّاً مخالف للإجماعات المستفیضة، و إن کان یتراءی من إطلاق روایة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ثلاث غسلات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بالسدر، و مرّة بالماء یطرح فیه الکافور، و مرّة اخری بالماء القراح، ثمّ یکفّن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مع إمکان دعوی ظهوره فی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سعید </w:t>
      </w:r>
      <w:r>
        <w:rPr>
          <w:rStyle w:val="FootnoteAnchor"/>
          <w:rtl w:val="true"/>
        </w:rPr>
        <w:footnoteReference w:id="1424"/>
      </w:r>
      <w:r>
        <w:rPr>
          <w:rFonts w:ascii="IRNazanin" w:hAnsi="IRNazanin" w:eastAsia="IRNazanin"/>
          <w:color w:val="111111"/>
          <w:sz w:val="28"/>
          <w:sz w:val="28"/>
          <w:szCs w:val="28"/>
          <w:rtl w:val="true"/>
          <w:lang w:bidi="fa-IR"/>
        </w:rPr>
        <w:t xml:space="preserve">موافقة ابن حمزة فی استحباب الخلیط </w:t>
      </w:r>
      <w:r>
        <w:rPr>
          <w:rStyle w:val="FootnoteAnchor"/>
          <w:rtl w:val="true"/>
        </w:rPr>
        <w:footnoteReference w:id="1425"/>
      </w:r>
      <w:r>
        <w:rPr>
          <w:rFonts w:ascii="IRNazanin" w:hAnsi="IRNazanin" w:eastAsia="IRNazanin"/>
          <w:color w:val="111111"/>
          <w:sz w:val="28"/>
          <w:sz w:val="28"/>
          <w:szCs w:val="28"/>
          <w:rtl w:val="true"/>
          <w:lang w:bidi="fa-IR"/>
        </w:rPr>
        <w:t xml:space="preserve">و لعلّه لإطلاقات کونه کغسل الجنابة </w:t>
      </w:r>
      <w:r>
        <w:rPr>
          <w:rStyle w:val="FootnoteAnchor"/>
          <w:rtl w:val="true"/>
        </w:rPr>
        <w:footnoteReference w:id="1426"/>
      </w:r>
      <w:r>
        <w:rPr>
          <w:rFonts w:ascii="IRNazanin" w:hAnsi="IRNazanin" w:eastAsia="IRNazanin"/>
          <w:color w:val="111111"/>
          <w:sz w:val="28"/>
          <w:sz w:val="28"/>
          <w:szCs w:val="28"/>
          <w:rtl w:val="true"/>
          <w:lang w:bidi="fa-IR"/>
        </w:rPr>
        <w:t>، و لا ریب 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ما ذکرنا مضافاً إلی الإجماع المنقول عن الخلاف و الغنیة </w:t>
      </w:r>
      <w:r>
        <w:rPr>
          <w:rStyle w:val="FootnoteAnchor"/>
          <w:rtl w:val="true"/>
        </w:rPr>
        <w:footnoteReference w:id="1427"/>
      </w:r>
      <w:r>
        <w:rPr>
          <w:rFonts w:ascii="IRNazanin" w:hAnsi="IRNazanin" w:eastAsia="IRNazanin"/>
          <w:color w:val="111111"/>
          <w:sz w:val="28"/>
          <w:sz w:val="28"/>
          <w:szCs w:val="28"/>
          <w:rtl w:val="true"/>
          <w:lang w:bidi="fa-IR"/>
        </w:rPr>
        <w:t>المعتضد بالشهرة العظیمة، بل أصالة الاحتیاط علی القول بلزومه فی نحو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مسکان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 بماء و سدر، ثمّ اغسله علی إثر ذلک غسلة اخری بماء و کافور و ذریرة إن کانت، و اغسله ثالثة بماء قراح طیّب </w:t>
      </w:r>
      <w:r>
        <w:rPr>
          <w:rStyle w:val="FootnoteAnchor"/>
          <w:rtl w:val="true"/>
        </w:rPr>
        <w:footnoteReference w:id="1428"/>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غسلات لجسده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علیه ثوب إذا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یکون علیه قمیص فغسّله من تحته،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لمن غسّل المیّت أن یلفّ علی یده الخرقة حین یغسّله</w:t>
      </w:r>
      <w:r>
        <w:rPr>
          <w:rFonts w:eastAsia="IRNazanin" w:cs="IRNazanin"/>
          <w:color w:val="111111"/>
          <w:sz w:val="28"/>
          <w:szCs w:val="28"/>
          <w:rtl w:val="true"/>
          <w:lang w:bidi="fa-IR"/>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الفتاوی بل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الترتیب شرطاً مطلقاً فی الکیفیّة غیر ساقط، کما یشهد له جعله کغسل الجنابة، فلا وجه لاحتمال الإجزاء لو أخلّ بالترتیب، کما احتمله المصنّف فی محکیّ التذکرة </w:t>
      </w:r>
      <w:r>
        <w:rPr>
          <w:rStyle w:val="FootnoteAnchor"/>
          <w:rtl w:val="true"/>
        </w:rPr>
        <w:footnoteReference w:id="1430"/>
      </w:r>
      <w:r>
        <w:rPr>
          <w:rFonts w:ascii="IRNazanin" w:hAnsi="IRNazanin" w:eastAsia="IRNazanin"/>
          <w:color w:val="111111"/>
          <w:sz w:val="28"/>
          <w:sz w:val="28"/>
          <w:szCs w:val="28"/>
          <w:rtl w:val="true"/>
          <w:lang w:bidi="fa-IR"/>
        </w:rPr>
        <w:t xml:space="preserve">و النهایة </w:t>
      </w:r>
      <w:r>
        <w:rPr>
          <w:rStyle w:val="FootnoteAnchor"/>
          <w:rtl w:val="true"/>
        </w:rPr>
        <w:footnoteReference w:id="1431"/>
      </w:r>
      <w:r>
        <w:rPr>
          <w:rFonts w:ascii="Amiri" w:hAnsi="Amiri" w:eastAsia="Amiri" w:cs="Amiri"/>
          <w:color w:val="111111"/>
          <w:sz w:val="28"/>
          <w:sz w:val="28"/>
          <w:szCs w:val="28"/>
          <w:rtl w:val="true"/>
          <w:lang w:bidi="ar-SA"/>
        </w:rPr>
        <w:t>خصوصاً</w:t>
      </w:r>
    </w:p>
    <w:p>
      <w:pPr>
        <w:pStyle w:val="BookText"/>
        <w:rPr/>
      </w:pPr>
      <w:r>
        <w:rPr>
          <w:rFonts w:ascii="IRNazanin" w:hAnsi="IRNazanin" w:eastAsia="IRNazanin"/>
          <w:color w:val="111111"/>
          <w:sz w:val="28"/>
          <w:sz w:val="28"/>
          <w:szCs w:val="28"/>
          <w:rtl w:val="true"/>
          <w:lang w:bidi="fa-IR"/>
        </w:rPr>
        <w:t>لو أراد الأعمّ من الإخلال عمداً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العبارة کالمحکیّة عن الخلاف </w:t>
      </w:r>
      <w:r>
        <w:rPr>
          <w:rStyle w:val="FootnoteAnchor"/>
          <w:rtl w:val="true"/>
        </w:rPr>
        <w:footnoteReference w:id="1432"/>
      </w:r>
      <w:r>
        <w:rPr>
          <w:rFonts w:ascii="IRNazanin" w:hAnsi="IRNazanin" w:eastAsia="IRNazanin"/>
          <w:color w:val="111111"/>
          <w:sz w:val="28"/>
          <w:sz w:val="28"/>
          <w:szCs w:val="28"/>
          <w:rtl w:val="true"/>
          <w:lang w:bidi="fa-IR"/>
        </w:rPr>
        <w:t xml:space="preserve">و المصباح </w:t>
      </w:r>
      <w:r>
        <w:rPr>
          <w:rStyle w:val="FootnoteAnchor"/>
          <w:rtl w:val="true"/>
        </w:rPr>
        <w:footnoteReference w:id="1433"/>
      </w:r>
      <w:r>
        <w:rPr>
          <w:rFonts w:ascii="IRNazanin" w:hAnsi="IRNazanin" w:eastAsia="IRNazanin"/>
          <w:color w:val="111111"/>
          <w:sz w:val="28"/>
          <w:sz w:val="28"/>
          <w:szCs w:val="28"/>
          <w:rtl w:val="true"/>
          <w:lang w:bidi="fa-IR"/>
        </w:rPr>
        <w:t xml:space="preserve">و الجمل و العقود </w:t>
      </w:r>
      <w:r>
        <w:rPr>
          <w:rStyle w:val="FootnoteAnchor"/>
          <w:rtl w:val="true"/>
        </w:rPr>
        <w:footnoteReference w:id="1434"/>
      </w:r>
      <w:r>
        <w:rPr>
          <w:rFonts w:ascii="IRNazanin" w:hAnsi="IRNazanin" w:eastAsia="IRNazanin"/>
          <w:color w:val="111111"/>
          <w:sz w:val="28"/>
          <w:sz w:val="28"/>
          <w:szCs w:val="28"/>
          <w:rtl w:val="true"/>
          <w:lang w:bidi="fa-IR"/>
        </w:rPr>
        <w:t xml:space="preserve">و الهدایة </w:t>
      </w:r>
      <w:r>
        <w:rPr>
          <w:rStyle w:val="FootnoteAnchor"/>
          <w:rtl w:val="true"/>
        </w:rPr>
        <w:footnoteReference w:id="1435"/>
      </w:r>
      <w:r>
        <w:rPr>
          <w:rFonts w:ascii="IRNazanin" w:hAnsi="IRNazanin" w:eastAsia="IRNazanin"/>
          <w:color w:val="111111"/>
          <w:sz w:val="28"/>
          <w:sz w:val="28"/>
          <w:szCs w:val="28"/>
          <w:rtl w:val="true"/>
          <w:lang w:bidi="fa-IR"/>
        </w:rPr>
        <w:t xml:space="preserve">و الفقیه </w:t>
      </w:r>
      <w:r>
        <w:rPr>
          <w:rStyle w:val="FootnoteAnchor"/>
          <w:rtl w:val="true"/>
        </w:rPr>
        <w:footnoteReference w:id="1436"/>
      </w:r>
      <w:r>
        <w:rPr>
          <w:rFonts w:ascii="IRNazanin" w:hAnsi="IRNazanin" w:eastAsia="IRNazanin"/>
          <w:color w:val="111111"/>
          <w:sz w:val="28"/>
          <w:sz w:val="28"/>
          <w:szCs w:val="28"/>
          <w:rtl w:val="true"/>
          <w:lang w:bidi="fa-IR"/>
        </w:rPr>
        <w:t xml:space="preserve">و المقنع </w:t>
      </w:r>
      <w:r>
        <w:rPr>
          <w:rStyle w:val="FootnoteAnchor"/>
          <w:rtl w:val="true"/>
        </w:rPr>
        <w:footnoteReference w:id="1437"/>
      </w:r>
      <w:r>
        <w:rPr>
          <w:rFonts w:ascii="IRNazanin" w:hAnsi="IRNazanin" w:eastAsia="IRNazanin"/>
          <w:color w:val="111111"/>
          <w:sz w:val="28"/>
          <w:sz w:val="28"/>
          <w:szCs w:val="28"/>
          <w:rtl w:val="true"/>
          <w:lang w:bidi="fa-IR"/>
        </w:rPr>
        <w:t xml:space="preserve">و الوسیلة </w:t>
      </w:r>
      <w:r>
        <w:rPr>
          <w:rStyle w:val="FootnoteAnchor"/>
          <w:rtl w:val="true"/>
        </w:rPr>
        <w:footnoteReference w:id="1438"/>
      </w:r>
      <w:r>
        <w:rPr>
          <w:rFonts w:ascii="IRNazanin" w:hAnsi="IRNazanin" w:eastAsia="IRNazanin"/>
          <w:color w:val="111111"/>
          <w:sz w:val="28"/>
          <w:sz w:val="28"/>
          <w:szCs w:val="28"/>
          <w:rtl w:val="true"/>
          <w:lang w:bidi="fa-IR"/>
        </w:rPr>
        <w:t xml:space="preserve">و الغنیة </w:t>
      </w:r>
      <w:r>
        <w:rPr>
          <w:rStyle w:val="FootnoteAnchor"/>
          <w:rtl w:val="true"/>
        </w:rPr>
        <w:footnoteReference w:id="1439"/>
      </w:r>
      <w:r>
        <w:rPr>
          <w:rFonts w:ascii="IRNazanin" w:hAnsi="IRNazanin" w:eastAsia="IRNazanin"/>
          <w:color w:val="111111"/>
          <w:sz w:val="28"/>
          <w:sz w:val="28"/>
          <w:szCs w:val="28"/>
          <w:rtl w:val="true"/>
          <w:lang w:bidi="fa-IR"/>
        </w:rPr>
        <w:t xml:space="preserve">و الإصباح </w:t>
      </w:r>
      <w:r>
        <w:rPr>
          <w:rStyle w:val="FootnoteAnchor"/>
          <w:rtl w:val="true"/>
        </w:rPr>
        <w:footnoteReference w:id="1440"/>
      </w:r>
      <w:r>
        <w:rPr>
          <w:rFonts w:ascii="Amiri" w:hAnsi="Amiri" w:eastAsia="Amiri" w:cs="Amiri"/>
          <w:color w:val="111111"/>
          <w:sz w:val="28"/>
          <w:sz w:val="28"/>
          <w:szCs w:val="28"/>
          <w:rtl w:val="true"/>
          <w:lang w:bidi="ar-SA"/>
        </w:rPr>
        <w:t xml:space="preserve">و الإشارة </w:t>
      </w:r>
      <w:r>
        <w:rPr>
          <w:rStyle w:val="FootnoteAnchor"/>
          <w:rtl w:val="true"/>
        </w:rPr>
        <w:footnoteReference w:id="1441"/>
      </w:r>
      <w:r>
        <w:rPr>
          <w:rFonts w:ascii="IRNazanin" w:hAnsi="IRNazanin" w:eastAsia="IRNazanin"/>
          <w:color w:val="111111"/>
          <w:sz w:val="28"/>
          <w:sz w:val="28"/>
          <w:szCs w:val="28"/>
          <w:rtl w:val="true"/>
          <w:lang w:bidi="fa-IR"/>
        </w:rPr>
        <w:t xml:space="preserve">و الکافی </w:t>
      </w:r>
      <w:r>
        <w:rPr>
          <w:rStyle w:val="FootnoteAnchor"/>
          <w:rtl w:val="true"/>
        </w:rPr>
        <w:footnoteReference w:id="1442"/>
      </w:r>
      <w:r>
        <w:rPr>
          <w:rFonts w:ascii="IRNazanin" w:hAnsi="IRNazanin" w:eastAsia="IRNazanin"/>
          <w:color w:val="111111"/>
          <w:sz w:val="28"/>
          <w:sz w:val="28"/>
          <w:szCs w:val="28"/>
          <w:rtl w:val="true"/>
          <w:lang w:bidi="fa-IR"/>
        </w:rPr>
        <w:t xml:space="preserve">و المعتبر </w:t>
      </w:r>
      <w:r>
        <w:rPr>
          <w:rStyle w:val="FootnoteAnchor"/>
          <w:rtl w:val="true"/>
        </w:rPr>
        <w:footnoteReference w:id="1443"/>
      </w:r>
      <w:r>
        <w:rPr>
          <w:rFonts w:ascii="IRNazanin" w:hAnsi="IRNazanin" w:eastAsia="IRNazanin"/>
          <w:color w:val="111111"/>
          <w:sz w:val="28"/>
          <w:sz w:val="28"/>
          <w:szCs w:val="28"/>
          <w:rtl w:val="true"/>
          <w:lang w:bidi="fa-IR"/>
        </w:rPr>
        <w:t xml:space="preserve">و النافع </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کون السدر بحیث یصدق علی الماء أنّه ماء السدر، و بهذه العبارة ورد النصّ فی غیر واحدٍ من أخبار الباب </w:t>
      </w:r>
      <w:r>
        <w:rPr>
          <w:rStyle w:val="FootnoteAnchor"/>
          <w:rtl w:val="true"/>
        </w:rPr>
        <w:footnoteReference w:id="1445"/>
      </w:r>
      <w:r>
        <w:rPr>
          <w:rFonts w:ascii="IRNazanin" w:hAnsi="IRNazanin" w:eastAsia="IRNazanin"/>
          <w:color w:val="111111"/>
          <w:sz w:val="28"/>
          <w:sz w:val="28"/>
          <w:szCs w:val="28"/>
          <w:rtl w:val="true"/>
          <w:lang w:bidi="fa-IR"/>
        </w:rPr>
        <w:t xml:space="preserve">، و الظاهر عدم تحقّقه بأقلّ المسمّی و إن اکتفی فی الإضافة بأدنی ملابسة، خلافاً لصریح جماعة، کالشهیدین فی البیان </w:t>
      </w:r>
      <w:r>
        <w:rPr>
          <w:rStyle w:val="FootnoteAnchor"/>
          <w:rtl w:val="true"/>
        </w:rPr>
        <w:footnoteReference w:id="1446"/>
      </w:r>
      <w:r>
        <w:rPr>
          <w:rFonts w:ascii="Amiri" w:hAnsi="Amiri" w:eastAsia="Amiri" w:cs="Amiri"/>
          <w:color w:val="111111"/>
          <w:sz w:val="28"/>
          <w:sz w:val="28"/>
          <w:szCs w:val="28"/>
          <w:rtl w:val="true"/>
          <w:lang w:bidi="ar-SA"/>
        </w:rPr>
        <w:t xml:space="preserve">و الروضة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448"/>
      </w:r>
      <w:r>
        <w:rPr>
          <w:rFonts w:ascii="IRNazanin" w:hAnsi="IRNazanin" w:eastAsia="IRNazanin"/>
          <w:color w:val="111111"/>
          <w:sz w:val="28"/>
          <w:sz w:val="28"/>
          <w:szCs w:val="28"/>
          <w:rtl w:val="true"/>
          <w:lang w:bidi="fa-IR"/>
        </w:rPr>
        <w:t xml:space="preserve">و ظاهر آخرین </w:t>
      </w:r>
      <w:r>
        <w:rPr>
          <w:rStyle w:val="FootnoteAnchor"/>
          <w:rtl w:val="true"/>
        </w:rPr>
        <w:footnoteReference w:id="1449"/>
      </w:r>
      <w:r>
        <w:rPr>
          <w:rFonts w:ascii="IRNazanin" w:hAnsi="IRNazanin" w:eastAsia="IRNazanin"/>
          <w:color w:val="111111"/>
          <w:sz w:val="28"/>
          <w:sz w:val="28"/>
          <w:szCs w:val="28"/>
          <w:rtl w:val="true"/>
          <w:lang w:bidi="fa-IR"/>
        </w:rPr>
        <w:t xml:space="preserve">، بل عن المدارک </w:t>
      </w:r>
      <w:r>
        <w:rPr>
          <w:rStyle w:val="FootnoteAnchor"/>
          <w:rtl w:val="true"/>
        </w:rPr>
        <w:footnoteReference w:id="1450"/>
      </w:r>
      <w:r>
        <w:rPr>
          <w:rFonts w:ascii="IRNazanin" w:hAnsi="IRNazanin" w:eastAsia="IRNazanin"/>
          <w:color w:val="111111"/>
          <w:sz w:val="28"/>
          <w:sz w:val="28"/>
          <w:szCs w:val="28"/>
          <w:rtl w:val="true"/>
          <w:lang w:bidi="fa-IR"/>
        </w:rPr>
        <w:t xml:space="preserve">تبعاً لشیخه فی مجمع الفائدة </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علی أنّه یکفی فی الخلیط مسمّاه، و لعلّه للصحیحة السابقة </w:t>
      </w:r>
      <w:r>
        <w:rPr>
          <w:rStyle w:val="FootnoteAnchor"/>
          <w:rtl w:val="true"/>
        </w:rPr>
        <w:footnoteReference w:id="1452"/>
      </w:r>
      <w:r>
        <w:rPr>
          <w:rFonts w:ascii="IRNazanin" w:hAnsi="IRNazanin" w:eastAsia="IRNazanin"/>
          <w:color w:val="111111"/>
          <w:sz w:val="28"/>
          <w:sz w:val="28"/>
          <w:szCs w:val="28"/>
          <w:rtl w:val="true"/>
          <w:lang w:bidi="fa-IR"/>
        </w:rPr>
        <w:t xml:space="preserve">، و الأصحّ تقییدها بغیرها ممّا دلّ علی وجوب تغسیله بماء السدر </w:t>
      </w:r>
      <w:r>
        <w:rPr>
          <w:rStyle w:val="FootnoteAnchor"/>
          <w:rtl w:val="true"/>
        </w:rPr>
        <w:footnoteReference w:id="1453"/>
      </w:r>
      <w:r>
        <w:rPr>
          <w:rFonts w:ascii="IRNazanin" w:hAnsi="IRNazanin" w:eastAsia="IRNazanin"/>
          <w:color w:val="111111"/>
          <w:sz w:val="28"/>
          <w:sz w:val="28"/>
          <w:szCs w:val="28"/>
          <w:rtl w:val="true"/>
          <w:lang w:bidi="fa-IR"/>
        </w:rPr>
        <w:t xml:space="preserve">، و یشهد له ما دلّ علی وجوب تغسیله بالسدر </w:t>
      </w:r>
      <w:r>
        <w:rPr>
          <w:rStyle w:val="FootnoteAnchor"/>
          <w:rtl w:val="true"/>
        </w:rPr>
        <w:footnoteReference w:id="1454"/>
      </w:r>
      <w:r>
        <w:rPr>
          <w:rFonts w:ascii="IRNazanin" w:hAnsi="IRNazanin" w:eastAsia="IRNazanin"/>
          <w:color w:val="111111"/>
          <w:sz w:val="28"/>
          <w:sz w:val="28"/>
          <w:szCs w:val="28"/>
          <w:rtl w:val="true"/>
          <w:lang w:bidi="fa-IR"/>
        </w:rPr>
        <w:t>إذ لا شبهة فی عدم تحقّق هذا العنوان بأقلّ مسمّی الخلیط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مراد من اکتفی بالمسمّی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بتحقّق المسمّی عند إضافة الماء إلیه، بحیث یکون منشأً لتحقّق الإضافة، کما أنّه یمکن أن یکون مراد من عبّر بماء السدر هو المسمّی؛ بناءً علی کفایة الإضافة بأدنی ملابسة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فالظاهر اتّحاد المراد من العبارتین عند الفقهاء إلی زمان کاشف اللثام، فقابل بینهما </w:t>
      </w:r>
      <w:r>
        <w:rPr>
          <w:rStyle w:val="FootnoteAnchor"/>
          <w:rtl w:val="true"/>
        </w:rPr>
        <w:footnoteReference w:id="1455"/>
      </w:r>
      <w:r>
        <w:rPr>
          <w:rFonts w:ascii="IRNazanin" w:hAnsi="IRNazanin" w:eastAsia="IRNazanin"/>
          <w:color w:val="111111"/>
          <w:sz w:val="28"/>
          <w:sz w:val="28"/>
          <w:szCs w:val="28"/>
          <w:rtl w:val="true"/>
          <w:lang w:bidi="fa-IR"/>
        </w:rPr>
        <w:t xml:space="preserve">، و لذا لم یذکروا فی مقابل المشهور إلّا القول بسبع ورقات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فیعتبر أن لا یبلغ فی الکثرة بحیث یسلب إطلاق الماء، وفاقاً للمصنّف </w:t>
      </w:r>
      <w:r>
        <w:rPr>
          <w:rStyle w:val="FootnoteAnchor"/>
          <w:rtl w:val="true"/>
        </w:rPr>
        <w:footnoteReference w:id="1457"/>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458"/>
      </w:r>
      <w:r>
        <w:rPr>
          <w:rFonts w:ascii="IRNazanin" w:hAnsi="IRNazanin" w:eastAsia="IRNazanin"/>
          <w:color w:val="111111"/>
          <w:sz w:val="28"/>
          <w:sz w:val="28"/>
          <w:szCs w:val="28"/>
          <w:rtl w:val="true"/>
          <w:lang w:bidi="fa-IR"/>
        </w:rPr>
        <w:t xml:space="preserve">فی غیر الذکری و المحقّق الثانی </w:t>
      </w:r>
      <w:r>
        <w:rPr>
          <w:rStyle w:val="FootnoteAnchor"/>
          <w:rtl w:val="true"/>
        </w:rPr>
        <w:footnoteReference w:id="1459"/>
      </w:r>
      <w:r>
        <w:rPr>
          <w:rFonts w:ascii="IRNazanin" w:hAnsi="IRNazanin" w:eastAsia="IRNazanin"/>
          <w:color w:val="111111"/>
          <w:sz w:val="28"/>
          <w:sz w:val="28"/>
          <w:szCs w:val="28"/>
          <w:rtl w:val="true"/>
          <w:lang w:bidi="fa-IR"/>
        </w:rPr>
        <w:t xml:space="preserve">و غیرهم </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1461"/>
      </w:r>
      <w:r>
        <w:rPr>
          <w:rFonts w:ascii="IRNazanin" w:hAnsi="IRNazanin" w:eastAsia="IRNazanin"/>
          <w:color w:val="111111"/>
          <w:sz w:val="28"/>
          <w:sz w:val="28"/>
          <w:szCs w:val="28"/>
          <w:rtl w:val="true"/>
          <w:lang w:bidi="fa-IR"/>
        </w:rPr>
        <w:t>للأصل و تنزیله منزلة غسل الجنابة، و قوله علیه السلام فی الصحیحة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بماء و سدر</w:t>
      </w:r>
      <w:r>
        <w:rPr>
          <w:rFonts w:eastAsia="IRNazanin" w:cs="IRNazanin"/>
          <w:color w:val="111111"/>
          <w:sz w:val="28"/>
          <w:szCs w:val="28"/>
          <w:rtl w:val="true"/>
          <w:lang w:bidi="fa-IR"/>
        </w:rPr>
        <w:t xml:space="preserve">» </w:t>
      </w:r>
      <w:r>
        <w:rPr>
          <w:rStyle w:val="FootnoteAnchor"/>
          <w:rtl w:val="true"/>
        </w:rPr>
        <w:footnoteReference w:id="1462"/>
      </w:r>
      <w:r>
        <w:rPr>
          <w:rFonts w:ascii="IRNazanin" w:hAnsi="IRNazanin" w:eastAsia="IRNazanin"/>
          <w:color w:val="111111"/>
          <w:sz w:val="28"/>
          <w:sz w:val="28"/>
          <w:szCs w:val="28"/>
          <w:rtl w:val="true"/>
          <w:lang w:bidi="fa-IR"/>
        </w:rPr>
        <w:t>، و لا ینافیه قولهم علیهم السلام فی باقی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بماء السدر</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 xml:space="preserve">إذ لو سلّم شموله للمضاف فاللازم تقییده بالصحیحة الدالّة علی اعتبار الإطلاق </w:t>
      </w:r>
      <w:r>
        <w:rPr>
          <w:rStyle w:val="FootnoteAnchor"/>
          <w:rtl w:val="true"/>
        </w:rPr>
        <w:footnoteReference w:id="1464"/>
      </w:r>
      <w:r>
        <w:rPr>
          <w:rFonts w:ascii="IRNazanin" w:hAnsi="IRNazanin" w:eastAsia="IRNazanin"/>
          <w:color w:val="111111"/>
          <w:sz w:val="28"/>
          <w:sz w:val="28"/>
          <w:szCs w:val="28"/>
          <w:rtl w:val="true"/>
          <w:lang w:bidi="fa-IR"/>
        </w:rPr>
        <w:t>، و کذا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بالسدر</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 بل هو ظاهر فی أنّه یغسل بالماء مصاحباً لشی‌ءٍ من السدر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مرسلة یونس الأمر بغسل رأسه برغوة السدر </w:t>
      </w:r>
      <w:r>
        <w:rPr>
          <w:rStyle w:val="FootnoteAnchor"/>
          <w:rtl w:val="true"/>
        </w:rPr>
        <w:footnoteReference w:id="1466"/>
      </w:r>
      <w:r>
        <w:rPr>
          <w:rFonts w:ascii="IRNazanin" w:hAnsi="IRNazanin" w:eastAsia="IRNazanin"/>
          <w:color w:val="111111"/>
          <w:sz w:val="28"/>
          <w:sz w:val="28"/>
          <w:szCs w:val="28"/>
          <w:rtl w:val="true"/>
          <w:lang w:bidi="fa-IR"/>
        </w:rPr>
        <w:t>علی وجهٍ یظهر أنّ المراد الاجتزاء به فی الغسل الواجب، إلّا أنّ الغسل بالرغوة لمّا لم ینفکّ عن صبّ الماء بعده لإزالة الرغوة، أمکن الاجتزاء به فی الکلام؛</w:t>
      </w:r>
    </w:p>
    <w:p>
      <w:pPr>
        <w:pStyle w:val="BookText"/>
        <w:rPr/>
      </w:pPr>
      <w:r>
        <w:rPr>
          <w:rFonts w:ascii="IRNazanin" w:hAnsi="IRNazanin" w:eastAsia="IRNazanin"/>
          <w:color w:val="111111"/>
          <w:sz w:val="28"/>
          <w:sz w:val="28"/>
          <w:szCs w:val="28"/>
          <w:rtl w:val="true"/>
          <w:lang w:bidi="fa-IR"/>
        </w:rPr>
        <w:t>لظهور المطلب، مع أنّ الرغوة لا یغسل بها بل یمسح بها، فالغسل بالرغوة هو الغسل بالماء المسبوق بمسح الرغوة، و علی فرض الظهور فلا یعارض ما ذکرنا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یضعف تقویة الجواز، کما عن المدارک </w:t>
      </w:r>
      <w:r>
        <w:rPr>
          <w:rStyle w:val="FootnoteAnchor"/>
          <w:rtl w:val="true"/>
        </w:rPr>
        <w:footnoteReference w:id="1467"/>
      </w:r>
      <w:r>
        <w:rPr>
          <w:rFonts w:ascii="IRNazanin" w:hAnsi="IRNazanin" w:eastAsia="IRNazanin"/>
          <w:color w:val="111111"/>
          <w:sz w:val="28"/>
          <w:sz w:val="28"/>
          <w:szCs w:val="28"/>
          <w:rtl w:val="true"/>
          <w:lang w:bidi="fa-IR"/>
        </w:rPr>
        <w:t xml:space="preserve">و الذخیرة </w:t>
      </w:r>
      <w:r>
        <w:rPr>
          <w:rStyle w:val="FootnoteAnchor"/>
          <w:rtl w:val="true"/>
        </w:rPr>
        <w:footnoteReference w:id="1468"/>
      </w:r>
      <w:r>
        <w:rPr>
          <w:rFonts w:ascii="IRNazanin" w:hAnsi="IRNazanin" w:eastAsia="IRNazanin"/>
          <w:color w:val="111111"/>
          <w:sz w:val="28"/>
          <w:sz w:val="28"/>
          <w:szCs w:val="28"/>
          <w:rtl w:val="true"/>
          <w:lang w:bidi="fa-IR"/>
        </w:rPr>
        <w:t xml:space="preserve">و الحدائق </w:t>
      </w:r>
      <w:r>
        <w:rPr>
          <w:rStyle w:val="FootnoteAnchor"/>
          <w:rtl w:val="true"/>
        </w:rPr>
        <w:footnoteReference w:id="1469"/>
      </w:r>
      <w:r>
        <w:rPr>
          <w:rFonts w:ascii="IRNazanin" w:hAnsi="IRNazanin" w:eastAsia="IRNazanin"/>
          <w:color w:val="111111"/>
          <w:sz w:val="28"/>
          <w:sz w:val="28"/>
          <w:szCs w:val="28"/>
          <w:rtl w:val="true"/>
          <w:lang w:bidi="fa-IR"/>
        </w:rPr>
        <w:t xml:space="preserve">، بل ربما یستظهر من عبارة المفید </w:t>
      </w:r>
      <w:r>
        <w:rPr>
          <w:rStyle w:val="FootnoteAnchor"/>
          <w:rtl w:val="true"/>
        </w:rPr>
        <w:footnoteReference w:id="1470"/>
      </w:r>
      <w:r>
        <w:rPr>
          <w:rFonts w:ascii="Amiri" w:hAnsi="Amiri" w:eastAsia="Amiri" w:cs="Amiri"/>
          <w:color w:val="111111"/>
          <w:sz w:val="28"/>
          <w:sz w:val="28"/>
          <w:szCs w:val="28"/>
          <w:rtl w:val="true"/>
          <w:lang w:bidi="ar-SA"/>
        </w:rPr>
        <w:t xml:space="preserve">و سلّار </w:t>
      </w:r>
      <w:r>
        <w:rPr>
          <w:rStyle w:val="FootnoteAnchor"/>
          <w:rtl w:val="true"/>
        </w:rPr>
        <w:footnoteReference w:id="1471"/>
      </w:r>
      <w:r>
        <w:rPr>
          <w:rFonts w:ascii="IRNazanin" w:hAnsi="IRNazanin" w:eastAsia="IRNazanin"/>
          <w:color w:val="111111"/>
          <w:sz w:val="28"/>
          <w:sz w:val="28"/>
          <w:szCs w:val="28"/>
          <w:rtl w:val="true"/>
          <w:lang w:bidi="fa-IR"/>
        </w:rPr>
        <w:t>، حیث قدّر الأوّل السدر برطل، و الثانی برطل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کون السدر و الکافور لا یخرجان الماء إلی الإضافة؛ لأنّه مطهّر، و المضاف غیر مطهّر، و قدّر المفید السدر برطل، و ابن البرّاج برطل و نصف، و اتّفق الأصحاب علی ترغیته، و هما یوهمان الإضافة، و یکون المطهّر هو القراح، و الغرض من الأوّلین التنظیف و حفظ البدن من الهوام بالکافور؛ لأنّ رائحته تطردها </w:t>
      </w:r>
      <w:r>
        <w:rPr>
          <w:rStyle w:val="FootnoteAnchor"/>
          <w:rtl w:val="true"/>
        </w:rPr>
        <w:footnoteReference w:id="147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الرطل أو مع النصف لا توجب إضافة المقدار الکثیر من الماء الذی یصرف فی تغسیل المیّت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نسب إلی المفید فی المقنعة و القاضی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w:t>
      </w:r>
    </w:p>
    <w:p>
      <w:pPr>
        <w:pStyle w:val="BookText"/>
        <w:rPr/>
      </w:pPr>
      <w:r>
        <w:rPr>
          <w:rFonts w:ascii="IRNazanin" w:hAnsi="IRNazanin" w:eastAsia="IRNazanin"/>
          <w:color w:val="111111"/>
          <w:sz w:val="28"/>
          <w:sz w:val="28"/>
          <w:szCs w:val="28"/>
          <w:rtl w:val="true"/>
          <w:lang w:bidi="fa-IR"/>
        </w:rPr>
        <w:t xml:space="preserve">الرطل أو الرطل و النصف </w:t>
      </w:r>
      <w:r>
        <w:rPr>
          <w:rStyle w:val="FootnoteAnchor"/>
          <w:rtl w:val="true"/>
        </w:rPr>
        <w:footnoteReference w:id="1473"/>
      </w:r>
      <w:r>
        <w:rPr>
          <w:rFonts w:ascii="Amiri" w:hAnsi="Amiri" w:eastAsia="Amiri" w:cs="Amiri"/>
          <w:color w:val="111111"/>
          <w:sz w:val="28"/>
          <w:sz w:val="28"/>
          <w:szCs w:val="28"/>
          <w:rtl w:val="true"/>
          <w:lang w:bidi="ar-SA"/>
        </w:rPr>
        <w:t xml:space="preserve">، إلّا أنّه صرّح بعض </w:t>
      </w:r>
      <w:r>
        <w:rPr>
          <w:rStyle w:val="FootnoteAnchor"/>
          <w:rtl w:val="true"/>
        </w:rPr>
        <w:footnoteReference w:id="1474"/>
      </w:r>
      <w:r>
        <w:rPr>
          <w:rFonts w:ascii="IRNazanin" w:hAnsi="IRNazanin" w:eastAsia="IRNazanin"/>
          <w:color w:val="111111"/>
          <w:sz w:val="28"/>
          <w:sz w:val="28"/>
          <w:szCs w:val="28"/>
          <w:rtl w:val="true"/>
          <w:lang w:bidi="fa-IR"/>
        </w:rPr>
        <w:t>بعدم ظهور عبارتهما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فلم أجد فی الروایات ما یدلّ علی رجحانه فضلًا عن وجوبه، و إن کان أحوط إذا لم یوجب إضافة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 سبع ورقات من السدر، کما نسبه فی الشرائع إلی القیل </w:t>
      </w:r>
      <w:r>
        <w:rPr>
          <w:rStyle w:val="FootnoteAnchor"/>
          <w:rtl w:val="true"/>
        </w:rPr>
        <w:footnoteReference w:id="1475"/>
      </w:r>
      <w:r>
        <w:rPr>
          <w:rFonts w:ascii="IRNazanin" w:hAnsi="IRNazanin" w:eastAsia="IRNazanin"/>
          <w:color w:val="111111"/>
          <w:sz w:val="28"/>
          <w:sz w:val="28"/>
          <w:szCs w:val="28"/>
          <w:rtl w:val="true"/>
          <w:lang w:bidi="fa-IR"/>
        </w:rPr>
        <w:t xml:space="preserve">و إن لم یظهر قائله و لا دلیله، عدا روایة تضمّنت الأمر بإلقاء سبع ورقات فی الماء القراح الذی یغسل به المیّت أخیراً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یظهر عدم المدرک لاستحباب هذا المقدار فی ماء السدر، کما هو ظاهر التذکرة </w:t>
      </w:r>
      <w:r>
        <w:rPr>
          <w:rStyle w:val="FootnoteAnchor"/>
          <w:rtl w:val="true"/>
        </w:rPr>
        <w:footnoteReference w:id="147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بل الأقوی لزوم الزیادة علیها إذا لم یصدق علی الماء الممزوج بها ماء السدر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من الکافور هو القدر الواجب فی السدر، و حکی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بنصف مثقال </w:t>
      </w:r>
      <w:r>
        <w:rPr>
          <w:rStyle w:val="FootnoteAnchor"/>
          <w:rtl w:val="true"/>
        </w:rPr>
        <w:footnoteReference w:id="1479"/>
      </w:r>
      <w:r>
        <w:rPr>
          <w:rFonts w:ascii="IRNazanin" w:hAnsi="IRNazanin" w:eastAsia="IRNazanin"/>
          <w:color w:val="111111"/>
          <w:sz w:val="28"/>
          <w:sz w:val="28"/>
          <w:szCs w:val="28"/>
          <w:rtl w:val="true"/>
          <w:lang w:bidi="fa-IR"/>
        </w:rPr>
        <w:t xml:space="preserve">، و کذا ابن سعید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القطع بحمل کلام الثانی علی الاستحباب؛ لما عرفت من قوله</w:t>
      </w:r>
    </w:p>
    <w:p>
      <w:pPr>
        <w:pStyle w:val="BookText"/>
        <w:rPr/>
      </w:pPr>
      <w:r>
        <w:rPr>
          <w:rFonts w:ascii="IRNazanin" w:hAnsi="IRNazanin" w:eastAsia="IRNazanin"/>
          <w:color w:val="111111"/>
          <w:sz w:val="28"/>
          <w:sz w:val="28"/>
          <w:szCs w:val="28"/>
          <w:rtl w:val="true"/>
          <w:lang w:bidi="fa-IR"/>
        </w:rPr>
        <w:t xml:space="preserve">باستحباب الخلیط </w:t>
      </w:r>
      <w:r>
        <w:rPr>
          <w:rStyle w:val="FootnoteAnchor"/>
          <w:rtl w:val="true"/>
        </w:rPr>
        <w:footnoteReference w:id="1481"/>
      </w:r>
      <w:r>
        <w:rPr>
          <w:rFonts w:ascii="IRNazanin" w:hAnsi="IRNazanin" w:eastAsia="IRNazanin"/>
          <w:color w:val="111111"/>
          <w:sz w:val="28"/>
          <w:sz w:val="28"/>
          <w:szCs w:val="28"/>
          <w:rtl w:val="true"/>
          <w:lang w:bidi="fa-IR"/>
        </w:rPr>
        <w:t xml:space="preserve">، بل و کذا الأوّل، علی أنّ کلامه لیس نصّاً فی الوجوب علی ما قیل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فالقول بالوجوب ضعیف، لیس فی الأخبار إلیه إشارة إلّا فی الموثّق المقدّر له بنصف حبّة </w:t>
      </w:r>
      <w:r>
        <w:rPr>
          <w:rStyle w:val="FootnoteAnchor"/>
          <w:rtl w:val="true"/>
        </w:rPr>
        <w:footnoteReference w:id="1483"/>
      </w:r>
      <w:r>
        <w:rPr>
          <w:rFonts w:ascii="IRNazanin" w:hAnsi="IRNazanin" w:eastAsia="IRNazanin"/>
          <w:color w:val="111111"/>
          <w:sz w:val="28"/>
          <w:sz w:val="28"/>
          <w:szCs w:val="28"/>
          <w:rtl w:val="true"/>
          <w:lang w:bidi="fa-IR"/>
        </w:rPr>
        <w:t>بناءً علی أنّ المراد من الحبّة المثقال، و فیه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إلقاء حبّات</w:t>
      </w:r>
      <w:r>
        <w:rPr>
          <w:rFonts w:eastAsia="IRNazanin" w:cs="IRNazanin"/>
          <w:color w:val="111111"/>
          <w:sz w:val="28"/>
          <w:szCs w:val="28"/>
          <w:rtl w:val="true"/>
          <w:lang w:bidi="fa-IR"/>
        </w:rPr>
        <w:t xml:space="preserve">» </w:t>
      </w:r>
      <w:r>
        <w:rPr>
          <w:rStyle w:val="FootnoteAnchor"/>
          <w:rtl w:val="true"/>
        </w:rPr>
        <w:footnoteReference w:id="1484"/>
      </w:r>
      <w:r>
        <w:rPr>
          <w:rFonts w:ascii="IRNazanin" w:hAnsi="IRNazanin" w:eastAsia="IRNazanin"/>
          <w:color w:val="111111"/>
          <w:sz w:val="28"/>
          <w:sz w:val="28"/>
          <w:szCs w:val="28"/>
          <w:rtl w:val="true"/>
          <w:lang w:bidi="fa-IR"/>
        </w:rPr>
        <w:t>و فی روایة تغسیل الأمیر للنبیّ صلوات اللّٰه علیهما و علی آلهما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مثاقیل</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جماعة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یؤخذ من جلال الکافور </w:t>
      </w:r>
      <w:r>
        <w:rPr>
          <w:rStyle w:val="FootnoteAnchor"/>
          <w:rtl w:val="true"/>
        </w:rPr>
        <w:footnoteReference w:id="1486"/>
      </w:r>
      <w:r>
        <w:rPr>
          <w:rFonts w:ascii="IRNazanin" w:hAnsi="IRNazanin" w:eastAsia="IRNazanin"/>
          <w:color w:val="111111"/>
          <w:sz w:val="28"/>
          <w:sz w:val="28"/>
          <w:szCs w:val="28"/>
          <w:rtl w:val="true"/>
          <w:lang w:bidi="fa-IR"/>
        </w:rPr>
        <w:t>، بل عن صاحب المدارک فی حاشیة منه علی المدارک عن أکثر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الکافور یجب من جلاله، یعنی الخام الذی لم یطبخ، و نقل عن الشیخ أبی علی فی شرحه علی نهایة والده حیث أوجب أن یکون من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الکافور صمغ یقع من شجر، و کلّ ما کان جلالًا و هو الکبار من قطعه لا حاجة له إلی النار،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 و کلّ ما یقع من صغاره فی التراب فیؤخذ و یطرح فی قدر فیغلی، فذلک لا یجزی فی الحنوط،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الحاشیة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منشأ ذلک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مطبوخه یطبخ</w:t>
      </w:r>
    </w:p>
    <w:p>
      <w:pPr>
        <w:pStyle w:val="BookText"/>
        <w:rPr/>
      </w:pPr>
      <w:r>
        <w:rPr>
          <w:rFonts w:ascii="IRNazanin" w:hAnsi="IRNazanin" w:eastAsia="IRNazanin"/>
          <w:color w:val="111111"/>
          <w:sz w:val="28"/>
          <w:sz w:val="28"/>
          <w:szCs w:val="28"/>
          <w:rtl w:val="true"/>
          <w:lang w:bidi="fa-IR"/>
        </w:rPr>
        <w:t xml:space="preserve">بلبن الخنزیر لیشتدّ بیاضه به أو بالطبخ، و ربما یحصل له العلم العادی بالنجاسة من حیث إنّ الطابخ من الکفّار، لکن ظاهر الأخبار إجزاء المطبوخ، و وجهه عدم حصول الیقین بالنجاسة، و لذا ما فصّل المتأخّرون، و ربما حکم باستحباب الخام، و لعلّ وجهه الخروج عن الخلاف و شبهة النجاسة </w:t>
      </w:r>
      <w:r>
        <w:rPr>
          <w:rStyle w:val="FootnoteAnchor"/>
          <w:rtl w:val="true"/>
        </w:rPr>
        <w:footnoteReference w:id="1487"/>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بالقراح هو الخالص عن السدر و الکافور، إمّا مطلقاً أو علی وجه یضاف عرفاً إلی أحدهما، لا عن کلّ شی‌ء، فلا یقدح خلطه بما عداهما مع إبقاء الإطلاق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خلوصه عنهما رخصة کما یفهم عن الروضة </w:t>
      </w:r>
      <w:r>
        <w:rPr>
          <w:rStyle w:val="FootnoteAnchor"/>
          <w:rtl w:val="true"/>
        </w:rPr>
        <w:footnoteReference w:id="1488"/>
      </w:r>
      <w:r>
        <w:rPr>
          <w:rFonts w:ascii="IRNazanin" w:hAnsi="IRNazanin" w:eastAsia="IRNazanin"/>
          <w:color w:val="111111"/>
          <w:sz w:val="28"/>
          <w:sz w:val="28"/>
          <w:szCs w:val="28"/>
          <w:rtl w:val="true"/>
          <w:lang w:bidi="fa-IR"/>
        </w:rPr>
        <w:t xml:space="preserve">، و نبّه علیه الأمر بإلقاء سبع ورقات </w:t>
      </w:r>
      <w:r>
        <w:rPr>
          <w:rStyle w:val="FootnoteAnchor"/>
          <w:rtl w:val="true"/>
        </w:rPr>
        <w:footnoteReference w:id="1489"/>
      </w:r>
      <w:r>
        <w:rPr>
          <w:rFonts w:ascii="IRNazanin" w:hAnsi="IRNazanin" w:eastAsia="IRNazanin"/>
          <w:color w:val="111111"/>
          <w:sz w:val="28"/>
          <w:sz w:val="28"/>
          <w:szCs w:val="28"/>
          <w:rtl w:val="true"/>
          <w:lang w:bidi="fa-IR"/>
        </w:rPr>
        <w:t xml:space="preserve">، أو عزیمة کما هو ظاهر الفتاوی </w:t>
      </w:r>
      <w:r>
        <w:rPr>
          <w:rStyle w:val="FootnoteAnchor"/>
          <w:rtl w:val="true"/>
        </w:rPr>
        <w:footnoteReference w:id="1490"/>
      </w:r>
      <w:r>
        <w:rPr>
          <w:rFonts w:ascii="IRNazanin" w:hAnsi="IRNazanin" w:eastAsia="IRNazanin"/>
          <w:color w:val="111111"/>
          <w:sz w:val="28"/>
          <w:sz w:val="28"/>
          <w:szCs w:val="28"/>
          <w:rtl w:val="true"/>
          <w:lang w:bidi="fa-IR"/>
        </w:rPr>
        <w:t xml:space="preserve">و النصوص </w:t>
      </w:r>
      <w:r>
        <w:rPr>
          <w:rStyle w:val="FootnoteAnchor"/>
          <w:rtl w:val="true"/>
        </w:rPr>
        <w:footnoteReference w:id="1491"/>
      </w:r>
      <w:r>
        <w:rPr>
          <w:rFonts w:ascii="IRNazanin" w:hAnsi="IRNazanin" w:eastAsia="IRNazanin"/>
          <w:color w:val="111111"/>
          <w:sz w:val="28"/>
          <w:sz w:val="28"/>
          <w:szCs w:val="28"/>
          <w:rtl w:val="true"/>
          <w:lang w:bidi="fa-IR"/>
        </w:rPr>
        <w:t xml:space="preserve">، سیّما الأمر بها </w:t>
      </w:r>
      <w:r>
        <w:rPr>
          <w:rStyle w:val="FootnoteAnchor"/>
          <w:rtl w:val="true"/>
        </w:rPr>
        <w:footnoteReference w:id="1492"/>
      </w:r>
      <w:r>
        <w:rPr>
          <w:rFonts w:ascii="IRNazanin" w:hAnsi="IRNazanin" w:eastAsia="IRNazanin"/>
          <w:color w:val="111111"/>
          <w:sz w:val="28"/>
          <w:sz w:val="28"/>
          <w:szCs w:val="28"/>
          <w:rtl w:val="true"/>
          <w:lang w:bidi="fa-IR"/>
        </w:rPr>
        <w:t xml:space="preserve">بغسل الإناء عن السدر و الکافور و إراقة بقیّة مائهما </w:t>
      </w:r>
      <w:r>
        <w:rPr>
          <w:rStyle w:val="FootnoteAnchor"/>
          <w:rtl w:val="true"/>
        </w:rPr>
        <w:footnoteReference w:id="1493"/>
      </w:r>
      <w:r>
        <w:rPr>
          <w:rFonts w:ascii="IRNazanin" w:hAnsi="IRNazanin" w:eastAsia="IRNazanin"/>
          <w:color w:val="111111"/>
          <w:sz w:val="28"/>
          <w:sz w:val="28"/>
          <w:szCs w:val="28"/>
          <w:rtl w:val="true"/>
          <w:lang w:bidi="fa-IR"/>
        </w:rPr>
        <w:t xml:space="preserve">، و لا ینافی ذلک الخبران </w:t>
      </w:r>
      <w:r>
        <w:rPr>
          <w:rStyle w:val="FootnoteAnchor"/>
          <w:rtl w:val="true"/>
        </w:rPr>
        <w:footnoteReference w:id="1494"/>
      </w:r>
      <w:r>
        <w:rPr>
          <w:rFonts w:ascii="IRNazanin" w:hAnsi="IRNazanin" w:eastAsia="IRNazanin"/>
          <w:color w:val="111111"/>
          <w:sz w:val="28"/>
          <w:sz w:val="28"/>
          <w:szCs w:val="28"/>
          <w:rtl w:val="true"/>
          <w:lang w:bidi="fa-IR"/>
        </w:rPr>
        <w:t>الآمران بإلقاء سبع ورقات فی القراح، مع التقیید فی أحدهما</w:t>
      </w:r>
    </w:p>
    <w:p>
      <w:pPr>
        <w:pStyle w:val="BookText"/>
        <w:rPr/>
      </w:pPr>
      <w:r>
        <w:rPr>
          <w:rFonts w:ascii="IRNazanin" w:hAnsi="IRNazanin" w:eastAsia="IRNazanin"/>
          <w:color w:val="111111"/>
          <w:sz w:val="28"/>
          <w:sz w:val="28"/>
          <w:szCs w:val="28"/>
          <w:rtl w:val="true"/>
          <w:lang w:bidi="fa-IR"/>
        </w:rPr>
        <w:t xml:space="preserve">بالورقات الصحاح و اشتمال الآخر </w:t>
      </w:r>
      <w:r>
        <w:rPr>
          <w:rStyle w:val="FootnoteAnchor"/>
          <w:rtl w:val="true"/>
        </w:rPr>
        <w:footnoteReference w:id="1495"/>
      </w:r>
      <w:r>
        <w:rPr>
          <w:rFonts w:ascii="IRNazanin" w:hAnsi="IRNazanin" w:eastAsia="IRNazanin"/>
          <w:color w:val="111111"/>
          <w:sz w:val="28"/>
          <w:sz w:val="28"/>
          <w:szCs w:val="28"/>
          <w:rtl w:val="true"/>
          <w:lang w:bidi="fa-IR"/>
        </w:rPr>
        <w:t xml:space="preserve">علی غرائب، کما اعترف به غیر واحد </w:t>
      </w:r>
      <w:r>
        <w:rPr>
          <w:rStyle w:val="FootnoteAnchor"/>
          <w:rtl w:val="true"/>
        </w:rPr>
        <w:footnoteReference w:id="149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مقتضی ظاهر جعله کغسل الجنابة أو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غمس المیّت فی الکثیر، فیسقط الترتیب حینئذٍ، وفاقاً للمحکیّ عن المصنّف </w:t>
      </w:r>
      <w:r>
        <w:rPr>
          <w:rStyle w:val="FootnoteAnchor"/>
          <w:rtl w:val="true"/>
        </w:rPr>
        <w:footnoteReference w:id="1497"/>
      </w:r>
      <w:r>
        <w:rPr>
          <w:rFonts w:ascii="IRNazanin" w:hAnsi="IRNazanin" w:eastAsia="IRNazanin"/>
          <w:color w:val="111111"/>
          <w:sz w:val="28"/>
          <w:sz w:val="28"/>
          <w:szCs w:val="28"/>
          <w:rtl w:val="true"/>
          <w:lang w:bidi="fa-IR"/>
        </w:rPr>
        <w:t xml:space="preserve">و ولده </w:t>
      </w:r>
      <w:r>
        <w:rPr>
          <w:rStyle w:val="FootnoteAnchor"/>
          <w:rtl w:val="true"/>
        </w:rPr>
        <w:footnoteReference w:id="1498"/>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49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500"/>
      </w:r>
      <w:r>
        <w:rPr>
          <w:rFonts w:ascii="IRNazanin" w:hAnsi="IRNazanin" w:eastAsia="IRNazanin"/>
          <w:color w:val="111111"/>
          <w:sz w:val="28"/>
          <w:sz w:val="28"/>
          <w:szCs w:val="28"/>
          <w:rtl w:val="true"/>
          <w:lang w:bidi="fa-IR"/>
        </w:rPr>
        <w:t xml:space="preserve">و بعض من تأخّر عنهم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یضعّف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ظهوره فی العموم بحیث یشمل ذلک، فیبقی الأصل سلیماً و معتضداً بظاهر الأخبار المفصّلة لکیفیّته </w:t>
      </w:r>
      <w:r>
        <w:rPr>
          <w:rStyle w:val="FootnoteAnchor"/>
          <w:rtl w:val="true"/>
        </w:rPr>
        <w:footnoteReference w:id="1502"/>
      </w:r>
      <w:r>
        <w:rPr>
          <w:rFonts w:ascii="IRNazanin" w:hAnsi="IRNazanin" w:eastAsia="IRNazanin"/>
          <w:color w:val="111111"/>
          <w:sz w:val="28"/>
          <w:sz w:val="28"/>
          <w:szCs w:val="28"/>
          <w:rtl w:val="true"/>
          <w:lang w:bidi="fa-IR"/>
        </w:rPr>
        <w:t xml:space="preserve">، و لذا استشکل فی التذکرة </w:t>
      </w:r>
      <w:r>
        <w:rPr>
          <w:rStyle w:val="FootnoteAnchor"/>
          <w:rtl w:val="true"/>
        </w:rPr>
        <w:footnoteReference w:id="1503"/>
      </w:r>
      <w:r>
        <w:rPr>
          <w:rFonts w:ascii="IRNazanin" w:hAnsi="IRNazanin" w:eastAsia="IRNazanin"/>
          <w:color w:val="111111"/>
          <w:sz w:val="28"/>
          <w:sz w:val="28"/>
          <w:szCs w:val="28"/>
          <w:rtl w:val="true"/>
          <w:lang w:bidi="fa-IR"/>
        </w:rPr>
        <w:t xml:space="preserve">و النهایة </w:t>
      </w:r>
      <w:r>
        <w:rPr>
          <w:rStyle w:val="FootnoteAnchor"/>
          <w:rtl w:val="true"/>
        </w:rPr>
        <w:footnoteReference w:id="1504"/>
      </w:r>
      <w:r>
        <w:rPr>
          <w:rFonts w:ascii="IRNazanin" w:hAnsi="IRNazanin" w:eastAsia="IRNazanin"/>
          <w:color w:val="111111"/>
          <w:sz w:val="28"/>
          <w:sz w:val="28"/>
          <w:szCs w:val="28"/>
          <w:rtl w:val="true"/>
          <w:lang w:bidi="fa-IR"/>
        </w:rPr>
        <w:t xml:space="preserve">و المدارک </w:t>
      </w:r>
      <w:r>
        <w:rPr>
          <w:rStyle w:val="FootnoteAnchor"/>
          <w:rtl w:val="true"/>
        </w:rPr>
        <w:footnoteReference w:id="1505"/>
      </w:r>
      <w:r>
        <w:rPr>
          <w:rFonts w:ascii="IRNazanin" w:hAnsi="IRNazanin" w:eastAsia="IRNazanin"/>
          <w:color w:val="111111"/>
          <w:sz w:val="28"/>
          <w:sz w:val="28"/>
          <w:szCs w:val="28"/>
          <w:rtl w:val="true"/>
          <w:lang w:bidi="fa-IR"/>
        </w:rPr>
        <w:t xml:space="preserve">، و احتمل العدم فی جامع المقاصد </w:t>
      </w:r>
      <w:r>
        <w:rPr>
          <w:rStyle w:val="FootnoteAnchor"/>
          <w:rtl w:val="true"/>
        </w:rPr>
        <w:footnoteReference w:id="1506"/>
      </w:r>
      <w:r>
        <w:rPr>
          <w:rFonts w:ascii="IRNazanin" w:hAnsi="IRNazanin" w:eastAsia="IRNazanin"/>
          <w:color w:val="111111"/>
          <w:sz w:val="28"/>
          <w:sz w:val="28"/>
          <w:szCs w:val="28"/>
          <w:rtl w:val="true"/>
          <w:lang w:bidi="fa-IR"/>
        </w:rPr>
        <w:t xml:space="preserve">، بل قوّاه کاشف اللثام </w:t>
      </w:r>
      <w:r>
        <w:rPr>
          <w:rStyle w:val="FootnoteAnchor"/>
          <w:rtl w:val="true"/>
        </w:rPr>
        <w:footnoteReference w:id="1507"/>
      </w:r>
      <w:r>
        <w:rPr>
          <w:rFonts w:ascii="IRNazanin" w:hAnsi="IRNazanin" w:eastAsia="IRNazanin"/>
          <w:color w:val="111111"/>
          <w:sz w:val="28"/>
          <w:sz w:val="28"/>
          <w:szCs w:val="28"/>
          <w:rtl w:val="true"/>
          <w:lang w:bidi="fa-IR"/>
        </w:rPr>
        <w:t xml:space="preserve">، و تبعه شیخنا المعاصر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إنّما یتطرّق فی صحیحة ابن مسلم الدالّة علی التشبیه </w:t>
      </w:r>
      <w:r>
        <w:rPr>
          <w:rStyle w:val="FootnoteAnchor"/>
          <w:rtl w:val="true"/>
        </w:rPr>
        <w:footnoteReference w:id="1509"/>
      </w:r>
      <w:r>
        <w:rPr>
          <w:rFonts w:ascii="IRNazanin" w:hAnsi="IRNazanin" w:eastAsia="IRNazanin"/>
          <w:color w:val="111111"/>
          <w:sz w:val="28"/>
          <w:sz w:val="28"/>
          <w:szCs w:val="28"/>
          <w:rtl w:val="true"/>
          <w:lang w:bidi="fa-IR"/>
        </w:rPr>
        <w:t xml:space="preserve">، دون المستفیضة الدالّة علی أنّ المیّت جنب یغسّل غسل الجنابة </w:t>
      </w:r>
      <w:r>
        <w:rPr>
          <w:rStyle w:val="FootnoteAnchor"/>
          <w:rtl w:val="true"/>
        </w:rPr>
        <w:footnoteReference w:id="1510"/>
      </w:r>
      <w:r>
        <w:rPr>
          <w:rFonts w:ascii="IRNazanin" w:hAnsi="IRNazanin" w:eastAsia="IRNazanin"/>
          <w:color w:val="111111"/>
          <w:sz w:val="28"/>
          <w:sz w:val="28"/>
          <w:szCs w:val="28"/>
          <w:rtl w:val="true"/>
          <w:lang w:bidi="fa-IR"/>
        </w:rPr>
        <w:t xml:space="preserve">، و کذا الأخبار الدالّة علی أنّ المقصود تنظیف المیّت </w:t>
      </w:r>
      <w:r>
        <w:rPr>
          <w:rStyle w:val="FootnoteAnchor"/>
          <w:rtl w:val="true"/>
        </w:rPr>
        <w:footnoteReference w:id="1511"/>
      </w:r>
      <w:r>
        <w:rPr>
          <w:rFonts w:ascii="IRNazanin" w:hAnsi="IRNazanin" w:eastAsia="IRNazanin"/>
          <w:color w:val="111111"/>
          <w:sz w:val="28"/>
          <w:sz w:val="28"/>
          <w:szCs w:val="28"/>
          <w:rtl w:val="true"/>
          <w:lang w:bidi="fa-IR"/>
        </w:rPr>
        <w:t>، فالقول باجتزاء الارتماس لا یخلو من قوّة، و إن کان الأحوط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اجتزاء الارتماس عن الترتیب بین الأعضاء، لا جواز الترتیب علی وجه الارتماس، بأن یغمس کلّ جانب فی الماء أو یغمس الکلّ بقصد غسل عضوٍ واحدٍ، فإنّه جائز اتّفاقاً، کما أنّ الاجتزاء بالارتماس عن الترتیب بین الأغسال غیر جائز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الصبّ فی الأعضاء أیضاً؛ خروجاً عن خلاف من أوجب ذلک فی غسل الجنابة </w:t>
      </w:r>
      <w:r>
        <w:rPr>
          <w:rStyle w:val="FootnoteAnchor"/>
          <w:rtl w:val="true"/>
        </w:rPr>
        <w:footnoteReference w:id="1512"/>
      </w:r>
      <w:r>
        <w:rPr>
          <w:rFonts w:ascii="IRNazanin" w:hAnsi="IRNazanin" w:eastAsia="IRNazanin"/>
          <w:color w:val="111111"/>
          <w:sz w:val="28"/>
          <w:sz w:val="28"/>
          <w:szCs w:val="28"/>
          <w:rtl w:val="true"/>
          <w:lang w:bidi="fa-IR"/>
        </w:rPr>
        <w:t>و لم یکتف بارتماس العضو فی الماء، و إن کان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وجوب تثلیث الغسلات بالخلیطین و القراح مختصّ بحال التمکّن من الماء و الخلیط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فقد أحدهما، فإن کان المفقود هو الماء، بأن لم یکف الموجود منه إلّا لغسل واحد، ففی وجوب استعماله قراحاً أو وجوب خلطه بالسدر، قولان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 الأوّل فی الذکری؛ لأنّه أقوی فی التطهیر </w:t>
      </w:r>
      <w:r>
        <w:rPr>
          <w:rStyle w:val="FootnoteAnchor"/>
          <w:rtl w:val="true"/>
        </w:rPr>
        <w:footnoteReference w:id="1513"/>
      </w:r>
      <w:r>
        <w:rPr>
          <w:rFonts w:ascii="Amiri" w:hAnsi="Amiri" w:eastAsia="Amiri" w:cs="Amiri"/>
          <w:color w:val="111111"/>
          <w:sz w:val="28"/>
          <w:sz w:val="28"/>
          <w:szCs w:val="28"/>
          <w:rtl w:val="true"/>
          <w:lang w:bidi="ar-SA"/>
        </w:rPr>
        <w:t>، و یتّضح ذلک</w:t>
      </w:r>
    </w:p>
    <w:p>
      <w:pPr>
        <w:pStyle w:val="BookText"/>
        <w:rPr/>
      </w:pPr>
      <w:r>
        <w:rPr>
          <w:rFonts w:ascii="IRNazanin" w:hAnsi="IRNazanin" w:eastAsia="IRNazanin"/>
          <w:color w:val="111111"/>
          <w:sz w:val="28"/>
          <w:sz w:val="28"/>
          <w:szCs w:val="28"/>
          <w:rtl w:val="true"/>
          <w:lang w:bidi="fa-IR"/>
        </w:rPr>
        <w:t xml:space="preserve">لو جوّزنا کون ماء الخلیطین مضافاً، و الأقوی وجوب خلطه بالسدر، وفاقاً للمحقّق </w:t>
      </w:r>
      <w:r>
        <w:rPr>
          <w:rStyle w:val="FootnoteAnchor"/>
          <w:rtl w:val="true"/>
        </w:rPr>
        <w:footnoteReference w:id="1514"/>
      </w:r>
      <w:r>
        <w:rPr>
          <w:rFonts w:ascii="IRNazanin" w:hAnsi="IRNazanin" w:eastAsia="IRNazanin"/>
          <w:color w:val="111111"/>
          <w:sz w:val="28"/>
          <w:sz w:val="28"/>
          <w:szCs w:val="28"/>
          <w:rtl w:val="true"/>
          <w:lang w:bidi="fa-IR"/>
        </w:rPr>
        <w:t xml:space="preserve">و الشهید </w:t>
      </w:r>
      <w:r>
        <w:rPr>
          <w:rStyle w:val="FootnoteAnchor"/>
          <w:rtl w:val="true"/>
        </w:rPr>
        <w:footnoteReference w:id="1515"/>
      </w:r>
      <w:r>
        <w:rPr>
          <w:rFonts w:ascii="IRNazanin" w:hAnsi="IRNazanin" w:eastAsia="IRNazanin"/>
          <w:color w:val="111111"/>
          <w:sz w:val="28"/>
          <w:sz w:val="28"/>
          <w:szCs w:val="28"/>
          <w:rtl w:val="true"/>
          <w:lang w:bidi="fa-IR"/>
        </w:rPr>
        <w:t xml:space="preserve">الثانیین، و عدل إلیه فی البیان </w:t>
      </w:r>
      <w:r>
        <w:rPr>
          <w:rStyle w:val="FootnoteAnchor"/>
          <w:rtl w:val="true"/>
        </w:rPr>
        <w:footnoteReference w:id="1516"/>
      </w:r>
      <w:r>
        <w:rPr>
          <w:rFonts w:ascii="IRNazanin" w:hAnsi="IRNazanin" w:eastAsia="IRNazanin"/>
          <w:color w:val="111111"/>
          <w:sz w:val="28"/>
          <w:sz w:val="28"/>
          <w:szCs w:val="28"/>
          <w:rtl w:val="true"/>
          <w:lang w:bidi="fa-IR"/>
        </w:rPr>
        <w:t>لأنّ العجز إنّما تحقّق فی الجزء الأخیر من المرکّب المتدرّج فی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توهّم التخییر؛ من جهة أنّ نسبة العجز إلی الجزءَین علی السواء، و الأمر لا یتجدّد بالنسبة إلیهما تدریجاً، فلا مرجّح لتعلّقه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أدلّة عدم سقوط المیسور بالمعسور وجوب إیجاد الجزء المقدور علی النحو الذی وجب إیجاده حال انضمام غیر المقدور إلیه، و الغسل بالقراح إنّما وجب إیجاده متّصفاً بکونه بعد استعمال الخلیطین، فلو أتی به عند العجز أتی به لا علی صفته التی وجب أن یوجد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الغسل بالسدر أیضاً کان متّصفاً بکونه قبل استعمال أخویه، فهو أیضاً بهذه الصفة معسور، فیکشف ذلک عن أنّ تعذّر الانضمام أوجب تعذّر الصفتین، و الغسلان مع قطع النظر عن صفتیهما مشترکان فی کون کلّ واحد میسوراً علی البدل، فالواجب أحدهما علی البدل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صفة القبلیّة لا تقتضی لتعیّن </w:t>
      </w:r>
      <w:r>
        <w:rPr>
          <w:rStyle w:val="FootnoteAnchor"/>
          <w:rtl w:val="true"/>
        </w:rPr>
        <w:footnoteReference w:id="1517"/>
      </w:r>
      <w:r>
        <w:rPr>
          <w:rFonts w:ascii="IRNazanin" w:hAnsi="IRNazanin" w:eastAsia="IRNazanin"/>
          <w:color w:val="111111"/>
          <w:sz w:val="28"/>
          <w:sz w:val="28"/>
          <w:szCs w:val="28"/>
          <w:rtl w:val="true"/>
          <w:lang w:bidi="fa-IR"/>
        </w:rPr>
        <w:t>محلّ الفعل و زمانه، بخلاف صفة البعدیّة، فالجزء الأخیر من المرکّب یتعذّر الإتیان فی محلّه، بخلاف الجزء الأوّل، و هذه ضابطة مطّردة فی کلّ فعلین بینهما ترتّب؛ فإنّ الواجب عند تعذّر الجمیع هو اختیار الأوّل</w:t>
      </w:r>
      <w:r>
        <w:rPr>
          <w:rFonts w:eastAsia="IRNazanin" w:cs="IRNazanin"/>
          <w:color w:val="111111"/>
          <w:sz w:val="28"/>
          <w:szCs w:val="28"/>
          <w:rtl w:val="true"/>
          <w:lang w:bidi="fa-IR"/>
        </w:rPr>
        <w:t>.</w:t>
      </w:r>
      <w:bookmarkStart w:id="165" w:name="pg13042_127153"/>
    </w:p>
    <w:p>
      <w:pPr>
        <w:pStyle w:val="BookText"/>
        <w:rPr/>
      </w:pPr>
      <w:bookmarkEnd w:id="165"/>
      <w:r>
        <w:rPr>
          <w:rFonts w:ascii="IRNazanin" w:hAnsi="IRNazanin" w:eastAsia="IRNazanin"/>
          <w:color w:val="111111"/>
          <w:sz w:val="28"/>
          <w:sz w:val="28"/>
          <w:szCs w:val="28"/>
          <w:rtl w:val="true"/>
          <w:lang w:bidi="fa-IR"/>
        </w:rPr>
        <w:t>و ممّا ذکرنا یظهر الوجه فیما اعترف به فی الذکری بعد اختیار تقدیم القراح إذا لم یکفِ الماء إلّا لغسله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کفی غسلتین وجب تقدیم السدر لوجوب البدأة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الکافور لعظم نفعه </w:t>
      </w:r>
      <w:r>
        <w:rPr>
          <w:rStyle w:val="FootnoteAnchor"/>
          <w:rtl w:val="true"/>
        </w:rPr>
        <w:footnoteReference w:id="151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الماء الباقی بالکافور، ثمّ الأقوی وجوب التیمّم عمّا تعذّر من الغسلات، کما عن البیان </w:t>
      </w:r>
      <w:r>
        <w:rPr>
          <w:rStyle w:val="FootnoteAnchor"/>
          <w:rtl w:val="true"/>
        </w:rPr>
        <w:footnoteReference w:id="1519"/>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520"/>
      </w:r>
      <w:r>
        <w:rPr>
          <w:rFonts w:ascii="IRNazanin" w:hAnsi="IRNazanin" w:eastAsia="IRNazanin"/>
          <w:color w:val="111111"/>
          <w:sz w:val="28"/>
          <w:sz w:val="28"/>
          <w:szCs w:val="28"/>
          <w:rtl w:val="true"/>
          <w:lang w:bidi="fa-IR"/>
        </w:rPr>
        <w:t xml:space="preserve">و الروض </w:t>
      </w:r>
      <w:r>
        <w:rPr>
          <w:rStyle w:val="FootnoteAnchor"/>
          <w:rtl w:val="true"/>
        </w:rPr>
        <w:footnoteReference w:id="1521"/>
      </w:r>
      <w:r>
        <w:rPr>
          <w:rFonts w:ascii="IRNazanin" w:hAnsi="IRNazanin" w:eastAsia="IRNazanin"/>
          <w:color w:val="111111"/>
          <w:sz w:val="28"/>
          <w:sz w:val="28"/>
          <w:szCs w:val="28"/>
          <w:rtl w:val="true"/>
          <w:lang w:bidi="fa-IR"/>
        </w:rPr>
        <w:t xml:space="preserve">و غیرها </w:t>
      </w:r>
      <w:r>
        <w:rPr>
          <w:rStyle w:val="FootnoteAnchor"/>
          <w:rtl w:val="true"/>
        </w:rPr>
        <w:footnoteReference w:id="1522"/>
      </w:r>
      <w:r>
        <w:rPr>
          <w:rFonts w:ascii="IRNazanin" w:hAnsi="IRNazanin" w:eastAsia="IRNazanin"/>
          <w:color w:val="111111"/>
          <w:sz w:val="28"/>
          <w:sz w:val="28"/>
          <w:szCs w:val="28"/>
          <w:rtl w:val="true"/>
          <w:lang w:bidi="fa-IR"/>
        </w:rPr>
        <w:t xml:space="preserve">لعموم البدلیّة، و نفاه فی الذکری معلّلًا بحصول مسمّی الغسل </w:t>
      </w:r>
      <w:r>
        <w:rPr>
          <w:rStyle w:val="FootnoteAnchor"/>
          <w:rtl w:val="true"/>
        </w:rPr>
        <w:footnoteReference w:id="1523"/>
      </w:r>
      <w:r>
        <w:rPr>
          <w:rFonts w:ascii="IRNazanin" w:hAnsi="IRNazanin" w:eastAsia="IRNazanin"/>
          <w:color w:val="111111"/>
          <w:sz w:val="28"/>
          <w:sz w:val="28"/>
          <w:szCs w:val="28"/>
          <w:rtl w:val="true"/>
          <w:lang w:bidi="fa-IR"/>
        </w:rPr>
        <w:t>، و فیه نظر</w:t>
      </w:r>
      <w:r>
        <w:rPr>
          <w:rFonts w:eastAsia="IRNazanin" w:cs="IRNazanin"/>
          <w:color w:val="111111"/>
          <w:sz w:val="28"/>
          <w:szCs w:val="28"/>
          <w:rtl w:val="true"/>
          <w:lang w:bidi="fa-IR"/>
        </w:rPr>
        <w:t>.</w:t>
      </w:r>
    </w:p>
    <w:p>
      <w:pPr>
        <w:pStyle w:val="Heading6"/>
        <w:numPr>
          <w:ilvl w:val="5"/>
          <w:numId w:val="1"/>
        </w:numPr>
        <w:rPr/>
      </w:pPr>
      <w:bookmarkStart w:id="166" w:name="__RefHeading___Toc6530184_3224264995"/>
      <w:bookmarkStart w:id="167" w:name="_Toc64"/>
      <w:bookmarkEnd w:id="166"/>
      <w:r>
        <w:rPr>
          <w:rtl w:val="true"/>
        </w:rPr>
        <w:t>[</w:t>
      </w:r>
      <w:r>
        <w:rPr>
          <w:rtl w:val="true"/>
        </w:rPr>
        <w:t>إذا فقد السدر و الکافور</w:t>
      </w:r>
      <w:r>
        <w:rPr>
          <w:rtl w:val="true"/>
        </w:rPr>
        <w:t>]</w:t>
      </w:r>
      <w:bookmarkEnd w:id="16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انعکس الفرض فی أصل المسألة، بأن وجد 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Style w:val="FootnoteAnchor"/>
          <w:rtl w:val="true"/>
        </w:rPr>
        <w:footnoteReference w:id="1524"/>
      </w:r>
      <w:r>
        <w:rPr>
          <w:rFonts w:ascii="IRNazanin" w:hAnsi="IRNazanin" w:eastAsia="IRNazanin"/>
          <w:color w:val="111111"/>
          <w:sz w:val="28"/>
          <w:sz w:val="28"/>
          <w:szCs w:val="28"/>
          <w:rtl w:val="true"/>
          <w:lang w:bidi="fa-IR"/>
        </w:rPr>
        <w:t>السدر و الکافور غسل ثلاثاً بالقراح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بل الأکثر ظاهراً،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المأمور به شیئان متمایزان و إن امتزجا فی الخارج </w:t>
      </w:r>
      <w:r>
        <w:rPr>
          <w:rStyle w:val="FootnoteAnchor"/>
          <w:rtl w:val="true"/>
        </w:rPr>
        <w:footnoteReference w:id="1525"/>
      </w:r>
      <w:r>
        <w:rPr>
          <w:rFonts w:ascii="IRNazanin" w:hAnsi="IRNazanin" w:eastAsia="IRNazanin"/>
          <w:color w:val="111111"/>
          <w:sz w:val="28"/>
          <w:sz w:val="28"/>
          <w:szCs w:val="28"/>
          <w:rtl w:val="true"/>
          <w:lang w:bidi="fa-IR"/>
        </w:rPr>
        <w:t>، کما هو مدلول قوله علیه السلام فی صحیحة ابن مسکان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بماء و سدر</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و لیس الاعتماد فی إیجاب الخلیطین علی ما دلّ علی الأمر بتغسیله بماء السدر حتّی یرتفع الأمر بارتفاع المضاف إلیه، و بعد تسلیمه لا نسلّم فوات الکلّ بفوات الجزء</w:t>
      </w:r>
    </w:p>
    <w:p>
      <w:pPr>
        <w:pStyle w:val="BookText"/>
        <w:rPr/>
      </w:pPr>
      <w:r>
        <w:rPr>
          <w:rFonts w:ascii="IRNazanin" w:hAnsi="IRNazanin" w:eastAsia="IRNazanin"/>
          <w:color w:val="111111"/>
          <w:sz w:val="28"/>
          <w:sz w:val="28"/>
          <w:szCs w:val="28"/>
          <w:rtl w:val="true"/>
          <w:lang w:bidi="fa-IR"/>
        </w:rPr>
        <w:t xml:space="preserve">بعد قیام الدلیل علی عدم سقوط المیسور بالمعسور </w:t>
      </w:r>
      <w:r>
        <w:rPr>
          <w:rStyle w:val="FootnoteAnchor"/>
          <w:rtl w:val="true"/>
        </w:rPr>
        <w:footnoteReference w:id="15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شی‌ء واحد هو الغسل، و متعلّقه أیضاً شی‌ء واحد مرکّب من شیئین ممتزجین علی ما هو مدلول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بماء و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بماء و اغسله بسدر، و إن کان الأصل فی العطف یقتضی ذلک، إلّا أنّ العطف علی هذا النحو بحرف الواو کثیر،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سلّم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بماء و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 المأمور به شیئین متمایزین لم یقدح التعبیر عنه فی بعض الأخبار الأُخر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الترکیب العقلی الاعتباری المنتزع من الترکیب الخارجی بمنزلة المرکّب الخارجی فی عدم سقوط جزء </w:t>
      </w:r>
      <w:r>
        <w:rPr>
          <w:rStyle w:val="FootnoteAnchor"/>
          <w:rtl w:val="true"/>
        </w:rPr>
        <w:footnoteReference w:id="1528"/>
      </w:r>
      <w:r>
        <w:rPr>
          <w:rFonts w:ascii="IRNazanin" w:hAnsi="IRNazanin" w:eastAsia="IRNazanin"/>
          <w:color w:val="111111"/>
          <w:sz w:val="28"/>
          <w:sz w:val="28"/>
          <w:szCs w:val="28"/>
          <w:rtl w:val="true"/>
          <w:lang w:bidi="fa-IR"/>
        </w:rPr>
        <w:t>المیسور بتعسّر جزئه الآخر؛ فإنّ ماء السدر لیس من قبیل ماء الرمّان،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تغایر عنوانی الإضافة و العطف فی المؤدّی، کان اللازم تحکیم ما دلّ علی وجوب الغسل بماء السدر علی ما دلّ علی وجوب الغسل بماء و سدر؛ لأنّ الأوّل کالتقیید للثانی،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وجه لما ذکر أخیراً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إذ لا دلیل علی وجوب المقدور من الشیئین المتمایزین خارجاً المأمور بهما علی وجه الاجتماع إلّا أدلّة عدم سقوط المیسور بالمعسور، و إلّا فهی لا تحتاج إلی الاستدلال بها فی التکالیف المستقلّة، کما أنّها لا تجری فی الترکیبات العقلیّة الحاصلة بسبب الإضافة أو التوصیف، کماء الرمّان و نحوه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فرق فی هذا المقام بین الترکیب الإضافی و العطفی،</w:t>
      </w:r>
    </w:p>
    <w:p>
      <w:pPr>
        <w:pStyle w:val="BookText"/>
        <w:rPr/>
      </w:pPr>
      <w:r>
        <w:rPr>
          <w:rFonts w:ascii="IRNazanin" w:hAnsi="IRNazanin" w:eastAsia="IRNazanin"/>
          <w:color w:val="111111"/>
          <w:sz w:val="28"/>
          <w:sz w:val="28"/>
          <w:szCs w:val="28"/>
          <w:rtl w:val="true"/>
          <w:lang w:bidi="fa-IR"/>
        </w:rPr>
        <w:t>و الأوّل غیر قادح من حیث کونه ترکیباً عقلیّاً، کما أنّ الثانی لا ینفع؛ لأنّ الترکیب الخارجی إنّما هو فی متعلّق المأمور به، أعنی الغسل لا نفسه، فالأولی التمسّک بأدلّة عدم سقوط المیسور بالمعسور، حیث إنّها جاریة فی المقام عرفاً و إن کان المأمور به شیئاً واحداً و هو الغسل، فإنّ العبرة فی مجاری تلک الأدلّة موارد إجراء العرف إیّاها، لا بمجرّد الترکیب الخارجی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یستدلّ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علی کون المحرِم کالمحِلّ فی الغسل و غیره، إلّا أنّه لا یقرّبه کافوراً </w:t>
      </w:r>
      <w:r>
        <w:rPr>
          <w:rStyle w:val="FootnoteAnchor"/>
          <w:rtl w:val="true"/>
        </w:rPr>
        <w:footnoteReference w:id="1529"/>
      </w:r>
      <w:r>
        <w:rPr>
          <w:rFonts w:ascii="IRNazanin" w:hAnsi="IRNazanin" w:eastAsia="IRNazanin"/>
          <w:color w:val="111111"/>
          <w:sz w:val="28"/>
          <w:sz w:val="28"/>
          <w:szCs w:val="28"/>
          <w:rtl w:val="true"/>
          <w:lang w:bidi="fa-IR"/>
        </w:rPr>
        <w:t>إذ المتعذّر عقلًا کالمتعذّر شرعاً،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المتعذّر شرعاً کالمتعذّر عقلًا دون العکس، مع أنّ الحکم الثابت فی مورد خاصّ لتعذّر شرعیّ لا یسری إلی التعذّر العقلی،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قضیّة أدلّة عدم سقوط المیسور بالمعسور کما عرفت سابقاً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إتیان المیسور علی النحو الذی یؤتی به عند الانضمام، و لازم ذلک وجوب مراعاة الترتیب بین امتثال وجوب الغسل بالقراح الذی هو تکلیف مستقلّ، فیجب التمییز بالنیّة محافظة علی الترتیب، فلا وجه لما اعترض علی المحقّق و الشهید الثانیین فی إیجابهما التمییز بین الغسلات بالنیّة </w:t>
      </w:r>
      <w:r>
        <w:rPr>
          <w:rStyle w:val="FootnoteAnchor"/>
          <w:rtl w:val="true"/>
        </w:rPr>
        <w:footnoteReference w:id="1530"/>
      </w:r>
      <w:r>
        <w:rPr>
          <w:rFonts w:ascii="IRNazanin" w:hAnsi="IRNazanin" w:eastAsia="IRNazanin"/>
          <w:color w:val="111111"/>
          <w:sz w:val="28"/>
          <w:sz w:val="28"/>
          <w:szCs w:val="28"/>
          <w:rtl w:val="true"/>
          <w:lang w:bidi="fa-IR"/>
        </w:rPr>
        <w:t>، إلّا أن یدّعی أنّ الترتیب إنّما کان معتبراً مع وجود الخلیطین و تغایر الغسلات، و المفروض انتفاء المغایرة بانتفاء الخلیط، و فیه تأمّل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یحکم بترتیب آثار الغسل الاختیاری علی الغسل الاضطراری أم لا، فیجب بملاقاة المیّت الغسل للملاقاة و الغسل للمسّ؟ وجهان، بل</w:t>
      </w:r>
    </w:p>
    <w:p>
      <w:pPr>
        <w:pStyle w:val="BookText"/>
        <w:rPr/>
      </w:pPr>
      <w:r>
        <w:rPr>
          <w:rFonts w:ascii="IRNazanin" w:hAnsi="IRNazanin" w:eastAsia="IRNazanin"/>
          <w:color w:val="111111"/>
          <w:sz w:val="28"/>
          <w:sz w:val="28"/>
          <w:szCs w:val="28"/>
          <w:rtl w:val="true"/>
          <w:lang w:bidi="fa-IR"/>
        </w:rPr>
        <w:t>قولان، 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وفاقاً للشهیدین </w:t>
      </w:r>
      <w:r>
        <w:rPr>
          <w:rStyle w:val="FootnoteAnchor"/>
          <w:rtl w:val="true"/>
        </w:rPr>
        <w:footnoteReference w:id="153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532"/>
      </w:r>
      <w:r>
        <w:rPr>
          <w:rFonts w:ascii="Amiri" w:hAnsi="Amiri" w:eastAsia="Amiri" w:cs="Amiri"/>
          <w:color w:val="111111"/>
          <w:sz w:val="28"/>
          <w:sz w:val="28"/>
          <w:szCs w:val="28"/>
          <w:rtl w:val="true"/>
          <w:lang w:bidi="ar-SA"/>
        </w:rPr>
        <w:t xml:space="preserve">و جماعة </w:t>
      </w:r>
      <w:r>
        <w:rPr>
          <w:rStyle w:val="FootnoteAnchor"/>
          <w:rtl w:val="true"/>
        </w:rPr>
        <w:footnoteReference w:id="1533"/>
      </w:r>
      <w:r>
        <w:rPr>
          <w:rFonts w:ascii="IRNazanin" w:hAnsi="IRNazanin" w:eastAsia="IRNazanin"/>
          <w:color w:val="111111"/>
          <w:sz w:val="28"/>
          <w:sz w:val="28"/>
          <w:szCs w:val="28"/>
          <w:rtl w:val="true"/>
          <w:lang w:bidi="fa-IR"/>
        </w:rPr>
        <w:t>للأصل و انصراف ما دلّ علی ارتفاع الأحکام بعد الغسل إلی الغسل التامّ دون الناقص و إن کان مأموراً به عند الاضطرار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الاضطراری یقتضی الإجزاء عقلًا کما حقّق فی الأُصول </w:t>
      </w:r>
      <w:r>
        <w:rPr>
          <w:rStyle w:val="FootnoteAnchor"/>
          <w:rtl w:val="true"/>
        </w:rPr>
        <w:footnoteReference w:id="1534"/>
      </w:r>
      <w:r>
        <w:rPr>
          <w:rFonts w:ascii="IRNazanin" w:hAnsi="IRNazanin" w:eastAsia="IRNazanin"/>
          <w:color w:val="111111"/>
          <w:sz w:val="28"/>
          <w:sz w:val="28"/>
          <w:szCs w:val="28"/>
          <w:rtl w:val="true"/>
          <w:lang w:bidi="fa-IR"/>
        </w:rPr>
        <w:t xml:space="preserve">، إلّا أنّ الإجزاء لا یستلزم ترتّب الآثار الوضعیّة المترتّبة علی الفعل الاختیاری، فمعنی بدلیّة الاضطراری عنه ترتّب بعض آثاره علیه، مثل جواز الدفن فیما نحن فیه، لحصول خفّة فی حدثه و خبثه بعد هذا الغسل، فهو بمنزلة مسح عین النجاسة للصلاة الذی أوجبه بعض </w:t>
      </w:r>
      <w:r>
        <w:rPr>
          <w:rStyle w:val="FootnoteAnchor"/>
          <w:rtl w:val="true"/>
        </w:rPr>
        <w:footnoteReference w:id="1535"/>
      </w:r>
      <w:r>
        <w:rPr>
          <w:rFonts w:ascii="IRNazanin" w:hAnsi="IRNazanin" w:eastAsia="IRNazanin"/>
          <w:color w:val="111111"/>
          <w:sz w:val="28"/>
          <w:sz w:val="28"/>
          <w:szCs w:val="28"/>
          <w:rtl w:val="true"/>
          <w:lang w:bidi="fa-IR"/>
        </w:rPr>
        <w:t>عند تعذّر إزالتها بالماء؛ حیث یکفی فی بدلیّته عن الغسل و الأمر به جواز إیقاع الصلاة فیه قبل وجدان الماء</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عدم الإجزاء و وجوب الإعادة إذا تمکّن من الغسل التامّ، خلافاً لما عن المدارک </w:t>
      </w:r>
      <w:r>
        <w:rPr>
          <w:rStyle w:val="FootnoteAnchor"/>
          <w:rtl w:val="true"/>
        </w:rPr>
        <w:footnoteReference w:id="1536"/>
      </w:r>
      <w:r>
        <w:rPr>
          <w:rFonts w:ascii="IRNazanin" w:hAnsi="IRNazanin" w:eastAsia="IRNazanin"/>
          <w:color w:val="111111"/>
          <w:sz w:val="28"/>
          <w:sz w:val="28"/>
          <w:szCs w:val="28"/>
          <w:rtl w:val="true"/>
          <w:lang w:bidi="fa-IR"/>
        </w:rPr>
        <w:t xml:space="preserve">، فاستظهر الإجزاء؛ تبعاً لشیخه المحقّق الأردبیلی </w:t>
      </w:r>
      <w:r>
        <w:rPr>
          <w:rStyle w:val="FootnoteAnchor"/>
          <w:rtl w:val="true"/>
        </w:rPr>
        <w:footnoteReference w:id="1537"/>
      </w:r>
      <w:r>
        <w:rPr>
          <w:rFonts w:ascii="IRNazanin" w:hAnsi="IRNazanin" w:eastAsia="IRNazanin"/>
          <w:color w:val="111111"/>
          <w:sz w:val="28"/>
          <w:sz w:val="28"/>
          <w:szCs w:val="28"/>
          <w:rtl w:val="true"/>
          <w:lang w:bidi="fa-IR"/>
        </w:rPr>
        <w:t>بناءً علی أنّ الأمر بالبدل الاضطراری یقتضی الإجزاء عن الاختیاری، و هو حسن لو ثبت کون الإسقاط بنفس البدل عند الاضطرار</w:t>
      </w:r>
      <w:bookmarkStart w:id="168" w:name="pg13042_127157"/>
    </w:p>
    <w:p>
      <w:pPr>
        <w:pStyle w:val="BookText"/>
        <w:rPr/>
      </w:pPr>
      <w:bookmarkEnd w:id="168"/>
      <w:r>
        <w:rPr>
          <w:rFonts w:ascii="IRNazanin" w:hAnsi="IRNazanin" w:eastAsia="IRNazanin"/>
          <w:color w:val="111111"/>
          <w:sz w:val="28"/>
          <w:sz w:val="28"/>
          <w:szCs w:val="28"/>
          <w:rtl w:val="true"/>
          <w:lang w:bidi="fa-IR"/>
        </w:rPr>
        <w:t>کما فی وضوء ذی الجبیرة و الأقطع بل وضوء التقیّة دون ما إذا ثبت کون السقوط بواسطة الاضطرار إلّا أنّه وجب البدل من باب الاکتفاء به ما دام تعذّر الاختیاری، أو شکّ فیما ثبت، فیرجع إلی أصالة عدم 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زوال الحدث و الخبث الموجبین لتغسیله بالغسل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عدم الخلاف بین الفریقین فی عدم وجوب الإعادة لو تمکّن من الغسل الاختیاری بعد الدفن، و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بعد تسلیم حرمة النبش حتّی لاستدراک الغسل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حسن إذا استلزم النبش المحرّم علی الإطلاق، أمّا لو اتّفق خروجه ففی سقوط تغسیله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إطلاق کلامهم فی التقیید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کلام الشهیدین </w:t>
      </w:r>
      <w:r>
        <w:rPr>
          <w:rStyle w:val="FootnoteAnchor"/>
          <w:rtl w:val="true"/>
        </w:rPr>
        <w:footnoteReference w:id="153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540"/>
      </w:r>
      <w:r>
        <w:rPr>
          <w:rFonts w:ascii="IRNazanin" w:hAnsi="IRNazanin" w:eastAsia="IRNazanin"/>
          <w:color w:val="111111"/>
          <w:sz w:val="28"/>
          <w:sz w:val="28"/>
          <w:szCs w:val="28"/>
          <w:rtl w:val="true"/>
          <w:lang w:bidi="fa-IR"/>
        </w:rPr>
        <w:t>، و عدم انصراف العمومات إلی المیّت المدفون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قضیّة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الأجزاء التی لا یفرّق فیها بین ما قبل الدفن و ما بعده إذا لم یزاحمه حرمة النبش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تنزیل الدفن منزلة انتهاء وقت التکلیف عریّةٌ عن البیّنة، فوجوب الإعادة لا یخلو عن قوّة</w:t>
      </w:r>
      <w:r>
        <w:rPr>
          <w:rFonts w:eastAsia="IRNazanin" w:cs="IRNazanin"/>
          <w:color w:val="111111"/>
          <w:sz w:val="28"/>
          <w:szCs w:val="28"/>
          <w:rtl w:val="true"/>
          <w:lang w:bidi="fa-IR"/>
        </w:rPr>
        <w:t>.</w:t>
      </w:r>
    </w:p>
    <w:p>
      <w:pPr>
        <w:pStyle w:val="Heading6"/>
        <w:numPr>
          <w:ilvl w:val="5"/>
          <w:numId w:val="1"/>
        </w:numPr>
        <w:rPr/>
      </w:pPr>
      <w:bookmarkStart w:id="169" w:name="__RefHeading___Toc6530186_3224264995"/>
      <w:bookmarkStart w:id="170" w:name="_Toc65"/>
      <w:bookmarkEnd w:id="169"/>
      <w:r>
        <w:rPr>
          <w:rtl w:val="true"/>
        </w:rPr>
        <w:t>[</w:t>
      </w:r>
      <w:r>
        <w:rPr>
          <w:rtl w:val="true"/>
        </w:rPr>
        <w:t>وجوب التیمم مع خوف تناثر جلده</w:t>
      </w:r>
      <w:r>
        <w:rPr>
          <w:rtl w:val="true"/>
        </w:rPr>
        <w:t>]</w:t>
      </w:r>
      <w:bookmarkEnd w:id="17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تغسیله و لو علی وجه الصبّ أو الغمس من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کالمحترق و المجدور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بالتراب، بلا خلاف ظاهر</w:t>
      </w:r>
    </w:p>
    <w:p>
      <w:pPr>
        <w:pStyle w:val="BookText"/>
        <w:rPr/>
      </w:pPr>
      <w:r>
        <w:rPr>
          <w:rFonts w:ascii="IRNazanin" w:hAnsi="IRNazanin" w:eastAsia="IRNazanin"/>
          <w:color w:val="111111"/>
          <w:sz w:val="28"/>
          <w:sz w:val="28"/>
          <w:szCs w:val="28"/>
          <w:rtl w:val="true"/>
          <w:lang w:bidi="fa-IR"/>
        </w:rPr>
        <w:t xml:space="preserve">بین الأصحاب کما عن المدارک </w:t>
      </w:r>
      <w:r>
        <w:rPr>
          <w:rStyle w:val="FootnoteAnchor"/>
          <w:rtl w:val="true"/>
        </w:rPr>
        <w:footnoteReference w:id="1541"/>
      </w:r>
      <w:r>
        <w:rPr>
          <w:rFonts w:ascii="IRNazanin" w:hAnsi="IRNazanin" w:eastAsia="IRNazanin"/>
          <w:color w:val="111111"/>
          <w:sz w:val="28"/>
          <w:sz w:val="28"/>
          <w:szCs w:val="28"/>
          <w:rtl w:val="true"/>
          <w:lang w:bidi="fa-IR"/>
        </w:rPr>
        <w:t xml:space="preserve">و الذخیرة </w:t>
      </w:r>
      <w:r>
        <w:rPr>
          <w:rStyle w:val="FootnoteAnchor"/>
          <w:rtl w:val="true"/>
        </w:rPr>
        <w:footnoteReference w:id="1542"/>
      </w:r>
      <w:r>
        <w:rPr>
          <w:rFonts w:ascii="IRNazanin" w:hAnsi="IRNazanin" w:eastAsia="IRNazanin"/>
          <w:color w:val="111111"/>
          <w:sz w:val="28"/>
          <w:sz w:val="28"/>
          <w:szCs w:val="28"/>
          <w:rtl w:val="true"/>
          <w:lang w:bidi="fa-IR"/>
        </w:rPr>
        <w:t>، و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علیه إجماع العلماء </w:t>
      </w:r>
      <w:r>
        <w:rPr>
          <w:rStyle w:val="FootnoteAnchor"/>
          <w:rtl w:val="true"/>
        </w:rPr>
        <w:footnoteReference w:id="1543"/>
      </w:r>
      <w:r>
        <w:rPr>
          <w:rFonts w:ascii="IRNazanin" w:hAnsi="IRNazanin" w:eastAsia="IRNazanin"/>
          <w:color w:val="111111"/>
          <w:sz w:val="28"/>
          <w:sz w:val="28"/>
          <w:szCs w:val="28"/>
          <w:rtl w:val="true"/>
          <w:lang w:bidi="fa-IR"/>
        </w:rPr>
        <w:t>، 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مات إنسان و لم یمکن غسله یمّم بالتراب کالحیّ عند جمیع الفقهاء إلّا ما عن الأوزاعی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مضافاً إلی عموم البدلیّة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زید بن علیّ عن آبائه صلوات اللّٰه علیهم عن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قوماً أتوا رسول اللّٰه صلّی اللّٰه علیه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مات صاحبٌ لنا و هو مجدور، فإن غسّلناه انسلخ،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یمّموه</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یناقش فی عمومات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تدلّ علیه إذا کان المبدل المؤثّر فی رفع الحدث هو خصوص الماء دون الماء مع الخلیط، مع أنّ أدلّة البدلیّة ظاهرة فی مقام رفع الحدث دون هذا الغسل المشروع لرفع خبث المیّت و حدثه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قد یناقش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بضعفها و معارضتها بصحیحة عبد الرحمن بن الحجّاج </w:t>
      </w:r>
      <w:r>
        <w:rPr>
          <w:rStyle w:val="FootnoteAnchor"/>
          <w:rtl w:val="true"/>
        </w:rPr>
        <w:footnoteReference w:id="1546"/>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ثلاثة نفر کانوا فی سفر، أوّلهم جنب، و الثانی میّت، و الثالث علی غیر وضوء، و حضرت الصلاة</w:t>
      </w:r>
    </w:p>
    <w:p>
      <w:pPr>
        <w:pStyle w:val="BookText"/>
        <w:rPr/>
      </w:pPr>
      <w:r>
        <w:rPr>
          <w:rFonts w:ascii="IRNazanin" w:hAnsi="IRNazanin" w:eastAsia="IRNazanin"/>
          <w:color w:val="111111"/>
          <w:sz w:val="28"/>
          <w:sz w:val="28"/>
          <w:szCs w:val="28"/>
          <w:rtl w:val="true"/>
          <w:lang w:bidi="fa-IR"/>
        </w:rPr>
        <w:t>و معهم ما یکفی أحدهم، من یأخذ الماء و یغتسل به؟ و کیف یصنعون؟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الجنب و یدفن المیّت و تیمّم الذی علیه الوضوء؛ لأنّ غسل الجنابة فریضة و غسل المیّت سنّة، و التیمّم للآخر جائز</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هذه المناقشات واضح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ضعف المناقشة فی عمومات البدلیّة، فلأنّ قوله علیه السلام فی صحیحة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الماء</w:t>
      </w:r>
      <w:r>
        <w:rPr>
          <w:rFonts w:eastAsia="IRNazanin" w:cs="IRNazanin"/>
          <w:color w:val="111111"/>
          <w:sz w:val="28"/>
          <w:szCs w:val="28"/>
          <w:rtl w:val="true"/>
          <w:lang w:bidi="fa-IR"/>
        </w:rPr>
        <w:t xml:space="preserve">» </w:t>
      </w:r>
      <w:r>
        <w:rPr>
          <w:rStyle w:val="FootnoteAnchor"/>
          <w:rtl w:val="true"/>
        </w:rPr>
        <w:footnoteReference w:id="1548"/>
      </w:r>
      <w:r>
        <w:rPr>
          <w:rFonts w:ascii="IRNazanin" w:hAnsi="IRNazanin" w:eastAsia="IRNazanin"/>
          <w:color w:val="111111"/>
          <w:sz w:val="28"/>
          <w:sz w:val="28"/>
          <w:szCs w:val="28"/>
          <w:rtl w:val="true"/>
          <w:lang w:bidi="fa-IR"/>
        </w:rPr>
        <w:t>یدلّ علی وجوب استعمال التراب حیث وجب استعمال الماء، سواء کان الواجب استعمال مطلق الماء أو استعمال ماء خاصّ کماء السدر و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المضایقة فی نسبة التطهیر إلی الماء المصاحب للسدر بدعوی اشتراک السدر معه فی أحداث الطهارة مخالف لما هو المرکوز فی أذهان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استقلال الماء فی الطهوریّة، و لما دلّ علی انحصار الطهور فی الماء و التراب، 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الطهورین</w:t>
      </w:r>
      <w:r>
        <w:rPr>
          <w:rFonts w:eastAsia="IRNazanin" w:cs="IRNazanin"/>
          <w:color w:val="111111"/>
          <w:sz w:val="28"/>
          <w:szCs w:val="28"/>
          <w:rtl w:val="true"/>
          <w:lang w:bidi="fa-IR"/>
        </w:rPr>
        <w:t xml:space="preserve">» </w:t>
      </w:r>
      <w:r>
        <w:rPr>
          <w:rStyle w:val="FootnoteAnchor"/>
          <w:rtl w:val="true"/>
        </w:rPr>
        <w:footnoteReference w:id="1549"/>
      </w:r>
      <w:r>
        <w:rPr>
          <w:rFonts w:ascii="IRNazanin" w:hAnsi="IRNazanin" w:eastAsia="IRNazanin"/>
          <w:color w:val="111111"/>
          <w:sz w:val="28"/>
          <w:sz w:val="28"/>
          <w:szCs w:val="28"/>
          <w:rtl w:val="true"/>
          <w:lang w:bidi="fa-IR"/>
        </w:rPr>
        <w:t>، و قولهم فی بیان الطهور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الماء و التراب</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و نحو ذلک، و حینئذٍ فیجب استعمال التراب بدل ماء السدر و الکافور کما یجب بدل القراح</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لو فرض فقد الخلیطین فلا خلاف فی وجوب استعمال الماء القراح و لو فی غسل واحد، فمع تعذّر الماء یجب بدله فیصیر التیمّم بدلًا اضطراریّاً عن غسل اضطراریّ، و یترتّب علیه عدم تطهیر المیّت به و عدم</w:t>
      </w:r>
    </w:p>
    <w:p>
      <w:pPr>
        <w:pStyle w:val="BookText"/>
        <w:rPr/>
      </w:pPr>
      <w:r>
        <w:rPr>
          <w:rFonts w:ascii="IRNazanin" w:hAnsi="IRNazanin" w:eastAsia="IRNazanin"/>
          <w:color w:val="111111"/>
          <w:sz w:val="28"/>
          <w:sz w:val="28"/>
          <w:szCs w:val="28"/>
          <w:rtl w:val="true"/>
          <w:lang w:bidi="fa-IR"/>
        </w:rPr>
        <w:t>سقوط غسله عند التمکّن من الماء و الخلیط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بسقوطه لو تمکّن من الماء دون الخلیط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ضعف المناقشة فی سند الروایة </w:t>
      </w:r>
      <w:r>
        <w:rPr>
          <w:rStyle w:val="FootnoteAnchor"/>
          <w:rtl w:val="true"/>
        </w:rPr>
        <w:footnoteReference w:id="1551"/>
      </w:r>
      <w:r>
        <w:rPr>
          <w:rFonts w:ascii="IRNazanin" w:hAnsi="IRNazanin" w:eastAsia="IRNazanin"/>
          <w:color w:val="111111"/>
          <w:sz w:val="28"/>
          <w:sz w:val="28"/>
          <w:szCs w:val="28"/>
          <w:rtl w:val="true"/>
          <w:lang w:bidi="fa-IR"/>
        </w:rPr>
        <w:t>، فواضح بعد انجبارها من الشهرة المحقّقة و استفاضة حکایة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المعارضة بصحیحة ابن الحجّاج، فلأنّ المرویّ فی التهذیب هذه الروایة بطریق مرسل </w:t>
      </w:r>
      <w:r>
        <w:rPr>
          <w:rStyle w:val="FootnoteAnchor"/>
          <w:rtl w:val="true"/>
        </w:rPr>
        <w:footnoteReference w:id="1552"/>
      </w:r>
      <w:r>
        <w:rPr>
          <w:rFonts w:ascii="IRNazanin" w:hAnsi="IRNazanin" w:eastAsia="IRNazanin"/>
          <w:color w:val="111111"/>
          <w:sz w:val="28"/>
          <w:sz w:val="28"/>
          <w:szCs w:val="28"/>
          <w:rtl w:val="true"/>
          <w:lang w:bidi="fa-IR"/>
        </w:rPr>
        <w:t>، و سند الفقیه و إن کان صحیحاً إلّا أنّ الموجود فیه علی ما حکی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یدفن المیّت بتیمّم، و یتیمّم الذی علیه الوضوء</w:t>
      </w:r>
      <w:r>
        <w:rPr>
          <w:rFonts w:eastAsia="IRNazanin" w:cs="IRNazanin"/>
          <w:color w:val="111111"/>
          <w:sz w:val="28"/>
          <w:szCs w:val="28"/>
          <w:rtl w:val="true"/>
          <w:lang w:bidi="fa-IR"/>
        </w:rPr>
        <w:t xml:space="preserve">» </w:t>
      </w:r>
      <w:r>
        <w:rPr>
          <w:rStyle w:val="FootnoteAnchor"/>
          <w:rtl w:val="true"/>
        </w:rPr>
        <w:footnoteReference w:id="1553"/>
      </w:r>
      <w:r>
        <w:rPr>
          <w:rFonts w:ascii="IRNazanin" w:hAnsi="IRNazanin" w:eastAsia="IRNazanin"/>
          <w:color w:val="111111"/>
          <w:sz w:val="28"/>
          <w:sz w:val="28"/>
          <w:szCs w:val="28"/>
          <w:rtl w:val="true"/>
          <w:lang w:bidi="fa-IR"/>
        </w:rPr>
        <w:t>فتخرج الروایة عن المعارضة إلی المعاضدة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فلا إشکال فی أصل المسألة إنّما الإشکال و الخلاف فی وجوب تعدّد التیمّم بتعدّد الأغسال کما عن التذکرة </w:t>
      </w:r>
      <w:r>
        <w:rPr>
          <w:rStyle w:val="FootnoteAnchor"/>
          <w:rtl w:val="true"/>
        </w:rPr>
        <w:footnoteReference w:id="155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555"/>
      </w:r>
      <w:r>
        <w:rPr>
          <w:rFonts w:ascii="IRNazanin" w:hAnsi="IRNazanin" w:eastAsia="IRNazanin"/>
          <w:color w:val="111111"/>
          <w:sz w:val="28"/>
          <w:sz w:val="28"/>
          <w:szCs w:val="28"/>
          <w:rtl w:val="true"/>
          <w:lang w:bidi="fa-IR"/>
        </w:rPr>
        <w:t xml:space="preserve">و الروض </w:t>
      </w:r>
      <w:r>
        <w:rPr>
          <w:rStyle w:val="FootnoteAnchor"/>
          <w:rtl w:val="true"/>
        </w:rPr>
        <w:footnoteReference w:id="1556"/>
      </w:r>
      <w:r>
        <w:rPr>
          <w:rFonts w:ascii="IRNazanin" w:hAnsi="IRNazanin" w:eastAsia="IRNazanin"/>
          <w:color w:val="111111"/>
          <w:sz w:val="28"/>
          <w:sz w:val="28"/>
          <w:szCs w:val="28"/>
          <w:rtl w:val="true"/>
          <w:lang w:bidi="fa-IR"/>
        </w:rPr>
        <w:t xml:space="preserve">و غیرها </w:t>
      </w:r>
      <w:r>
        <w:rPr>
          <w:rStyle w:val="FootnoteAnchor"/>
          <w:rtl w:val="true"/>
        </w:rPr>
        <w:footnoteReference w:id="1557"/>
      </w:r>
      <w:r>
        <w:rPr>
          <w:rFonts w:ascii="IRNazanin" w:hAnsi="IRNazanin" w:eastAsia="IRNazanin"/>
          <w:color w:val="111111"/>
          <w:sz w:val="28"/>
          <w:sz w:val="28"/>
          <w:szCs w:val="28"/>
          <w:rtl w:val="true"/>
          <w:lang w:bidi="fa-IR"/>
        </w:rPr>
        <w:t xml:space="preserve">للاحتیاط اللازم فی المقام، و عموم کون التراب بمنزلة الماء، أو یکفی تیمّم واحد، کما عن الذکری </w:t>
      </w:r>
      <w:r>
        <w:rPr>
          <w:rStyle w:val="FootnoteAnchor"/>
          <w:rtl w:val="true"/>
        </w:rPr>
        <w:footnoteReference w:id="1558"/>
      </w:r>
      <w:r>
        <w:rPr>
          <w:rFonts w:ascii="IRNazanin" w:hAnsi="IRNazanin" w:eastAsia="IRNazanin"/>
          <w:color w:val="111111"/>
          <w:sz w:val="28"/>
          <w:sz w:val="28"/>
          <w:szCs w:val="28"/>
          <w:rtl w:val="true"/>
          <w:lang w:bidi="fa-IR"/>
        </w:rPr>
        <w:t>للأصل، و کون غسل المیّت بمجموع غسلاته عملًا واحداً بمنزلة غسل الجنابة، و ظهور ما دلّ علی کون</w:t>
      </w:r>
      <w:bookmarkStart w:id="171" w:name="pg13042_127161"/>
    </w:p>
    <w:p>
      <w:pPr>
        <w:pStyle w:val="BookText"/>
        <w:rPr/>
      </w:pPr>
      <w:bookmarkEnd w:id="171"/>
      <w:r>
        <w:rPr>
          <w:rFonts w:ascii="Amiri" w:hAnsi="Amiri" w:eastAsia="Amiri" w:cs="Amiri"/>
          <w:color w:val="111111"/>
          <w:sz w:val="28"/>
          <w:sz w:val="28"/>
          <w:szCs w:val="28"/>
          <w:rtl w:val="true"/>
          <w:lang w:bidi="ar-SA"/>
        </w:rPr>
        <w:t xml:space="preserve">المیّت جنباً </w:t>
      </w:r>
      <w:r>
        <w:rPr>
          <w:rStyle w:val="FootnoteAnchor"/>
          <w:rtl w:val="true"/>
        </w:rPr>
        <w:footnoteReference w:id="1559"/>
      </w:r>
      <w:r>
        <w:rPr>
          <w:rFonts w:ascii="IRNazanin" w:hAnsi="IRNazanin" w:eastAsia="IRNazanin"/>
          <w:color w:val="111111"/>
          <w:sz w:val="28"/>
          <w:sz w:val="28"/>
          <w:szCs w:val="28"/>
          <w:rtl w:val="true"/>
          <w:lang w:bidi="fa-IR"/>
        </w:rPr>
        <w:t xml:space="preserve">فی أنّه یکفی له ما یکفی الجنب من التیمّم، مع أنّ حکمة التعدّد ظاهرة الاختصاص بصورة استعمال الماء، فهذا هو الأقوی، وفاقاً لجماعة من متأخّری المتأخّرین </w:t>
      </w:r>
      <w:r>
        <w:rPr>
          <w:rStyle w:val="FootnoteAnchor"/>
          <w:rtl w:val="true"/>
        </w:rPr>
        <w:footnoteReference w:id="1560"/>
      </w:r>
      <w:r>
        <w:rPr>
          <w:rFonts w:ascii="IRNazanin" w:hAnsi="IRNazanin" w:eastAsia="IRNazanin"/>
          <w:color w:val="111111"/>
          <w:sz w:val="28"/>
          <w:sz w:val="28"/>
          <w:szCs w:val="28"/>
          <w:rtl w:val="true"/>
          <w:lang w:bidi="fa-IR"/>
        </w:rPr>
        <w:t xml:space="preserve">، بل لظاهر النصّ </w:t>
      </w:r>
      <w:r>
        <w:rPr>
          <w:rStyle w:val="FootnoteAnchor"/>
          <w:rtl w:val="true"/>
        </w:rPr>
        <w:footnoteReference w:id="1561"/>
      </w:r>
      <w:r>
        <w:rPr>
          <w:rFonts w:ascii="IRNazanin" w:hAnsi="IRNazanin" w:eastAsia="IRNazanin"/>
          <w:color w:val="111111"/>
          <w:sz w:val="28"/>
          <w:sz w:val="28"/>
          <w:szCs w:val="28"/>
          <w:rtl w:val="true"/>
          <w:lang w:bidi="fa-IR"/>
        </w:rPr>
        <w:t xml:space="preserve">و فتاوی الأصحاب، کما شهد به فی الذکری </w:t>
      </w:r>
      <w:r>
        <w:rPr>
          <w:rStyle w:val="FootnoteAnchor"/>
          <w:rtl w:val="true"/>
        </w:rPr>
        <w:footnoteReference w:id="1562"/>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1563"/>
      </w:r>
      <w:r>
        <w:rPr>
          <w:rFonts w:ascii="IRNazanin" w:hAnsi="IRNazanin" w:eastAsia="IRNazanin"/>
          <w:color w:val="111111"/>
          <w:sz w:val="28"/>
          <w:sz w:val="28"/>
          <w:szCs w:val="28"/>
          <w:rtl w:val="true"/>
          <w:lang w:bidi="fa-IR"/>
        </w:rPr>
        <w:t xml:space="preserve">و الریاض </w:t>
      </w:r>
      <w:r>
        <w:rPr>
          <w:rStyle w:val="FootnoteAnchor"/>
          <w:rtl w:val="true"/>
        </w:rPr>
        <w:footnoteReference w:id="1564"/>
      </w:r>
      <w:r>
        <w:rPr>
          <w:rFonts w:ascii="IRNazanin" w:hAnsi="IRNazanin" w:eastAsia="IRNazanin"/>
          <w:color w:val="111111"/>
          <w:sz w:val="28"/>
          <w:sz w:val="28"/>
          <w:szCs w:val="28"/>
          <w:rtl w:val="true"/>
          <w:lang w:bidi="fa-IR"/>
        </w:rPr>
        <w:t>، و إن کان الاحتیاط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فی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المباشر یضرب بیده فیمسح بها وجه المیّت، نظیر المریض العاجز عن مسح یدیه علی الأرض و لو بإعانة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فی هذا دلالة علی خروج ضرب الیدین علی الأرض عن مفهوم التیمّم، إلّا أنّ ظاهر المشهور عدّه من أفعال التیمّم، فلعلّه یخصّ بمن یقدر علی المسح بهما بحیث یسند إلیه المسح، فیکون قد تیمّم بإعانة القادر دون من لا یقدر، فتأمّل</w:t>
      </w:r>
      <w:r>
        <w:rPr>
          <w:rFonts w:eastAsia="IRNazanin" w:cs="IRNazanin"/>
          <w:color w:val="111111"/>
          <w:sz w:val="28"/>
          <w:szCs w:val="28"/>
          <w:rtl w:val="true"/>
          <w:lang w:bidi="fa-IR"/>
        </w:rPr>
        <w:t>.</w:t>
      </w:r>
    </w:p>
    <w:p>
      <w:pPr>
        <w:pStyle w:val="Heading6"/>
        <w:numPr>
          <w:ilvl w:val="5"/>
          <w:numId w:val="1"/>
        </w:numPr>
        <w:rPr/>
      </w:pPr>
      <w:bookmarkStart w:id="172" w:name="__RefHeading___Toc6530188_3224264995"/>
      <w:bookmarkStart w:id="173" w:name="_Toc66"/>
      <w:bookmarkEnd w:id="172"/>
      <w:r>
        <w:rPr>
          <w:rtl w:val="true"/>
        </w:rPr>
        <w:t>[</w:t>
      </w:r>
      <w:r>
        <w:rPr>
          <w:rtl w:val="true"/>
        </w:rPr>
        <w:t>و یستحبّ فی تغسیل المیّت أُمور</w:t>
      </w:r>
      <w:r>
        <w:rPr>
          <w:rtl w:val="true"/>
        </w:rPr>
        <w:t>]</w:t>
      </w:r>
      <w:bookmarkEnd w:id="173"/>
    </w:p>
    <w:p>
      <w:pPr>
        <w:pStyle w:val="Heading6"/>
        <w:numPr>
          <w:ilvl w:val="5"/>
          <w:numId w:val="1"/>
        </w:numPr>
        <w:rPr/>
      </w:pPr>
      <w:bookmarkStart w:id="174" w:name="__RefHeading___Toc6530190_3224264995"/>
      <w:bookmarkStart w:id="175" w:name="_Toc67"/>
      <w:bookmarkEnd w:id="174"/>
      <w:r>
        <w:rPr>
          <w:rtl w:val="true"/>
        </w:rPr>
        <w:t>اشارة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تغسیل المیّت أُمور</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6530192_3224264995"/>
      <w:bookmarkStart w:id="177" w:name="_Toc68"/>
      <w:bookmarkEnd w:id="176"/>
      <w:r>
        <w:rPr>
          <w:rtl w:val="true"/>
        </w:rPr>
        <w:t>[</w:t>
      </w:r>
      <w:r>
        <w:rPr/>
        <w:t>1</w:t>
      </w:r>
      <w:r>
        <w:rPr>
          <w:rtl w:val="true"/>
        </w:rPr>
        <w:t xml:space="preserve">- </w:t>
      </w:r>
      <w:r>
        <w:rPr>
          <w:rtl w:val="true"/>
        </w:rPr>
        <w:t>وضعه علی ساجة</w:t>
      </w:r>
      <w:r>
        <w:rPr>
          <w:rtl w:val="true"/>
        </w:rPr>
        <w:t>]</w:t>
      </w:r>
      <w:bookmarkEnd w:id="17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وضعه علی 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سریر، بلا خلاف کما عن المنتهی </w:t>
      </w:r>
      <w:r>
        <w:rPr>
          <w:rStyle w:val="FootnoteAnchor"/>
          <w:rtl w:val="true"/>
        </w:rPr>
        <w:footnoteReference w:id="1565"/>
      </w:r>
      <w:r>
        <w:rPr>
          <w:rFonts w:ascii="IRNazanin" w:hAnsi="IRNazanin" w:eastAsia="IRNazanin"/>
          <w:color w:val="111111"/>
          <w:sz w:val="28"/>
          <w:sz w:val="28"/>
          <w:szCs w:val="28"/>
          <w:rtl w:val="true"/>
          <w:lang w:bidi="fa-IR"/>
        </w:rPr>
        <w:t xml:space="preserve">، بل مطلق ما یرفعه عن الأرض کما هو معقد إجماع الغنیة </w:t>
      </w:r>
      <w:r>
        <w:rPr>
          <w:rStyle w:val="FootnoteAnchor"/>
          <w:rtl w:val="true"/>
        </w:rPr>
        <w:footnoteReference w:id="1566"/>
      </w:r>
      <w:r>
        <w:rPr>
          <w:rFonts w:ascii="IRNazanin" w:hAnsi="IRNazanin" w:eastAsia="IRNazanin"/>
          <w:color w:val="111111"/>
          <w:sz w:val="28"/>
          <w:sz w:val="28"/>
          <w:szCs w:val="28"/>
          <w:rtl w:val="true"/>
          <w:lang w:bidi="fa-IR"/>
        </w:rPr>
        <w:t>، و الظاهر أنّ</w:t>
      </w:r>
      <w:bookmarkStart w:id="178" w:name="pg13042_127162"/>
    </w:p>
    <w:p>
      <w:pPr>
        <w:pStyle w:val="BookText"/>
        <w:rPr/>
      </w:pPr>
      <w:bookmarkEnd w:id="178"/>
      <w:r>
        <w:rPr>
          <w:rFonts w:ascii="IRNazanin" w:hAnsi="IRNazanin" w:eastAsia="IRNazanin"/>
          <w:color w:val="111111"/>
          <w:sz w:val="28"/>
          <w:sz w:val="28"/>
          <w:szCs w:val="28"/>
          <w:rtl w:val="true"/>
          <w:lang w:bidi="fa-IR"/>
        </w:rPr>
        <w:t xml:space="preserve">ارتفاع المحلّ لئلّا یعود ماء الغسل، و کونه خشباً أو ساجة مستحبّان؛ حفظاً لبدن المیّت عن التلطّخ، کما یظهر عن جماعة منهم الشهیدان </w:t>
      </w:r>
      <w:r>
        <w:rPr>
          <w:rStyle w:val="FootnoteAnchor"/>
          <w:rtl w:val="true"/>
        </w:rPr>
        <w:footnoteReference w:id="1567"/>
      </w:r>
      <w:r>
        <w:rPr>
          <w:rFonts w:ascii="IRNazanin" w:hAnsi="IRNazanin" w:eastAsia="IRNazanin"/>
          <w:color w:val="111111"/>
          <w:sz w:val="28"/>
          <w:sz w:val="28"/>
          <w:szCs w:val="28"/>
          <w:rtl w:val="true"/>
          <w:lang w:bidi="fa-IR"/>
        </w:rPr>
        <w:t>، و فی روایة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غسل المیّت فضعه علی المغتسل مستقبل القبلة</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 xml:space="preserve">، و یحتمل قویّاً أن یراد منه بیان استحباب الاستقبال لا غیر، و یکون ذکر المغتسل لکونه الموضع المعدّ عادة للتغسیل، کما یشهد به تسمیته بالمغتسل، فینحصر وجه الاستحباب فیما ذکرنا من التعلیل؛ تبعاً لجماعة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6530194_3224264995"/>
      <w:bookmarkStart w:id="180" w:name="_Toc69"/>
      <w:bookmarkEnd w:id="179"/>
      <w:r>
        <w:rPr>
          <w:rtl w:val="true"/>
        </w:rPr>
        <w:t>[</w:t>
      </w:r>
      <w:r>
        <w:rPr/>
        <w:t>2</w:t>
      </w:r>
      <w:r>
        <w:rPr>
          <w:rtl w:val="true"/>
        </w:rPr>
        <w:t xml:space="preserve">- </w:t>
      </w:r>
      <w:r>
        <w:rPr>
          <w:rtl w:val="true"/>
        </w:rPr>
        <w:t>استقبال القبلة حال الغسل</w:t>
      </w:r>
      <w:r>
        <w:rPr>
          <w:rtl w:val="true"/>
        </w:rPr>
        <w:t>]</w:t>
      </w:r>
      <w:bookmarkEnd w:id="18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حال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وفاقاً للمحکیّ عن المحقّق </w:t>
      </w:r>
      <w:r>
        <w:rPr>
          <w:rStyle w:val="FootnoteAnchor"/>
          <w:rtl w:val="true"/>
        </w:rPr>
        <w:footnoteReference w:id="1570"/>
      </w:r>
      <w:r>
        <w:rPr>
          <w:rFonts w:ascii="IRNazanin" w:hAnsi="IRNazanin" w:eastAsia="IRNazanin"/>
          <w:color w:val="111111"/>
          <w:sz w:val="28"/>
          <w:sz w:val="28"/>
          <w:szCs w:val="28"/>
          <w:rtl w:val="true"/>
          <w:lang w:bidi="fa-IR"/>
        </w:rPr>
        <w:t xml:space="preserve">و أکثر الأصحاب </w:t>
      </w:r>
      <w:r>
        <w:rPr>
          <w:rStyle w:val="FootnoteAnchor"/>
          <w:rtl w:val="true"/>
        </w:rPr>
        <w:footnoteReference w:id="1571"/>
      </w:r>
      <w:r>
        <w:rPr>
          <w:rFonts w:ascii="IRNazanin" w:hAnsi="IRNazanin" w:eastAsia="IRNazanin"/>
          <w:color w:val="111111"/>
          <w:sz w:val="28"/>
          <w:sz w:val="28"/>
          <w:szCs w:val="28"/>
          <w:rtl w:val="true"/>
          <w:lang w:bidi="fa-IR"/>
        </w:rPr>
        <w:t xml:space="preserve">بل عن المشهور </w:t>
      </w:r>
      <w:r>
        <w:rPr>
          <w:rStyle w:val="FootnoteAnchor"/>
          <w:rtl w:val="true"/>
        </w:rPr>
        <w:footnoteReference w:id="1572"/>
      </w:r>
      <w:r>
        <w:rPr>
          <w:rFonts w:ascii="IRNazanin" w:hAnsi="IRNazanin" w:eastAsia="IRNazanin"/>
          <w:color w:val="111111"/>
          <w:sz w:val="28"/>
          <w:sz w:val="28"/>
          <w:szCs w:val="28"/>
          <w:rtl w:val="true"/>
          <w:lang w:bidi="fa-IR"/>
        </w:rPr>
        <w:t xml:space="preserve">للأمر به فی عدّة نصوص </w:t>
      </w:r>
      <w:r>
        <w:rPr>
          <w:rStyle w:val="FootnoteAnchor"/>
          <w:rtl w:val="true"/>
        </w:rPr>
        <w:footnoteReference w:id="1573"/>
      </w:r>
      <w:r>
        <w:rPr>
          <w:rFonts w:ascii="IRNazanin" w:hAnsi="IRNazanin" w:eastAsia="IRNazanin"/>
          <w:color w:val="111111"/>
          <w:sz w:val="28"/>
          <w:sz w:val="28"/>
          <w:szCs w:val="28"/>
          <w:rtl w:val="true"/>
          <w:lang w:bidi="fa-IR"/>
        </w:rPr>
        <w:t xml:space="preserve">، فظاهرها الوجوب کما عن المبسوط </w:t>
      </w:r>
      <w:r>
        <w:rPr>
          <w:rStyle w:val="FootnoteAnchor"/>
          <w:rtl w:val="true"/>
        </w:rPr>
        <w:footnoteReference w:id="1574"/>
      </w:r>
      <w:r>
        <w:rPr>
          <w:rFonts w:ascii="IRNazanin" w:hAnsi="IRNazanin" w:eastAsia="IRNazanin"/>
          <w:color w:val="111111"/>
          <w:sz w:val="28"/>
          <w:sz w:val="28"/>
          <w:szCs w:val="28"/>
          <w:rtl w:val="true"/>
          <w:lang w:bidi="fa-IR"/>
        </w:rPr>
        <w:t xml:space="preserve">و المنتهی </w:t>
      </w:r>
      <w:r>
        <w:rPr>
          <w:rStyle w:val="FootnoteAnchor"/>
          <w:rtl w:val="true"/>
        </w:rPr>
        <w:footnoteReference w:id="1575"/>
      </w:r>
      <w:r>
        <w:rPr>
          <w:rFonts w:ascii="IRNazanin" w:hAnsi="IRNazanin" w:eastAsia="IRNazanin"/>
          <w:color w:val="111111"/>
          <w:sz w:val="28"/>
          <w:sz w:val="28"/>
          <w:szCs w:val="28"/>
          <w:rtl w:val="true"/>
          <w:lang w:bidi="fa-IR"/>
        </w:rPr>
        <w:t xml:space="preserve">و الدروس </w:t>
      </w:r>
      <w:r>
        <w:rPr>
          <w:rStyle w:val="FootnoteAnchor"/>
          <w:rtl w:val="true"/>
        </w:rPr>
        <w:footnoteReference w:id="1576"/>
      </w:r>
      <w:r>
        <w:rPr>
          <w:rFonts w:ascii="IRNazanin" w:hAnsi="IRNazanin" w:eastAsia="IRNazanin"/>
          <w:color w:val="111111"/>
          <w:sz w:val="28"/>
          <w:sz w:val="28"/>
          <w:szCs w:val="28"/>
          <w:rtl w:val="true"/>
          <w:lang w:bidi="fa-IR"/>
        </w:rPr>
        <w:t xml:space="preserve">و المسالک </w:t>
      </w:r>
      <w:r>
        <w:rPr>
          <w:rStyle w:val="FootnoteAnchor"/>
          <w:rtl w:val="true"/>
        </w:rPr>
        <w:footnoteReference w:id="157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578"/>
      </w:r>
      <w:r>
        <w:rPr>
          <w:rFonts w:ascii="IRNazanin" w:hAnsi="IRNazanin" w:eastAsia="IRNazanin"/>
          <w:color w:val="111111"/>
          <w:sz w:val="28"/>
          <w:sz w:val="28"/>
          <w:szCs w:val="28"/>
          <w:rtl w:val="true"/>
          <w:lang w:bidi="fa-IR"/>
        </w:rPr>
        <w:t xml:space="preserve">و الحدائق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bookmarkStart w:id="181" w:name="pg13042_127163"/>
    </w:p>
    <w:p>
      <w:pPr>
        <w:pStyle w:val="BookText"/>
        <w:rPr/>
      </w:pPr>
      <w:bookmarkEnd w:id="181"/>
      <w:r>
        <w:rPr>
          <w:rFonts w:ascii="IRNazanin" w:hAnsi="IRNazanin" w:eastAsia="IRNazanin"/>
          <w:color w:val="111111"/>
          <w:sz w:val="28"/>
          <w:sz w:val="28"/>
          <w:szCs w:val="28"/>
          <w:rtl w:val="true"/>
          <w:lang w:bidi="fa-IR"/>
        </w:rPr>
        <w:t xml:space="preserve">و مجرّد اشتمال الروایات علی کثیر من المستحبّات لا یوهن فی الدلالة، کما لا یوهنها حکایة الإجماع عن الخلاف </w:t>
      </w:r>
      <w:r>
        <w:rPr>
          <w:rStyle w:val="FootnoteAnchor"/>
          <w:rtl w:val="true"/>
        </w:rPr>
        <w:footnoteReference w:id="1580"/>
      </w:r>
      <w:r>
        <w:rPr>
          <w:rFonts w:ascii="IRNazanin" w:hAnsi="IRNazanin" w:eastAsia="IRNazanin"/>
          <w:color w:val="111111"/>
          <w:sz w:val="28"/>
          <w:sz w:val="28"/>
          <w:szCs w:val="28"/>
          <w:rtl w:val="true"/>
          <w:lang w:bidi="fa-IR"/>
        </w:rPr>
        <w:t xml:space="preserve">و الغنیة </w:t>
      </w:r>
      <w:r>
        <w:rPr>
          <w:rStyle w:val="FootnoteAnchor"/>
          <w:rtl w:val="true"/>
        </w:rPr>
        <w:footnoteReference w:id="1581"/>
      </w:r>
      <w:r>
        <w:rPr>
          <w:rFonts w:ascii="IRNazanin" w:hAnsi="IRNazanin" w:eastAsia="IRNazanin"/>
          <w:color w:val="111111"/>
          <w:sz w:val="28"/>
          <w:sz w:val="28"/>
          <w:szCs w:val="28"/>
          <w:rtl w:val="true"/>
          <w:lang w:bidi="fa-IR"/>
        </w:rPr>
        <w:t xml:space="preserve">و المعتبر </w:t>
      </w:r>
      <w:r>
        <w:rPr>
          <w:rStyle w:val="FootnoteAnchor"/>
          <w:rtl w:val="true"/>
        </w:rPr>
        <w:footnoteReference w:id="1582"/>
      </w:r>
      <w:r>
        <w:rPr>
          <w:rFonts w:ascii="IRNazanin" w:hAnsi="IRNazanin" w:eastAsia="IRNazanin"/>
          <w:color w:val="111111"/>
          <w:sz w:val="28"/>
          <w:sz w:val="28"/>
          <w:szCs w:val="28"/>
          <w:rtl w:val="true"/>
          <w:lang w:bidi="fa-IR"/>
        </w:rPr>
        <w:t>علی الاستحباب؛ لأنّ الظاهر منها کونها فی مقابل من نفی رجحان الاستقبال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المیّت کیف یوضع علی المغتسل موجّهاً وجهه نحو القبلة أو یوضع علی یمینه و وجهه نحو القبلة؟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کیف تیسّر؛ فإذا طهر وضع کما یوضع فی قبره</w:t>
      </w:r>
      <w:r>
        <w:rPr>
          <w:rFonts w:eastAsia="IRNazanin" w:cs="IRNazanin"/>
          <w:color w:val="111111"/>
          <w:sz w:val="28"/>
          <w:szCs w:val="28"/>
          <w:rtl w:val="true"/>
          <w:lang w:bidi="fa-IR"/>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عرفاً التخییر، فلا یصغی إلی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مدلول الروایة هو نفی وجوب المتعسّر </w:t>
      </w:r>
      <w:r>
        <w:rPr>
          <w:rStyle w:val="FootnoteAnchor"/>
          <w:rtl w:val="true"/>
        </w:rPr>
        <w:footnoteReference w:id="1584"/>
      </w:r>
      <w:r>
        <w:rPr>
          <w:rFonts w:ascii="IRNazanin" w:hAnsi="IRNazanin" w:eastAsia="IRNazanin"/>
          <w:color w:val="111111"/>
          <w:sz w:val="28"/>
          <w:sz w:val="28"/>
          <w:szCs w:val="28"/>
          <w:rtl w:val="true"/>
          <w:lang w:bidi="fa-IR"/>
        </w:rPr>
        <w:t>، و هو کذلک قطعاً، و لا إلی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هو إیجاب ما تیسّر من هیئتی الاستقبال الواردتین فی السؤال </w:t>
      </w:r>
      <w:r>
        <w:rPr>
          <w:rStyle w:val="FootnoteAnchor"/>
          <w:rtl w:val="true"/>
        </w:rPr>
        <w:footnoteReference w:id="1585"/>
      </w:r>
      <w:r>
        <w:rPr>
          <w:rFonts w:ascii="IRNazanin" w:hAnsi="IRNazanin" w:eastAsia="IRNazanin"/>
          <w:color w:val="111111"/>
          <w:sz w:val="28"/>
          <w:sz w:val="28"/>
          <w:szCs w:val="28"/>
          <w:rtl w:val="true"/>
          <w:lang w:bidi="fa-IR"/>
        </w:rPr>
        <w:t>، فالقول بالاستحباب لا یخلو من قوّة، و الاحتیاط لا یترک</w:t>
      </w:r>
      <w:r>
        <w:rPr>
          <w:rFonts w:eastAsia="IRNazanin" w:cs="IRNazanin"/>
          <w:color w:val="111111"/>
          <w:sz w:val="28"/>
          <w:szCs w:val="28"/>
          <w:rtl w:val="true"/>
          <w:lang w:bidi="fa-IR"/>
        </w:rPr>
        <w:t>.</w:t>
      </w:r>
    </w:p>
    <w:p>
      <w:pPr>
        <w:pStyle w:val="Heading6"/>
        <w:numPr>
          <w:ilvl w:val="5"/>
          <w:numId w:val="1"/>
        </w:numPr>
        <w:rPr/>
      </w:pPr>
      <w:bookmarkStart w:id="182" w:name="__RefHeading___Toc6530196_3224264995"/>
      <w:bookmarkStart w:id="183" w:name="_Toc70"/>
      <w:bookmarkEnd w:id="182"/>
      <w:r>
        <w:rPr>
          <w:rtl w:val="true"/>
        </w:rPr>
        <w:t>[</w:t>
      </w:r>
      <w:r>
        <w:rPr/>
        <w:t>3</w:t>
      </w:r>
      <w:r>
        <w:rPr>
          <w:rtl w:val="true"/>
        </w:rPr>
        <w:t xml:space="preserve">- </w:t>
      </w:r>
      <w:r>
        <w:rPr>
          <w:rtl w:val="true"/>
        </w:rPr>
        <w:t>کون الغسل تحت الظلال</w:t>
      </w:r>
      <w:r>
        <w:rPr>
          <w:rtl w:val="true"/>
        </w:rPr>
        <w:t>]</w:t>
      </w:r>
      <w:bookmarkEnd w:id="18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حال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للاتفاق المحکیّ عن التذکرة </w:t>
      </w:r>
      <w:r>
        <w:rPr>
          <w:rStyle w:val="FootnoteAnchor"/>
          <w:rtl w:val="true"/>
        </w:rPr>
        <w:footnoteReference w:id="1586"/>
      </w:r>
      <w:r>
        <w:rPr>
          <w:rFonts w:ascii="IRNazanin" w:hAnsi="IRNazanin" w:eastAsia="IRNazanin"/>
          <w:color w:val="111111"/>
          <w:sz w:val="28"/>
          <w:sz w:val="28"/>
          <w:szCs w:val="28"/>
          <w:rtl w:val="true"/>
          <w:lang w:bidi="fa-IR"/>
        </w:rPr>
        <w:t xml:space="preserve">و المعتبر </w:t>
      </w:r>
      <w:r>
        <w:rPr>
          <w:rStyle w:val="FootnoteAnchor"/>
          <w:rtl w:val="true"/>
        </w:rPr>
        <w:footnoteReference w:id="158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588"/>
      </w:r>
      <w:r>
        <w:rPr>
          <w:rFonts w:ascii="IRNazanin" w:hAnsi="IRNazanin" w:eastAsia="IRNazanin"/>
          <w:color w:val="111111"/>
          <w:sz w:val="28"/>
          <w:sz w:val="28"/>
          <w:szCs w:val="28"/>
          <w:rtl w:val="true"/>
          <w:lang w:bidi="fa-IR"/>
        </w:rPr>
        <w:t>، و لصحیحة علیّ بن جعفر علیه السلام</w:t>
      </w:r>
      <w:bookmarkStart w:id="184" w:name="pg13042_127164"/>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المیّت یغسل فی الفضاء؟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إن ستر أحبّ إلیّ</w:t>
      </w:r>
      <w:r>
        <w:rPr>
          <w:rFonts w:eastAsia="IRNazanin" w:cs="IRNazanin"/>
          <w:color w:val="111111"/>
          <w:sz w:val="28"/>
          <w:szCs w:val="28"/>
          <w:rtl w:val="true"/>
          <w:lang w:bidi="fa-IR"/>
        </w:rPr>
        <w:t xml:space="preserve">» </w:t>
      </w:r>
      <w:r>
        <w:rPr>
          <w:rStyle w:val="FootnoteAnchor"/>
          <w:rtl w:val="true"/>
        </w:rPr>
        <w:footnoteReference w:id="1589"/>
      </w:r>
      <w:r>
        <w:rPr>
          <w:rFonts w:ascii="IRNazanin" w:hAnsi="IRNazanin" w:eastAsia="IRNazanin"/>
          <w:color w:val="111111"/>
          <w:sz w:val="28"/>
          <w:sz w:val="28"/>
          <w:szCs w:val="28"/>
          <w:rtl w:val="true"/>
          <w:lang w:bidi="fa-IR"/>
        </w:rPr>
        <w:t>، و فی روایة طلحة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أن یجعل بین المیّت و بین السماء ستراً</w:t>
      </w:r>
      <w:r>
        <w:rPr>
          <w:rFonts w:eastAsia="IRNazanin" w:cs="IRNazanin"/>
          <w:color w:val="111111"/>
          <w:sz w:val="28"/>
          <w:szCs w:val="28"/>
          <w:rtl w:val="true"/>
          <w:lang w:bidi="fa-IR"/>
        </w:rPr>
        <w:t xml:space="preserve">» </w:t>
      </w:r>
      <w:r>
        <w:rPr>
          <w:rStyle w:val="FootnoteAnchor"/>
          <w:rtl w:val="true"/>
        </w:rPr>
        <w:footnoteReference w:id="1590"/>
      </w:r>
      <w:r>
        <w:rPr>
          <w:rFonts w:ascii="IRNazanin" w:hAnsi="IRNazanin" w:eastAsia="IRNazanin"/>
          <w:color w:val="111111"/>
          <w:sz w:val="28"/>
          <w:sz w:val="28"/>
          <w:szCs w:val="28"/>
          <w:rtl w:val="true"/>
          <w:lang w:bidi="fa-IR"/>
        </w:rPr>
        <w:t>، و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طلحة بن زید و إن کان بتریّاً، إلّا أنّ روایته منجبرة بروایة علیّ بن جعفر و اتّفاق الأصحاب </w:t>
      </w:r>
      <w:r>
        <w:rPr>
          <w:rStyle w:val="FootnoteAnchor"/>
          <w:rtl w:val="true"/>
        </w:rPr>
        <w:footnoteReference w:id="15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الاعتذار دلالة علی أنّه لا یری التسامح فی أدلّة السنن</w:t>
      </w:r>
      <w:r>
        <w:rPr>
          <w:rFonts w:eastAsia="IRNazanin" w:cs="IRNazanin"/>
          <w:color w:val="111111"/>
          <w:sz w:val="28"/>
          <w:szCs w:val="28"/>
          <w:rtl w:val="true"/>
          <w:lang w:bidi="fa-IR"/>
        </w:rPr>
        <w:t>.</w:t>
      </w:r>
    </w:p>
    <w:p>
      <w:pPr>
        <w:pStyle w:val="Heading6"/>
        <w:numPr>
          <w:ilvl w:val="5"/>
          <w:numId w:val="1"/>
        </w:numPr>
        <w:rPr/>
      </w:pPr>
      <w:bookmarkStart w:id="185" w:name="__RefHeading___Toc6530198_3224264995"/>
      <w:bookmarkStart w:id="186" w:name="_Toc71"/>
      <w:bookmarkEnd w:id="185"/>
      <w:r>
        <w:rPr>
          <w:rtl w:val="true"/>
        </w:rPr>
        <w:t>[</w:t>
      </w:r>
      <w:r>
        <w:rPr/>
        <w:t>4</w:t>
      </w:r>
      <w:r>
        <w:rPr>
          <w:rtl w:val="true"/>
        </w:rPr>
        <w:t xml:space="preserve">- </w:t>
      </w:r>
      <w:r>
        <w:rPr>
          <w:rtl w:val="true"/>
        </w:rPr>
        <w:t>وقوف الغاسل علی جانبه</w:t>
      </w:r>
      <w:r>
        <w:rPr>
          <w:rtl w:val="true"/>
        </w:rPr>
        <w:t>]</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وقوف الغاسل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جانبه کما عن المقنعة </w:t>
      </w:r>
      <w:r>
        <w:rPr>
          <w:rStyle w:val="FootnoteAnchor"/>
          <w:rtl w:val="true"/>
        </w:rPr>
        <w:footnoteReference w:id="1592"/>
      </w:r>
      <w:r>
        <w:rPr>
          <w:rFonts w:ascii="IRNazanin" w:hAnsi="IRNazanin" w:eastAsia="IRNazanin"/>
          <w:color w:val="111111"/>
          <w:sz w:val="28"/>
          <w:sz w:val="28"/>
          <w:szCs w:val="28"/>
          <w:rtl w:val="true"/>
          <w:lang w:bidi="fa-IR"/>
        </w:rPr>
        <w:t xml:space="preserve">و المبسوط </w:t>
      </w:r>
      <w:r>
        <w:rPr>
          <w:rStyle w:val="FootnoteAnchor"/>
          <w:rtl w:val="true"/>
        </w:rPr>
        <w:footnoteReference w:id="1593"/>
      </w:r>
      <w:r>
        <w:rPr>
          <w:rFonts w:ascii="IRNazanin" w:hAnsi="IRNazanin" w:eastAsia="IRNazanin"/>
          <w:color w:val="111111"/>
          <w:sz w:val="28"/>
          <w:sz w:val="28"/>
          <w:szCs w:val="28"/>
          <w:rtl w:val="true"/>
          <w:lang w:bidi="fa-IR"/>
        </w:rPr>
        <w:t xml:space="preserve">و المراسم </w:t>
      </w:r>
      <w:r>
        <w:rPr>
          <w:rStyle w:val="FootnoteAnchor"/>
          <w:rtl w:val="true"/>
        </w:rPr>
        <w:footnoteReference w:id="1594"/>
      </w:r>
      <w:r>
        <w:rPr>
          <w:rFonts w:ascii="IRNazanin" w:hAnsi="IRNazanin" w:eastAsia="IRNazanin"/>
          <w:color w:val="111111"/>
          <w:sz w:val="28"/>
          <w:sz w:val="28"/>
          <w:szCs w:val="28"/>
          <w:rtl w:val="true"/>
          <w:lang w:bidi="fa-IR"/>
        </w:rPr>
        <w:t xml:space="preserve">و المنتهی </w:t>
      </w:r>
      <w:r>
        <w:rPr>
          <w:rStyle w:val="FootnoteAnchor"/>
          <w:rtl w:val="true"/>
        </w:rPr>
        <w:footnoteReference w:id="1595"/>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یجعله بین رجلیه بل یقف علی جانبه</w:t>
      </w:r>
      <w:r>
        <w:rPr>
          <w:rFonts w:eastAsia="IRNazanin" w:cs="IRNazanin"/>
          <w:color w:val="111111"/>
          <w:sz w:val="28"/>
          <w:szCs w:val="28"/>
          <w:rtl w:val="true"/>
          <w:lang w:bidi="fa-IR"/>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صریح المحکیّ عن جماعة </w:t>
      </w:r>
      <w:r>
        <w:rPr>
          <w:rStyle w:val="FootnoteAnchor"/>
          <w:rtl w:val="true"/>
        </w:rPr>
        <w:footnoteReference w:id="1597"/>
      </w:r>
      <w:r>
        <w:rPr>
          <w:rFonts w:ascii="IRNazanin" w:hAnsi="IRNazanin" w:eastAsia="IRNazanin"/>
          <w:color w:val="111111"/>
          <w:sz w:val="28"/>
          <w:sz w:val="28"/>
          <w:szCs w:val="28"/>
          <w:rtl w:val="true"/>
          <w:lang w:bidi="fa-IR"/>
        </w:rPr>
        <w:t xml:space="preserve">استحباب الوقوف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598"/>
      </w:r>
      <w:r>
        <w:rPr>
          <w:rFonts w:ascii="IRNazanin" w:hAnsi="IRNazanin" w:eastAsia="IRNazanin"/>
          <w:color w:val="111111"/>
          <w:sz w:val="28"/>
          <w:sz w:val="28"/>
          <w:szCs w:val="28"/>
          <w:rtl w:val="true"/>
          <w:lang w:bidi="fa-IR"/>
        </w:rPr>
        <w:t xml:space="preserve">و لعلّه لعموم رجحان التیامن </w:t>
      </w:r>
      <w:r>
        <w:rPr>
          <w:rStyle w:val="FootnoteAnchor"/>
          <w:rtl w:val="true"/>
        </w:rPr>
        <w:footnoteReference w:id="1599"/>
      </w:r>
      <w:r>
        <w:rPr>
          <w:rFonts w:ascii="IRNazanin" w:hAnsi="IRNazanin" w:eastAsia="IRNazanin"/>
          <w:color w:val="111111"/>
          <w:sz w:val="28"/>
          <w:sz w:val="28"/>
          <w:szCs w:val="28"/>
          <w:rtl w:val="true"/>
          <w:lang w:bidi="fa-IR"/>
        </w:rPr>
        <w:t>، و إلّا فلم نعثر علی</w:t>
      </w:r>
      <w:bookmarkStart w:id="187" w:name="pg13042_127165"/>
    </w:p>
    <w:p>
      <w:pPr>
        <w:pStyle w:val="BookText"/>
        <w:rPr/>
      </w:pPr>
      <w:bookmarkEnd w:id="187"/>
      <w:r>
        <w:rPr>
          <w:rFonts w:ascii="IRNazanin" w:hAnsi="IRNazanin" w:eastAsia="IRNazanin"/>
          <w:color w:val="111111"/>
          <w:sz w:val="28"/>
          <w:sz w:val="28"/>
          <w:szCs w:val="28"/>
          <w:rtl w:val="true"/>
          <w:lang w:bidi="fa-IR"/>
        </w:rPr>
        <w:t xml:space="preserve">نصّ فیه؛ و لذا أنکره کاشف اللثام </w:t>
      </w:r>
      <w:r>
        <w:rPr>
          <w:rStyle w:val="FootnoteAnchor"/>
          <w:rtl w:val="true"/>
        </w:rPr>
        <w:footnoteReference w:id="1600"/>
      </w:r>
      <w:r>
        <w:rPr>
          <w:rFonts w:ascii="Amiri" w:hAnsi="Amiri" w:eastAsia="Amiri" w:cs="Amiri"/>
          <w:color w:val="111111"/>
          <w:sz w:val="28"/>
          <w:sz w:val="28"/>
          <w:szCs w:val="28"/>
          <w:rtl w:val="true"/>
          <w:lang w:bidi="ar-SA"/>
        </w:rPr>
        <w:t xml:space="preserve">تبعاً للمحقّق </w:t>
      </w:r>
      <w:r>
        <w:rPr>
          <w:rStyle w:val="FootnoteAnchor"/>
          <w:rtl w:val="true"/>
        </w:rPr>
        <w:footnoteReference w:id="1601"/>
      </w:r>
      <w:r>
        <w:rPr>
          <w:rFonts w:ascii="IRNazanin" w:hAnsi="IRNazanin" w:eastAsia="IRNazanin"/>
          <w:color w:val="111111"/>
          <w:sz w:val="28"/>
          <w:sz w:val="28"/>
          <w:szCs w:val="28"/>
          <w:rtl w:val="true"/>
          <w:lang w:bidi="fa-IR"/>
        </w:rPr>
        <w:t>، و کأنّهما لا یریان التسامح بمجرّد فتوی المشهور</w:t>
      </w:r>
      <w:r>
        <w:rPr>
          <w:rFonts w:eastAsia="IRNazanin" w:cs="IRNazanin"/>
          <w:color w:val="111111"/>
          <w:sz w:val="28"/>
          <w:szCs w:val="28"/>
          <w:rtl w:val="true"/>
          <w:lang w:bidi="fa-IR"/>
        </w:rPr>
        <w:t>.</w:t>
      </w:r>
    </w:p>
    <w:p>
      <w:pPr>
        <w:pStyle w:val="Heading6"/>
        <w:numPr>
          <w:ilvl w:val="5"/>
          <w:numId w:val="1"/>
        </w:numPr>
        <w:rPr/>
      </w:pPr>
      <w:bookmarkStart w:id="188" w:name="__RefHeading___Toc6530200_3224264995"/>
      <w:bookmarkStart w:id="189" w:name="_Toc72"/>
      <w:bookmarkEnd w:id="188"/>
      <w:r>
        <w:rPr>
          <w:rtl w:val="true"/>
        </w:rPr>
        <w:t>[</w:t>
      </w:r>
      <w:r>
        <w:rPr/>
        <w:t>5</w:t>
      </w:r>
      <w:r>
        <w:rPr>
          <w:rtl w:val="true"/>
        </w:rPr>
        <w:t xml:space="preserve">- </w:t>
      </w:r>
      <w:r>
        <w:rPr>
          <w:rtl w:val="true"/>
        </w:rPr>
        <w:t>غمز بطنه فی الغسلین الأوّلین إلا الحامل</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غمز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قبلهما إجماعاً، علی ما حکی عن الخلاف </w:t>
      </w:r>
      <w:r>
        <w:rPr>
          <w:rStyle w:val="FootnoteAnchor"/>
          <w:rtl w:val="true"/>
        </w:rPr>
        <w:footnoteReference w:id="1602"/>
      </w:r>
      <w:r>
        <w:rPr>
          <w:rFonts w:ascii="IRNazanin" w:hAnsi="IRNazanin" w:eastAsia="IRNazanin"/>
          <w:color w:val="111111"/>
          <w:sz w:val="28"/>
          <w:sz w:val="28"/>
          <w:szCs w:val="28"/>
          <w:rtl w:val="true"/>
          <w:lang w:bidi="fa-IR"/>
        </w:rPr>
        <w:t xml:space="preserve">و الغنیة </w:t>
      </w:r>
      <w:r>
        <w:rPr>
          <w:rStyle w:val="FootnoteAnchor"/>
          <w:rtl w:val="true"/>
        </w:rPr>
        <w:footnoteReference w:id="1603"/>
      </w:r>
      <w:r>
        <w:rPr>
          <w:rFonts w:ascii="IRNazanin" w:hAnsi="IRNazanin" w:eastAsia="IRNazanin"/>
          <w:color w:val="111111"/>
          <w:sz w:val="28"/>
          <w:sz w:val="28"/>
          <w:szCs w:val="28"/>
          <w:rtl w:val="true"/>
          <w:lang w:bidi="fa-IR"/>
        </w:rPr>
        <w:t xml:space="preserve">و المعتبر </w:t>
      </w:r>
      <w:r>
        <w:rPr>
          <w:rStyle w:val="FootnoteAnchor"/>
          <w:rtl w:val="true"/>
        </w:rPr>
        <w:footnoteReference w:id="1604"/>
      </w:r>
      <w:r>
        <w:rPr>
          <w:rFonts w:ascii="IRNazanin" w:hAnsi="IRNazanin" w:eastAsia="IRNazanin"/>
          <w:color w:val="111111"/>
          <w:sz w:val="28"/>
          <w:sz w:val="28"/>
          <w:szCs w:val="28"/>
          <w:rtl w:val="true"/>
          <w:lang w:bidi="fa-IR"/>
        </w:rPr>
        <w:t xml:space="preserve">و مجمع البرهان </w:t>
      </w:r>
      <w:r>
        <w:rPr>
          <w:rStyle w:val="FootnoteAnchor"/>
          <w:rtl w:val="true"/>
        </w:rPr>
        <w:footnoteReference w:id="1605"/>
      </w:r>
      <w:r>
        <w:rPr>
          <w:rFonts w:ascii="IRNazanin" w:hAnsi="IRNazanin" w:eastAsia="IRNazanin"/>
          <w:color w:val="111111"/>
          <w:sz w:val="28"/>
          <w:sz w:val="28"/>
          <w:szCs w:val="28"/>
          <w:rtl w:val="true"/>
          <w:lang w:bidi="fa-IR"/>
        </w:rPr>
        <w:t xml:space="preserve">لروایة الکاهلی </w:t>
      </w:r>
      <w:r>
        <w:rPr>
          <w:rStyle w:val="FootnoteAnchor"/>
          <w:rtl w:val="true"/>
        </w:rPr>
        <w:footnoteReference w:id="1606"/>
      </w:r>
      <w:r>
        <w:rPr>
          <w:rFonts w:ascii="IRNazanin" w:hAnsi="IRNazanin" w:eastAsia="IRNazanin"/>
          <w:color w:val="111111"/>
          <w:sz w:val="28"/>
          <w:sz w:val="28"/>
          <w:szCs w:val="28"/>
          <w:rtl w:val="true"/>
          <w:lang w:bidi="fa-IR"/>
        </w:rPr>
        <w:t xml:space="preserve">بل مرسلة یونس فی الغسلة الثانیة </w:t>
      </w:r>
      <w:r>
        <w:rPr>
          <w:rStyle w:val="FootnoteAnchor"/>
          <w:rtl w:val="true"/>
        </w:rPr>
        <w:footnoteReference w:id="1607"/>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الحکمة فیه أن لا یخرج منه من بعد الغسل لضعف الماسکة </w:t>
      </w:r>
      <w:r>
        <w:rPr>
          <w:rStyle w:val="FootnoteAnchor"/>
          <w:rtl w:val="true"/>
        </w:rPr>
        <w:footnoteReference w:id="1608"/>
      </w:r>
      <w:r>
        <w:rPr>
          <w:rFonts w:ascii="IRNazanin" w:hAnsi="IRNazanin" w:eastAsia="IRNazanin"/>
          <w:color w:val="111111"/>
          <w:sz w:val="28"/>
          <w:sz w:val="28"/>
          <w:szCs w:val="28"/>
          <w:rtl w:val="true"/>
          <w:lang w:bidi="fa-IR"/>
        </w:rPr>
        <w:t xml:space="preserve">، و عن الحلبی إنکار ذلک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یستحبّ المسح فی الثالثة إجماعاً، بل یکره؛ لما فیه من التعرّض لکثرة الخارج کما فی الذکری </w:t>
      </w:r>
      <w:r>
        <w:rPr>
          <w:rStyle w:val="FootnoteAnchor"/>
          <w:rtl w:val="true"/>
        </w:rPr>
        <w:footnoteReference w:id="1610"/>
      </w:r>
      <w:r>
        <w:rPr>
          <w:rFonts w:ascii="IRNazanin" w:hAnsi="IRNazanin" w:eastAsia="IRNazanin"/>
          <w:color w:val="111111"/>
          <w:sz w:val="28"/>
          <w:sz w:val="28"/>
          <w:szCs w:val="28"/>
          <w:rtl w:val="true"/>
          <w:lang w:bidi="fa-IR"/>
        </w:rPr>
        <w:t xml:space="preserve">، و هو کافٍ بعد الانضمام إلی فتوی جماعة </w:t>
      </w:r>
      <w:r>
        <w:rPr>
          <w:rStyle w:val="FootnoteAnchor"/>
          <w:rtl w:val="true"/>
        </w:rPr>
        <w:footnoteReference w:id="1611"/>
      </w:r>
      <w:bookmarkStart w:id="190" w:name="pg13042_127166"/>
    </w:p>
    <w:p>
      <w:pPr>
        <w:pStyle w:val="BookText"/>
        <w:rPr/>
      </w:pPr>
      <w:bookmarkEnd w:id="190"/>
      <w:r>
        <w:rPr>
          <w:rFonts w:ascii="IRNazanin" w:hAnsi="IRNazanin" w:eastAsia="IRNazanin"/>
          <w:color w:val="111111"/>
          <w:sz w:val="28"/>
          <w:sz w:val="28"/>
          <w:szCs w:val="28"/>
          <w:rtl w:val="true"/>
          <w:lang w:bidi="fa-IR"/>
        </w:rPr>
        <w:t xml:space="preserve">بها، بل عن الخلاف الإجماع علیها </w:t>
      </w:r>
      <w:r>
        <w:rPr>
          <w:rStyle w:val="FootnoteAnchor"/>
          <w:rtl w:val="true"/>
        </w:rPr>
        <w:footnoteReference w:id="1612"/>
      </w:r>
      <w:r>
        <w:rPr>
          <w:rFonts w:ascii="IRNazanin" w:hAnsi="IRNazanin" w:eastAsia="IRNazanin"/>
          <w:color w:val="111111"/>
          <w:sz w:val="28"/>
          <w:sz w:val="28"/>
          <w:szCs w:val="28"/>
          <w:rtl w:val="true"/>
          <w:lang w:bidi="fa-IR"/>
        </w:rPr>
        <w:t>، و عن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تمسح بطنه فی الثالثة</w:t>
      </w:r>
      <w:r>
        <w:rPr>
          <w:rFonts w:eastAsia="IRNazanin" w:cs="IRNazanin"/>
          <w:color w:val="111111"/>
          <w:sz w:val="28"/>
          <w:szCs w:val="28"/>
          <w:rtl w:val="true"/>
          <w:lang w:bidi="fa-IR"/>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فلو خرج شی‌ء غُسل، 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إعادة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قیاسه علی الحدث الخارج من الحیّ فی أثناء الغسل و إن دلّت الروایات علی أنّه کغسل الجنابة </w:t>
      </w:r>
      <w:r>
        <w:rPr>
          <w:rStyle w:val="FootnoteAnchor"/>
          <w:rtl w:val="true"/>
        </w:rPr>
        <w:footnoteReference w:id="1614"/>
      </w:r>
      <w:r>
        <w:rPr>
          <w:rFonts w:ascii="IRNazanin" w:hAnsi="IRNazanin" w:eastAsia="IRNazanin"/>
          <w:color w:val="111111"/>
          <w:sz w:val="28"/>
          <w:sz w:val="28"/>
          <w:szCs w:val="28"/>
          <w:rtl w:val="true"/>
          <w:lang w:bidi="fa-IR"/>
        </w:rPr>
        <w:t>، و سیأتی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المذکور ثابت فی کلّ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مات ولدها فی بطنها حذراً من الإجهاض، و للنبویّ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توفّیت المرأة و أرادوا أن یغسّلوها فلیبدؤا ببطنها و لتمسح مسحاً رفیقاً إن لم تکن حبلی، و إن کانت حبلی فلا تحرّکیها</w:t>
      </w:r>
      <w:r>
        <w:rPr>
          <w:rFonts w:eastAsia="IRNazanin" w:cs="IRNazanin"/>
          <w:color w:val="111111"/>
          <w:sz w:val="28"/>
          <w:szCs w:val="28"/>
          <w:rtl w:val="true"/>
          <w:lang w:bidi="fa-IR"/>
        </w:rPr>
        <w:t xml:space="preserve">» </w:t>
      </w:r>
      <w:r>
        <w:rPr>
          <w:rStyle w:val="FootnoteAnchor"/>
          <w:rtl w:val="true"/>
        </w:rPr>
        <w:footnoteReference w:id="1615"/>
      </w:r>
      <w:r>
        <w:rPr>
          <w:rFonts w:ascii="IRNazanin" w:hAnsi="IRNazanin" w:eastAsia="IRNazanin"/>
          <w:color w:val="111111"/>
          <w:sz w:val="28"/>
          <w:sz w:val="28"/>
          <w:szCs w:val="28"/>
          <w:rtl w:val="true"/>
          <w:lang w:bidi="fa-IR"/>
        </w:rPr>
        <w:t>، و فی الروض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اتّفق الإجهاض بسببه لزم الفاعل عشر دیة أُمّه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اعترف بعض المعاصرین بعدم وجدان ذلک فی نسخة البیان </w:t>
      </w:r>
      <w:r>
        <w:rPr>
          <w:rStyle w:val="FootnoteAnchor"/>
          <w:rtl w:val="true"/>
        </w:rPr>
        <w:footnoteReference w:id="1617"/>
      </w:r>
      <w:r>
        <w:rPr>
          <w:rFonts w:ascii="IRNazanin" w:hAnsi="IRNazanin" w:eastAsia="IRNazanin"/>
          <w:color w:val="111111"/>
          <w:sz w:val="28"/>
          <w:sz w:val="28"/>
          <w:szCs w:val="28"/>
          <w:rtl w:val="true"/>
          <w:lang w:bidi="fa-IR"/>
        </w:rPr>
        <w:t>، و مع ذلک فدلیله غیر واضح</w:t>
      </w:r>
      <w:r>
        <w:rPr>
          <w:rFonts w:eastAsia="IRNazanin" w:cs="IRNazanin"/>
          <w:color w:val="111111"/>
          <w:sz w:val="28"/>
          <w:szCs w:val="28"/>
          <w:rtl w:val="true"/>
          <w:lang w:bidi="fa-IR"/>
        </w:rPr>
        <w:t>.</w:t>
      </w:r>
    </w:p>
    <w:p>
      <w:pPr>
        <w:pStyle w:val="Heading6"/>
        <w:numPr>
          <w:ilvl w:val="5"/>
          <w:numId w:val="1"/>
        </w:numPr>
        <w:rPr/>
      </w:pPr>
      <w:bookmarkStart w:id="191" w:name="__RefHeading___Toc6530202_3224264995"/>
      <w:bookmarkStart w:id="192" w:name="_Toc73"/>
      <w:bookmarkEnd w:id="191"/>
      <w:r>
        <w:rPr>
          <w:rtl w:val="true"/>
        </w:rPr>
        <w:t>[</w:t>
      </w:r>
      <w:r>
        <w:rPr/>
        <w:t>6</w:t>
      </w:r>
      <w:r>
        <w:rPr>
          <w:rtl w:val="true"/>
        </w:rPr>
        <w:t xml:space="preserve">- </w:t>
      </w:r>
      <w:r>
        <w:rPr>
          <w:rtl w:val="true"/>
        </w:rPr>
        <w:t>ذکر اللّٰه تعالی حال الغسل</w:t>
      </w:r>
      <w:r>
        <w:rPr>
          <w:rtl w:val="true"/>
        </w:rPr>
        <w:t>]</w:t>
      </w:r>
      <w:bookmarkEnd w:id="19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تعالی حال الغسل، و یتأکّد الدعاء بما فی روایة سعد الإسکاف عن مولانا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غسّل مؤمناً فقال إذا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بدن عبدک المؤمن أخرجت روحه منه و فرقت بینهما فعفوک عفوک، إلّا غفر اللّٰه عزّ و جلّ له ذنوب سنة إلّا الکبائر</w:t>
      </w:r>
      <w:r>
        <w:rPr>
          <w:rFonts w:eastAsia="IRNazanin" w:cs="IRNazanin"/>
          <w:color w:val="111111"/>
          <w:sz w:val="28"/>
          <w:szCs w:val="28"/>
          <w:rtl w:val="true"/>
          <w:lang w:bidi="fa-IR"/>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bookmarkStart w:id="193" w:name="pg13042_127167"/>
    </w:p>
    <w:p>
      <w:pPr>
        <w:pStyle w:val="BookText"/>
        <w:rPr/>
      </w:pPr>
      <w:bookmarkEnd w:id="193"/>
      <w:r>
        <w:rPr>
          <w:rFonts w:ascii="IRNazanin" w:hAnsi="IRNazanin" w:eastAsia="IRNazanin"/>
          <w:color w:val="111111"/>
          <w:sz w:val="28"/>
          <w:sz w:val="28"/>
          <w:szCs w:val="28"/>
          <w:rtl w:val="true"/>
          <w:lang w:bidi="fa-IR"/>
        </w:rPr>
        <w:t>و فی مصحّحة إبراهیم بن عمر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غسل مؤمناً یقول و هو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عفوک عفوک، إلّا عفا اللّٰه عنه</w:t>
      </w:r>
      <w:r>
        <w:rPr>
          <w:rFonts w:eastAsia="IRNazanin" w:cs="IRNazanin"/>
          <w:color w:val="111111"/>
          <w:sz w:val="28"/>
          <w:szCs w:val="28"/>
          <w:rtl w:val="true"/>
          <w:lang w:bidi="fa-IR"/>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6530204_3224264995"/>
      <w:bookmarkStart w:id="195" w:name="_Toc74"/>
      <w:bookmarkEnd w:id="194"/>
      <w:r>
        <w:rPr>
          <w:rtl w:val="true"/>
        </w:rPr>
        <w:t>[</w:t>
      </w:r>
      <w:r>
        <w:rPr/>
        <w:t>7</w:t>
      </w:r>
      <w:r>
        <w:rPr>
          <w:rtl w:val="true"/>
        </w:rPr>
        <w:t xml:space="preserve">- </w:t>
      </w:r>
      <w:r>
        <w:rPr>
          <w:rtl w:val="true"/>
        </w:rPr>
        <w:t>صبّ الماء إلی حفیرة</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الماء إلی حفیرة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لیکن تجاه القبلة؛ لروایة سلیمان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 یحفر له موضع المغتسل تجاه القبلة</w:t>
      </w:r>
      <w:r>
        <w:rPr>
          <w:rFonts w:eastAsia="IRNazanin" w:cs="IRNazanin"/>
          <w:color w:val="111111"/>
          <w:sz w:val="28"/>
          <w:szCs w:val="28"/>
          <w:rtl w:val="true"/>
          <w:lang w:bidi="fa-IR"/>
        </w:rPr>
        <w:t xml:space="preserve">» </w:t>
      </w:r>
      <w:r>
        <w:rPr>
          <w:rStyle w:val="FootnoteAnchor"/>
          <w:rtl w:val="true"/>
        </w:rPr>
        <w:footnoteReference w:id="1620"/>
      </w:r>
      <w:r>
        <w:rPr>
          <w:rFonts w:ascii="IRNazanin" w:hAnsi="IRNazanin" w:eastAsia="IRNazanin"/>
          <w:color w:val="111111"/>
          <w:sz w:val="28"/>
          <w:sz w:val="28"/>
          <w:szCs w:val="28"/>
          <w:rtl w:val="true"/>
          <w:lang w:bidi="fa-IR"/>
        </w:rPr>
        <w:t>و فی دلالتها علی استحباب الاستقبال بالحفرة بل أصل الحفر نظر، بل الظاهر أنّه فی مقام بیان الاستقبال بالمیّت عند التغسیل إلّا أنّ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بأس بإرسال الماء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الموضع المعدّ لصبّ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إرساله فی الکنیف، و هو الموضع المعدّ لقضاء الحاجة؛ لمکاتبة الصفّار </w:t>
      </w:r>
      <w:r>
        <w:rPr>
          <w:rStyle w:val="FootnoteAnchor"/>
          <w:rtl w:val="true"/>
        </w:rPr>
        <w:footnoteReference w:id="1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بالوعة البول ملحقة بالکنیف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6530206_3224264995"/>
      <w:bookmarkStart w:id="197" w:name="_Toc75"/>
      <w:bookmarkEnd w:id="196"/>
      <w:r>
        <w:rPr>
          <w:rtl w:val="true"/>
        </w:rPr>
        <w:t>[</w:t>
      </w:r>
      <w:r>
        <w:rPr/>
        <w:t>8</w:t>
      </w:r>
      <w:r>
        <w:rPr>
          <w:rtl w:val="true"/>
        </w:rPr>
        <w:t xml:space="preserve">- </w:t>
      </w:r>
      <w:r>
        <w:rPr>
          <w:rtl w:val="true"/>
        </w:rPr>
        <w:t>تلیین أصابعه برفق</w:t>
      </w:r>
      <w:r>
        <w:rPr>
          <w:rtl w:val="true"/>
        </w:rPr>
        <w:t>]</w:t>
      </w:r>
      <w:bookmarkEnd w:id="19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تلیین أصابعه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أهل البیت علیهم السلام </w:t>
      </w:r>
      <w:r>
        <w:rPr>
          <w:rStyle w:val="FootnoteAnchor"/>
          <w:rtl w:val="true"/>
        </w:rPr>
        <w:footnoteReference w:id="1623"/>
      </w:r>
      <w:r>
        <w:rPr>
          <w:rFonts w:ascii="IRNazanin" w:hAnsi="IRNazanin" w:eastAsia="IRNazanin"/>
          <w:color w:val="111111"/>
          <w:sz w:val="28"/>
          <w:sz w:val="28"/>
          <w:szCs w:val="28"/>
          <w:rtl w:val="true"/>
          <w:lang w:bidi="fa-IR"/>
        </w:rPr>
        <w:t>لقوله علیه السلام فی روایة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تلین مفاصله، فإن امتنعت علیک فدعها</w:t>
      </w:r>
      <w:r>
        <w:rPr>
          <w:rFonts w:eastAsia="IRNazanin" w:cs="IRNazanin"/>
          <w:color w:val="111111"/>
          <w:sz w:val="28"/>
          <w:szCs w:val="28"/>
          <w:rtl w:val="true"/>
          <w:lang w:bidi="fa-IR"/>
        </w:rPr>
        <w:t xml:space="preserve">» </w:t>
      </w:r>
      <w:r>
        <w:rPr>
          <w:rStyle w:val="FootnoteAnchor"/>
          <w:rtl w:val="true"/>
        </w:rPr>
        <w:footnoteReference w:id="1624"/>
      </w:r>
      <w:r>
        <w:rPr>
          <w:rFonts w:ascii="IRNazanin" w:hAnsi="IRNazanin" w:eastAsia="IRNazanin"/>
          <w:color w:val="111111"/>
          <w:sz w:val="28"/>
          <w:sz w:val="28"/>
          <w:szCs w:val="28"/>
          <w:rtl w:val="true"/>
          <w:lang w:bidi="fa-IR"/>
        </w:rPr>
        <w:t>، و عن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ذلک </w:t>
      </w:r>
      <w:r>
        <w:rPr>
          <w:rStyle w:val="FootnoteAnchor"/>
          <w:rtl w:val="true"/>
        </w:rPr>
        <w:footnoteReference w:id="1625"/>
      </w:r>
      <w:r>
        <w:rPr>
          <w:rFonts w:ascii="IRNazanin" w:hAnsi="IRNazanin" w:eastAsia="IRNazanin"/>
          <w:color w:val="111111"/>
          <w:sz w:val="28"/>
          <w:sz w:val="28"/>
          <w:szCs w:val="28"/>
          <w:rtl w:val="true"/>
          <w:lang w:bidi="fa-IR"/>
        </w:rPr>
        <w:t>،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غسلتم میّتاً فارفقوا به و لا تغمزوا له مفصلًا</w:t>
      </w:r>
      <w:r>
        <w:rPr>
          <w:rFonts w:eastAsia="IRNazanin" w:cs="IRNazanin"/>
          <w:color w:val="111111"/>
          <w:sz w:val="28"/>
          <w:szCs w:val="28"/>
          <w:rtl w:val="true"/>
          <w:lang w:bidi="fa-IR"/>
        </w:rPr>
        <w:t xml:space="preserve">» </w:t>
      </w:r>
      <w:r>
        <w:rPr>
          <w:rStyle w:val="FootnoteAnchor"/>
          <w:rtl w:val="true"/>
        </w:rPr>
        <w:footnoteReference w:id="1626"/>
      </w:r>
      <w:r>
        <w:rPr>
          <w:rFonts w:ascii="IRNazanin" w:hAnsi="IRNazanin" w:eastAsia="IRNazanin"/>
          <w:color w:val="111111"/>
          <w:sz w:val="28"/>
          <w:sz w:val="28"/>
          <w:szCs w:val="28"/>
          <w:rtl w:val="true"/>
          <w:lang w:bidi="fa-IR"/>
        </w:rPr>
        <w:t>، و عن</w:t>
      </w:r>
      <w:bookmarkStart w:id="198" w:name="pg13042_127168"/>
    </w:p>
    <w:p>
      <w:pPr>
        <w:pStyle w:val="BookText"/>
        <w:rPr/>
      </w:pPr>
      <w:bookmarkEnd w:id="198"/>
      <w:r>
        <w:rPr>
          <w:rFonts w:ascii="IRNazanin" w:hAnsi="IRNazanin" w:eastAsia="IRNazanin"/>
          <w:color w:val="111111"/>
          <w:sz w:val="28"/>
          <w:sz w:val="28"/>
          <w:szCs w:val="28"/>
          <w:rtl w:val="true"/>
          <w:lang w:bidi="fa-IR"/>
        </w:rPr>
        <w:t xml:space="preserve">الشیخ حمله علی ما بعد الغسل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6530208_3224264995"/>
      <w:bookmarkStart w:id="200" w:name="_Toc76"/>
      <w:bookmarkEnd w:id="199"/>
      <w:r>
        <w:rPr>
          <w:rtl w:val="true"/>
        </w:rPr>
        <w:t>[</w:t>
      </w:r>
      <w:r>
        <w:rPr/>
        <w:t>9</w:t>
      </w:r>
      <w:r>
        <w:rPr>
          <w:rtl w:val="true"/>
        </w:rPr>
        <w:t xml:space="preserve">- </w:t>
      </w:r>
      <w:r>
        <w:rPr>
          <w:rtl w:val="true"/>
        </w:rPr>
        <w:t>غسل فرجه بالحرض و السدر</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جنسه الشامل للقبل و الدبر بماء ممزوج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و هو الأُشنان </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الغسل الأوّل؛ لقوله فی الروایة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فابدأ بفرجه بماء السدر و الحرض</w:t>
      </w:r>
      <w:r>
        <w:rPr>
          <w:rFonts w:eastAsia="IRNazanin" w:cs="IRNazanin"/>
          <w:color w:val="111111"/>
          <w:sz w:val="28"/>
          <w:szCs w:val="28"/>
          <w:rtl w:val="true"/>
          <w:lang w:bidi="fa-IR"/>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یستحبّ أیضاً غسل الفرجین بماء الکافور و الحرض قبل الغسل الثانی کما فی الروض </w:t>
      </w:r>
      <w:r>
        <w:rPr>
          <w:rStyle w:val="FootnoteAnchor"/>
          <w:rtl w:val="true"/>
        </w:rPr>
        <w:footnoteReference w:id="1630"/>
      </w:r>
      <w:r>
        <w:rPr>
          <w:rFonts w:ascii="IRNazanin" w:hAnsi="IRNazanin" w:eastAsia="IRNazanin"/>
          <w:color w:val="111111"/>
          <w:sz w:val="28"/>
          <w:sz w:val="28"/>
          <w:szCs w:val="28"/>
          <w:rtl w:val="true"/>
          <w:lang w:bidi="fa-IR"/>
        </w:rPr>
        <w:t xml:space="preserve">و عن جامع المقاصد </w:t>
      </w:r>
      <w:r>
        <w:rPr>
          <w:rStyle w:val="FootnoteAnchor"/>
          <w:rtl w:val="true"/>
        </w:rPr>
        <w:footnoteReference w:id="1631"/>
      </w:r>
      <w:r>
        <w:rPr>
          <w:rFonts w:ascii="IRNazanin" w:hAnsi="IRNazanin" w:eastAsia="IRNazanin"/>
          <w:color w:val="111111"/>
          <w:sz w:val="28"/>
          <w:sz w:val="28"/>
          <w:szCs w:val="28"/>
          <w:rtl w:val="true"/>
          <w:lang w:bidi="fa-IR"/>
        </w:rPr>
        <w:t xml:space="preserve">لقوله فی الروایة المتقدّمة </w:t>
      </w:r>
      <w:r>
        <w:rPr>
          <w:rStyle w:val="FootnoteAnchor"/>
          <w:rtl w:val="true"/>
        </w:rPr>
        <w:footnoteReference w:id="1632"/>
      </w:r>
      <w:r>
        <w:rPr>
          <w:rFonts w:ascii="IRNazanin" w:hAnsi="IRNazanin" w:eastAsia="IRNazanin"/>
          <w:color w:val="111111"/>
          <w:sz w:val="28"/>
          <w:sz w:val="28"/>
          <w:szCs w:val="28"/>
          <w:rtl w:val="true"/>
          <w:lang w:bidi="fa-IR"/>
        </w:rPr>
        <w:t>فی بیان الغسل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ابدأ بفرجه بماء الکافور و اصنع کما صنعت أوّل مرّة، اغسله ثلاث غسلات بماء الکافور و الحرض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استحباب تثلیث غسلات الفرج</w:t>
      </w:r>
      <w:r>
        <w:rPr>
          <w:rFonts w:eastAsia="IRNazanin" w:cs="IRNazanin"/>
          <w:color w:val="111111"/>
          <w:sz w:val="28"/>
          <w:szCs w:val="28"/>
          <w:rtl w:val="true"/>
          <w:lang w:bidi="fa-IR"/>
        </w:rPr>
        <w:t>.</w:t>
      </w:r>
    </w:p>
    <w:p>
      <w:pPr>
        <w:pStyle w:val="Heading6"/>
        <w:numPr>
          <w:ilvl w:val="5"/>
          <w:numId w:val="1"/>
        </w:numPr>
        <w:rPr/>
      </w:pPr>
      <w:bookmarkStart w:id="201" w:name="__RefHeading___Toc6530210_3224264995"/>
      <w:bookmarkStart w:id="202" w:name="_Toc77"/>
      <w:bookmarkEnd w:id="201"/>
      <w:r>
        <w:rPr>
          <w:rtl w:val="true"/>
        </w:rPr>
        <w:t>[</w:t>
      </w:r>
      <w:r>
        <w:rPr/>
        <w:t>10</w:t>
      </w:r>
      <w:r>
        <w:rPr>
          <w:rtl w:val="true"/>
        </w:rPr>
        <w:t xml:space="preserve">- </w:t>
      </w:r>
      <w:r>
        <w:rPr>
          <w:rtl w:val="true"/>
        </w:rPr>
        <w:t>غسل رأسه بالرغوة أوّلًا</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رأسه بالرغوة أوّلًا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6530212_3224264995"/>
      <w:bookmarkStart w:id="204" w:name="_Toc78"/>
      <w:bookmarkEnd w:id="203"/>
      <w:r>
        <w:rPr>
          <w:rtl w:val="true"/>
        </w:rPr>
        <w:t>[</w:t>
      </w:r>
      <w:r>
        <w:rPr/>
        <w:t>11</w:t>
      </w:r>
      <w:r>
        <w:rPr>
          <w:rtl w:val="true"/>
        </w:rPr>
        <w:t xml:space="preserve">- </w:t>
      </w:r>
      <w:r>
        <w:rPr>
          <w:rtl w:val="true"/>
        </w:rPr>
        <w:t>تکرار غسل کلّ عضو ثلاثاً</w:t>
      </w:r>
      <w:r>
        <w:rPr>
          <w:rtl w:val="true"/>
        </w:rPr>
        <w:t>]</w:t>
      </w:r>
      <w:bookmarkEnd w:id="20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bookmarkStart w:id="205" w:name="pg13042_127169"/>
    </w:p>
    <w:p>
      <w:pPr>
        <w:pStyle w:val="BookText"/>
        <w:rPr/>
      </w:pPr>
      <w:bookmarkEnd w:id="205"/>
      <w:r>
        <w:rPr>
          <w:rFonts w:ascii="IRNazanin" w:hAnsi="IRNazanin" w:eastAsia="IRNazanin"/>
          <w:color w:val="111111"/>
          <w:sz w:val="28"/>
          <w:sz w:val="28"/>
          <w:szCs w:val="28"/>
          <w:rtl w:val="true"/>
          <w:lang w:bidi="fa-IR"/>
        </w:rPr>
        <w:t xml:space="preserve">للروایة المتقدّمة </w:t>
      </w:r>
      <w:r>
        <w:rPr>
          <w:rStyle w:val="FootnoteAnchor"/>
          <w:rtl w:val="true"/>
        </w:rPr>
        <w:footnoteReference w:id="1634"/>
      </w:r>
      <w:r>
        <w:rPr>
          <w:rFonts w:ascii="IRNazanin" w:hAnsi="IRNazanin" w:eastAsia="IRNazanin"/>
          <w:color w:val="111111"/>
          <w:sz w:val="28"/>
          <w:sz w:val="28"/>
          <w:szCs w:val="28"/>
          <w:rtl w:val="true"/>
          <w:lang w:bidi="fa-IR"/>
        </w:rPr>
        <w:t>، و عن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تثلیث غسل أعضائه کلّها من الیدین و الفرجین و الرأس و الجنبین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6530214_3224264995"/>
      <w:bookmarkStart w:id="207" w:name="_Toc79"/>
      <w:bookmarkEnd w:id="206"/>
      <w:r>
        <w:rPr>
          <w:rtl w:val="true"/>
        </w:rPr>
        <w:t>[</w:t>
      </w:r>
      <w:r>
        <w:rPr/>
        <w:t>12</w:t>
      </w:r>
      <w:r>
        <w:rPr>
          <w:rtl w:val="true"/>
        </w:rPr>
        <w:t xml:space="preserve">- </w:t>
      </w:r>
      <w:r>
        <w:rPr>
          <w:rtl w:val="true"/>
        </w:rPr>
        <w:t>أن یوضّأ قبل الغسل</w:t>
      </w:r>
      <w:r>
        <w:rPr>
          <w:rtl w:val="true"/>
        </w:rPr>
        <w:t>]</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الغسل و بعد إزالة النجاسة العرضیّة؛ لصحیحة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یبدأ بفرجه ثمّ یوضّأ وضوء الصلاة</w:t>
      </w:r>
      <w:r>
        <w:rPr>
          <w:rFonts w:eastAsia="IRNazanin" w:cs="IRNazanin"/>
          <w:color w:val="111111"/>
          <w:sz w:val="28"/>
          <w:szCs w:val="28"/>
          <w:rtl w:val="true"/>
          <w:lang w:bidi="fa-IR"/>
        </w:rPr>
        <w:t xml:space="preserve">» </w:t>
      </w:r>
      <w:r>
        <w:rPr>
          <w:rStyle w:val="FootnoteAnchor"/>
          <w:rtl w:val="true"/>
        </w:rPr>
        <w:footnoteReference w:id="1636"/>
      </w:r>
      <w:r>
        <w:rPr>
          <w:rFonts w:ascii="IRNazanin" w:hAnsi="IRNazanin" w:eastAsia="IRNazanin"/>
          <w:color w:val="111111"/>
          <w:sz w:val="28"/>
          <w:sz w:val="28"/>
          <w:szCs w:val="28"/>
          <w:rtl w:val="true"/>
          <w:lang w:bidi="fa-IR"/>
        </w:rPr>
        <w:t>و روایة عبد اللّٰه بن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تطرح علیه خرقة ثمّ یغسل فرجه و یوضّأ وضوء الصلاة</w:t>
      </w:r>
      <w:r>
        <w:rPr>
          <w:rFonts w:eastAsia="IRNazanin" w:cs="IRNazanin"/>
          <w:color w:val="111111"/>
          <w:sz w:val="28"/>
          <w:szCs w:val="28"/>
          <w:rtl w:val="true"/>
          <w:lang w:bidi="fa-IR"/>
        </w:rPr>
        <w:t xml:space="preserve">» </w:t>
      </w:r>
      <w:r>
        <w:rPr>
          <w:rStyle w:val="FootnoteAnchor"/>
          <w:rtl w:val="true"/>
        </w:rPr>
        <w:footnoteReference w:id="1637"/>
      </w:r>
      <w:r>
        <w:rPr>
          <w:rFonts w:ascii="IRNazanin" w:hAnsi="IRNazanin" w:eastAsia="IRNazanin"/>
          <w:color w:val="111111"/>
          <w:sz w:val="28"/>
          <w:sz w:val="28"/>
          <w:szCs w:val="28"/>
          <w:rtl w:val="true"/>
          <w:lang w:bidi="fa-IR"/>
        </w:rPr>
        <w:t xml:space="preserve">و نحوهما غیرهما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ظاهرها الوجوب، و لذا قال </w:t>
      </w:r>
      <w:r>
        <w:rPr>
          <w:rStyle w:val="FootnoteAnchor"/>
          <w:rtl w:val="true"/>
        </w:rPr>
        <w:footnoteReference w:id="1639"/>
      </w:r>
      <w:r>
        <w:rPr>
          <w:rFonts w:ascii="Amiri" w:hAnsi="Amiri" w:eastAsia="Amiri" w:cs="Amiri"/>
          <w:color w:val="111111"/>
          <w:sz w:val="28"/>
          <w:sz w:val="28"/>
          <w:szCs w:val="28"/>
          <w:rtl w:val="true"/>
          <w:lang w:bidi="ar-SA"/>
        </w:rPr>
        <w:t xml:space="preserve">جماعة </w:t>
      </w:r>
      <w:r>
        <w:rPr>
          <w:rStyle w:val="FootnoteAnchor"/>
          <w:rtl w:val="true"/>
        </w:rPr>
        <w:footnoteReference w:id="1640"/>
      </w:r>
      <w:r>
        <w:rPr>
          <w:rFonts w:ascii="IRNazanin" w:hAnsi="IRNazanin" w:eastAsia="IRNazanin"/>
          <w:color w:val="111111"/>
          <w:sz w:val="28"/>
          <w:sz w:val="28"/>
          <w:szCs w:val="28"/>
          <w:rtl w:val="true"/>
          <w:lang w:bidi="fa-IR"/>
        </w:rPr>
        <w:t>، مضافاً إلی عموم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غسل وضوء</w:t>
      </w:r>
      <w:r>
        <w:rPr>
          <w:rFonts w:eastAsia="IRNazanin" w:cs="IRNazanin"/>
          <w:color w:val="111111"/>
          <w:sz w:val="28"/>
          <w:szCs w:val="28"/>
          <w:rtl w:val="true"/>
          <w:lang w:bidi="fa-IR"/>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کغسل الجنابة أو عینه فلیس فیه وضوء، و الأخبار مع وهن دلالتها لکثرة عطف المستحبّات علی الوضوء، فلا تفید أزید من الرجحان محمولة علی الاستحباب؛ بقرینة خلوّ باقی الروایات السابقة عنه، بل دلالة بعضها علی عدمه، کروایة یعقوب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 علیه السلام عن غسل المیّت، أ فیه وضوء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المیّت</w:t>
      </w:r>
      <w:bookmarkStart w:id="208" w:name="pg13042_127170"/>
    </w:p>
    <w:p>
      <w:pPr>
        <w:pStyle w:val="BookText"/>
        <w:rPr/>
      </w:pPr>
      <w:bookmarkEnd w:id="208"/>
      <w:r>
        <w:rPr>
          <w:rFonts w:ascii="IRNazanin" w:hAnsi="IRNazanin" w:eastAsia="IRNazanin"/>
          <w:color w:val="111111"/>
          <w:sz w:val="28"/>
          <w:sz w:val="28"/>
          <w:szCs w:val="28"/>
          <w:rtl w:val="true"/>
          <w:lang w:bidi="fa-IR"/>
        </w:rPr>
        <w:t xml:space="preserve">تبدأ بمرافقه فتغسلها بالحرض، ثمّ یغسل وجهه و رأسه بالسدر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642"/>
      </w:r>
      <w:r>
        <w:rPr>
          <w:rFonts w:ascii="IRNazanin" w:hAnsi="IRNazanin" w:eastAsia="IRNazanin"/>
          <w:color w:val="111111"/>
          <w:sz w:val="28"/>
          <w:sz w:val="28"/>
          <w:szCs w:val="28"/>
          <w:rtl w:val="true"/>
          <w:lang w:bidi="fa-IR"/>
        </w:rPr>
        <w:t xml:space="preserve">فإنّ الإعراض عن ذکر الوضوء مع وقوع السؤال عنه کالصریح فی عدم وجوبه، بل یظهر منه مضافاً إلی خلوّ أکثر الأخبار المشتملة علی المستحبّات عنه و کونه کغسل الجنابة بل عینه </w:t>
      </w:r>
      <w:r>
        <w:rPr>
          <w:rStyle w:val="FootnoteAnchor"/>
          <w:rtl w:val="true"/>
        </w:rPr>
        <w:footnoteReference w:id="1643"/>
      </w:r>
      <w:r>
        <w:rPr>
          <w:rFonts w:ascii="IRNazanin" w:hAnsi="IRNazanin" w:eastAsia="IRNazanin"/>
          <w:color w:val="111111"/>
          <w:sz w:val="28"/>
          <w:sz w:val="28"/>
          <w:szCs w:val="28"/>
          <w:rtl w:val="true"/>
          <w:lang w:bidi="fa-IR"/>
        </w:rPr>
        <w:t xml:space="preserve">عدم استحبابه أیضاً، کما عن ظاهر الحدائق </w:t>
      </w:r>
      <w:r>
        <w:rPr>
          <w:rStyle w:val="FootnoteAnchor"/>
          <w:rtl w:val="true"/>
        </w:rPr>
        <w:footnoteReference w:id="1644"/>
      </w:r>
      <w:r>
        <w:rPr>
          <w:rFonts w:ascii="IRNazanin" w:hAnsi="IRNazanin" w:eastAsia="IRNazanin"/>
          <w:color w:val="111111"/>
          <w:sz w:val="28"/>
          <w:sz w:val="28"/>
          <w:szCs w:val="28"/>
          <w:rtl w:val="true"/>
          <w:lang w:bidi="fa-IR"/>
        </w:rPr>
        <w:t xml:space="preserve">و السرائر </w:t>
      </w:r>
      <w:r>
        <w:rPr>
          <w:rStyle w:val="FootnoteAnchor"/>
          <w:rtl w:val="true"/>
        </w:rPr>
        <w:footnoteReference w:id="1645"/>
      </w:r>
      <w:r>
        <w:rPr>
          <w:rFonts w:ascii="IRNazanin" w:hAnsi="IRNazanin" w:eastAsia="IRNazanin"/>
          <w:color w:val="111111"/>
          <w:sz w:val="28"/>
          <w:sz w:val="28"/>
          <w:szCs w:val="28"/>
          <w:rtl w:val="true"/>
          <w:lang w:bidi="fa-IR"/>
        </w:rPr>
        <w:t xml:space="preserve">و المراسم </w:t>
      </w:r>
      <w:r>
        <w:rPr>
          <w:rStyle w:val="FootnoteAnchor"/>
          <w:rtl w:val="true"/>
        </w:rPr>
        <w:footnoteReference w:id="1646"/>
      </w:r>
      <w:r>
        <w:rPr>
          <w:rFonts w:ascii="IRNazanin" w:hAnsi="IRNazanin" w:eastAsia="IRNazanin"/>
          <w:color w:val="111111"/>
          <w:sz w:val="28"/>
          <w:sz w:val="28"/>
          <w:szCs w:val="28"/>
          <w:rtl w:val="true"/>
          <w:lang w:bidi="fa-IR"/>
        </w:rPr>
        <w:t>، و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یوضّأ المیّت قبل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عمل به کان جائزاً، غیر أنّ عمل الطائفة علی ترک العمل بذلک؛ لأنّ غسل المیّت کغسل الجنابة، و لا وضوء فی غسل الجنابة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الاستحباب للأخبار و فتوی المشهور و الاحتیاط</w:t>
      </w:r>
      <w:r>
        <w:rPr>
          <w:rFonts w:eastAsia="IRNazanin" w:cs="IRNazanin"/>
          <w:color w:val="111111"/>
          <w:sz w:val="28"/>
          <w:szCs w:val="28"/>
          <w:rtl w:val="true"/>
          <w:lang w:bidi="fa-IR"/>
        </w:rPr>
        <w:t>.</w:t>
      </w:r>
    </w:p>
    <w:p>
      <w:pPr>
        <w:pStyle w:val="Heading6"/>
        <w:numPr>
          <w:ilvl w:val="5"/>
          <w:numId w:val="1"/>
        </w:numPr>
        <w:rPr/>
      </w:pPr>
      <w:bookmarkStart w:id="209" w:name="__RefHeading___Toc6530216_3224264995"/>
      <w:bookmarkStart w:id="210" w:name="_Toc80"/>
      <w:bookmarkEnd w:id="209"/>
      <w:r>
        <w:rPr>
          <w:rtl w:val="true"/>
        </w:rPr>
        <w:t>[</w:t>
      </w:r>
      <w:r>
        <w:rPr/>
        <w:t>13</w:t>
      </w:r>
      <w:r>
        <w:rPr>
          <w:rtl w:val="true"/>
        </w:rPr>
        <w:t xml:space="preserve">- </w:t>
      </w:r>
      <w:r>
        <w:rPr>
          <w:rtl w:val="true"/>
        </w:rPr>
        <w:t>تنشیفه بثوب بعد الغسل</w:t>
      </w:r>
      <w:r>
        <w:rPr>
          <w:rtl w:val="true"/>
        </w:rPr>
        <w:t>]</w:t>
      </w:r>
      <w:bookmarkEnd w:id="21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ینشفه </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من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لروایات الحلبی </w:t>
      </w:r>
      <w:r>
        <w:rPr>
          <w:rStyle w:val="FootnoteAnchor"/>
          <w:rtl w:val="true"/>
        </w:rPr>
        <w:footnoteReference w:id="1649"/>
      </w:r>
      <w:r>
        <w:rPr>
          <w:rFonts w:ascii="IRNazanin" w:hAnsi="IRNazanin" w:eastAsia="IRNazanin"/>
          <w:color w:val="111111"/>
          <w:sz w:val="28"/>
          <w:sz w:val="28"/>
          <w:szCs w:val="28"/>
          <w:rtl w:val="true"/>
          <w:lang w:bidi="fa-IR"/>
        </w:rPr>
        <w:t xml:space="preserve">و یونس </w:t>
      </w:r>
      <w:r>
        <w:rPr>
          <w:rStyle w:val="FootnoteAnchor"/>
          <w:rtl w:val="true"/>
        </w:rPr>
        <w:footnoteReference w:id="1650"/>
      </w:r>
      <w:r>
        <w:rPr>
          <w:rFonts w:ascii="Amiri" w:hAnsi="Amiri" w:eastAsia="Amiri" w:cs="Amiri"/>
          <w:color w:val="111111"/>
          <w:sz w:val="28"/>
          <w:sz w:val="28"/>
          <w:szCs w:val="28"/>
          <w:rtl w:val="true"/>
          <w:lang w:bidi="ar-SA"/>
        </w:rPr>
        <w:t xml:space="preserve">و عمّار </w:t>
      </w:r>
      <w:r>
        <w:rPr>
          <w:rStyle w:val="FootnoteAnchor"/>
          <w:rtl w:val="true"/>
        </w:rPr>
        <w:footnoteReference w:id="1651"/>
      </w:r>
      <w:r>
        <w:rPr>
          <w:rFonts w:ascii="IRNazanin" w:hAnsi="IRNazanin" w:eastAsia="IRNazanin"/>
          <w:color w:val="111111"/>
          <w:sz w:val="28"/>
          <w:sz w:val="28"/>
          <w:szCs w:val="28"/>
          <w:rtl w:val="true"/>
          <w:lang w:bidi="fa-IR"/>
        </w:rPr>
        <w:t>، و لئلّا یسرع الفساد إلی الکفن</w:t>
      </w:r>
      <w:bookmarkStart w:id="211" w:name="pg13042_127171"/>
    </w:p>
    <w:p>
      <w:pPr>
        <w:pStyle w:val="BookText"/>
        <w:rPr/>
      </w:pPr>
      <w:bookmarkEnd w:id="211"/>
      <w:r>
        <w:rPr>
          <w:rFonts w:ascii="IRNazanin" w:hAnsi="IRNazanin" w:eastAsia="IRNazanin"/>
          <w:color w:val="111111"/>
          <w:sz w:val="28"/>
          <w:sz w:val="28"/>
          <w:szCs w:val="28"/>
          <w:rtl w:val="true"/>
          <w:lang w:bidi="fa-IR"/>
        </w:rPr>
        <w:t xml:space="preserve">بالبلل، و عن المصنّف </w:t>
      </w:r>
      <w:r>
        <w:rPr>
          <w:rStyle w:val="FootnoteAnchor"/>
          <w:rtl w:val="true"/>
        </w:rPr>
        <w:footnoteReference w:id="1652"/>
      </w:r>
      <w:r>
        <w:rPr>
          <w:rFonts w:ascii="IRNazanin" w:hAnsi="IRNazanin" w:eastAsia="IRNazanin"/>
          <w:color w:val="111111"/>
          <w:sz w:val="28"/>
          <w:sz w:val="28"/>
          <w:szCs w:val="28"/>
          <w:rtl w:val="true"/>
          <w:lang w:bidi="fa-IR"/>
        </w:rPr>
        <w:t>و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بقی من المستحبّات أُمور لم یذکرها المصنّف هنا</w:t>
      </w:r>
      <w:r>
        <w:rPr>
          <w:rFonts w:eastAsia="IRNazanin" w:cs="IRNazanin"/>
          <w:color w:val="111111"/>
          <w:sz w:val="28"/>
          <w:szCs w:val="28"/>
          <w:rtl w:val="true"/>
          <w:lang w:bidi="fa-IR"/>
        </w:rPr>
        <w:t>.</w:t>
      </w:r>
    </w:p>
    <w:p>
      <w:pPr>
        <w:pStyle w:val="Heading6"/>
        <w:numPr>
          <w:ilvl w:val="5"/>
          <w:numId w:val="1"/>
        </w:numPr>
        <w:rPr/>
      </w:pPr>
      <w:bookmarkStart w:id="212" w:name="__RefHeading___Toc6530218_3224264995"/>
      <w:bookmarkStart w:id="213" w:name="_Toc81"/>
      <w:bookmarkEnd w:id="212"/>
      <w:r>
        <w:rPr>
          <w:rtl w:val="true"/>
        </w:rPr>
        <w:t>[</w:t>
      </w:r>
      <w:r>
        <w:rPr/>
        <w:t>14</w:t>
      </w:r>
      <w:r>
        <w:rPr>
          <w:rtl w:val="true"/>
        </w:rPr>
        <w:t xml:space="preserve">- </w:t>
      </w:r>
      <w:r>
        <w:rPr>
          <w:rtl w:val="true"/>
        </w:rPr>
        <w:t>غسل یدی المیت قبل الغسل ثلاثا</w:t>
      </w:r>
      <w:r>
        <w:rPr>
          <w:rtl w:val="true"/>
        </w:rPr>
        <w:t>]</w:t>
      </w:r>
      <w:bookmarkEnd w:id="21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یدی المیّت ثلاثاً قبل الغُسل اتّفاقاً کما عن جماعة </w:t>
      </w:r>
      <w:r>
        <w:rPr>
          <w:rStyle w:val="FootnoteAnchor"/>
          <w:rtl w:val="true"/>
        </w:rPr>
        <w:footnoteReference w:id="1654"/>
      </w:r>
      <w:r>
        <w:rPr>
          <w:rFonts w:ascii="IRNazanin" w:hAnsi="IRNazanin" w:eastAsia="IRNazanin"/>
          <w:color w:val="111111"/>
          <w:sz w:val="28"/>
          <w:sz w:val="28"/>
          <w:szCs w:val="28"/>
          <w:rtl w:val="true"/>
          <w:lang w:bidi="fa-IR"/>
        </w:rPr>
        <w:t>، بل قبل کلّ واحد من الأغسال کما یظهر من مرسلة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اغسل یده ثلاث مرّات کما یغتسل الإنسان من الجنابة إلی أن قال فی بیان الغسل بالکافور و افعل به کما فعلت فی المرّة الأُولی، ابدأ بیدیه ثمّ بفرجه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 w:name="__RefHeading___Toc6530220_3224264995"/>
      <w:bookmarkStart w:id="215" w:name="_Toc82"/>
      <w:bookmarkEnd w:id="214"/>
      <w:r>
        <w:rPr>
          <w:rtl w:val="true"/>
        </w:rPr>
        <w:t>[</w:t>
      </w:r>
      <w:r>
        <w:rPr/>
        <w:t>15</w:t>
      </w:r>
      <w:r>
        <w:rPr>
          <w:rtl w:val="true"/>
        </w:rPr>
        <w:t xml:space="preserve">- </w:t>
      </w:r>
      <w:r>
        <w:rPr>
          <w:rtl w:val="true"/>
        </w:rPr>
        <w:t>غسل الغاسل یدیه بعد کلّ غسل</w:t>
      </w:r>
      <w:r>
        <w:rPr>
          <w:rtl w:val="true"/>
        </w:rPr>
        <w:t>]</w:t>
      </w:r>
      <w:bookmarkEnd w:id="21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الغاسل یدیه بعد کلّ غسل إلی المرفقین؛ للمرسلة المتقدّمة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6530222_3224264995"/>
      <w:bookmarkStart w:id="217" w:name="_Toc83"/>
      <w:bookmarkEnd w:id="216"/>
      <w:r>
        <w:rPr>
          <w:rtl w:val="true"/>
        </w:rPr>
        <w:t>[</w:t>
      </w:r>
      <w:r>
        <w:rPr/>
        <w:t>16</w:t>
      </w:r>
      <w:r>
        <w:rPr>
          <w:rtl w:val="true"/>
        </w:rPr>
        <w:t xml:space="preserve">- </w:t>
      </w:r>
      <w:r>
        <w:rPr>
          <w:rtl w:val="true"/>
        </w:rPr>
        <w:t>غسل رأس المیت برغوة السدر</w:t>
      </w:r>
      <w:r>
        <w:rPr>
          <w:rtl w:val="true"/>
        </w:rPr>
        <w:t>]</w:t>
      </w:r>
      <w:bookmarkEnd w:id="21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رأسه برغوة السدر، فعن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فقهاء أهل البیت علیهم السلام علیه و علی غسل جسده بها </w:t>
      </w:r>
      <w:r>
        <w:rPr>
          <w:rStyle w:val="FootnoteAnchor"/>
          <w:rtl w:val="true"/>
        </w:rPr>
        <w:footnoteReference w:id="1657"/>
      </w:r>
      <w:r>
        <w:rPr>
          <w:rFonts w:ascii="IRNazanin" w:hAnsi="IRNazanin" w:eastAsia="IRNazanin"/>
          <w:color w:val="111111"/>
          <w:sz w:val="28"/>
          <w:sz w:val="28"/>
          <w:szCs w:val="28"/>
          <w:rtl w:val="true"/>
          <w:lang w:bidi="fa-IR"/>
        </w:rPr>
        <w:t>، إلّا أنّ ظاهر المرسلة الاقتصار علی الرأس، و یظهر منها کون ذلک من الغسل الواجب، فیکون فیه دلالة علی جواز الغسل بمضاف، إلّا أنّ فی الاعتماد علیه فی مقابل ظهور سائر الأخبار فی اعتبار إطلاق الماء إشکالًا</w:t>
      </w:r>
      <w:r>
        <w:rPr>
          <w:rFonts w:eastAsia="IRNazanin" w:cs="IRNazanin"/>
          <w:color w:val="111111"/>
          <w:sz w:val="28"/>
          <w:szCs w:val="28"/>
          <w:rtl w:val="true"/>
          <w:lang w:bidi="fa-IR"/>
        </w:rPr>
        <w:t>.</w:t>
      </w:r>
    </w:p>
    <w:p>
      <w:pPr>
        <w:pStyle w:val="Heading6"/>
        <w:numPr>
          <w:ilvl w:val="5"/>
          <w:numId w:val="1"/>
        </w:numPr>
        <w:rPr/>
      </w:pPr>
      <w:bookmarkStart w:id="218" w:name="__RefHeading___Toc6530224_3224264995"/>
      <w:bookmarkStart w:id="219" w:name="_Toc84"/>
      <w:bookmarkEnd w:id="218"/>
      <w:r>
        <w:rPr>
          <w:rtl w:val="true"/>
        </w:rPr>
        <w:t>[</w:t>
      </w:r>
      <w:r>
        <w:rPr/>
        <w:t>17</w:t>
      </w:r>
      <w:r>
        <w:rPr>
          <w:rtl w:val="true"/>
        </w:rPr>
        <w:t xml:space="preserve">- </w:t>
      </w:r>
      <w:r>
        <w:rPr>
          <w:rtl w:val="true"/>
        </w:rPr>
        <w:t>أن لا یقطع الماء حتّی یتمّ کلّ غسلة</w:t>
      </w:r>
      <w:r>
        <w:rPr>
          <w:rtl w:val="true"/>
        </w:rPr>
        <w:t>]</w:t>
      </w:r>
      <w:bookmarkEnd w:id="2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یقطع الماء فی کلّ غسلة مستحبّة أو واجبة حتّی یتمّ</w:t>
      </w:r>
      <w:bookmarkStart w:id="220" w:name="pg13042_127172"/>
    </w:p>
    <w:p>
      <w:pPr>
        <w:pStyle w:val="BookText"/>
        <w:rPr/>
      </w:pPr>
      <w:bookmarkEnd w:id="220"/>
      <w:r>
        <w:rPr>
          <w:rFonts w:ascii="IRNazanin" w:hAnsi="IRNazanin" w:eastAsia="IRNazanin"/>
          <w:color w:val="111111"/>
          <w:sz w:val="28"/>
          <w:sz w:val="28"/>
          <w:szCs w:val="28"/>
          <w:rtl w:val="true"/>
          <w:lang w:bidi="fa-IR"/>
        </w:rPr>
        <w:t xml:space="preserve">غسل ذلک العضو، نسبه فی الحدائق إلی الأصحاب </w:t>
      </w:r>
      <w:r>
        <w:rPr>
          <w:rStyle w:val="FootnoteAnchor"/>
          <w:rtl w:val="true"/>
        </w:rPr>
        <w:footnoteReference w:id="1658"/>
      </w:r>
      <w:r>
        <w:rPr>
          <w:rFonts w:ascii="IRNazanin" w:hAnsi="IRNazanin" w:eastAsia="IRNazanin"/>
          <w:color w:val="111111"/>
          <w:sz w:val="28"/>
          <w:sz w:val="28"/>
          <w:szCs w:val="28"/>
          <w:rtl w:val="true"/>
          <w:lang w:bidi="fa-IR"/>
        </w:rPr>
        <w:t>، و عن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 عن الإسکافی و الجعفی و الشیخ </w:t>
      </w:r>
      <w:r>
        <w:rPr>
          <w:rStyle w:val="FootnoteAnchor"/>
          <w:rtl w:val="true"/>
        </w:rPr>
        <w:footnoteReference w:id="1659"/>
      </w:r>
      <w:r>
        <w:rPr>
          <w:rFonts w:ascii="IRNazanin" w:hAnsi="IRNazanin" w:eastAsia="IRNazanin"/>
          <w:color w:val="111111"/>
          <w:sz w:val="28"/>
          <w:sz w:val="28"/>
          <w:szCs w:val="28"/>
          <w:rtl w:val="true"/>
          <w:lang w:bidi="fa-IR"/>
        </w:rPr>
        <w:t>، 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یستحبّ لمن یصبّ الماء أن لا یقطعه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 w:name="__RefHeading___Toc6530226_3224264995"/>
      <w:bookmarkStart w:id="222" w:name="_Toc85"/>
      <w:bookmarkEnd w:id="221"/>
      <w:r>
        <w:rPr>
          <w:rtl w:val="true"/>
        </w:rPr>
        <w:t>[</w:t>
      </w:r>
      <w:r>
        <w:rPr/>
        <w:t>18</w:t>
      </w:r>
      <w:r>
        <w:rPr>
          <w:rtl w:val="true"/>
        </w:rPr>
        <w:t xml:space="preserve">- </w:t>
      </w:r>
      <w:r>
        <w:rPr>
          <w:rtl w:val="true"/>
        </w:rPr>
        <w:t>اغتسال الغاسل قبل التغسیل</w:t>
      </w:r>
      <w:r>
        <w:rPr>
          <w:rtl w:val="true"/>
        </w:rPr>
        <w:t>]</w:t>
      </w:r>
      <w:bookmarkEnd w:id="22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اغتسال الغاسل قبل التغسیل، حکی عن البحار نسبته إلی بعض الأصحاب </w:t>
      </w:r>
      <w:r>
        <w:rPr>
          <w:rStyle w:val="FootnoteAnchor"/>
          <w:rtl w:val="true"/>
        </w:rPr>
        <w:footnoteReference w:id="1661"/>
      </w:r>
      <w:r>
        <w:rPr>
          <w:rFonts w:ascii="IRNazanin" w:hAnsi="IRNazanin" w:eastAsia="IRNazanin"/>
          <w:color w:val="111111"/>
          <w:sz w:val="28"/>
          <w:sz w:val="28"/>
          <w:szCs w:val="28"/>
          <w:rtl w:val="true"/>
          <w:lang w:bidi="fa-IR"/>
        </w:rPr>
        <w:t>، و عن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إذا أدخلت المیّت القبر، و اغتسل إذا غسلته، و لا تغتسل إذا حملته</w:t>
      </w:r>
      <w:r>
        <w:rPr>
          <w:rFonts w:eastAsia="IRNazanin" w:cs="IRNazanin"/>
          <w:color w:val="111111"/>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و فی الاستشهاد به ما لا یخفی</w:t>
      </w:r>
      <w:r>
        <w:rPr>
          <w:rFonts w:eastAsia="IRNazanin" w:cs="IRNazanin"/>
          <w:color w:val="111111"/>
          <w:sz w:val="28"/>
          <w:szCs w:val="28"/>
          <w:rtl w:val="true"/>
          <w:lang w:bidi="fa-IR"/>
        </w:rPr>
        <w:t>.</w:t>
      </w:r>
    </w:p>
    <w:p>
      <w:pPr>
        <w:pStyle w:val="Heading6"/>
        <w:numPr>
          <w:ilvl w:val="5"/>
          <w:numId w:val="1"/>
        </w:numPr>
        <w:rPr/>
      </w:pPr>
      <w:bookmarkStart w:id="223" w:name="__RefHeading___Toc6530228_3224264995"/>
      <w:bookmarkStart w:id="224" w:name="_Toc86"/>
      <w:bookmarkEnd w:id="223"/>
      <w:r>
        <w:rPr>
          <w:rtl w:val="true"/>
        </w:rPr>
        <w:t>[</w:t>
      </w:r>
      <w:r>
        <w:rPr/>
        <w:t>19</w:t>
      </w:r>
      <w:r>
        <w:rPr>
          <w:rtl w:val="true"/>
        </w:rPr>
        <w:t xml:space="preserve"> </w:t>
      </w:r>
      <w:r>
        <w:rPr>
          <w:rtl w:val="true"/>
        </w:rPr>
        <w:t>وضع شی‌ء فی دبر المیت و کثرة الماء</w:t>
      </w:r>
      <w:r>
        <w:rPr>
          <w:rtl w:val="true"/>
        </w:rPr>
        <w:t>]</w:t>
      </w:r>
      <w:bookmarkEnd w:id="22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فی دبره شی‌ء من القطن لئلّا یخرج منه شی‌ء؛ لمرسلة یونس </w:t>
      </w:r>
      <w:r>
        <w:rPr>
          <w:rStyle w:val="FootnoteAnchor"/>
          <w:rtl w:val="true"/>
        </w:rPr>
        <w:footnoteReference w:id="1663"/>
      </w:r>
      <w:r>
        <w:rPr>
          <w:rFonts w:ascii="IRNazanin" w:hAnsi="IRNazanin" w:eastAsia="IRNazanin"/>
          <w:color w:val="111111"/>
          <w:sz w:val="28"/>
          <w:sz w:val="28"/>
          <w:szCs w:val="28"/>
          <w:rtl w:val="true"/>
          <w:lang w:bidi="fa-IR"/>
        </w:rPr>
        <w:t>، 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الماء؛ لروایة الکاهلی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6530230_3224264995"/>
      <w:bookmarkStart w:id="226" w:name="_Toc87"/>
      <w:bookmarkEnd w:id="225"/>
      <w:r>
        <w:rPr>
          <w:rtl w:val="true"/>
        </w:rPr>
        <w:t>[</w:t>
      </w:r>
      <w:r>
        <w:rPr/>
        <w:t>20</w:t>
      </w:r>
      <w:r>
        <w:rPr>
          <w:rtl w:val="true"/>
        </w:rPr>
        <w:t xml:space="preserve">- </w:t>
      </w:r>
      <w:r>
        <w:rPr>
          <w:rtl w:val="true"/>
        </w:rPr>
        <w:t>الرفق بالمیت</w:t>
      </w:r>
      <w:r>
        <w:rPr>
          <w:rtl w:val="true"/>
        </w:rPr>
        <w:t>]</w:t>
      </w:r>
      <w:bookmarkEnd w:id="22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بالمیّت؛ للأخبار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6530232_3224264995"/>
      <w:bookmarkStart w:id="228" w:name="_Toc88"/>
      <w:bookmarkEnd w:id="227"/>
      <w:r>
        <w:rPr>
          <w:rtl w:val="true"/>
        </w:rPr>
        <w:t>[</w:t>
      </w:r>
      <w:r>
        <w:rPr/>
        <w:t>21</w:t>
      </w:r>
      <w:r>
        <w:rPr>
          <w:rtl w:val="true"/>
        </w:rPr>
        <w:t xml:space="preserve">- </w:t>
      </w:r>
      <w:r>
        <w:rPr>
          <w:rtl w:val="true"/>
        </w:rPr>
        <w:t>لفّ الغاسل علی یدیه خرقة</w:t>
      </w:r>
      <w:r>
        <w:rPr>
          <w:rtl w:val="true"/>
        </w:rPr>
        <w:t>]</w:t>
      </w:r>
      <w:bookmarkEnd w:id="22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الغاسل علی یدیه خرقة</w:t>
      </w:r>
      <w:r>
        <w:rPr>
          <w:rFonts w:eastAsia="IRNazanin" w:cs="IRNazanin"/>
          <w:color w:val="111111"/>
          <w:sz w:val="28"/>
          <w:szCs w:val="28"/>
          <w:rtl w:val="true"/>
          <w:lang w:bidi="fa-IR"/>
        </w:rPr>
        <w:t>.</w:t>
      </w:r>
    </w:p>
    <w:p>
      <w:pPr>
        <w:pStyle w:val="Heading6"/>
        <w:numPr>
          <w:ilvl w:val="5"/>
          <w:numId w:val="1"/>
        </w:numPr>
        <w:rPr/>
      </w:pPr>
      <w:bookmarkStart w:id="229" w:name="__RefHeading___Toc6530234_3224264995"/>
      <w:bookmarkStart w:id="230" w:name="_Toc89"/>
      <w:bookmarkEnd w:id="229"/>
      <w:r>
        <w:rPr>
          <w:rtl w:val="true"/>
        </w:rPr>
        <w:t>[</w:t>
      </w:r>
      <w:r>
        <w:rPr/>
        <w:t>22</w:t>
      </w:r>
      <w:r>
        <w:rPr>
          <w:rtl w:val="true"/>
        </w:rPr>
        <w:t xml:space="preserve">- </w:t>
      </w:r>
      <w:r>
        <w:rPr>
          <w:rtl w:val="true"/>
        </w:rPr>
        <w:t>فتق قمیص المیت لینزع من تحته</w:t>
      </w:r>
      <w:r>
        <w:rPr>
          <w:rtl w:val="true"/>
        </w:rPr>
        <w:t>]</w:t>
      </w:r>
      <w:bookmarkEnd w:id="23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قمیصه لینزع من تحته؛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أحفظ لأعالی المیّت عن</w:t>
      </w:r>
    </w:p>
    <w:p>
      <w:pPr>
        <w:pStyle w:val="BookText"/>
        <w:rPr/>
      </w:pPr>
      <w:r>
        <w:rPr>
          <w:rFonts w:ascii="IRNazanin" w:hAnsi="IRNazanin" w:eastAsia="IRNazanin"/>
          <w:color w:val="111111"/>
          <w:sz w:val="28"/>
          <w:sz w:val="28"/>
          <w:szCs w:val="28"/>
          <w:rtl w:val="true"/>
          <w:lang w:bidi="fa-IR"/>
        </w:rPr>
        <w:t xml:space="preserve">التلطّخ بالثوب لو کان فیه نجاسة متیقّنة أو محتملة </w:t>
      </w:r>
      <w:r>
        <w:rPr>
          <w:rStyle w:val="FootnoteAnchor"/>
          <w:rtl w:val="true"/>
        </w:rPr>
        <w:footnoteReference w:id="1667"/>
      </w:r>
      <w:r>
        <w:rPr>
          <w:rFonts w:ascii="IRNazanin" w:hAnsi="IRNazanin" w:eastAsia="IRNazanin"/>
          <w:color w:val="111111"/>
          <w:sz w:val="28"/>
          <w:sz w:val="28"/>
          <w:szCs w:val="28"/>
          <w:rtl w:val="true"/>
          <w:lang w:bidi="fa-IR"/>
        </w:rPr>
        <w:t>، و فی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یخرق قمیصه إذا غسل و ینزع من رجلیه</w:t>
      </w:r>
      <w:r>
        <w:rPr>
          <w:rFonts w:eastAsia="IRNazanin" w:cs="IRNazanin"/>
          <w:color w:val="111111"/>
          <w:sz w:val="28"/>
          <w:szCs w:val="28"/>
          <w:rtl w:val="true"/>
          <w:lang w:bidi="fa-IR"/>
        </w:rPr>
        <w:t xml:space="preserve">» </w:t>
      </w:r>
      <w:r>
        <w:rPr>
          <w:rStyle w:val="FootnoteAnchor"/>
          <w:rtl w:val="true"/>
        </w:rPr>
        <w:footnoteReference w:id="1668"/>
      </w:r>
      <w:r>
        <w:rPr>
          <w:rFonts w:ascii="IRNazanin" w:hAnsi="IRNazanin" w:eastAsia="IRNazanin"/>
          <w:color w:val="111111"/>
          <w:sz w:val="28"/>
          <w:sz w:val="28"/>
          <w:szCs w:val="28"/>
          <w:rtl w:val="true"/>
          <w:lang w:bidi="fa-IR"/>
        </w:rPr>
        <w:t>و ظاهرها کون ذلک بعد التغسیل فیخالف العلّة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فی استحباب فتق القمیص إذا أُرید نزعه بلا خلاف ظاهر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الخلاف فی أنّ نزع الثوب و تغسیله مجرّداً مستور العورة مستحبّ، کما عن صریح المعتبر </w:t>
      </w:r>
      <w:r>
        <w:rPr>
          <w:rStyle w:val="FootnoteAnchor"/>
          <w:rtl w:val="true"/>
        </w:rPr>
        <w:footnoteReference w:id="1669"/>
      </w:r>
      <w:r>
        <w:rPr>
          <w:rFonts w:ascii="IRNazanin" w:hAnsi="IRNazanin" w:eastAsia="IRNazanin"/>
          <w:color w:val="111111"/>
          <w:sz w:val="28"/>
          <w:sz w:val="28"/>
          <w:szCs w:val="28"/>
          <w:rtl w:val="true"/>
          <w:lang w:bidi="fa-IR"/>
        </w:rPr>
        <w:t xml:space="preserve">و غیره </w:t>
      </w:r>
      <w:r>
        <w:rPr>
          <w:rStyle w:val="FootnoteAnchor"/>
          <w:rtl w:val="true"/>
        </w:rPr>
        <w:footnoteReference w:id="1670"/>
      </w:r>
      <w:r>
        <w:rPr>
          <w:rFonts w:ascii="IRNazanin" w:hAnsi="IRNazanin" w:eastAsia="IRNazanin"/>
          <w:color w:val="111111"/>
          <w:sz w:val="28"/>
          <w:sz w:val="28"/>
          <w:szCs w:val="28"/>
          <w:rtl w:val="true"/>
          <w:lang w:bidi="fa-IR"/>
        </w:rPr>
        <w:t xml:space="preserve">، بل عن المختلف </w:t>
      </w:r>
      <w:r>
        <w:rPr>
          <w:rStyle w:val="FootnoteAnchor"/>
          <w:rtl w:val="true"/>
        </w:rPr>
        <w:footnoteReference w:id="1671"/>
      </w:r>
      <w:r>
        <w:rPr>
          <w:rFonts w:ascii="IRNazanin" w:hAnsi="IRNazanin" w:eastAsia="IRNazanin"/>
          <w:color w:val="111111"/>
          <w:sz w:val="28"/>
          <w:sz w:val="28"/>
          <w:szCs w:val="28"/>
          <w:rtl w:val="true"/>
          <w:lang w:bidi="fa-IR"/>
        </w:rPr>
        <w:t>و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1672"/>
      </w:r>
      <w:r>
        <w:rPr>
          <w:rFonts w:ascii="IRNazanin" w:hAnsi="IRNazanin" w:eastAsia="IRNazanin"/>
          <w:color w:val="111111"/>
          <w:sz w:val="28"/>
          <w:sz w:val="28"/>
          <w:szCs w:val="28"/>
          <w:rtl w:val="true"/>
          <w:lang w:bidi="fa-IR"/>
        </w:rPr>
        <w:t xml:space="preserve">معلّلًا فی المعتبر کما عن التذکرة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الثوب ینجس بما یخرج من المیّت، و لا یطهر بصبّ الماء، فینجس المیّت و الغاسل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المستحبّ تغسیله فی قمیصه، کما عن العمّانی مدّعیاً تواتر الأخبار علی ذلک </w:t>
      </w:r>
      <w:r>
        <w:rPr>
          <w:rStyle w:val="FootnoteAnchor"/>
          <w:rtl w:val="true"/>
        </w:rPr>
        <w:footnoteReference w:id="1675"/>
      </w:r>
      <w:r>
        <w:rPr>
          <w:rFonts w:ascii="IRNazanin" w:hAnsi="IRNazanin" w:eastAsia="IRNazanin"/>
          <w:color w:val="111111"/>
          <w:sz w:val="28"/>
          <w:sz w:val="28"/>
          <w:szCs w:val="28"/>
          <w:rtl w:val="true"/>
          <w:lang w:bidi="fa-IR"/>
        </w:rPr>
        <w:t xml:space="preserve">و ظاهر المحکیّ عن الصدوق </w:t>
      </w:r>
      <w:r>
        <w:rPr>
          <w:rStyle w:val="FootnoteAnchor"/>
          <w:rtl w:val="true"/>
        </w:rPr>
        <w:footnoteReference w:id="1676"/>
      </w:r>
      <w:r>
        <w:rPr>
          <w:rFonts w:ascii="IRNazanin" w:hAnsi="IRNazanin" w:eastAsia="IRNazanin"/>
          <w:color w:val="111111"/>
          <w:sz w:val="28"/>
          <w:sz w:val="28"/>
          <w:szCs w:val="28"/>
          <w:rtl w:val="true"/>
          <w:lang w:bidi="fa-IR"/>
        </w:rPr>
        <w:t xml:space="preserve">و صریح المدارک </w:t>
      </w:r>
      <w:r>
        <w:rPr>
          <w:rStyle w:val="FootnoteAnchor"/>
          <w:rtl w:val="true"/>
        </w:rPr>
        <w:footnoteReference w:id="1677"/>
      </w:r>
      <w:r>
        <w:rPr>
          <w:rFonts w:ascii="IRNazanin" w:hAnsi="IRNazanin" w:eastAsia="IRNazanin"/>
          <w:color w:val="111111"/>
          <w:sz w:val="28"/>
          <w:sz w:val="28"/>
          <w:szCs w:val="28"/>
          <w:rtl w:val="true"/>
          <w:lang w:bidi="fa-IR"/>
        </w:rPr>
        <w:t xml:space="preserve">و الحدائق </w:t>
      </w:r>
      <w:r>
        <w:rPr>
          <w:rStyle w:val="FootnoteAnchor"/>
          <w:rtl w:val="true"/>
        </w:rPr>
        <w:footnoteReference w:id="16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ینسب إلی ظاهر المختلف </w:t>
      </w:r>
      <w:r>
        <w:rPr>
          <w:rStyle w:val="FootnoteAnchor"/>
          <w:rtl w:val="true"/>
        </w:rPr>
        <w:footnoteReference w:id="1679"/>
      </w:r>
      <w:r>
        <w:rPr>
          <w:rFonts w:ascii="IRNazanin" w:hAnsi="IRNazanin" w:eastAsia="IRNazanin"/>
          <w:color w:val="111111"/>
          <w:sz w:val="28"/>
          <w:sz w:val="28"/>
          <w:szCs w:val="28"/>
          <w:rtl w:val="true"/>
          <w:lang w:bidi="fa-IR"/>
        </w:rPr>
        <w:t xml:space="preserve">و الذکری </w:t>
      </w:r>
      <w:r>
        <w:rPr>
          <w:rStyle w:val="FootnoteAnchor"/>
          <w:rtl w:val="true"/>
        </w:rPr>
        <w:footnoteReference w:id="1680"/>
      </w:r>
      <w:r>
        <w:rPr>
          <w:rFonts w:ascii="IRNazanin" w:hAnsi="IRNazanin" w:eastAsia="IRNazanin"/>
          <w:color w:val="111111"/>
          <w:sz w:val="28"/>
          <w:sz w:val="28"/>
          <w:szCs w:val="28"/>
          <w:rtl w:val="true"/>
          <w:lang w:bidi="fa-IR"/>
        </w:rPr>
        <w:t xml:space="preserve">لصحیحة ابن مسکان </w:t>
      </w:r>
      <w:r>
        <w:rPr>
          <w:rStyle w:val="FootnoteAnchor"/>
          <w:rtl w:val="true"/>
        </w:rPr>
        <w:footnoteReference w:id="1681"/>
      </w:r>
      <w:r>
        <w:rPr>
          <w:rFonts w:ascii="IRNazanin" w:hAnsi="IRNazanin" w:eastAsia="IRNazanin"/>
          <w:color w:val="111111"/>
          <w:sz w:val="28"/>
          <w:sz w:val="28"/>
          <w:szCs w:val="28"/>
          <w:rtl w:val="true"/>
          <w:lang w:bidi="fa-IR"/>
        </w:rPr>
        <w:t>و حسنة ابن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استطعت أن یکون علیه قمیص تغسله من تحت القمیص</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و مصحّحة ابن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تغسله إلّا فی قمیص</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 xml:space="preserve">و ما روی من تغسیل النبیّ صلّی اللّٰه علیه و آله فی قمیصه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أنّه مخیّر بینهما، کما یظهر من عبارة جامع المقاصد </w:t>
      </w:r>
      <w:r>
        <w:rPr>
          <w:rStyle w:val="FootnoteAnchor"/>
          <w:rtl w:val="true"/>
        </w:rPr>
        <w:footnoteReference w:id="1685"/>
      </w:r>
      <w:r>
        <w:rPr>
          <w:rFonts w:ascii="IRNazanin" w:hAnsi="IRNazanin" w:eastAsia="IRNazanin"/>
          <w:color w:val="111111"/>
          <w:sz w:val="28"/>
          <w:sz w:val="28"/>
          <w:szCs w:val="28"/>
          <w:rtl w:val="true"/>
          <w:lang w:bidi="fa-IR"/>
        </w:rPr>
        <w:t xml:space="preserve">و حکی عن الخلاف مع دعوی الإجماع علیه </w:t>
      </w:r>
      <w:r>
        <w:rPr>
          <w:rStyle w:val="FootnoteAnchor"/>
          <w:rtl w:val="true"/>
        </w:rPr>
        <w:footnoteReference w:id="1686"/>
      </w:r>
      <w:r>
        <w:rPr>
          <w:rFonts w:ascii="IRNazanin" w:hAnsi="IRNazanin" w:eastAsia="IRNazanin"/>
          <w:color w:val="111111"/>
          <w:sz w:val="28"/>
          <w:sz w:val="28"/>
          <w:szCs w:val="28"/>
          <w:rtl w:val="true"/>
          <w:lang w:bidi="fa-IR"/>
        </w:rPr>
        <w:t>و لعلّه للجمع بین الأخبار، أقوال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w:t>
      </w:r>
      <w:r>
        <w:rPr>
          <w:rStyle w:val="FootnoteAnchor"/>
          <w:rtl w:val="true"/>
        </w:rPr>
        <w:footnoteReference w:id="1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بغسله فی قمیصه، إن کان هو ترک القمیص علیه بحیث یکون جمیع بدنه مستوراً به، فلا دلیل علی استحبابه؛ لأنّ الأخبار المذکورة محمولة علی إرادة عدم التغسیل مجرّداً مکشوف العورة، فلا ینافی تأدّی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 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بنزع القمیص و وضع خرقة علی العورة، کما فی حسنة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غسل المیّت فاجعل بینک و بینه ثوباً یستر عنک</w:t>
      </w:r>
    </w:p>
    <w:p>
      <w:pPr>
        <w:pStyle w:val="BookText"/>
        <w:rPr/>
      </w:pPr>
      <w:r>
        <w:rPr>
          <w:rFonts w:ascii="IRNazanin" w:hAnsi="IRNazanin" w:eastAsia="IRNazanin"/>
          <w:color w:val="111111"/>
          <w:sz w:val="28"/>
          <w:sz w:val="28"/>
          <w:szCs w:val="28"/>
          <w:rtl w:val="true"/>
          <w:lang w:bidi="fa-IR"/>
        </w:rPr>
        <w:t>عورته إمّا قمیصه أو غیره</w:t>
      </w:r>
      <w:r>
        <w:rPr>
          <w:rFonts w:eastAsia="IRNazanin" w:cs="IRNazanin"/>
          <w:color w:val="111111"/>
          <w:sz w:val="28"/>
          <w:szCs w:val="28"/>
          <w:rtl w:val="true"/>
          <w:lang w:bidi="fa-IR"/>
        </w:rPr>
        <w:t xml:space="preserve">» </w:t>
      </w:r>
      <w:r>
        <w:rPr>
          <w:rStyle w:val="FootnoteAnchor"/>
          <w:rtl w:val="true"/>
        </w:rPr>
        <w:footnoteReference w:id="1688"/>
      </w:r>
      <w:r>
        <w:rPr>
          <w:rFonts w:ascii="IRNazanin" w:hAnsi="IRNazanin" w:eastAsia="IRNazanin"/>
          <w:color w:val="111111"/>
          <w:sz w:val="28"/>
          <w:sz w:val="28"/>
          <w:szCs w:val="28"/>
          <w:rtl w:val="true"/>
          <w:lang w:bidi="fa-IR"/>
        </w:rPr>
        <w:t xml:space="preserve">و نحوها الرضوی </w:t>
      </w:r>
      <w:r>
        <w:rPr>
          <w:rStyle w:val="FootnoteAnchor"/>
          <w:rtl w:val="true"/>
        </w:rPr>
        <w:footnoteReference w:id="1689"/>
      </w:r>
      <w:r>
        <w:rPr>
          <w:rFonts w:ascii="IRNazanin" w:hAnsi="IRNazanin" w:eastAsia="IRNazanin"/>
          <w:color w:val="111111"/>
          <w:sz w:val="28"/>
          <w:sz w:val="28"/>
          <w:szCs w:val="28"/>
          <w:rtl w:val="true"/>
          <w:lang w:bidi="fa-IR"/>
        </w:rPr>
        <w:t xml:space="preserve">، مع أنّ صریح مرسلة یونس </w:t>
      </w:r>
      <w:r>
        <w:rPr>
          <w:rStyle w:val="FootnoteAnchor"/>
          <w:rtl w:val="true"/>
        </w:rPr>
        <w:footnoteReference w:id="1690"/>
      </w:r>
      <w:r>
        <w:rPr>
          <w:rFonts w:ascii="Amiri" w:hAnsi="Amiri" w:eastAsia="Amiri" w:cs="Amiri"/>
          <w:color w:val="111111"/>
          <w:sz w:val="28"/>
          <w:sz w:val="28"/>
          <w:szCs w:val="28"/>
          <w:rtl w:val="true"/>
          <w:lang w:bidi="ar-SA"/>
        </w:rPr>
        <w:t xml:space="preserve">المعتضدة بإجماع الخلاف </w:t>
      </w:r>
      <w:r>
        <w:rPr>
          <w:rStyle w:val="FootnoteAnchor"/>
          <w:rtl w:val="true"/>
        </w:rPr>
        <w:footnoteReference w:id="1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کشف ما عدا العورة لأمرها بجمع القمیص علی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به استحباب ترک قمیصه علیه لستر عورته بالنسبة إلی نزع القمیص و الستر بخرقة أُخری </w:t>
      </w:r>
      <w:r>
        <w:rPr>
          <w:rStyle w:val="FootnoteAnchor"/>
          <w:rtl w:val="true"/>
        </w:rPr>
        <w:footnoteReference w:id="1692"/>
      </w:r>
      <w:r>
        <w:rPr>
          <w:rFonts w:ascii="IRNazanin" w:hAnsi="IRNazanin" w:eastAsia="IRNazanin"/>
          <w:color w:val="111111"/>
          <w:sz w:val="28"/>
          <w:sz w:val="28"/>
          <w:szCs w:val="28"/>
          <w:rtl w:val="true"/>
          <w:lang w:bidi="fa-IR"/>
        </w:rPr>
        <w:t>، و لعلّه الظاهر من هذا القول حیث جعلوه فی مقابل المشهور القائلین باستحباب النزع و التجرید، فلا ینافی هذا القول استحباب کون ما عدا العورة عاریاً، ففی استحبابه أیضاً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التخییر؛ لحسنة الحلبی المعتضدة بإجماع الخلاف </w:t>
      </w:r>
      <w:r>
        <w:rPr>
          <w:rStyle w:val="FootnoteAnchor"/>
          <w:rtl w:val="true"/>
        </w:rPr>
        <w:footnoteReference w:id="1693"/>
      </w:r>
      <w:r>
        <w:rPr>
          <w:rFonts w:ascii="IRNazanin" w:hAnsi="IRNazanin" w:eastAsia="IRNazanin"/>
          <w:color w:val="111111"/>
          <w:sz w:val="28"/>
          <w:sz w:val="28"/>
          <w:szCs w:val="28"/>
          <w:rtl w:val="true"/>
          <w:lang w:bidi="fa-IR"/>
        </w:rPr>
        <w:t xml:space="preserve">لما عرفت من أنّ الأخبار الآمرة بغسله فی قمیصه </w:t>
      </w:r>
      <w:r>
        <w:rPr>
          <w:rStyle w:val="FootnoteAnchor"/>
          <w:rtl w:val="true"/>
        </w:rPr>
        <w:footnoteReference w:id="1694"/>
      </w:r>
      <w:r>
        <w:rPr>
          <w:rFonts w:ascii="IRNazanin" w:hAnsi="IRNazanin" w:eastAsia="IRNazanin"/>
          <w:color w:val="111111"/>
          <w:sz w:val="28"/>
          <w:sz w:val="28"/>
          <w:szCs w:val="28"/>
          <w:rtl w:val="true"/>
          <w:lang w:bidi="fa-IR"/>
        </w:rPr>
        <w:t>مسوقة لبیان مرجوحیّة کونه مکشوف العورة، لا فی مقابل الأعمّ منه و من سترها بخرقة أُخری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الخلاف 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غسله عریاناً مستور العورة، إمّا بقمیصه أو ینزع القمیص و یترک علی عورته خرقة،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فی قمیصه،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قمیصه و یترک علی</w:t>
      </w:r>
      <w:bookmarkStart w:id="231" w:name="pg13042_127176"/>
    </w:p>
    <w:p>
      <w:pPr>
        <w:pStyle w:val="BookText"/>
        <w:rPr/>
      </w:pPr>
      <w:bookmarkEnd w:id="231"/>
      <w:r>
        <w:rPr>
          <w:rFonts w:ascii="IRNazanin" w:hAnsi="IRNazanin" w:eastAsia="IRNazanin"/>
          <w:color w:val="111111"/>
          <w:sz w:val="28"/>
          <w:sz w:val="28"/>
          <w:szCs w:val="28"/>
          <w:rtl w:val="true"/>
          <w:lang w:bidi="fa-IR"/>
        </w:rPr>
        <w:t>عورته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إجماع الفرقة و عملهم أنّه مخیّر بین الأمرین </w:t>
      </w:r>
      <w:r>
        <w:rPr>
          <w:rStyle w:val="FootnoteAnchor"/>
          <w:rtl w:val="true"/>
        </w:rPr>
        <w:footnoteReference w:id="169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یستظهر استحباب الغسل فی القمیص من الأخبار الواردة بتغسیل أحد الزوجین و المحارم من وراء الثیاب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عدم الخلاف فی رجحان ذلک فی تغسیل أحد الزوجین و المحارم، و لو فرض وجود الخلاف فینبغی القطع بضعفه للأخبار الکثیرة المتقدّمة </w:t>
      </w:r>
      <w:r>
        <w:rPr>
          <w:rStyle w:val="FootnoteAnchor"/>
          <w:rtl w:val="true"/>
        </w:rPr>
        <w:footnoteReference w:id="1697"/>
      </w:r>
      <w:r>
        <w:rPr>
          <w:rFonts w:ascii="IRNazanin" w:hAnsi="IRNazanin" w:eastAsia="IRNazanin"/>
          <w:color w:val="111111"/>
          <w:sz w:val="28"/>
          <w:sz w:val="28"/>
          <w:szCs w:val="28"/>
          <w:rtl w:val="true"/>
          <w:lang w:bidi="fa-IR"/>
        </w:rPr>
        <w:t xml:space="preserve">و لذا ذهب کثیر من الأصحاب إلی وجوبه هناک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صرّح المحقّق </w:t>
      </w:r>
      <w:r>
        <w:rPr>
          <w:rStyle w:val="FootnoteAnchor"/>
          <w:rtl w:val="true"/>
        </w:rPr>
        <w:footnoteReference w:id="1699"/>
      </w:r>
      <w:r>
        <w:rPr>
          <w:rFonts w:ascii="IRNazanin" w:hAnsi="IRNazanin" w:eastAsia="IRNazanin"/>
          <w:color w:val="111111"/>
          <w:sz w:val="28"/>
          <w:sz w:val="28"/>
          <w:szCs w:val="28"/>
          <w:rtl w:val="true"/>
          <w:lang w:bidi="fa-IR"/>
        </w:rPr>
        <w:t xml:space="preserve">و الشهید </w:t>
      </w:r>
      <w:r>
        <w:rPr>
          <w:rStyle w:val="FootnoteAnchor"/>
          <w:rtl w:val="true"/>
        </w:rPr>
        <w:footnoteReference w:id="1700"/>
      </w:r>
      <w:r>
        <w:rPr>
          <w:rFonts w:ascii="IRNazanin" w:hAnsi="IRNazanin" w:eastAsia="IRNazanin"/>
          <w:color w:val="111111"/>
          <w:sz w:val="28"/>
          <w:sz w:val="28"/>
          <w:szCs w:val="28"/>
          <w:rtl w:val="true"/>
          <w:lang w:bidi="fa-IR"/>
        </w:rPr>
        <w:t xml:space="preserve">الثانیان و بعض من تأخّر عنهما </w:t>
      </w:r>
      <w:r>
        <w:rPr>
          <w:rStyle w:val="FootnoteAnchor"/>
          <w:rtl w:val="true"/>
        </w:rPr>
        <w:footnoteReference w:id="1701"/>
      </w:r>
      <w:r>
        <w:rPr>
          <w:rFonts w:ascii="IRNazanin" w:hAnsi="IRNazanin" w:eastAsia="IRNazanin"/>
          <w:color w:val="111111"/>
          <w:sz w:val="28"/>
          <w:sz w:val="28"/>
          <w:szCs w:val="28"/>
          <w:rtl w:val="true"/>
          <w:lang w:bidi="fa-IR"/>
        </w:rPr>
        <w:t>بإذن الوارث فی فتق القمیص، فلو لم یأذن أو کان غیر أهل للإذن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من إطلاق الإذن من المالک الحقیقی، مع جریان السیرة علی عدم الاستئذان، و فی الضمان أیضاً إشکال؛ لإطلاق الإذن الشرعی؛ فکأنّ الوارث استحقّه مفتوقاً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إباحة الفتق مع الضمان جمعاً بین أدلّة الاستحباب و الضمان</w:t>
      </w:r>
      <w:r>
        <w:rPr>
          <w:rFonts w:eastAsia="IRNazanin" w:cs="IRNazanin"/>
          <w:color w:val="111111"/>
          <w:sz w:val="28"/>
          <w:szCs w:val="28"/>
          <w:rtl w:val="true"/>
          <w:lang w:bidi="fa-IR"/>
        </w:rPr>
        <w:t>.</w:t>
      </w:r>
    </w:p>
    <w:p>
      <w:pPr>
        <w:pStyle w:val="Heading6"/>
        <w:numPr>
          <w:ilvl w:val="5"/>
          <w:numId w:val="1"/>
        </w:numPr>
        <w:rPr/>
      </w:pPr>
      <w:bookmarkStart w:id="232" w:name="__RefHeading___Toc6530236_3224264995"/>
      <w:bookmarkStart w:id="233" w:name="_Toc90"/>
      <w:bookmarkEnd w:id="232"/>
      <w:r>
        <w:rPr>
          <w:rtl w:val="true"/>
        </w:rPr>
        <w:t>[</w:t>
      </w:r>
      <w:r>
        <w:rPr/>
        <w:t>23</w:t>
      </w:r>
      <w:r>
        <w:rPr>
          <w:rtl w:val="true"/>
        </w:rPr>
        <w:t xml:space="preserve">- </w:t>
      </w:r>
      <w:r>
        <w:rPr>
          <w:rtl w:val="true"/>
        </w:rPr>
        <w:t>ستر عورة المیت</w:t>
      </w:r>
      <w:r>
        <w:rPr>
          <w:rtl w:val="true"/>
        </w:rPr>
        <w:t>]</w:t>
      </w:r>
      <w:bookmarkEnd w:id="23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بخرقة و نحوها مع أمن اطلاع الغاسل و غیره علیه،</w:t>
      </w:r>
      <w:bookmarkStart w:id="234" w:name="pg13042_127177"/>
    </w:p>
    <w:p>
      <w:pPr>
        <w:pStyle w:val="BookText"/>
        <w:rPr/>
      </w:pPr>
      <w:bookmarkEnd w:id="234"/>
      <w:r>
        <w:rPr>
          <w:rFonts w:ascii="IRNazanin" w:hAnsi="IRNazanin" w:eastAsia="IRNazanin"/>
          <w:color w:val="111111"/>
          <w:sz w:val="28"/>
          <w:sz w:val="28"/>
          <w:szCs w:val="28"/>
          <w:rtl w:val="true"/>
          <w:lang w:bidi="fa-IR"/>
        </w:rPr>
        <w:t xml:space="preserve">و إلّا وجب إجماعاً علی الظاهر المصرّح به فی محکیّ المعتبر </w:t>
      </w:r>
      <w:r>
        <w:rPr>
          <w:rStyle w:val="FootnoteAnchor"/>
          <w:rtl w:val="true"/>
        </w:rPr>
        <w:footnoteReference w:id="1702"/>
      </w:r>
      <w:r>
        <w:rPr>
          <w:rFonts w:ascii="IRNazanin" w:hAnsi="IRNazanin" w:eastAsia="IRNazanin"/>
          <w:color w:val="111111"/>
          <w:sz w:val="28"/>
          <w:sz w:val="28"/>
          <w:szCs w:val="28"/>
          <w:rtl w:val="true"/>
          <w:lang w:bidi="fa-IR"/>
        </w:rPr>
        <w:t xml:space="preserve">، و الظاهر عدم استحباب ستر عورة الصبیّ الذی یجوز للنساء تغسیله مجرّداً؛ لأنّ جواز نظر المرأة یدلّ علی جواز نظر الرجل، کما عن المعتبر </w:t>
      </w:r>
      <w:r>
        <w:rPr>
          <w:rStyle w:val="FootnoteAnchor"/>
          <w:rtl w:val="true"/>
        </w:rPr>
        <w:footnoteReference w:id="1703"/>
      </w:r>
      <w:r>
        <w:rPr>
          <w:rFonts w:ascii="IRNazanin" w:hAnsi="IRNazanin" w:eastAsia="IRNazanin"/>
          <w:color w:val="111111"/>
          <w:sz w:val="28"/>
          <w:sz w:val="28"/>
          <w:szCs w:val="28"/>
          <w:rtl w:val="true"/>
          <w:lang w:bidi="fa-IR"/>
        </w:rPr>
        <w:t xml:space="preserve">و التذکرة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البدأة فی غسل الرأس و اللحیة بالشقّ الأیمن، نسبه فی محکیّ المعتبر إلی فقهائنا </w:t>
      </w:r>
      <w:r>
        <w:rPr>
          <w:rStyle w:val="FootnoteAnchor"/>
          <w:rtl w:val="true"/>
        </w:rPr>
        <w:footnoteReference w:id="1705"/>
      </w:r>
      <w:r>
        <w:rPr>
          <w:rFonts w:ascii="IRNazanin" w:hAnsi="IRNazanin" w:eastAsia="IRNazanin"/>
          <w:color w:val="111111"/>
          <w:sz w:val="28"/>
          <w:sz w:val="28"/>
          <w:szCs w:val="28"/>
          <w:rtl w:val="true"/>
          <w:lang w:bidi="fa-IR"/>
        </w:rPr>
        <w:t xml:space="preserve">، و فی التذکرة إلی علمائنا </w:t>
      </w:r>
      <w:r>
        <w:rPr>
          <w:rStyle w:val="FootnoteAnchor"/>
          <w:rtl w:val="true"/>
        </w:rPr>
        <w:footnoteReference w:id="1706"/>
      </w:r>
      <w:r>
        <w:rPr>
          <w:rFonts w:ascii="IRNazanin" w:hAnsi="IRNazanin" w:eastAsia="IRNazanin"/>
          <w:color w:val="111111"/>
          <w:sz w:val="28"/>
          <w:sz w:val="28"/>
          <w:szCs w:val="28"/>
          <w:rtl w:val="true"/>
          <w:lang w:bidi="fa-IR"/>
        </w:rPr>
        <w:t xml:space="preserve">، و یدلّ علیه روایة الکاهلی </w:t>
      </w:r>
      <w:r>
        <w:rPr>
          <w:rStyle w:val="FootnoteAnchor"/>
          <w:rtl w:val="true"/>
        </w:rPr>
        <w:footnoteReference w:id="1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اعتذر فی الأوّل عن ضعفها من جهة محمّد بن سنان بعمل الأصحاب علی مضمونها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6530238_3224264995"/>
      <w:bookmarkStart w:id="236" w:name="_Toc91"/>
      <w:bookmarkEnd w:id="235"/>
      <w:r>
        <w:rPr>
          <w:rtl w:val="true"/>
        </w:rPr>
        <w:t>[</w:t>
      </w:r>
      <w:r>
        <w:rPr>
          <w:rtl w:val="true"/>
        </w:rPr>
        <w:t>و یکره فی تغسیل المیّت أُمور</w:t>
      </w:r>
      <w:r>
        <w:rPr>
          <w:rtl w:val="true"/>
        </w:rPr>
        <w:t>]</w:t>
      </w:r>
      <w:bookmarkEnd w:id="236"/>
    </w:p>
    <w:p>
      <w:pPr>
        <w:pStyle w:val="Heading6"/>
        <w:numPr>
          <w:ilvl w:val="5"/>
          <w:numId w:val="1"/>
        </w:numPr>
        <w:rPr/>
      </w:pPr>
      <w:bookmarkStart w:id="237" w:name="__RefHeading___Toc6530240_3224264995"/>
      <w:bookmarkStart w:id="238" w:name="_Toc92"/>
      <w:bookmarkEnd w:id="237"/>
      <w:r>
        <w:rPr>
          <w:rtl w:val="true"/>
        </w:rPr>
        <w:t>اشارة</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تغسیل المیّت أُمور</w:t>
      </w:r>
      <w:r>
        <w:rPr>
          <w:rFonts w:eastAsia="IRNazanin" w:cs="IRNazanin"/>
          <w:color w:val="111111"/>
          <w:sz w:val="28"/>
          <w:szCs w:val="28"/>
          <w:rtl w:val="true"/>
          <w:lang w:bidi="fa-IR"/>
        </w:rPr>
        <w:t>:</w:t>
      </w:r>
    </w:p>
    <w:p>
      <w:pPr>
        <w:pStyle w:val="Heading6"/>
        <w:numPr>
          <w:ilvl w:val="5"/>
          <w:numId w:val="1"/>
        </w:numPr>
        <w:rPr/>
      </w:pPr>
      <w:bookmarkStart w:id="239" w:name="__RefHeading___Toc6530242_3224264995"/>
      <w:bookmarkStart w:id="240" w:name="_Toc93"/>
      <w:bookmarkEnd w:id="239"/>
      <w:r>
        <w:rPr>
          <w:rtl w:val="true"/>
        </w:rPr>
        <w:t>[</w:t>
      </w:r>
      <w:r>
        <w:rPr/>
        <w:t>1</w:t>
      </w:r>
      <w:r>
        <w:rPr>
          <w:rtl w:val="true"/>
        </w:rPr>
        <w:t xml:space="preserve">- </w:t>
      </w:r>
      <w:r>
        <w:rPr>
          <w:rtl w:val="true"/>
        </w:rPr>
        <w:t>إقعاد المیت</w:t>
      </w:r>
      <w:r>
        <w:rPr>
          <w:rtl w:val="true"/>
        </w:rPr>
        <w:t>]</w:t>
      </w:r>
      <w:bookmarkEnd w:id="24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نسبه فی التذکرة إلی علمائنا </w:t>
      </w:r>
      <w:r>
        <w:rPr>
          <w:rStyle w:val="FootnoteAnchor"/>
          <w:rtl w:val="true"/>
        </w:rPr>
        <w:footnoteReference w:id="1709"/>
      </w:r>
      <w:r>
        <w:rPr>
          <w:rFonts w:ascii="IRNazanin" w:hAnsi="IRNazanin" w:eastAsia="IRNazanin"/>
          <w:color w:val="111111"/>
          <w:sz w:val="28"/>
          <w:sz w:val="28"/>
          <w:szCs w:val="28"/>
          <w:rtl w:val="true"/>
          <w:lang w:bidi="fa-IR"/>
        </w:rPr>
        <w:t>، 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و إجماع العامّة علی استحبابه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أنّه لا یجوز أن یُقعد المیّت </w:t>
      </w:r>
      <w:r>
        <w:rPr>
          <w:rStyle w:val="FootnoteAnchor"/>
          <w:rtl w:val="true"/>
        </w:rPr>
        <w:footnoteReference w:id="1711"/>
      </w:r>
      <w:r>
        <w:rPr>
          <w:rFonts w:ascii="IRNazanin" w:hAnsi="IRNazanin" w:eastAsia="IRNazanin"/>
          <w:color w:val="111111"/>
          <w:sz w:val="28"/>
          <w:sz w:val="28"/>
          <w:szCs w:val="28"/>
          <w:rtl w:val="true"/>
          <w:lang w:bidi="fa-IR"/>
        </w:rPr>
        <w:t>، و ظاهره</w:t>
      </w:r>
      <w:bookmarkStart w:id="241" w:name="pg13042_127178"/>
    </w:p>
    <w:p>
      <w:pPr>
        <w:pStyle w:val="BookText"/>
        <w:rPr/>
      </w:pPr>
      <w:bookmarkEnd w:id="241"/>
      <w:r>
        <w:rPr>
          <w:rFonts w:ascii="IRNazanin" w:hAnsi="IRNazanin" w:eastAsia="IRNazanin"/>
          <w:color w:val="111111"/>
          <w:sz w:val="28"/>
          <w:sz w:val="28"/>
          <w:szCs w:val="28"/>
          <w:rtl w:val="true"/>
          <w:lang w:bidi="fa-IR"/>
        </w:rPr>
        <w:t xml:space="preserve">الحرمة، کما عن ابن سعید النصّ علیها </w:t>
      </w:r>
      <w:r>
        <w:rPr>
          <w:rStyle w:val="FootnoteAnchor"/>
          <w:rtl w:val="true"/>
        </w:rPr>
        <w:footnoteReference w:id="1712"/>
      </w:r>
      <w:r>
        <w:rPr>
          <w:rFonts w:ascii="IRNazanin" w:hAnsi="IRNazanin" w:eastAsia="IRNazanin"/>
          <w:color w:val="111111"/>
          <w:sz w:val="28"/>
          <w:sz w:val="28"/>
          <w:szCs w:val="28"/>
          <w:rtl w:val="true"/>
          <w:lang w:bidi="fa-IR"/>
        </w:rPr>
        <w:t>، و لعلّه لظاهر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أن تُقعد</w:t>
      </w:r>
      <w:r>
        <w:rPr>
          <w:rFonts w:eastAsia="IRNazanin" w:cs="IRNazanin"/>
          <w:color w:val="111111"/>
          <w:sz w:val="28"/>
          <w:szCs w:val="28"/>
          <w:rtl w:val="true"/>
          <w:lang w:bidi="fa-IR"/>
        </w:rPr>
        <w:t xml:space="preserve">» </w:t>
      </w:r>
      <w:r>
        <w:rPr>
          <w:rStyle w:val="FootnoteAnchor"/>
          <w:rtl w:val="true"/>
        </w:rPr>
        <w:footnoteReference w:id="1713"/>
      </w:r>
      <w:r>
        <w:rPr>
          <w:rFonts w:ascii="IRNazanin" w:hAnsi="IRNazanin" w:eastAsia="IRNazanin"/>
          <w:color w:val="111111"/>
          <w:sz w:val="28"/>
          <w:sz w:val="28"/>
          <w:szCs w:val="28"/>
          <w:rtl w:val="true"/>
          <w:lang w:bidi="fa-IR"/>
        </w:rPr>
        <w:t xml:space="preserve">، و هو محمول علی الکراهة، کما أنّ الأمر بإقعاده فی روایة البقباق </w:t>
      </w:r>
      <w:r>
        <w:rPr>
          <w:rStyle w:val="FootnoteAnchor"/>
          <w:rtl w:val="true"/>
        </w:rPr>
        <w:footnoteReference w:id="1714"/>
      </w:r>
      <w:r>
        <w:rPr>
          <w:rFonts w:ascii="IRNazanin" w:hAnsi="IRNazanin" w:eastAsia="IRNazanin"/>
          <w:color w:val="111111"/>
          <w:sz w:val="28"/>
          <w:sz w:val="28"/>
          <w:szCs w:val="28"/>
          <w:rtl w:val="true"/>
          <w:lang w:bidi="fa-IR"/>
        </w:rPr>
        <w:t xml:space="preserve">محمول علی التقیّة، کما عن جملة من الأصحاب </w:t>
      </w:r>
      <w:r>
        <w:rPr>
          <w:rStyle w:val="FootnoteAnchor"/>
          <w:rtl w:val="true"/>
        </w:rPr>
        <w:footnoteReference w:id="1715"/>
      </w:r>
      <w:r>
        <w:rPr>
          <w:rFonts w:ascii="Amiri" w:hAnsi="Amiri" w:eastAsia="Amiri" w:cs="Amiri"/>
          <w:color w:val="111111"/>
          <w:sz w:val="28"/>
          <w:sz w:val="28"/>
          <w:szCs w:val="28"/>
          <w:rtl w:val="true"/>
          <w:lang w:bidi="ar-SA"/>
        </w:rPr>
        <w:t xml:space="preserve">تبعاً للشیخ </w:t>
      </w:r>
      <w:r>
        <w:rPr>
          <w:rStyle w:val="FootnoteAnchor"/>
          <w:rtl w:val="true"/>
        </w:rPr>
        <w:footnoteReference w:id="1716"/>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530244_3224264995"/>
      <w:bookmarkStart w:id="243" w:name="_Toc94"/>
      <w:bookmarkEnd w:id="242"/>
      <w:r>
        <w:rPr>
          <w:rtl w:val="true"/>
        </w:rPr>
        <w:t>[</w:t>
      </w:r>
      <w:r>
        <w:rPr/>
        <w:t>2</w:t>
      </w:r>
      <w:r>
        <w:rPr>
          <w:rtl w:val="true"/>
        </w:rPr>
        <w:t xml:space="preserve">- </w:t>
      </w:r>
      <w:r>
        <w:rPr>
          <w:rtl w:val="true"/>
        </w:rPr>
        <w:t>قصّ أظفاره و ترجیل شعره</w:t>
      </w:r>
      <w:r>
        <w:rPr>
          <w:rtl w:val="true"/>
        </w:rPr>
        <w:t>]</w:t>
      </w:r>
      <w:bookmarkEnd w:id="24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أظفاره و ترجیل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تسریحه و جزّه و نتفه علی المشهور، بل عن التذکرة </w:t>
      </w:r>
      <w:r>
        <w:rPr>
          <w:rStyle w:val="FootnoteAnchor"/>
          <w:rtl w:val="true"/>
        </w:rPr>
        <w:footnoteReference w:id="1717"/>
      </w:r>
      <w:r>
        <w:rPr>
          <w:rFonts w:ascii="IRNazanin" w:hAnsi="IRNazanin" w:eastAsia="IRNazanin"/>
          <w:color w:val="111111"/>
          <w:sz w:val="28"/>
          <w:sz w:val="28"/>
          <w:szCs w:val="28"/>
          <w:rtl w:val="true"/>
          <w:lang w:bidi="fa-IR"/>
        </w:rPr>
        <w:t>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718"/>
      </w:r>
      <w:r>
        <w:rPr>
          <w:rFonts w:ascii="IRNazanin" w:hAnsi="IRNazanin" w:eastAsia="IRNazanin"/>
          <w:color w:val="111111"/>
          <w:sz w:val="28"/>
          <w:sz w:val="28"/>
          <w:szCs w:val="28"/>
          <w:rtl w:val="true"/>
          <w:lang w:bidi="fa-IR"/>
        </w:rPr>
        <w:t xml:space="preserve">، و کذا عن الخلاف </w:t>
      </w:r>
      <w:r>
        <w:rPr>
          <w:rStyle w:val="FootnoteAnchor"/>
          <w:rtl w:val="true"/>
        </w:rPr>
        <w:footnoteReference w:id="1719"/>
      </w:r>
      <w:r>
        <w:rPr>
          <w:rFonts w:ascii="Amiri" w:hAnsi="Amiri" w:eastAsia="Amiri" w:cs="Amiri"/>
          <w:color w:val="111111"/>
          <w:sz w:val="28"/>
          <w:sz w:val="28"/>
          <w:szCs w:val="28"/>
          <w:rtl w:val="true"/>
          <w:lang w:bidi="ar-SA"/>
        </w:rPr>
        <w:t xml:space="preserve">غیر أنّه ادّعی الإجماع أوّلًا علی عدم الجواز </w:t>
      </w:r>
      <w:r>
        <w:rPr>
          <w:rStyle w:val="FootnoteAnchor"/>
          <w:rtl w:val="true"/>
        </w:rPr>
        <w:footnoteReference w:id="1720"/>
      </w:r>
      <w:r>
        <w:rPr>
          <w:rFonts w:ascii="IRNazanin" w:hAnsi="IRNazanin" w:eastAsia="IRNazanin"/>
          <w:color w:val="111111"/>
          <w:sz w:val="28"/>
          <w:sz w:val="28"/>
          <w:szCs w:val="28"/>
          <w:rtl w:val="true"/>
          <w:lang w:bidi="fa-IR"/>
        </w:rPr>
        <w:t xml:space="preserve">، کما عن المنتهی نسبته إلی علمائنا </w:t>
      </w:r>
      <w:r>
        <w:rPr>
          <w:rStyle w:val="FootnoteAnchor"/>
          <w:rtl w:val="true"/>
        </w:rPr>
        <w:footnoteReference w:id="1721"/>
      </w:r>
      <w:r>
        <w:rPr>
          <w:rFonts w:ascii="IRNazanin" w:hAnsi="IRNazanin" w:eastAsia="IRNazanin"/>
          <w:color w:val="111111"/>
          <w:sz w:val="28"/>
          <w:sz w:val="28"/>
          <w:szCs w:val="28"/>
          <w:rtl w:val="true"/>
          <w:lang w:bidi="fa-IR"/>
        </w:rPr>
        <w:t xml:space="preserve">، و عن المبسوط </w:t>
      </w:r>
      <w:r>
        <w:rPr>
          <w:rStyle w:val="FootnoteAnchor"/>
          <w:rtl w:val="true"/>
        </w:rPr>
        <w:footnoteReference w:id="1722"/>
      </w:r>
      <w:r>
        <w:rPr>
          <w:rFonts w:ascii="IRNazanin" w:hAnsi="IRNazanin" w:eastAsia="IRNazanin"/>
          <w:color w:val="111111"/>
          <w:sz w:val="28"/>
          <w:sz w:val="28"/>
          <w:szCs w:val="28"/>
          <w:rtl w:val="true"/>
          <w:lang w:bidi="fa-IR"/>
        </w:rPr>
        <w:t>و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بعدم الجواز </w:t>
      </w:r>
      <w:r>
        <w:rPr>
          <w:rStyle w:val="FootnoteAnchor"/>
          <w:rtl w:val="true"/>
        </w:rPr>
        <w:footnoteReference w:id="1723"/>
      </w:r>
      <w:r>
        <w:rPr>
          <w:rFonts w:ascii="IRNazanin" w:hAnsi="IRNazanin" w:eastAsia="IRNazanin"/>
          <w:color w:val="111111"/>
          <w:sz w:val="28"/>
          <w:sz w:val="28"/>
          <w:szCs w:val="28"/>
          <w:rtl w:val="true"/>
          <w:lang w:bidi="fa-IR"/>
        </w:rPr>
        <w:t>، إلّا أنّ الظاهر إرادة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عن الوسیلة </w:t>
      </w:r>
      <w:r>
        <w:rPr>
          <w:rStyle w:val="FootnoteAnchor"/>
          <w:rtl w:val="true"/>
        </w:rPr>
        <w:footnoteReference w:id="1724"/>
      </w:r>
      <w:r>
        <w:rPr>
          <w:rFonts w:ascii="IRNazanin" w:hAnsi="IRNazanin" w:eastAsia="IRNazanin"/>
          <w:color w:val="111111"/>
          <w:sz w:val="28"/>
          <w:sz w:val="28"/>
          <w:szCs w:val="28"/>
          <w:rtl w:val="true"/>
          <w:lang w:bidi="fa-IR"/>
        </w:rPr>
        <w:t xml:space="preserve">و الجامع </w:t>
      </w:r>
      <w:r>
        <w:rPr>
          <w:rStyle w:val="FootnoteAnchor"/>
          <w:rtl w:val="true"/>
        </w:rPr>
        <w:footnoteReference w:id="1725"/>
      </w:r>
      <w:r>
        <w:rPr>
          <w:rFonts w:ascii="IRNazanin" w:hAnsi="IRNazanin" w:eastAsia="IRNazanin"/>
          <w:color w:val="111111"/>
          <w:sz w:val="28"/>
          <w:sz w:val="28"/>
          <w:szCs w:val="28"/>
          <w:rtl w:val="true"/>
          <w:lang w:bidi="fa-IR"/>
        </w:rPr>
        <w:t xml:space="preserve">التصریح بالتحریم، و قرّبه فی الحدائق </w:t>
      </w:r>
      <w:r>
        <w:rPr>
          <w:rStyle w:val="FootnoteAnchor"/>
          <w:rtl w:val="true"/>
        </w:rPr>
        <w:footnoteReference w:id="1726"/>
      </w:r>
      <w:r>
        <w:rPr>
          <w:rFonts w:ascii="IRNazanin" w:hAnsi="IRNazanin" w:eastAsia="IRNazanin"/>
          <w:color w:val="111111"/>
          <w:sz w:val="28"/>
          <w:sz w:val="28"/>
          <w:szCs w:val="28"/>
          <w:rtl w:val="true"/>
          <w:lang w:bidi="fa-IR"/>
        </w:rPr>
        <w:t>و لعلّه لظاهر الأخبار المستفیضة،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 من المیّت شعر و لا ظفر و إن سقط منه شی‌ء فاجعله فی کفنه</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 xml:space="preserve">و نحوها غیرها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وقع التعبیر فی غیر واحد منها بالکراهة </w:t>
      </w:r>
      <w:r>
        <w:rPr>
          <w:rStyle w:val="FootnoteAnchor"/>
          <w:rtl w:val="true"/>
        </w:rPr>
        <w:footnoteReference w:id="1729"/>
      </w:r>
      <w:r>
        <w:rPr>
          <w:rFonts w:ascii="IRNazanin" w:hAnsi="IRNazanin" w:eastAsia="IRNazanin"/>
          <w:color w:val="111111"/>
          <w:sz w:val="28"/>
          <w:sz w:val="28"/>
          <w:szCs w:val="28"/>
          <w:rtl w:val="true"/>
          <w:lang w:bidi="fa-IR"/>
        </w:rPr>
        <w:t>، و هو لا ینافی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للأخبار صارف عن التحریم إلّا إعراض معظم الأصحاب عن ظاهرها، فالاحتیاط لا یترک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فرق فی إطلاق النصوص و الفتاوی بین کون الأظفار طویلة أو قصیرة و لا بین کون الوسخ تحتها و عدمه، کما نصّ علیه فی محکیّ المنتهی </w:t>
      </w:r>
      <w:r>
        <w:rPr>
          <w:rStyle w:val="FootnoteAnchor"/>
          <w:rtl w:val="true"/>
        </w:rPr>
        <w:footnoteReference w:id="1730"/>
      </w:r>
      <w:r>
        <w:rPr>
          <w:rFonts w:ascii="IRNazanin" w:hAnsi="IRNazanin" w:eastAsia="IRNazanin"/>
          <w:color w:val="111111"/>
          <w:sz w:val="28"/>
          <w:sz w:val="28"/>
          <w:szCs w:val="28"/>
          <w:rtl w:val="true"/>
          <w:lang w:bidi="fa-IR"/>
        </w:rPr>
        <w:t>، بل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عدم جواز تنظیفها عن الوسخ بالخلال </w:t>
      </w:r>
      <w:r>
        <w:rPr>
          <w:rStyle w:val="FootnoteAnchor"/>
          <w:rtl w:val="true"/>
        </w:rPr>
        <w:footnoteReference w:id="1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تخلّل أظفاره</w:t>
      </w:r>
      <w:r>
        <w:rPr>
          <w:rFonts w:eastAsia="IRNazanin" w:cs="IRNazanin"/>
          <w:color w:val="111111"/>
          <w:sz w:val="28"/>
          <w:szCs w:val="28"/>
          <w:rtl w:val="true"/>
          <w:lang w:bidi="fa-IR"/>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فعن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ینبغی إخراج الوسخ من بین أظفاره بعود لیّن، و إن شدّ علیه قطناً کان أولی </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 فی الذکری بإجماع الشیخ</w:t>
      </w:r>
    </w:p>
    <w:p>
      <w:pPr>
        <w:pStyle w:val="BookText"/>
        <w:rPr/>
      </w:pPr>
      <w:r>
        <w:rPr>
          <w:rFonts w:ascii="IRNazanin" w:hAnsi="IRNazanin" w:eastAsia="IRNazanin"/>
          <w:color w:val="111111"/>
          <w:sz w:val="28"/>
          <w:sz w:val="28"/>
          <w:szCs w:val="28"/>
          <w:rtl w:val="true"/>
          <w:lang w:bidi="fa-IR"/>
        </w:rPr>
        <w:t xml:space="preserve">و روایة الکاهلی </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 المصنّف فی التذکرة إلی مانعیّة الوسخ من جریان الماء، و لا تنافی بین کراهة التنظیف و وجوب دفع المانع، فلعلّ المراد فی الروایة و کلام الشیخ ما لم یبلغ حدّ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الروض بعد حکایة إجماع الشیخ علی تحریم القصّ و الترجیل و علی تنظیف أظفاره من الوسخ بالخلال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المشهور الکراهة فی الأوّلین، أمّا الوسخ تحت أظفاره فلا بدّ من إظهاره </w:t>
      </w:r>
      <w:r>
        <w:rPr>
          <w:rStyle w:val="FootnoteAnchor"/>
          <w:rtl w:val="true"/>
        </w:rPr>
        <w:footnoteReference w:id="173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فلو سقط شی‌ء من ظفره و شعره بنفسه أو بمسقط فالمعروف أنّه یدفن معه، کما عن المصنّف </w:t>
      </w:r>
      <w:r>
        <w:rPr>
          <w:rStyle w:val="FootnoteAnchor"/>
          <w:rtl w:val="true"/>
        </w:rPr>
        <w:footnoteReference w:id="1736"/>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737"/>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738"/>
      </w:r>
      <w:r>
        <w:rPr>
          <w:rFonts w:ascii="IRNazanin" w:hAnsi="IRNazanin" w:eastAsia="IRNazanin"/>
          <w:color w:val="111111"/>
          <w:sz w:val="28"/>
          <w:sz w:val="28"/>
          <w:szCs w:val="28"/>
          <w:rtl w:val="true"/>
          <w:lang w:bidi="fa-IR"/>
        </w:rPr>
        <w:t>، و ظاهر المحکیّ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قول علمائنا </w:t>
      </w:r>
      <w:r>
        <w:rPr>
          <w:rStyle w:val="FootnoteAnchor"/>
          <w:rtl w:val="true"/>
        </w:rPr>
        <w:footnoteReference w:id="1739"/>
      </w:r>
      <w:r>
        <w:rPr>
          <w:rFonts w:ascii="IRNazanin" w:hAnsi="IRNazanin" w:eastAsia="IRNazanin"/>
          <w:color w:val="111111"/>
          <w:sz w:val="28"/>
          <w:sz w:val="28"/>
          <w:szCs w:val="28"/>
          <w:rtl w:val="true"/>
          <w:lang w:bidi="fa-IR"/>
        </w:rPr>
        <w:t>، و عن ظاهر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فیه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النهایة للمصنّف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أنّها تطرح فی کفنه </w:t>
      </w:r>
      <w:r>
        <w:rPr>
          <w:rStyle w:val="FootnoteAnchor"/>
          <w:rtl w:val="true"/>
        </w:rPr>
        <w:footnoteReference w:id="1741"/>
      </w:r>
      <w:r>
        <w:rPr>
          <w:rFonts w:ascii="IRNazanin" w:hAnsi="IRNazanin" w:eastAsia="IRNazanin"/>
          <w:color w:val="111111"/>
          <w:sz w:val="28"/>
          <w:sz w:val="28"/>
          <w:szCs w:val="28"/>
          <w:rtl w:val="true"/>
          <w:lang w:bidi="fa-IR"/>
        </w:rPr>
        <w:t>، و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سقط من المیّت شی‌ء غسّل و جعل معه فی أکفانه بإجماع العلماء؛ و لأنّ جمیع أجزاء المیّت فی موضع واحد أولی </w:t>
      </w:r>
      <w:r>
        <w:rPr>
          <w:rStyle w:val="FootnoteAnchor"/>
          <w:rtl w:val="true"/>
        </w:rPr>
        <w:footnoteReference w:id="174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کاشف اللثام</w:t>
      </w:r>
    </w:p>
    <w:p>
      <w:pPr>
        <w:pStyle w:val="BookText"/>
        <w:rPr/>
      </w:pPr>
      <w:r>
        <w:rPr>
          <w:rFonts w:ascii="IRNazanin" w:hAnsi="IRNazanin" w:eastAsia="IRNazanin"/>
          <w:color w:val="111111"/>
          <w:sz w:val="28"/>
          <w:sz w:val="28"/>
          <w:szCs w:val="28"/>
          <w:rtl w:val="true"/>
          <w:lang w:bidi="fa-IR"/>
        </w:rPr>
        <w:t xml:space="preserve">أنّ هذا التعلیل یعطی الاستحباب </w:t>
      </w:r>
      <w:r>
        <w:rPr>
          <w:rStyle w:val="FootnoteAnchor"/>
          <w:rtl w:val="true"/>
        </w:rPr>
        <w:footnoteReference w:id="1743"/>
      </w:r>
      <w:r>
        <w:rPr>
          <w:rFonts w:ascii="IRNazanin" w:hAnsi="IRNazanin" w:eastAsia="IRNazanin"/>
          <w:color w:val="111111"/>
          <w:sz w:val="28"/>
          <w:sz w:val="28"/>
          <w:szCs w:val="28"/>
          <w:rtl w:val="true"/>
          <w:lang w:bidi="fa-IR"/>
        </w:rPr>
        <w:t>، کما هو نصّ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التعلیل أولویّة کونها مع المیّت، لا أولویّة أصل الدفن، فإن کان ما فی الجامع کذلک فلا خلاف یظهر فی وجوب أصل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مضافاً إلی ما عن المنتهی </w:t>
      </w:r>
      <w:r>
        <w:rPr>
          <w:rStyle w:val="FootnoteAnchor"/>
          <w:rtl w:val="true"/>
        </w:rPr>
        <w:footnoteReference w:id="1744"/>
      </w:r>
      <w:r>
        <w:rPr>
          <w:rFonts w:ascii="IRNazanin" w:hAnsi="IRNazanin" w:eastAsia="IRNazanin"/>
          <w:color w:val="111111"/>
          <w:sz w:val="28"/>
          <w:sz w:val="28"/>
          <w:szCs w:val="28"/>
          <w:rtl w:val="true"/>
          <w:lang w:bidi="fa-IR"/>
        </w:rPr>
        <w:t xml:space="preserve">و غیره </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جزء المیّت فیدفن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ابن أبی عمیر السابقة </w:t>
      </w:r>
      <w:r>
        <w:rPr>
          <w:rStyle w:val="FootnoteAnchor"/>
          <w:rtl w:val="true"/>
        </w:rPr>
        <w:footnoteReference w:id="1746"/>
      </w:r>
      <w:r>
        <w:rPr>
          <w:rFonts w:ascii="IRNazanin" w:hAnsi="IRNazanin" w:eastAsia="IRNazanin"/>
          <w:color w:val="111111"/>
          <w:sz w:val="28"/>
          <w:sz w:val="28"/>
          <w:szCs w:val="28"/>
          <w:rtl w:val="true"/>
          <w:lang w:bidi="fa-IR"/>
        </w:rPr>
        <w:t>، و روایة عبد الرحمن بن أبی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المیّت یکون علیه الشعر، فیحلق عنه أو یقلم ظفره،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 منه شی‌ء اغسله و ادفنه</w:t>
      </w:r>
      <w:r>
        <w:rPr>
          <w:rFonts w:eastAsia="IRNazanin" w:cs="IRNazanin"/>
          <w:color w:val="111111"/>
          <w:sz w:val="28"/>
          <w:szCs w:val="28"/>
          <w:rtl w:val="true"/>
          <w:lang w:bidi="fa-IR"/>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فیه؛ لعدم صحّة الخبر </w:t>
      </w:r>
      <w:r>
        <w:rPr>
          <w:rStyle w:val="FootnoteAnchor"/>
          <w:rtl w:val="true"/>
        </w:rPr>
        <w:footnoteReference w:id="1748"/>
      </w:r>
      <w:r>
        <w:rPr>
          <w:rFonts w:ascii="IRNazanin" w:hAnsi="IRNazanin" w:eastAsia="IRNazanin"/>
          <w:color w:val="111111"/>
          <w:sz w:val="28"/>
          <w:sz w:val="28"/>
          <w:szCs w:val="28"/>
          <w:rtl w:val="true"/>
          <w:lang w:bidi="fa-IR"/>
        </w:rPr>
        <w:t>، و لأنه یحتمل أن یکون السؤال عن جواز حلق الشعر و قلم الظفر، فأجاب علیه السلام بالنهی عن مسّ شی‌ء، بل یغسل یعنی المیّت و یدفن من غیر تعرّض لحلق شعره أو قلم 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یبقی الإشکال فی أنّ المراد بالغسل المأمور به فی الروایة هی الأغسال المعهودة بالمیاه الثلاثة أو مطلق الغسل بالماء القراح تعبّداً و إن کان ممّا لم ینفعل بالموت</w:t>
      </w:r>
      <w:r>
        <w:rPr>
          <w:rFonts w:eastAsia="IRNazanin" w:cs="IRNazanin"/>
          <w:color w:val="111111"/>
          <w:sz w:val="28"/>
          <w:szCs w:val="28"/>
          <w:rtl w:val="true"/>
          <w:lang w:bidi="fa-IR"/>
        </w:rPr>
        <w:t>.</w:t>
      </w:r>
      <w:bookmarkStart w:id="244" w:name="pg13042_127182"/>
    </w:p>
    <w:p>
      <w:pPr>
        <w:pStyle w:val="Heading6"/>
        <w:numPr>
          <w:ilvl w:val="5"/>
          <w:numId w:val="1"/>
        </w:numPr>
        <w:rPr/>
      </w:pPr>
      <w:bookmarkStart w:id="245" w:name="__RefHeading___Toc6530246_3224264995"/>
      <w:bookmarkStart w:id="246" w:name="_Toc95"/>
      <w:bookmarkEnd w:id="244"/>
      <w:bookmarkEnd w:id="245"/>
      <w:r>
        <w:rPr>
          <w:rtl w:val="true"/>
        </w:rPr>
        <w:t>[</w:t>
      </w:r>
      <w:r>
        <w:rPr/>
        <w:t>3</w:t>
      </w:r>
      <w:r>
        <w:rPr>
          <w:rtl w:val="true"/>
        </w:rPr>
        <w:t xml:space="preserve">- </w:t>
      </w:r>
      <w:r>
        <w:rPr>
          <w:rtl w:val="true"/>
        </w:rPr>
        <w:t>تغسیل المیّت بالماء المسخَّن بالنار</w:t>
      </w:r>
      <w:r>
        <w:rPr>
          <w:rtl w:val="true"/>
        </w:rPr>
        <w:t>]</w:t>
      </w:r>
      <w:bookmarkEnd w:id="246"/>
    </w:p>
    <w:p>
      <w:pPr>
        <w:pStyle w:val="BookText"/>
        <w:rPr/>
      </w:pPr>
      <w:r>
        <w:rPr>
          <w:rFonts w:ascii="IRNazanin" w:hAnsi="IRNazanin" w:eastAsia="IRNazanin"/>
          <w:color w:val="111111"/>
          <w:sz w:val="28"/>
          <w:sz w:val="28"/>
          <w:szCs w:val="28"/>
          <w:rtl w:val="true"/>
          <w:lang w:bidi="fa-IR"/>
        </w:rPr>
        <w:t>و من جملة 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المیّت بالماء المسخَّن بالنار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للأخبار </w:t>
      </w:r>
      <w:r>
        <w:rPr>
          <w:rStyle w:val="FootnoteAnchor"/>
          <w:rtl w:val="true"/>
        </w:rPr>
        <w:footnoteReference w:id="1749"/>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مصحّحة ابن المغیرة عن الباقر علیه السلام و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یقرب المیّت ماءً حمیماً</w:t>
      </w:r>
      <w:r>
        <w:rPr>
          <w:rFonts w:eastAsia="IRNazanin" w:cs="IRNazanin"/>
          <w:color w:val="111111"/>
          <w:sz w:val="28"/>
          <w:szCs w:val="28"/>
          <w:rtl w:val="true"/>
          <w:lang w:bidi="fa-IR"/>
        </w:rPr>
        <w:t xml:space="preserve">» </w:t>
      </w:r>
      <w:r>
        <w:rPr>
          <w:rStyle w:val="FootnoteAnchor"/>
          <w:rtl w:val="true"/>
        </w:rPr>
        <w:footnoteReference w:id="1750"/>
      </w:r>
      <w:r>
        <w:rPr>
          <w:rFonts w:ascii="Amiri" w:hAnsi="Amiri" w:eastAsia="Amiri" w:cs="Amiri"/>
          <w:color w:val="111111"/>
          <w:sz w:val="28"/>
          <w:sz w:val="28"/>
          <w:szCs w:val="28"/>
          <w:rtl w:val="true"/>
          <w:lang w:bidi="ar-SA"/>
        </w:rPr>
        <w:t>و ظاهره مطلق الحارّ، إلّا أنّه یدّعی انصرافه إلی ما حُمّ بالنار، و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یکون شتاءً بارداً فتوقی المیّت ممّا توقی منه نفسک</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 xml:space="preserve">و هو المستند لاستثناء جماعة صورة شدّة البرد </w:t>
      </w:r>
      <w:r>
        <w:rPr>
          <w:rStyle w:val="FootnoteAnchor"/>
          <w:rtl w:val="true"/>
        </w:rPr>
        <w:footnoteReference w:id="1752"/>
      </w:r>
      <w:r>
        <w:rPr>
          <w:rFonts w:ascii="IRNazanin" w:hAnsi="IRNazanin" w:eastAsia="IRNazanin"/>
          <w:color w:val="111111"/>
          <w:sz w:val="28"/>
          <w:sz w:val="28"/>
          <w:szCs w:val="28"/>
          <w:rtl w:val="true"/>
          <w:lang w:bidi="fa-IR"/>
        </w:rPr>
        <w:t>، و ظاهره مراعاة جانب المیّت، إلّا أنّ المحکیّ عن الشیخ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خشی الغاسل من البرد انتفت الکراهة </w:t>
      </w:r>
      <w:r>
        <w:rPr>
          <w:rStyle w:val="FootnoteAnchor"/>
          <w:rtl w:val="true"/>
        </w:rPr>
        <w:footnoteReference w:id="1753"/>
      </w:r>
      <w:r>
        <w:rPr>
          <w:rFonts w:ascii="IRNazanin" w:hAnsi="IRNazanin" w:eastAsia="IRNazanin"/>
          <w:color w:val="111111"/>
          <w:sz w:val="28"/>
          <w:sz w:val="28"/>
          <w:szCs w:val="28"/>
          <w:rtl w:val="true"/>
          <w:lang w:bidi="fa-IR"/>
        </w:rPr>
        <w:t xml:space="preserve">، و حکی بعض المعاصرین </w:t>
      </w:r>
      <w:r>
        <w:rPr>
          <w:rStyle w:val="FootnoteAnchor"/>
          <w:rtl w:val="true"/>
        </w:rPr>
        <w:footnoteReference w:id="1754"/>
      </w:r>
      <w:r>
        <w:rPr>
          <w:rFonts w:ascii="IRNazanin" w:hAnsi="IRNazanin" w:eastAsia="IRNazanin"/>
          <w:color w:val="111111"/>
          <w:sz w:val="28"/>
          <w:sz w:val="28"/>
          <w:szCs w:val="28"/>
          <w:rtl w:val="true"/>
          <w:lang w:bidi="fa-IR"/>
        </w:rPr>
        <w:t>عن بعض مشایخه تفسیر الروایة بما یوافقه،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 نفسک و توقی المیّت بل </w:t>
      </w:r>
      <w:r>
        <w:rPr>
          <w:rStyle w:val="FootnoteAnchor"/>
          <w:rtl w:val="true"/>
        </w:rPr>
        <w:footnoteReference w:id="1755"/>
      </w:r>
      <w:r>
        <w:rPr>
          <w:rFonts w:ascii="IRNazanin" w:hAnsi="IRNazanin" w:eastAsia="IRNazanin"/>
          <w:color w:val="111111"/>
          <w:sz w:val="28"/>
          <w:sz w:val="28"/>
          <w:szCs w:val="28"/>
          <w:rtl w:val="true"/>
          <w:lang w:bidi="fa-IR"/>
        </w:rPr>
        <w:t>توقی نفسک</w:t>
      </w:r>
      <w:r>
        <w:rPr>
          <w:rFonts w:eastAsia="IRNazanin" w:cs="IRNazanin"/>
          <w:color w:val="111111"/>
          <w:sz w:val="28"/>
          <w:szCs w:val="28"/>
          <w:rtl w:val="true"/>
          <w:lang w:bidi="fa-IR"/>
        </w:rPr>
        <w:t>.</w:t>
      </w:r>
    </w:p>
    <w:p>
      <w:pPr>
        <w:pStyle w:val="Heading6"/>
        <w:numPr>
          <w:ilvl w:val="5"/>
          <w:numId w:val="1"/>
        </w:numPr>
        <w:rPr/>
      </w:pPr>
      <w:bookmarkStart w:id="247" w:name="__RefHeading___Toc6530248_3224264995"/>
      <w:bookmarkStart w:id="248" w:name="_Toc96"/>
      <w:bookmarkEnd w:id="247"/>
      <w:r>
        <w:rPr>
          <w:rtl w:val="true"/>
        </w:rPr>
        <w:t>[</w:t>
      </w:r>
      <w:r>
        <w:rPr/>
        <w:t>4</w:t>
      </w:r>
      <w:r>
        <w:rPr>
          <w:rtl w:val="true"/>
        </w:rPr>
        <w:t xml:space="preserve">- </w:t>
      </w:r>
      <w:r>
        <w:rPr>
          <w:rtl w:val="true"/>
        </w:rPr>
        <w:t>الدخنة</w:t>
      </w:r>
      <w:r>
        <w:rPr>
          <w:rtl w:val="true"/>
        </w:rPr>
        <w:t>]</w:t>
      </w:r>
      <w:bookmarkEnd w:id="24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الدخنة بالعود و غیره عند الغسل علی المشهور، خلافاً للجمهور </w:t>
      </w:r>
      <w:r>
        <w:rPr>
          <w:rStyle w:val="FootnoteAnchor"/>
          <w:rtl w:val="true"/>
        </w:rPr>
        <w:footnoteReference w:id="1756"/>
      </w:r>
      <w:r>
        <w:rPr>
          <w:rFonts w:ascii="IRNazanin" w:hAnsi="IRNazanin" w:eastAsia="IRNazanin"/>
          <w:color w:val="111111"/>
          <w:sz w:val="28"/>
          <w:sz w:val="28"/>
          <w:szCs w:val="28"/>
          <w:rtl w:val="true"/>
          <w:lang w:bidi="fa-IR"/>
        </w:rPr>
        <w:t>، فاستحبّوها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موتاکم النار یعنی</w:t>
      </w:r>
      <w:bookmarkStart w:id="249" w:name="pg13042_127183"/>
    </w:p>
    <w:p>
      <w:pPr>
        <w:pStyle w:val="BookText"/>
        <w:rPr/>
      </w:pPr>
      <w:bookmarkEnd w:id="249"/>
      <w:r>
        <w:rPr>
          <w:rFonts w:ascii="Amiri" w:hAnsi="Amiri" w:eastAsia="Amiri" w:cs="Amiri"/>
          <w:color w:val="111111"/>
          <w:sz w:val="28"/>
          <w:sz w:val="28"/>
          <w:szCs w:val="28"/>
          <w:rtl w:val="true"/>
          <w:lang w:bidi="ar-SA"/>
        </w:rPr>
        <w:t>الدخنة</w:t>
      </w:r>
      <w:r>
        <w:rPr>
          <w:rFonts w:eastAsia="Amiri" w:cs="Amiri" w:ascii="Amiri" w:hAnsi="Amiri"/>
          <w:color w:val="111111"/>
          <w:sz w:val="28"/>
          <w:szCs w:val="28"/>
          <w:rtl w:val="true"/>
          <w:lang w:bidi="ar-SA"/>
        </w:rPr>
        <w:t xml:space="preserve">» </w:t>
      </w:r>
      <w:r>
        <w:rPr>
          <w:rStyle w:val="FootnoteAnchor"/>
          <w:rtl w:val="true"/>
        </w:rPr>
        <w:footnoteReference w:id="1757"/>
      </w:r>
      <w:r>
        <w:rPr>
          <w:rFonts w:ascii="IRNazanin" w:hAnsi="IRNazanin" w:eastAsia="IRNazanin"/>
          <w:color w:val="111111"/>
          <w:sz w:val="28"/>
          <w:sz w:val="28"/>
          <w:szCs w:val="28"/>
          <w:rtl w:val="true"/>
          <w:lang w:bidi="fa-IR"/>
        </w:rPr>
        <w:t>و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تجمّروا الأکفان و لا تمسّوا موتاکم الطیب إلّا الکافور فإنّ المیّت بمنزلة المحرم</w:t>
      </w:r>
      <w:r>
        <w:rPr>
          <w:rFonts w:eastAsia="IRNazanin" w:cs="IRNazanin"/>
          <w:color w:val="111111"/>
          <w:sz w:val="28"/>
          <w:szCs w:val="28"/>
          <w:rtl w:val="true"/>
          <w:lang w:bidi="fa-IR"/>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0" w:name="__RefHeading___Toc6530250_3224264995"/>
      <w:bookmarkStart w:id="251" w:name="_Toc97"/>
      <w:bookmarkEnd w:id="250"/>
      <w:r>
        <w:rPr>
          <w:rtl w:val="true"/>
        </w:rPr>
        <w:t>[</w:t>
      </w:r>
      <w:r>
        <w:rPr>
          <w:rtl w:val="true"/>
        </w:rPr>
        <w:t>حدیثان متضمّنان لواجبات الغسل و سننه</w:t>
      </w:r>
      <w:r>
        <w:rPr>
          <w:rtl w:val="true"/>
        </w:rPr>
        <w:t>]</w:t>
      </w:r>
      <w:bookmarkEnd w:id="251"/>
    </w:p>
    <w:p>
      <w:pPr>
        <w:pStyle w:val="Heading6"/>
        <w:numPr>
          <w:ilvl w:val="5"/>
          <w:numId w:val="1"/>
        </w:numPr>
        <w:rPr/>
      </w:pPr>
      <w:bookmarkStart w:id="252" w:name="__RefHeading___Toc6530252_3224264995"/>
      <w:bookmarkStart w:id="253" w:name="_Toc98"/>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و لنورد هنا حدیثین یتضمّنان واجبات الغسل و أکثر السنن المذکورة و کثیراً ممّا لم یذکر</w:t>
      </w:r>
      <w:r>
        <w:rPr>
          <w:rFonts w:eastAsia="IRNazanin" w:cs="IRNazanin"/>
          <w:color w:val="111111"/>
          <w:sz w:val="28"/>
          <w:szCs w:val="28"/>
          <w:rtl w:val="true"/>
          <w:lang w:bidi="fa-IR"/>
        </w:rPr>
        <w:t>.</w:t>
      </w:r>
    </w:p>
    <w:p>
      <w:pPr>
        <w:pStyle w:val="Heading6"/>
        <w:numPr>
          <w:ilvl w:val="5"/>
          <w:numId w:val="1"/>
        </w:numPr>
        <w:rPr/>
      </w:pPr>
      <w:bookmarkStart w:id="254" w:name="__RefHeading___Toc6530254_3224264995"/>
      <w:bookmarkStart w:id="255" w:name="_Toc99"/>
      <w:bookmarkEnd w:id="254"/>
      <w:r>
        <w:rPr>
          <w:rtl w:val="true"/>
        </w:rPr>
        <w:t>[</w:t>
      </w:r>
      <w:r>
        <w:rPr/>
        <w:t>1</w:t>
      </w:r>
      <w:r>
        <w:rPr>
          <w:rtl w:val="true"/>
        </w:rPr>
        <w:t xml:space="preserve">- </w:t>
      </w:r>
      <w:r>
        <w:rPr>
          <w:rtl w:val="true"/>
        </w:rPr>
        <w:t>مرسلة إبراهیم بن هاشم</w:t>
      </w:r>
      <w:r>
        <w:rPr>
          <w:rtl w:val="true"/>
        </w:rPr>
        <w:t>]</w:t>
      </w:r>
      <w:bookmarkEnd w:id="25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مرسلة إبراهیم بن هاشم عن رجاله عن یونس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غسل المیّت فضعه علی المغتسل مستقبل القبلة، فإن کان علیه قمیص فأخرج یده من القمیص و اجمع قمیصه علی عورته و ارفعه من رجلیه إلی فوق الرکبة، و إن لم یکن علیه قمیص فألق علی عورته خرقة، و اعمد إلی السدر فصیّره فی طشت و صبّ علیه الماء و اضربه بیدک حتّی ترتفع رغوته، و اعزل الرغوة فی شی‌ء، و صبّ الآخر فی الإجانة التی فیها الماء، ثمّ اغسل یدیه ثلاث مرّات، کما یغسل الإنسان من الجنابة إلی نصف الذراع، ثمّ اغسل فرجه و نقّه، ثمّ اغسل رأسه بالرغوة و بالغ فی ذلک، و اجتهد أن لا یدخل الماء منخریه و مسامعه، ثمّ أضجعه علی جانبه الأیسر و صبّ الماء من نصف رأسه إلی قدمیه ثلاث مرّات و أدلک بدنه دلکاً رفیقاً، و کذلک ظهره و بطنه، ثمّ أضجعه علی جانبه الأیمن ثمّ افعل به مثل ذلک، ثمّ صبّ ذلک الماء من الإجانة و اغسل الإجانة بماء قراح و اغسل یدیک إلی المرفقین، ثمّ صبّ الماء فی الآنیة و ألق فیه ثلاث </w:t>
      </w:r>
      <w:r>
        <w:rPr>
          <w:rStyle w:val="FootnoteAnchor"/>
          <w:rtl w:val="true"/>
        </w:rPr>
        <w:footnoteReference w:id="1759"/>
      </w:r>
      <w:r>
        <w:rPr>
          <w:rFonts w:ascii="IRNazanin" w:hAnsi="IRNazanin" w:eastAsia="IRNazanin"/>
          <w:color w:val="111111"/>
          <w:sz w:val="28"/>
          <w:sz w:val="28"/>
          <w:szCs w:val="28"/>
          <w:rtl w:val="true"/>
          <w:lang w:bidi="fa-IR"/>
        </w:rPr>
        <w:t>حبّات کافور و افعل به کما فعلت فی المرّة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بیدیه ثمّ بفرجه و امسحه</w:t>
      </w:r>
      <w:bookmarkStart w:id="256" w:name="pg13042_127184"/>
    </w:p>
    <w:p>
      <w:pPr>
        <w:pStyle w:val="BookText"/>
        <w:rPr/>
      </w:pPr>
      <w:bookmarkEnd w:id="256"/>
      <w:r>
        <w:rPr>
          <w:rFonts w:ascii="IRNazanin" w:hAnsi="IRNazanin" w:eastAsia="IRNazanin"/>
          <w:color w:val="111111"/>
          <w:sz w:val="28"/>
          <w:sz w:val="28"/>
          <w:szCs w:val="28"/>
          <w:rtl w:val="true"/>
          <w:lang w:bidi="fa-IR"/>
        </w:rPr>
        <w:t>مسحاً رفیقاً، فإن خرج منه شی‌ء فأنقه، ثمّ اغسل رأسه، ثمّ أضجعه علی جانبه الأیسر و اغسل جانبه الأیمن و ظهره و بطنه، ثمّ أضجعه علی جنبه الأیمن و اغسل جنبه الأیسر کما فعلت أوّل مرّة، ثمّ اغسل یدیک إلی المرفقین و الآنیة، و صبّ فیه ماء القراح و اغسله بالماء القراح کما غسلت فی المرّتین الأولتین، ثمّ نشّفه بثوب طاهر، و اعمد إلی قطن فذر علیه شیئاً من حنوطه وضعه علی فرجه قبله و دبره، و احشِ القطن فی دبره لئلّا یخرج منه شی‌ء، و خذ خرقة طویلة عرضها شبر فشدّ بها من حقویه و ضمّ فخذیه ضمّاً شدیداً و لفّها فی فخذیه، ثمّ أخرج رأسها من تحت رجلیه إلی الجانب الأیمن، و اغمزها إلی الموضع الذی لففت فیه الخرقة و تکون الخرقة طویلة تلفّ فی فخذیه من حقویه إلی رکبتیه لفّاً شدیداً</w:t>
      </w:r>
      <w:r>
        <w:rPr>
          <w:rFonts w:eastAsia="IRNazanin" w:cs="IRNazanin"/>
          <w:color w:val="111111"/>
          <w:sz w:val="28"/>
          <w:szCs w:val="28"/>
          <w:rtl w:val="true"/>
          <w:lang w:bidi="fa-IR"/>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6530256_3224264995"/>
      <w:bookmarkStart w:id="258" w:name="_Toc100"/>
      <w:bookmarkEnd w:id="257"/>
      <w:r>
        <w:rPr>
          <w:rtl w:val="true"/>
        </w:rPr>
        <w:t>[</w:t>
      </w:r>
      <w:r>
        <w:rPr/>
        <w:t>2</w:t>
      </w:r>
      <w:r>
        <w:rPr>
          <w:rtl w:val="true"/>
        </w:rPr>
        <w:t xml:space="preserve">- </w:t>
      </w:r>
      <w:r>
        <w:rPr>
          <w:rtl w:val="true"/>
        </w:rPr>
        <w:t>روایة عبد اللّٰه الکاهلی</w:t>
      </w:r>
      <w:r>
        <w:rPr>
          <w:rtl w:val="true"/>
        </w:rPr>
        <w:t>]</w:t>
      </w:r>
      <w:bookmarkEnd w:id="25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ابن محبوب عن محمّد بن سنان عن عبد اللّٰه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غسل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ببطن قدمیه القبلة حتّی یکون وجهه مستقبل القبلة، ثمّ تلین مفاصله، فإن امتنعت علیک فدعها، ثمّ ابدأ بفرجه بماء السدر و الحرض فاغسله ثلاث غسلات، و أکثر من الماء و امسح بطنه مسحاً رفیقاً، ثمّ تحوّل إلی رأسه و ابدأ بشقّه الأیمن من لحیته و رأسه، ثمّ ثنّ بشقّه الأیسر من رأسه و لحیته و وجهه فاغسله برفق، و إیّاک و العنف و اغسله غسلًا ناعماً، ثمّ أضجعه علی شقّه الأیسر لیبدو لک الأیمن، فاغسله من قرنه إلی قدمیه و امسح یدک علی ظهره و بطنه ثلاث غسلات، ثمّ ردّه علی جانبه الأیمن لیبدو لک الأیسر فاغسله بماء من قرنه إلی قدمیه، و امسح یدک علی ظهره و بطنه ثلاث غسلات ثمّ</w:t>
      </w:r>
    </w:p>
    <w:p>
      <w:pPr>
        <w:pStyle w:val="BookText"/>
        <w:rPr/>
      </w:pPr>
      <w:r>
        <w:rPr>
          <w:rFonts w:ascii="IRNazanin" w:hAnsi="IRNazanin" w:eastAsia="IRNazanin"/>
          <w:color w:val="111111"/>
          <w:sz w:val="28"/>
          <w:sz w:val="28"/>
          <w:szCs w:val="28"/>
          <w:rtl w:val="true"/>
          <w:lang w:bidi="fa-IR"/>
        </w:rPr>
        <w:t xml:space="preserve">رُدّه علی قفاه، فابدأ بفرجه بماء الکافور و اصنع کما صنعت أوّل مرّة، اغسله ثلاث غسلات بماء الکافور و الحرض، و امسح یدک علی بطنه مسحاً رفیقاً، ثمّ تحوّل إلی رأسه و اصنع کما صنعت أوّلًا بلحیته من جانبیه کلیهما و رأسه و وجهه بماء الکافور ثلاث غسلات، ثمّ رُدّه إلی جانبه الأیسر حتّی یبدو لک الأیمن فاغسله من قرنه إلی قدمه ثلاث غسلات و أدخل یدک تحت منکبیه و ذراعیه، و یکون الذراع و الکفّ مع جنبه ظاهرة کلّما غسلت شیئاً منه أدخلت یدک تحت منکبه و فی باطن ذراعیه ثمّ ردّه علی ظهره، ثمّ اغسله بماء قراح، کما صنعت أوّلًا تبدأ بالفرج، ثمّ تحوّل إلی الرأس و اللحیة و الوجه حتّی تصنع کما صنعت أوّلًا بماء قراح، ثمّ أذفره بالخرقة و یکون تحته القطن تذفره به إذفاراً قطناً کثیراً، ثمّ تشدّ فخذیه علی القطن بالخرقة شدّاً شدیداً حتّی لا یخاف أن یظهر شی‌ء، و إیّاک أن تقعده أو تغمز بطنه و إیّاک أن تحشو فی مسامعه شیئاً، فإن خفت أن یظهر من منخریه شی‌ء فلا علیک أن تصیّر ثَمَّ قطناً، و إن لم تخف فلا تجعل فیه شیئاً، و لا تخلّل أظفاره، و کذلک غسل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الواجب من جمیع ذلک ما تضمّنه صحیحة سلیمان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کیف یغسل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و سدر و اغسل جسده کلّه، و اغسله اخری بماء و کافور، ثمّ اغسله اخری بماء،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762"/>
      </w:r>
      <w:bookmarkStart w:id="259" w:name="pg13042_127186"/>
    </w:p>
    <w:p>
      <w:pPr>
        <w:pStyle w:val="Heading5"/>
        <w:numPr>
          <w:ilvl w:val="4"/>
          <w:numId w:val="1"/>
        </w:numPr>
        <w:rPr/>
      </w:pPr>
      <w:bookmarkStart w:id="260" w:name="__RefHeading___Toc6530258_3224264995"/>
      <w:bookmarkStart w:id="261" w:name="_Toc101"/>
      <w:bookmarkEnd w:id="259"/>
      <w:bookmarkEnd w:id="260"/>
      <w:r>
        <w:rPr>
          <w:rtl w:val="true"/>
        </w:rPr>
        <w:t>[</w:t>
      </w:r>
      <w:r>
        <w:rPr>
          <w:rtl w:val="true"/>
        </w:rPr>
        <w:t>الثالث فی تکفین المیت</w:t>
      </w:r>
      <w:r>
        <w:rPr>
          <w:rtl w:val="true"/>
        </w:rPr>
        <w:t>]</w:t>
      </w:r>
      <w:bookmarkEnd w:id="261"/>
    </w:p>
    <w:p>
      <w:pPr>
        <w:pStyle w:val="Heading6"/>
        <w:numPr>
          <w:ilvl w:val="5"/>
          <w:numId w:val="1"/>
        </w:numPr>
        <w:rPr/>
      </w:pPr>
      <w:bookmarkStart w:id="262" w:name="__RefHeading___Toc6530260_3224264995"/>
      <w:bookmarkStart w:id="263" w:name="_Toc102"/>
      <w:bookmarkEnd w:id="262"/>
      <w:r>
        <w:rPr>
          <w:rtl w:val="true"/>
        </w:rPr>
        <w:t>اشارة</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تکفین الأموات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4" w:name="__RefHeading___Toc6530262_3224264995"/>
      <w:bookmarkStart w:id="265" w:name="_Toc103"/>
      <w:bookmarkEnd w:id="264"/>
      <w:r>
        <w:rPr>
          <w:rtl w:val="true"/>
        </w:rPr>
        <w:t>[</w:t>
      </w:r>
      <w:r>
        <w:rPr>
          <w:rtl w:val="true"/>
        </w:rPr>
        <w:t>أما الواجب</w:t>
      </w:r>
      <w:r>
        <w:rPr>
          <w:rtl w:val="true"/>
        </w:rPr>
        <w:t>]</w:t>
      </w:r>
      <w:bookmarkEnd w:id="265"/>
    </w:p>
    <w:p>
      <w:pPr>
        <w:pStyle w:val="Heading6"/>
        <w:numPr>
          <w:ilvl w:val="5"/>
          <w:numId w:val="1"/>
        </w:numPr>
        <w:rPr/>
      </w:pPr>
      <w:bookmarkStart w:id="266" w:name="__RefHeading___Toc6530264_3224264995"/>
      <w:bookmarkStart w:id="267" w:name="_Toc104"/>
      <w:bookmarkEnd w:id="266"/>
      <w:r>
        <w:rPr>
          <w:rtl w:val="true"/>
        </w:rPr>
        <w:t>اشارة</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فرغت من غسله وجب تکفینه </w:t>
      </w:r>
      <w:r>
        <w:rPr>
          <w:rStyle w:val="FootnoteAnchor"/>
          <w:rtl w:val="true"/>
        </w:rPr>
        <w:footnoteReference w:id="1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بالإجماع بل الضرورة، و فیه أجر 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ستره فی الکفن، لا بذله و إن کان مستحبّاً مؤکّداً، ففی مصحّحة معاویة بن طریف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کفّن مؤمناً کان کمن ضمن کسوته إلی یوم القیامة</w:t>
      </w:r>
      <w:r>
        <w:rPr>
          <w:rFonts w:eastAsia="IRNazanin" w:cs="IRNazanin"/>
          <w:color w:val="111111"/>
          <w:sz w:val="28"/>
          <w:szCs w:val="28"/>
          <w:rtl w:val="true"/>
          <w:lang w:bidi="fa-IR"/>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یعتبر فیه نیّة التقرّب و إن توقّف الثواب علیها، و کذا التحنیط</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النیّة معتبرة فیهما؛ لأنّهما فعلان واجبان، لکنّه لو أخلّ بها لم یبطل الفعل، و هل یأثم بترکها؟ یحتمله؛ لوجوب العمل، و لا یتمّ إلّا بالنیّة؛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و هو الأقوی؛ لأنّ</w:t>
      </w:r>
    </w:p>
    <w:p>
      <w:pPr>
        <w:pStyle w:val="BookText"/>
        <w:rPr/>
      </w:pPr>
      <w:r>
        <w:rPr>
          <w:rFonts w:ascii="IRNazanin" w:hAnsi="IRNazanin" w:eastAsia="IRNazanin"/>
          <w:color w:val="111111"/>
          <w:sz w:val="28"/>
          <w:sz w:val="28"/>
          <w:szCs w:val="28"/>
          <w:rtl w:val="true"/>
          <w:lang w:bidi="fa-IR"/>
        </w:rPr>
        <w:t xml:space="preserve">القصد بروزهما فی الوجود </w:t>
      </w:r>
      <w:r>
        <w:rPr>
          <w:rStyle w:val="FootnoteAnchor"/>
          <w:rtl w:val="true"/>
        </w:rPr>
        <w:footnoteReference w:id="1766"/>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یستتبع الثواب إلّا إذا أُرید به التقرّب </w:t>
      </w:r>
      <w:r>
        <w:rPr>
          <w:rStyle w:val="FootnoteAnchor"/>
          <w:rtl w:val="true"/>
        </w:rPr>
        <w:footnoteReference w:id="176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ما قوّاه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یقال بحصول الثواب مع عدم النیّة أیضاً؛ لظواهر الأدلّة ما لم ینوِ العدم </w:t>
      </w:r>
      <w:r>
        <w:rPr>
          <w:rStyle w:val="FootnoteAnchor"/>
          <w:rtl w:val="true"/>
        </w:rPr>
        <w:footnoteReference w:id="1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نسبة القول بحصول الثواب مع نیّة العدم إلی الأردبیلی قدّس سرّه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أبعد ما بینه و بین ما اختاره بعض مشایخنا </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توقّف صحّة التکفین علی النیّة، فلو وقع من دونها وجب إعادته؛ لأنّه من التعبّدیات التی لا یعلم بحصول الغرض منها بمجرّد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عند الکلّ إلّا سلّار، فاکتفی بواحد ساتر للبدن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یردّه مضافاً إلی مسبوقیّته بالإجماع المحکیّ عن الخلاف </w:t>
      </w:r>
      <w:r>
        <w:rPr>
          <w:rStyle w:val="FootnoteAnchor"/>
          <w:rtl w:val="true"/>
        </w:rPr>
        <w:footnoteReference w:id="1772"/>
      </w:r>
      <w:r>
        <w:rPr>
          <w:rFonts w:ascii="IRNazanin" w:hAnsi="IRNazanin" w:eastAsia="IRNazanin"/>
          <w:color w:val="111111"/>
          <w:sz w:val="28"/>
          <w:sz w:val="28"/>
          <w:szCs w:val="28"/>
          <w:rtl w:val="true"/>
          <w:lang w:bidi="fa-IR"/>
        </w:rPr>
        <w:t xml:space="preserve">و الغنیة </w:t>
      </w:r>
      <w:r>
        <w:rPr>
          <w:rStyle w:val="FootnoteAnchor"/>
          <w:rtl w:val="true"/>
        </w:rPr>
        <w:footnoteReference w:id="1773"/>
      </w:r>
      <w:r>
        <w:rPr>
          <w:rFonts w:ascii="IRNazanin" w:hAnsi="IRNazanin" w:eastAsia="IRNazanin"/>
          <w:color w:val="111111"/>
          <w:sz w:val="28"/>
          <w:sz w:val="28"/>
          <w:szCs w:val="28"/>
          <w:rtl w:val="true"/>
          <w:lang w:bidi="fa-IR"/>
        </w:rPr>
        <w:t xml:space="preserve">و عرفته عن الذکری </w:t>
      </w:r>
      <w:r>
        <w:rPr>
          <w:rStyle w:val="FootnoteAnchor"/>
          <w:rtl w:val="true"/>
        </w:rPr>
        <w:footnoteReference w:id="1774"/>
      </w:r>
      <w:r>
        <w:rPr>
          <w:rFonts w:ascii="IRNazanin" w:hAnsi="IRNazanin" w:eastAsia="IRNazanin"/>
          <w:color w:val="111111"/>
          <w:sz w:val="28"/>
          <w:sz w:val="28"/>
          <w:szCs w:val="28"/>
          <w:rtl w:val="true"/>
          <w:lang w:bidi="fa-IR"/>
        </w:rPr>
        <w:t xml:space="preserve">و التنقیح </w:t>
      </w:r>
      <w:r>
        <w:rPr>
          <w:rStyle w:val="FootnoteAnchor"/>
          <w:rtl w:val="true"/>
        </w:rPr>
        <w:footnoteReference w:id="1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 ففی</w:t>
      </w:r>
    </w:p>
    <w:p>
      <w:pPr>
        <w:pStyle w:val="BookText"/>
        <w:rPr/>
      </w:pPr>
      <w:r>
        <w:rPr>
          <w:rFonts w:ascii="IRNazanin" w:hAnsi="IRNazanin" w:eastAsia="IRNazanin"/>
          <w:color w:val="111111"/>
          <w:sz w:val="28"/>
          <w:sz w:val="28"/>
          <w:szCs w:val="28"/>
          <w:rtl w:val="true"/>
          <w:lang w:bidi="fa-IR"/>
        </w:rPr>
        <w:t>روایة عبد اللّٰه بن سنان و لیس فیها إلّا سهل بن زیاد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یکفَّن فی ثلاثة أثواب سوی العمامة، و الخرقة یشدّ بها ورکیه لکیلا یبدو منها شی‌ء، و الخرقة و العمامة لا بدّ منهما و لیستا من الکفن</w:t>
      </w:r>
      <w:r>
        <w:rPr>
          <w:rFonts w:eastAsia="IRNazanin" w:cs="IRNazanin"/>
          <w:color w:val="111111"/>
          <w:sz w:val="28"/>
          <w:szCs w:val="28"/>
          <w:rtl w:val="true"/>
          <w:lang w:bidi="fa-IR"/>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یکفّن به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أثواب</w:t>
      </w:r>
      <w:r>
        <w:rPr>
          <w:rFonts w:eastAsia="IRNazanin" w:cs="IRNazanin"/>
          <w:color w:val="111111"/>
          <w:sz w:val="28"/>
          <w:szCs w:val="28"/>
          <w:rtl w:val="true"/>
          <w:lang w:bidi="fa-IR"/>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إسماعیل عن یونس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الکفن فریضة للرجال ثلاثة أثواب، و العمامة و الخرقة سنّة</w:t>
      </w:r>
      <w:r>
        <w:rPr>
          <w:rFonts w:eastAsia="IRNazanin" w:cs="IRNazanin"/>
          <w:color w:val="111111"/>
          <w:sz w:val="28"/>
          <w:szCs w:val="28"/>
          <w:rtl w:val="true"/>
          <w:lang w:bidi="fa-IR"/>
        </w:rPr>
        <w:t xml:space="preserve">» </w:t>
      </w:r>
      <w:r>
        <w:rPr>
          <w:rStyle w:val="FootnoteAnchor"/>
          <w:rtl w:val="true"/>
        </w:rPr>
        <w:footnoteReference w:id="1778"/>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زرارة المرویّة عن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للمیّت من الکفن؟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الکفن المفروض ثلاثة أثواب أو ثوب تامّ یواری فیه جسده، فما زاد فهو سنّة إلی أن یبلغ خمسة، فما زاد مبتدع، و العمامة سنّة</w:t>
      </w:r>
      <w:r>
        <w:rPr>
          <w:rFonts w:eastAsia="IRNazanin" w:cs="IRNazanin"/>
          <w:color w:val="111111"/>
          <w:sz w:val="28"/>
          <w:szCs w:val="28"/>
          <w:rtl w:val="true"/>
          <w:lang w:bidi="fa-IR"/>
        </w:rPr>
        <w:t xml:space="preserve">» </w:t>
      </w:r>
      <w:r>
        <w:rPr>
          <w:rStyle w:val="FootnoteAnchor"/>
          <w:rtl w:val="true"/>
        </w:rPr>
        <w:footnoteReference w:id="1779"/>
      </w:r>
      <w:r>
        <w:rPr>
          <w:rFonts w:ascii="IRNazanin" w:hAnsi="IRNazanin" w:eastAsia="IRNazanin"/>
          <w:color w:val="111111"/>
          <w:sz w:val="28"/>
          <w:sz w:val="28"/>
          <w:szCs w:val="28"/>
          <w:rtl w:val="true"/>
          <w:lang w:bidi="fa-IR"/>
        </w:rPr>
        <w:t>و لعلّها مع الأصل مستند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مع مخالفتها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تخییر فی الواجب بین الأقلّ و الأکثر لا مع کون الأکثر مستحبّاً لأنّه فی مقام بیان ما عدا المستحبّات و لا مع مغایرة بینهما بوجه، کما فی القصر و الإتمام، فلذلک لا بدّ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من ارتکاب التأویل فیه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 بالنسبة إلی حالتی</w:t>
      </w:r>
      <w:bookmarkStart w:id="268" w:name="pg13042_127189"/>
    </w:p>
    <w:p>
      <w:pPr>
        <w:pStyle w:val="BookText"/>
        <w:rPr/>
      </w:pPr>
      <w:bookmarkEnd w:id="268"/>
      <w:r>
        <w:rPr>
          <w:rFonts w:ascii="IRNazanin" w:hAnsi="IRNazanin" w:eastAsia="IRNazanin"/>
          <w:color w:val="111111"/>
          <w:sz w:val="28"/>
          <w:sz w:val="28"/>
          <w:szCs w:val="28"/>
          <w:rtl w:val="true"/>
          <w:lang w:bidi="fa-IR"/>
        </w:rPr>
        <w:t>الاختیار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یخالف المشهور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من التزام زیادة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لیوافق نسخة الکافی </w:t>
      </w:r>
      <w:r>
        <w:rPr>
          <w:rStyle w:val="FootnoteAnchor"/>
          <w:rtl w:val="true"/>
        </w:rPr>
        <w:footnoteReference w:id="1780"/>
      </w:r>
      <w:r>
        <w:rPr>
          <w:rFonts w:ascii="IRNazanin" w:hAnsi="IRNazanin" w:eastAsia="IRNazanin"/>
          <w:color w:val="111111"/>
          <w:sz w:val="28"/>
          <w:sz w:val="28"/>
          <w:szCs w:val="28"/>
          <w:rtl w:val="true"/>
          <w:lang w:bidi="fa-IR"/>
        </w:rPr>
        <w:t xml:space="preserve">، أو تمام کلمة العطف، أو هو مع المعطوف کما فی الروض </w:t>
      </w:r>
      <w:r>
        <w:rPr>
          <w:rStyle w:val="FootnoteAnchor"/>
          <w:rtl w:val="true"/>
        </w:rPr>
        <w:footnoteReference w:id="1781"/>
      </w:r>
      <w:r>
        <w:rPr>
          <w:rFonts w:ascii="IRNazanin" w:hAnsi="IRNazanin" w:eastAsia="IRNazanin"/>
          <w:color w:val="111111"/>
          <w:sz w:val="28"/>
          <w:sz w:val="28"/>
          <w:szCs w:val="28"/>
          <w:rtl w:val="true"/>
          <w:lang w:bidi="fa-IR"/>
        </w:rPr>
        <w:t xml:space="preserve">و عن کثیر من نسخ الشیخ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الجملة علی الأوّلین مستأنفة،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من تلک الأثواب تامّ، و المراد به اللفافة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الثالث خبر مبتدأ محذوف، أو بدل من ثلاثة 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من حملها علی التقیّة أو غیر ذلک ممّا قیل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فهذه الروایة لو لم تکن دلیلًا للمشهور، فلا تنهض دلیلًا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کفایة الواحد حال الاضطرار، فإنّه یبیح دفنه بغیر کفن فببعضه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6530266_3224264995"/>
      <w:bookmarkStart w:id="270" w:name="_Toc105"/>
      <w:bookmarkEnd w:id="269"/>
      <w:r>
        <w:rPr>
          <w:rtl w:val="true"/>
        </w:rPr>
        <w:t>[</w:t>
      </w:r>
      <w:r>
        <w:rPr>
          <w:rtl w:val="true"/>
        </w:rPr>
        <w:t>الأثواب الثلاثة</w:t>
      </w:r>
      <w:r>
        <w:rPr>
          <w:rtl w:val="true"/>
        </w:rPr>
        <w:t>]</w:t>
      </w:r>
      <w:bookmarkEnd w:id="270"/>
    </w:p>
    <w:p>
      <w:pPr>
        <w:pStyle w:val="Heading6"/>
        <w:numPr>
          <w:ilvl w:val="5"/>
          <w:numId w:val="1"/>
        </w:numPr>
        <w:rPr/>
      </w:pPr>
      <w:bookmarkStart w:id="271" w:name="__RefHeading___Toc6530268_3224264995"/>
      <w:bookmarkStart w:id="272" w:name="_Toc106"/>
      <w:bookmarkEnd w:id="271"/>
      <w:r>
        <w:rPr>
          <w:rtl w:val="true"/>
        </w:rPr>
        <w:t>[</w:t>
      </w:r>
      <w:r>
        <w:rPr/>
        <w:t>1</w:t>
      </w:r>
      <w:r>
        <w:rPr>
          <w:rtl w:val="true"/>
        </w:rPr>
        <w:t xml:space="preserve">- </w:t>
      </w:r>
      <w:r>
        <w:rPr>
          <w:rtl w:val="true"/>
        </w:rPr>
        <w:t>المئزر</w:t>
      </w:r>
      <w:r>
        <w:rPr>
          <w:rtl w:val="true"/>
        </w:rPr>
        <w:t>]</w:t>
      </w:r>
      <w:bookmarkEnd w:id="27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و سکون الهمزة، و هو عندهم کما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یستر ما بین السرّة و الرکبة، و یجوز کونه إلی القدم بإذن الورثة أو الوصیّة النافذة </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الاکتفاء بما یستر العورة؛</w:t>
      </w:r>
    </w:p>
    <w:p>
      <w:pPr>
        <w:pStyle w:val="BookText"/>
        <w:rPr/>
      </w:pPr>
      <w:r>
        <w:rPr>
          <w:rFonts w:ascii="Amiri" w:hAnsi="Amiri" w:eastAsia="Amiri" w:cs="Amiri"/>
          <w:color w:val="111111"/>
          <w:sz w:val="28"/>
          <w:sz w:val="28"/>
          <w:szCs w:val="28"/>
          <w:rtl w:val="true"/>
          <w:lang w:bidi="ar-SA"/>
        </w:rPr>
        <w:t xml:space="preserve">لأنّه شُرّع لسترها </w:t>
      </w:r>
      <w:r>
        <w:rPr>
          <w:rStyle w:val="FootnoteAnchor"/>
          <w:rtl w:val="true"/>
        </w:rPr>
        <w:footnoteReference w:id="1785"/>
      </w:r>
      <w:r>
        <w:rPr>
          <w:rFonts w:ascii="IRNazanin" w:hAnsi="IRNazanin" w:eastAsia="IRNazanin"/>
          <w:color w:val="111111"/>
          <w:sz w:val="28"/>
          <w:sz w:val="28"/>
          <w:szCs w:val="28"/>
          <w:rtl w:val="true"/>
          <w:lang w:bidi="fa-IR"/>
        </w:rPr>
        <w:t>، و هو ضعیف؛ لوجوب حمل المطلق علی المتعارف، و حکمة الحکم غیر 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یستر ما بین صدره و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فهو متعیّن و لا بدّ منه علی المشهور، بل عن الخلاف </w:t>
      </w:r>
      <w:r>
        <w:rPr>
          <w:rStyle w:val="FootnoteAnchor"/>
          <w:rtl w:val="true"/>
        </w:rPr>
        <w:footnoteReference w:id="1786"/>
      </w:r>
      <w:r>
        <w:rPr>
          <w:rFonts w:ascii="IRNazanin" w:hAnsi="IRNazanin" w:eastAsia="IRNazanin"/>
          <w:color w:val="111111"/>
          <w:sz w:val="28"/>
          <w:sz w:val="28"/>
          <w:szCs w:val="28"/>
          <w:rtl w:val="true"/>
          <w:lang w:bidi="fa-IR"/>
        </w:rPr>
        <w:t xml:space="preserve">و الغنیة </w:t>
      </w:r>
      <w:r>
        <w:rPr>
          <w:rStyle w:val="FootnoteAnchor"/>
          <w:rtl w:val="true"/>
        </w:rPr>
        <w:footnoteReference w:id="1787"/>
      </w:r>
      <w:r>
        <w:rPr>
          <w:rFonts w:ascii="IRNazanin" w:hAnsi="IRNazanin" w:eastAsia="IRNazanin"/>
          <w:color w:val="111111"/>
          <w:sz w:val="28"/>
          <w:sz w:val="28"/>
          <w:szCs w:val="28"/>
          <w:rtl w:val="true"/>
          <w:lang w:bidi="fa-IR"/>
        </w:rPr>
        <w:t xml:space="preserve">و المعتبر </w:t>
      </w:r>
      <w:r>
        <w:rPr>
          <w:rStyle w:val="FootnoteAnchor"/>
          <w:rtl w:val="true"/>
        </w:rPr>
        <w:footnoteReference w:id="1788"/>
      </w:r>
      <w:r>
        <w:rPr>
          <w:rFonts w:ascii="IRNazanin" w:hAnsi="IRNazanin" w:eastAsia="IRNazanin"/>
          <w:color w:val="111111"/>
          <w:sz w:val="28"/>
          <w:sz w:val="28"/>
          <w:szCs w:val="28"/>
          <w:rtl w:val="true"/>
          <w:lang w:bidi="fa-IR"/>
        </w:rPr>
        <w:t xml:space="preserve">و الذکری </w:t>
      </w:r>
      <w:r>
        <w:rPr>
          <w:rStyle w:val="FootnoteAnchor"/>
          <w:rtl w:val="true"/>
        </w:rPr>
        <w:footnoteReference w:id="1789"/>
      </w:r>
      <w:r>
        <w:rPr>
          <w:rFonts w:ascii="IRNazanin" w:hAnsi="IRNazanin" w:eastAsia="IRNazanin"/>
          <w:color w:val="111111"/>
          <w:sz w:val="28"/>
          <w:sz w:val="28"/>
          <w:szCs w:val="28"/>
          <w:rtl w:val="true"/>
          <w:lang w:bidi="fa-IR"/>
        </w:rPr>
        <w:t xml:space="preserve">و التنقیح </w:t>
      </w: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لکن الظاهر أنّ معاقد الإجماعات فی الثلاثة الأخیرة أصل التثلیث، فی مقابل سلّار، لا خصوصیّات الثلاثة، کما لا یخفی علی من تأمّل فی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القمیص فی معاقد الإجماعات، مع أنّهم یذکرون الخلاف فیه، بل ربما یختار بعضهم عدم وجوبه کالمحقّق فی المعتبر،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منه یعنی الکفن ثلاثة أثواب مئزر و قمیص و إزار، هذا مذهب فقهائنا أجمع عدا سلّار، 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فی القمیص، فأوجبه الشیخان </w:t>
      </w:r>
      <w:r>
        <w:rPr>
          <w:rStyle w:val="FootnoteAnchor"/>
          <w:rtl w:val="true"/>
        </w:rPr>
        <w:footnoteReference w:id="1791"/>
      </w:r>
      <w:r>
        <w:rPr>
          <w:rFonts w:ascii="IRNazanin" w:hAnsi="IRNazanin" w:eastAsia="IRNazanin"/>
          <w:color w:val="111111"/>
          <w:sz w:val="28"/>
          <w:sz w:val="28"/>
          <w:szCs w:val="28"/>
          <w:rtl w:val="true"/>
          <w:lang w:bidi="fa-IR"/>
        </w:rPr>
        <w:t xml:space="preserve">و علم الهدی </w:t>
      </w: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عندی ما ذکره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التخییر بین الأثواب الثلاثة یدرج فیها المیّت و بین قمیص و ثوبین </w:t>
      </w:r>
      <w:r>
        <w:rPr>
          <w:rStyle w:val="FootnoteAnchor"/>
          <w:rtl w:val="true"/>
        </w:rPr>
        <w:footnoteReference w:id="179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فی دعوی الإجماع علی الثلاثة ثمّ عنوان الخلاف فی القمیص</w:t>
      </w:r>
    </w:p>
    <w:p>
      <w:pPr>
        <w:pStyle w:val="BookText"/>
        <w:rPr/>
      </w:pPr>
      <w:r>
        <w:rPr>
          <w:rFonts w:ascii="IRNazanin" w:hAnsi="IRNazanin" w:eastAsia="IRNazanin"/>
          <w:color w:val="111111"/>
          <w:sz w:val="28"/>
          <w:sz w:val="28"/>
          <w:szCs w:val="28"/>
          <w:rtl w:val="true"/>
          <w:lang w:bidi="fa-IR"/>
        </w:rPr>
        <w:t xml:space="preserve">الذکری </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یزد فی التنقیح علی أن قال بعد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الواجب فیه مئزر و قمیص و 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سلّار علی لفافة واحدة و الأخبار و الإجماع علی خلافه </w:t>
      </w:r>
      <w:r>
        <w:rPr>
          <w:rStyle w:val="FootnoteAnchor"/>
          <w:rtl w:val="true"/>
        </w:rPr>
        <w:footnoteReference w:id="179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یحضرنی عبارتا الخلاف و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فیکفی فی المسألة مضافاً إلی نسبته إلی علمائنا فی المنتهی </w:t>
      </w:r>
      <w:r>
        <w:rPr>
          <w:rStyle w:val="FootnoteAnchor"/>
          <w:rtl w:val="true"/>
        </w:rPr>
        <w:footnoteReference w:id="1796"/>
      </w:r>
      <w:r>
        <w:rPr>
          <w:rFonts w:ascii="IRNazanin" w:hAnsi="IRNazanin" w:eastAsia="IRNazanin"/>
          <w:color w:val="111111"/>
          <w:sz w:val="28"/>
          <w:sz w:val="28"/>
          <w:szCs w:val="28"/>
          <w:rtl w:val="true"/>
          <w:lang w:bidi="fa-IR"/>
        </w:rPr>
        <w:t xml:space="preserve">، بل إجماعی الخلاف و الغنیة </w:t>
      </w:r>
      <w:r>
        <w:rPr>
          <w:rStyle w:val="FootnoteAnchor"/>
          <w:rtl w:val="true"/>
        </w:rPr>
        <w:footnoteReference w:id="1797"/>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تکفّن المرأة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منطقٍ و خمار و لفافتین</w:t>
      </w:r>
      <w:r>
        <w:rPr>
          <w:rFonts w:eastAsia="IRNazanin" w:cs="IRNazanin"/>
          <w:color w:val="111111"/>
          <w:sz w:val="28"/>
          <w:szCs w:val="28"/>
          <w:rtl w:val="true"/>
          <w:lang w:bidi="fa-IR"/>
        </w:rPr>
        <w:t xml:space="preserve">» </w:t>
      </w:r>
      <w:r>
        <w:rPr>
          <w:rStyle w:val="FootnoteAnchor"/>
          <w:rtl w:val="true"/>
        </w:rPr>
        <w:footnoteReference w:id="1798"/>
      </w:r>
      <w:r>
        <w:rPr>
          <w:rFonts w:ascii="IRNazanin" w:hAnsi="IRNazanin" w:eastAsia="IRNazanin"/>
          <w:color w:val="111111"/>
          <w:sz w:val="28"/>
          <w:sz w:val="28"/>
          <w:szCs w:val="28"/>
          <w:rtl w:val="true"/>
          <w:lang w:bidi="fa-IR"/>
        </w:rPr>
        <w:t>فإنّ المنطق هو ما یشدّ فی الوسط، فهو المئزر، و إرادة لفافة الثدیین بعیدة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روی أنّه یکفّن المیّت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و لفافة، و إزار</w:t>
      </w:r>
      <w:r>
        <w:rPr>
          <w:rFonts w:eastAsia="IRNazanin" w:cs="IRNazanin"/>
          <w:color w:val="111111"/>
          <w:sz w:val="28"/>
          <w:szCs w:val="28"/>
          <w:rtl w:val="true"/>
          <w:lang w:bidi="fa-IR"/>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منها الأخبار المشتملة علی اعتبار الإزار </w:t>
      </w:r>
      <w:r>
        <w:rPr>
          <w:rStyle w:val="FootnoteAnchor"/>
          <w:rtl w:val="true"/>
        </w:rPr>
        <w:footnoteReference w:id="1800"/>
      </w:r>
      <w:r>
        <w:rPr>
          <w:rFonts w:ascii="IRNazanin" w:hAnsi="IRNazanin" w:eastAsia="IRNazanin"/>
          <w:color w:val="111111"/>
          <w:sz w:val="28"/>
          <w:sz w:val="28"/>
          <w:szCs w:val="28"/>
          <w:rtl w:val="true"/>
          <w:lang w:bidi="fa-IR"/>
        </w:rPr>
        <w:t xml:space="preserve">المنجبر قصور سندها و دلالتها بما عرفت </w:t>
      </w:r>
      <w:r>
        <w:rPr>
          <w:rStyle w:val="FootnoteAnchor"/>
          <w:rtl w:val="true"/>
        </w:rPr>
        <w:footnoteReference w:id="1801"/>
      </w:r>
      <w:r>
        <w:rPr>
          <w:rFonts w:ascii="IRNazanin" w:hAnsi="IRNazanin" w:eastAsia="IRNazanin"/>
          <w:color w:val="111111"/>
          <w:sz w:val="28"/>
          <w:sz w:val="28"/>
          <w:szCs w:val="28"/>
          <w:rtl w:val="true"/>
          <w:lang w:bidi="fa-IR"/>
        </w:rPr>
        <w:t>من نقل الإجماع، بل عدم تحقّق الخلاف إلی زمان صاحب المدارک و تلمیذه الأسترآبادی، و إن نسب الخلاف إلی</w:t>
      </w:r>
    </w:p>
    <w:p>
      <w:pPr>
        <w:pStyle w:val="BookText"/>
        <w:rPr/>
      </w:pPr>
      <w:r>
        <w:rPr>
          <w:rFonts w:ascii="IRNazanin" w:hAnsi="IRNazanin" w:eastAsia="IRNazanin"/>
          <w:color w:val="111111"/>
          <w:sz w:val="28"/>
          <w:sz w:val="28"/>
          <w:szCs w:val="28"/>
          <w:rtl w:val="true"/>
          <w:lang w:bidi="fa-IR"/>
        </w:rPr>
        <w:t xml:space="preserve">الصدوق و الإسکافی </w:t>
      </w:r>
      <w:r>
        <w:rPr>
          <w:rStyle w:val="FootnoteAnchor"/>
          <w:rtl w:val="true"/>
        </w:rPr>
        <w:footnoteReference w:id="1802"/>
      </w:r>
      <w:r>
        <w:rPr>
          <w:rFonts w:ascii="IRNazanin" w:hAnsi="IRNazanin" w:eastAsia="IRNazanin"/>
          <w:color w:val="111111"/>
          <w:sz w:val="28"/>
          <w:sz w:val="28"/>
          <w:szCs w:val="28"/>
          <w:rtl w:val="true"/>
          <w:lang w:bidi="fa-IR"/>
        </w:rPr>
        <w:t>، إلّا أنّ فی النسبة ما سیأتی، ففی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بالکفن؟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تؤخذ خرقة فتشدّها </w:t>
      </w:r>
      <w:r>
        <w:rPr>
          <w:rStyle w:val="FootnoteAnchor"/>
          <w:rtl w:val="true"/>
        </w:rPr>
        <w:footnoteReference w:id="1803"/>
      </w:r>
      <w:r>
        <w:rPr>
          <w:rFonts w:ascii="IRNazanin" w:hAnsi="IRNazanin" w:eastAsia="IRNazanin"/>
          <w:color w:val="111111"/>
          <w:sz w:val="28"/>
          <w:sz w:val="28"/>
          <w:szCs w:val="28"/>
          <w:rtl w:val="true"/>
          <w:lang w:bidi="fa-IR"/>
        </w:rPr>
        <w:t>علی مقعدته 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تعدّ شیئاً، إنّما تصنع لتضمّ ما هناک لکیلا یخرج منه شی‌ء، و ما یصنع من القطن أفضل منها، ثمّ یخرق القمیص إذا غسّل و ینزع من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804"/>
      </w:r>
      <w:r>
        <w:rPr>
          <w:rFonts w:ascii="IRNazanin" w:hAnsi="IRNazanin" w:eastAsia="IRNazanin"/>
          <w:color w:val="111111"/>
          <w:sz w:val="28"/>
          <w:sz w:val="28"/>
          <w:szCs w:val="28"/>
          <w:rtl w:val="true"/>
          <w:lang w:bidi="fa-IR"/>
        </w:rPr>
        <w:t>بناءً علی أنّ الراوی توهّم کفایة الخرقة عن الإزار فردّه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الخرقة لا تعدّ شیئاً من الکفن، بل هی لحفظ المیّت عن أن یخرج منه شی‌ء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الإزار لا بدّ منه، و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المئزر، کما عن الصحاح </w:t>
      </w:r>
      <w:r>
        <w:rPr>
          <w:rStyle w:val="FootnoteAnchor"/>
          <w:rtl w:val="true"/>
        </w:rPr>
        <w:footnoteReference w:id="1805"/>
      </w:r>
      <w:r>
        <w:rPr>
          <w:rFonts w:ascii="IRNazanin" w:hAnsi="IRNazanin" w:eastAsia="IRNazanin"/>
          <w:color w:val="111111"/>
          <w:sz w:val="28"/>
          <w:sz w:val="28"/>
          <w:szCs w:val="28"/>
          <w:rtl w:val="true"/>
          <w:lang w:bidi="fa-IR"/>
        </w:rPr>
        <w:t xml:space="preserve">و غیره </w:t>
      </w:r>
      <w:r>
        <w:rPr>
          <w:rStyle w:val="FootnoteAnchor"/>
          <w:rtl w:val="true"/>
        </w:rPr>
        <w:footnoteReference w:id="1806"/>
      </w:r>
      <w:r>
        <w:rPr>
          <w:rFonts w:ascii="IRNazanin" w:hAnsi="IRNazanin" w:eastAsia="IRNazanin"/>
          <w:color w:val="111111"/>
          <w:sz w:val="28"/>
          <w:sz w:val="28"/>
          <w:szCs w:val="28"/>
          <w:rtl w:val="true"/>
          <w:lang w:bidi="fa-IR"/>
        </w:rPr>
        <w:t>، و إن کان المراد به فی کلام أکثر الأصحاب اللفافة الشاملة، کما هو المتعارف الآن فی عرف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أیضاً عن بعض أهل اللغة </w:t>
      </w:r>
      <w:r>
        <w:rPr>
          <w:rStyle w:val="FootnoteAnchor"/>
          <w:rtl w:val="true"/>
        </w:rPr>
        <w:footnoteReference w:id="1807"/>
      </w:r>
      <w:r>
        <w:rPr>
          <w:rFonts w:ascii="IRNazanin" w:hAnsi="IRNazanin" w:eastAsia="IRNazanin"/>
          <w:color w:val="111111"/>
          <w:sz w:val="28"/>
          <w:sz w:val="28"/>
          <w:szCs w:val="28"/>
          <w:rtl w:val="true"/>
          <w:lang w:bidi="fa-IR"/>
        </w:rPr>
        <w:t>، إلّا أنّ المتتبّع فی الأخبار المتفرّقة هنا، و فی آداب دخول الحمّام، و ما ورد فی الاستمتاع من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اتزرت بإزار </w:t>
      </w:r>
      <w:r>
        <w:rPr>
          <w:rStyle w:val="FootnoteAnchor"/>
          <w:rtl w:val="true"/>
        </w:rPr>
        <w:footnoteReference w:id="1808"/>
      </w:r>
      <w:r>
        <w:rPr>
          <w:rFonts w:ascii="IRNazanin" w:hAnsi="IRNazanin" w:eastAsia="IRNazanin"/>
          <w:color w:val="111111"/>
          <w:sz w:val="28"/>
          <w:sz w:val="28"/>
          <w:szCs w:val="28"/>
          <w:rtl w:val="true"/>
          <w:lang w:bidi="fa-IR"/>
        </w:rPr>
        <w:t xml:space="preserve">، و فی کراهة الاتّزار فوق القمیص </w:t>
      </w:r>
      <w:r>
        <w:rPr>
          <w:rStyle w:val="FootnoteAnchor"/>
          <w:rtl w:val="true"/>
        </w:rPr>
        <w:footnoteReference w:id="1809"/>
      </w:r>
      <w:r>
        <w:rPr>
          <w:rFonts w:ascii="IRNazanin" w:hAnsi="IRNazanin" w:eastAsia="IRNazanin"/>
          <w:color w:val="111111"/>
          <w:sz w:val="28"/>
          <w:sz w:val="28"/>
          <w:szCs w:val="28"/>
          <w:rtl w:val="true"/>
          <w:lang w:bidi="fa-IR"/>
        </w:rPr>
        <w:t>، و غیر ذلک، یتّضح عنده أنّ المراد به منه المئزر، مع أنّ الإزار</w:t>
      </w:r>
    </w:p>
    <w:p>
      <w:pPr>
        <w:pStyle w:val="BookText"/>
        <w:rPr/>
      </w:pPr>
      <w:r>
        <w:rPr>
          <w:rFonts w:ascii="IRNazanin" w:hAnsi="IRNazanin" w:eastAsia="IRNazanin"/>
          <w:color w:val="111111"/>
          <w:sz w:val="28"/>
          <w:sz w:val="28"/>
          <w:szCs w:val="28"/>
          <w:rtl w:val="true"/>
          <w:lang w:bidi="fa-IR"/>
        </w:rPr>
        <w:t>بالمعنی الآخر هو الثوب الشامل للبدن ما عدا الرأس، و هی الملحفة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الاستدلال بروایة معاویة بن وهب و فیها سهل، و أمره سهل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یکفّن المیّت فی خمسة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لا یذرّ علیه، و إزار، و خرقة یعصَّب بها وسطه، و برد یلفّ فیه، و عمامة یعمّم بها و یلقی فضلها علی صدره</w:t>
      </w:r>
      <w:r>
        <w:rPr>
          <w:rFonts w:eastAsia="IRNazanin" w:cs="IRNazanin"/>
          <w:color w:val="111111"/>
          <w:sz w:val="28"/>
          <w:szCs w:val="28"/>
          <w:rtl w:val="true"/>
          <w:lang w:bidi="fa-IR"/>
        </w:rPr>
        <w:t xml:space="preserve">» </w:t>
      </w:r>
      <w:r>
        <w:rPr>
          <w:rStyle w:val="FootnoteAnchor"/>
          <w:rtl w:val="true"/>
        </w:rPr>
        <w:footnoteReference w:id="1810"/>
      </w:r>
      <w:r>
        <w:rPr>
          <w:rFonts w:ascii="IRNazanin" w:hAnsi="IRNazanin" w:eastAsia="IRNazanin"/>
          <w:color w:val="111111"/>
          <w:sz w:val="28"/>
          <w:sz w:val="28"/>
          <w:szCs w:val="28"/>
          <w:rtl w:val="true"/>
          <w:lang w:bidi="fa-IR"/>
        </w:rPr>
        <w:t>و فی روایة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Style w:val="FootnoteAnchor"/>
          <w:rtl w:val="true"/>
        </w:rPr>
        <w:footnoteReference w:id="1811"/>
      </w:r>
      <w:r>
        <w:rPr>
          <w:rFonts w:ascii="IRNazanin" w:hAnsi="IRNazanin" w:eastAsia="IRNazanin"/>
          <w:color w:val="111111"/>
          <w:sz w:val="28"/>
          <w:sz w:val="28"/>
          <w:szCs w:val="28"/>
          <w:rtl w:val="true"/>
          <w:lang w:bidi="fa-IR"/>
        </w:rPr>
        <w:t xml:space="preserve">بناءً علی دلالة الإجماع و الأخبار </w:t>
      </w:r>
      <w:r>
        <w:rPr>
          <w:rStyle w:val="FootnoteAnchor"/>
          <w:rtl w:val="true"/>
        </w:rPr>
        <w:footnoteReference w:id="1812"/>
      </w:r>
      <w:r>
        <w:rPr>
          <w:rFonts w:ascii="IRNazanin" w:hAnsi="IRNazanin" w:eastAsia="IRNazanin"/>
          <w:color w:val="111111"/>
          <w:sz w:val="28"/>
          <w:sz w:val="28"/>
          <w:szCs w:val="28"/>
          <w:rtl w:val="true"/>
          <w:lang w:bidi="fa-IR"/>
        </w:rPr>
        <w:t>علی عدم وجوب الخرقة و العمامة، بل عدم عدّهما من الکفن، فبقی القمیص و الإزار و اللفافة، و عرفت أنّ الإزار هو المئزر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یونس بن یعقوب عن أبی الحسن الأوّل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کفّنت أبی فی ثوبین شطویین کان یحرم فیهما، و فی قمیص من قمصه و عمامة کانت لعلیّ بن الحسین علیه السلام</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فإنّ الظاهر أحد ثوبی الإحرام هو الإزار المرادف للمئزر، إلّا أنّ التکفین فیه لا یستلزم الاتّزار به، فهذه الروایة و نحوها غیر مجدیة فی المقام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ذلک یظهر ضعف ما عن الأردبیلی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التأمّل فی مستند المشهور </w:t>
      </w:r>
      <w:r>
        <w:rPr>
          <w:rStyle w:val="FootnoteAnchor"/>
          <w:rtl w:val="true"/>
        </w:rPr>
        <w:footnoteReference w:id="1814"/>
      </w:r>
      <w:r>
        <w:rPr>
          <w:rFonts w:ascii="IRNazanin" w:hAnsi="IRNazanin" w:eastAsia="IRNazanin"/>
          <w:color w:val="111111"/>
          <w:sz w:val="28"/>
          <w:sz w:val="28"/>
          <w:szCs w:val="28"/>
          <w:rtl w:val="true"/>
          <w:lang w:bidi="fa-IR"/>
        </w:rPr>
        <w:t xml:space="preserve">، و تعدّی عن ذلک صاحب المدارک فخالف المشهور </w:t>
      </w:r>
      <w:r>
        <w:rPr>
          <w:rStyle w:val="FootnoteAnchor"/>
          <w:rtl w:val="true"/>
        </w:rPr>
        <w:footnoteReference w:id="18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أفرط تلمیذه المحدّث الأسترآبادی و بالغ فی الطعن علی المشهور فی إیجاب المئزر </w:t>
      </w:r>
      <w:r>
        <w:rPr>
          <w:rStyle w:val="FootnoteAnchor"/>
          <w:rtl w:val="true"/>
        </w:rPr>
        <w:footnoteReference w:id="1816"/>
      </w:r>
      <w:r>
        <w:rPr>
          <w:rFonts w:ascii="Amiri" w:hAnsi="Amiri" w:eastAsia="Amiri" w:cs="Amiri"/>
          <w:color w:val="111111"/>
          <w:sz w:val="28"/>
          <w:sz w:val="28"/>
          <w:szCs w:val="28"/>
          <w:rtl w:val="true"/>
          <w:lang w:bidi="ar-SA"/>
        </w:rPr>
        <w:t xml:space="preserve">، و تبعهم جماعة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الأخبار اعتبار القمیص و الثوبین الشاملین للجسد أو الأثواب الثلاثة، و بمضمونها أفتی ابن الجنید فی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یکون الکفن ثلاثة أثواب یدرج فیها إدراجاً أو ثوبین و قمیصاً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عبارة الصدوق فی الفقیه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الکفن المفروض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و إزار و لفافة، سوی العمامة و الخرقة فلا تعدّان من الکفن، و ذکر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المغسّل للمیّت قبل أن یلبسه القمیص یأخذ شیئاً من القطن و یذرّ علیه ذریرة و یجعل شیئاً من القطن علی قبله، و یضمّ رجلیه جمیعاً، و یشدّ فخذیه إلی ورکه بالمئزر شدّاً جیّداً لئلّا یخرج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مقتضاه أنّ المئزر عبارة عن الخرقة المشقوقة التی یشدّ بها الفخذان، و المسألة قویّة الإشکال، و لا ریب أنّ الاقتصار علی القمیص و اللفافتین أو الأثواب الثلاثة الشاملة للجسد مع العمامة و الخرقة التی یشدّ بها الفخذان أولی </w:t>
      </w:r>
      <w:r>
        <w:rPr>
          <w:rStyle w:val="FootnoteAnchor"/>
          <w:rtl w:val="true"/>
        </w:rPr>
        <w:footnoteReference w:id="181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الأخبار الدالّة علی اعتبار ثلاثة أثواب أو ثوبین ما عدا القمیص، فلا تدلّ علی اعتبار شمول ما عدا القمیص؛ إذ الثوب غیر مأخوذ فیه الشمول للبدن، و لذا کان القمیص أحد الأثواب من غیر تجوّز، بل ظاهر صحیحة زرارة و صریح صحیحة معاویة بن وهب المتقدّمتین </w:t>
      </w:r>
      <w:r>
        <w:rPr>
          <w:rStyle w:val="FootnoteAnchor"/>
          <w:rtl w:val="true"/>
        </w:rPr>
        <w:footnoteReference w:id="1819"/>
      </w:r>
      <w:r>
        <w:rPr>
          <w:rFonts w:ascii="IRNazanin" w:hAnsi="IRNazanin" w:eastAsia="IRNazanin"/>
          <w:color w:val="111111"/>
          <w:sz w:val="28"/>
          <w:sz w:val="28"/>
          <w:szCs w:val="28"/>
          <w:rtl w:val="true"/>
          <w:lang w:bidi="fa-IR"/>
        </w:rPr>
        <w:t>کون</w:t>
      </w:r>
    </w:p>
    <w:p>
      <w:pPr>
        <w:pStyle w:val="BookText"/>
        <w:rPr/>
      </w:pPr>
      <w:r>
        <w:rPr>
          <w:rFonts w:ascii="Amiri" w:hAnsi="Amiri" w:eastAsia="Amiri" w:cs="Amiri"/>
          <w:color w:val="111111"/>
          <w:sz w:val="28"/>
          <w:sz w:val="28"/>
          <w:szCs w:val="28"/>
          <w:rtl w:val="true"/>
          <w:lang w:bidi="ar-SA"/>
        </w:rPr>
        <w:t>العمامة و الخرقة من الأثواب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هنا دلیل آخر علی اعتبار شمول ما عدا اللفافة، لا خصوصاً، عدا ما یتخیّل من حسنة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یکفن بقمیص و لفّافة و برد یجمع فیه الکفن</w:t>
      </w:r>
      <w:r>
        <w:rPr>
          <w:rFonts w:eastAsia="IRNazanin" w:cs="IRNazanin"/>
          <w:color w:val="111111"/>
          <w:sz w:val="28"/>
          <w:szCs w:val="28"/>
          <w:rtl w:val="true"/>
          <w:lang w:bidi="fa-IR"/>
        </w:rPr>
        <w:t xml:space="preserve">» </w:t>
      </w:r>
      <w:r>
        <w:rPr>
          <w:rStyle w:val="FootnoteAnchor"/>
          <w:rtl w:val="true"/>
        </w:rPr>
        <w:footnoteReference w:id="1820"/>
      </w:r>
      <w:r>
        <w:rPr>
          <w:rFonts w:ascii="IRNazanin" w:hAnsi="IRNazanin" w:eastAsia="IRNazanin"/>
          <w:color w:val="111111"/>
          <w:sz w:val="28"/>
          <w:sz w:val="28"/>
          <w:szCs w:val="28"/>
          <w:rtl w:val="true"/>
          <w:lang w:bidi="fa-IR"/>
        </w:rPr>
        <w:t xml:space="preserve">و لا عموماً، عدا ما یتخیّل من عمومات وجوب الکفن فی الأثواب </w:t>
      </w:r>
      <w:r>
        <w:rPr>
          <w:rStyle w:val="FootnoteAnchor"/>
          <w:rtl w:val="true"/>
        </w:rPr>
        <w:footnoteReference w:id="1821"/>
      </w:r>
      <w:r>
        <w:rPr>
          <w:rFonts w:ascii="IRNazanin" w:hAnsi="IRNazanin" w:eastAsia="IRNazanin"/>
          <w:color w:val="111111"/>
          <w:sz w:val="28"/>
          <w:sz w:val="28"/>
          <w:szCs w:val="28"/>
          <w:rtl w:val="true"/>
          <w:lang w:bidi="fa-IR"/>
        </w:rPr>
        <w:t>، بدعوی ظهور لفظ الثوب أو التکفین فیه فی الثوب الشامل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 لا یستلزم الشمول،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ظهور ما ذکر فی الثوب الشامل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فی المحکیّ عن الذخیرة،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توجیه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یلفّ به الإزار ثمّ اللفافة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المراد به المئزر، لا ما یلتحف به فإنّه فوق الثیاب، و فیه تکلّف مع أنّه علی تقدیر التسلیم لا یکفی لتخصیص الأخبار السابقة، و المسألة محلّ إشکال </w:t>
      </w:r>
      <w:r>
        <w:rPr>
          <w:rStyle w:val="FootnoteAnchor"/>
          <w:rtl w:val="true"/>
        </w:rPr>
        <w:footnoteReference w:id="18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مع ما تقدّم سابقاً فی معنی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 عمومٍ دلّ علی اعتبار شمول الأثواب الثلاثة للبدن، حتّی یحتاج إخراج الإزار إلی مخصّص؟</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ما فی استنهاض صاحب المدارک لکلام ابن الجنید حیث عبّر بما عدا القمیص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Style w:val="FootnoteAnchor"/>
          <w:rtl w:val="true"/>
        </w:rPr>
        <w:footnoteReference w:id="1823"/>
      </w:r>
      <w:r>
        <w:rPr>
          <w:rFonts w:ascii="IRNazanin" w:hAnsi="IRNazanin" w:eastAsia="IRNazanin"/>
          <w:color w:val="111111"/>
          <w:sz w:val="28"/>
          <w:sz w:val="28"/>
          <w:szCs w:val="28"/>
          <w:rtl w:val="true"/>
          <w:lang w:bidi="fa-IR"/>
        </w:rPr>
        <w:t>إن أراد من ذلک نسبة اعتبار شمول ما عدا القمیص للبدن إلیه؛ إذ قد عرفت أنّ ذکر الثوب لا یدلّ علی الشمول،</w:t>
      </w:r>
      <w:bookmarkStart w:id="273" w:name="pg13042_127196"/>
    </w:p>
    <w:p>
      <w:pPr>
        <w:pStyle w:val="BookText"/>
        <w:rPr/>
      </w:pPr>
      <w:bookmarkEnd w:id="273"/>
      <w:r>
        <w:rPr>
          <w:rFonts w:ascii="IRNazanin" w:hAnsi="IRNazanin" w:eastAsia="IRNazanin"/>
          <w:color w:val="111111"/>
          <w:sz w:val="28"/>
          <w:sz w:val="28"/>
          <w:szCs w:val="28"/>
          <w:rtl w:val="true"/>
          <w:lang w:bidi="fa-IR"/>
        </w:rPr>
        <w:t xml:space="preserve">و إلّا فاستنهاضه لکلام المحقّق فی المعتبر أولی؛ لأنّه ذکر فی مسألة القمیص أنّ الوجه ما قاله ابن الجنید من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عبارة ابن الجنید </w:t>
      </w:r>
      <w:r>
        <w:rPr>
          <w:rStyle w:val="FootnoteAnchor"/>
          <w:rtl w:val="true"/>
        </w:rPr>
        <w:footnoteReference w:id="1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حکی بعض نسبة هذا القول إلی المعتبر، بل و إلی ظاهر العمانی و الصدوقین و الجعفی </w:t>
      </w:r>
      <w:r>
        <w:rPr>
          <w:rStyle w:val="FootnoteAnchor"/>
          <w:rtl w:val="true"/>
        </w:rPr>
        <w:footnoteReference w:id="1825"/>
      </w:r>
      <w:r>
        <w:rPr>
          <w:rFonts w:ascii="IRNazanin" w:hAnsi="IRNazanin" w:eastAsia="IRNazanin"/>
          <w:color w:val="111111"/>
          <w:sz w:val="28"/>
          <w:sz w:val="28"/>
          <w:szCs w:val="28"/>
          <w:rtl w:val="true"/>
          <w:lang w:bidi="fa-IR"/>
        </w:rPr>
        <w:t>، و عبائرهم المحکیّة لا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قولًا ثالثاً حکی عن بعض المعاصرین،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 المئزر و الثوب الشامل </w:t>
      </w:r>
      <w:r>
        <w:rPr>
          <w:rStyle w:val="FootnoteAnchor"/>
          <w:rtl w:val="true"/>
        </w:rPr>
        <w:footnoteReference w:id="1826"/>
      </w:r>
      <w:r>
        <w:rPr>
          <w:rFonts w:ascii="IRNazanin" w:hAnsi="IRNazanin" w:eastAsia="IRNazanin"/>
          <w:color w:val="111111"/>
          <w:sz w:val="28"/>
          <w:sz w:val="28"/>
          <w:szCs w:val="28"/>
          <w:rtl w:val="true"/>
          <w:lang w:bidi="fa-IR"/>
        </w:rPr>
        <w:t>، و کأنّه للعمل بالمطلقات، أو للجمع بین المقیّدات، أو لطرح الکلّ و الرجوع إلی البراءة، و فی الجمیع نظر</w:t>
      </w:r>
      <w:r>
        <w:rPr>
          <w:rFonts w:eastAsia="IRNazanin" w:cs="IRNazanin"/>
          <w:color w:val="111111"/>
          <w:sz w:val="28"/>
          <w:szCs w:val="28"/>
          <w:rtl w:val="true"/>
          <w:lang w:bidi="fa-IR"/>
        </w:rPr>
        <w:t>.</w:t>
      </w:r>
    </w:p>
    <w:p>
      <w:pPr>
        <w:pStyle w:val="Heading6"/>
        <w:numPr>
          <w:ilvl w:val="5"/>
          <w:numId w:val="1"/>
        </w:numPr>
        <w:rPr/>
      </w:pPr>
      <w:bookmarkStart w:id="274" w:name="__RefHeading___Toc6530270_3224264995"/>
      <w:bookmarkStart w:id="275" w:name="_Toc107"/>
      <w:bookmarkEnd w:id="274"/>
      <w:r>
        <w:rPr>
          <w:rtl w:val="true"/>
        </w:rPr>
        <w:t>[</w:t>
      </w:r>
      <w:r>
        <w:rPr/>
        <w:t>2</w:t>
      </w:r>
      <w:r>
        <w:rPr>
          <w:rtl w:val="true"/>
        </w:rPr>
        <w:t xml:space="preserve">- </w:t>
      </w:r>
      <w:r>
        <w:rPr>
          <w:rtl w:val="true"/>
        </w:rPr>
        <w:t>القمیص</w:t>
      </w:r>
      <w:r>
        <w:rPr>
          <w:rtl w:val="true"/>
        </w:rPr>
        <w:t>]</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الأثواب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الواصل إلی نصف الساق؛ لأنّه المتعارف فی ذلک الزمان، و لا عبرة بغیر المتعارف أو المتعارف فی غیر ذلک الزمان أو عند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کونه أقصر بقلیل بحیث لا یخرج عن المتعارف و إن صدق أنّه قمیص قصیر؛ إذ لا یخرج عن المتعارف بمجرّد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کونه إلی القدم أو قریباً منه لا یجوز إلّا بإذن الورثة أو الوصیّة النافذة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تعیین القمیص هو المشهور، بل عن الخلاف </w:t>
      </w:r>
      <w:r>
        <w:rPr>
          <w:rStyle w:val="FootnoteAnchor"/>
          <w:rtl w:val="true"/>
        </w:rPr>
        <w:footnoteReference w:id="1827"/>
      </w:r>
      <w:r>
        <w:rPr>
          <w:rFonts w:ascii="IRNazanin" w:hAnsi="IRNazanin" w:eastAsia="IRNazanin"/>
          <w:color w:val="111111"/>
          <w:sz w:val="28"/>
          <w:sz w:val="28"/>
          <w:szCs w:val="28"/>
          <w:rtl w:val="true"/>
          <w:lang w:bidi="fa-IR"/>
        </w:rPr>
        <w:t xml:space="preserve">و الغنیة </w:t>
      </w: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للأصل و الأخبار الکثیرة </w:t>
      </w:r>
      <w:r>
        <w:rPr>
          <w:rStyle w:val="FootnoteAnchor"/>
          <w:rtl w:val="true"/>
        </w:rPr>
        <w:footnoteReference w:id="1829"/>
      </w:r>
      <w:r>
        <w:rPr>
          <w:rFonts w:ascii="IRNazanin" w:hAnsi="IRNazanin" w:eastAsia="IRNazanin"/>
          <w:color w:val="111111"/>
          <w:sz w:val="28"/>
          <w:sz w:val="28"/>
          <w:szCs w:val="28"/>
          <w:rtl w:val="true"/>
          <w:lang w:bidi="fa-IR"/>
        </w:rPr>
        <w:t>، و 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بینه و بین ثوب</w:t>
      </w:r>
      <w:bookmarkStart w:id="276" w:name="pg13042_127197"/>
    </w:p>
    <w:p>
      <w:pPr>
        <w:pStyle w:val="BookText"/>
        <w:rPr/>
      </w:pPr>
      <w:bookmarkEnd w:id="276"/>
      <w:r>
        <w:rPr>
          <w:rFonts w:ascii="IRNazanin" w:hAnsi="IRNazanin" w:eastAsia="IRNazanin"/>
          <w:color w:val="111111"/>
          <w:sz w:val="28"/>
          <w:sz w:val="28"/>
          <w:szCs w:val="28"/>
          <w:rtl w:val="true"/>
          <w:lang w:bidi="fa-IR"/>
        </w:rPr>
        <w:t xml:space="preserve">شامل </w:t>
      </w:r>
      <w:r>
        <w:rPr>
          <w:rStyle w:val="FootnoteAnchor"/>
          <w:rtl w:val="true"/>
        </w:rPr>
        <w:footnoteReference w:id="1830"/>
      </w:r>
      <w:r>
        <w:rPr>
          <w:rFonts w:ascii="IRNazanin" w:hAnsi="IRNazanin" w:eastAsia="IRNazanin"/>
          <w:color w:val="111111"/>
          <w:sz w:val="28"/>
          <w:sz w:val="28"/>
          <w:szCs w:val="28"/>
          <w:rtl w:val="true"/>
          <w:lang w:bidi="fa-IR"/>
        </w:rPr>
        <w:t xml:space="preserve">، و استوجهه المحقّق فی المعتبر، و قد تقدّمت عبارتهما </w:t>
      </w:r>
      <w:r>
        <w:rPr>
          <w:rStyle w:val="FootnoteAnchor"/>
          <w:rtl w:val="true"/>
        </w:rPr>
        <w:footnoteReference w:id="1831"/>
      </w:r>
      <w:r>
        <w:rPr>
          <w:rFonts w:ascii="IRNazanin" w:hAnsi="IRNazanin" w:eastAsia="IRNazanin"/>
          <w:color w:val="111111"/>
          <w:sz w:val="28"/>
          <w:sz w:val="28"/>
          <w:szCs w:val="28"/>
          <w:rtl w:val="true"/>
          <w:lang w:bidi="fa-IR"/>
        </w:rPr>
        <w:t xml:space="preserve">، و تبعهما الشهید الثانی </w:t>
      </w:r>
      <w:r>
        <w:rPr>
          <w:rStyle w:val="FootnoteAnchor"/>
          <w:rtl w:val="true"/>
        </w:rPr>
        <w:footnoteReference w:id="1832"/>
      </w:r>
      <w:r>
        <w:rPr>
          <w:rFonts w:ascii="Amiri" w:hAnsi="Amiri" w:eastAsia="Amiri" w:cs="Amiri"/>
          <w:color w:val="111111"/>
          <w:sz w:val="28"/>
          <w:sz w:val="28"/>
          <w:szCs w:val="28"/>
          <w:rtl w:val="true"/>
          <w:lang w:bidi="ar-SA"/>
        </w:rPr>
        <w:t xml:space="preserve">و جمع ممّن تأخّر عنهم </w:t>
      </w:r>
      <w:r>
        <w:rPr>
          <w:rStyle w:val="FootnoteAnchor"/>
          <w:rtl w:val="true"/>
        </w:rPr>
        <w:footnoteReference w:id="1833"/>
      </w:r>
      <w:r>
        <w:rPr>
          <w:rFonts w:ascii="IRNazanin" w:hAnsi="IRNazanin" w:eastAsia="IRNazanin"/>
          <w:color w:val="111111"/>
          <w:sz w:val="28"/>
          <w:sz w:val="28"/>
          <w:szCs w:val="28"/>
          <w:rtl w:val="true"/>
          <w:lang w:bidi="fa-IR"/>
        </w:rPr>
        <w:t>لروایة محمّد بن سهل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الثیاب التی یصلّی فیها الرجل و یصوم، أ یکفّن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ذلک الکفن، یعنی قمیصاً،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یدرج فی ثلاثة أثواب؟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القمیص أحبّ إلیّ</w:t>
      </w:r>
      <w:r>
        <w:rPr>
          <w:rFonts w:eastAsia="IRNazanin" w:cs="IRNazanin"/>
          <w:color w:val="111111"/>
          <w:sz w:val="28"/>
          <w:szCs w:val="28"/>
          <w:rtl w:val="true"/>
          <w:lang w:bidi="fa-IR"/>
        </w:rPr>
        <w:t xml:space="preserve">» </w:t>
      </w:r>
      <w:r>
        <w:rPr>
          <w:rStyle w:val="FootnoteAnchor"/>
          <w:rtl w:val="true"/>
        </w:rPr>
        <w:footnoteReference w:id="1834"/>
      </w:r>
      <w:r>
        <w:rPr>
          <w:rFonts w:ascii="IRNazanin" w:hAnsi="IRNazanin" w:eastAsia="IRNazanin"/>
          <w:color w:val="111111"/>
          <w:sz w:val="28"/>
          <w:sz w:val="28"/>
          <w:szCs w:val="28"/>
          <w:rtl w:val="true"/>
          <w:lang w:bidi="fa-IR"/>
        </w:rPr>
        <w:t>و أرسل الصدوق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یموت، أ یُکفَّن فی ثلاثة أثواب بغیر قمیص؟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القمیص أحبّ إلیّ</w:t>
      </w:r>
      <w:r>
        <w:rPr>
          <w:rFonts w:eastAsia="IRNazanin" w:cs="IRNazanin"/>
          <w:color w:val="111111"/>
          <w:sz w:val="28"/>
          <w:szCs w:val="28"/>
          <w:rtl w:val="true"/>
          <w:lang w:bidi="fa-IR"/>
        </w:rPr>
        <w:t xml:space="preserve">» </w:t>
      </w:r>
      <w:r>
        <w:rPr>
          <w:rStyle w:val="FootnoteAnchor"/>
          <w:rtl w:val="true"/>
        </w:rPr>
        <w:footnoteReference w:id="1835"/>
      </w:r>
      <w:r>
        <w:rPr>
          <w:rFonts w:ascii="IRNazanin" w:hAnsi="IRNazanin" w:eastAsia="IRNazanin"/>
          <w:color w:val="111111"/>
          <w:sz w:val="28"/>
          <w:sz w:val="28"/>
          <w:szCs w:val="28"/>
          <w:rtl w:val="true"/>
          <w:lang w:bidi="fa-IR"/>
        </w:rPr>
        <w:t xml:space="preserve">و الظاهر أنّ هذه هی الروایة السابقة </w:t>
      </w:r>
      <w:r>
        <w:rPr>
          <w:rStyle w:val="FootnoteAnchor"/>
          <w:rtl w:val="true"/>
        </w:rPr>
        <w:footnoteReference w:id="1836"/>
      </w:r>
      <w:r>
        <w:rPr>
          <w:rFonts w:ascii="IRNazanin" w:hAnsi="IRNazanin" w:eastAsia="IRNazanin"/>
          <w:color w:val="111111"/>
          <w:sz w:val="28"/>
          <w:sz w:val="28"/>
          <w:szCs w:val="28"/>
          <w:rtl w:val="true"/>
          <w:lang w:bidi="fa-IR"/>
        </w:rPr>
        <w:t>أرسلها الصدوق منقولة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التعویل علی ظاهرها فی الخروج عن ظاهر الروایات إشکال، فالأحوط بل الأقوی تعیّن القمیص</w:t>
      </w:r>
      <w:r>
        <w:rPr>
          <w:rFonts w:eastAsia="IRNazanin" w:cs="IRNazanin"/>
          <w:color w:val="111111"/>
          <w:sz w:val="28"/>
          <w:szCs w:val="28"/>
          <w:rtl w:val="true"/>
          <w:lang w:bidi="fa-IR"/>
        </w:rPr>
        <w:t>.</w:t>
      </w:r>
    </w:p>
    <w:p>
      <w:pPr>
        <w:pStyle w:val="Heading6"/>
        <w:numPr>
          <w:ilvl w:val="5"/>
          <w:numId w:val="1"/>
        </w:numPr>
        <w:rPr/>
      </w:pPr>
      <w:bookmarkStart w:id="277" w:name="__RefHeading___Toc6530272_3224264995"/>
      <w:bookmarkStart w:id="278" w:name="_Toc108"/>
      <w:bookmarkEnd w:id="277"/>
      <w:r>
        <w:rPr>
          <w:rtl w:val="true"/>
        </w:rPr>
        <w:t>[</w:t>
      </w:r>
      <w:r>
        <w:rPr/>
        <w:t>3</w:t>
      </w:r>
      <w:r>
        <w:rPr>
          <w:rtl w:val="true"/>
        </w:rPr>
        <w:t xml:space="preserve">- </w:t>
      </w:r>
      <w:r>
        <w:rPr>
          <w:rtl w:val="true"/>
        </w:rPr>
        <w:t>الإزار</w:t>
      </w:r>
      <w:r>
        <w:rPr>
          <w:rtl w:val="true"/>
        </w:rPr>
        <w:t>]</w:t>
      </w:r>
      <w:bookmarkEnd w:id="27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ثوب شامل للبدن،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زیادة علی ذلک بحیث یمکن شدّها من قبل رأسه و رجلیه </w:t>
      </w:r>
      <w:r>
        <w:rPr>
          <w:rStyle w:val="FootnoteAnchor"/>
          <w:rtl w:val="true"/>
        </w:rPr>
        <w:footnoteReference w:id="1837"/>
      </w:r>
      <w:r>
        <w:rPr>
          <w:rFonts w:ascii="IRNazanin" w:hAnsi="IRNazanin" w:eastAsia="IRNazanin"/>
          <w:color w:val="111111"/>
          <w:sz w:val="28"/>
          <w:sz w:val="28"/>
          <w:szCs w:val="28"/>
          <w:rtl w:val="true"/>
          <w:lang w:bidi="fa-IR"/>
        </w:rPr>
        <w:t>، و الواجب</w:t>
      </w:r>
    </w:p>
    <w:p>
      <w:pPr>
        <w:pStyle w:val="BookText"/>
        <w:rPr/>
      </w:pPr>
      <w:r>
        <w:rPr>
          <w:rFonts w:ascii="IRNazanin" w:hAnsi="IRNazanin" w:eastAsia="IRNazanin"/>
          <w:color w:val="111111"/>
          <w:sz w:val="28"/>
          <w:sz w:val="28"/>
          <w:szCs w:val="28"/>
          <w:rtl w:val="true"/>
          <w:lang w:bidi="fa-IR"/>
        </w:rPr>
        <w:t>فیها عرضاً أن یشمل البدن کذلک و لو بالخیاطة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الفرق بین الطول و العرض نظر، فالاکتفاء بالخیاطة فی الأوّل أیضاً له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اعتباره ممّا لا خلاف فیه نصّاً </w:t>
      </w:r>
      <w:r>
        <w:rPr>
          <w:rStyle w:val="FootnoteAnchor"/>
          <w:rtl w:val="true"/>
        </w:rPr>
        <w:footnoteReference w:id="1838"/>
      </w:r>
      <w:r>
        <w:rPr>
          <w:rFonts w:ascii="IRNazanin" w:hAnsi="IRNazanin" w:eastAsia="IRNazanin"/>
          <w:color w:val="111111"/>
          <w:sz w:val="28"/>
          <w:sz w:val="28"/>
          <w:szCs w:val="28"/>
          <w:rtl w:val="true"/>
          <w:lang w:bidi="fa-IR"/>
        </w:rPr>
        <w:t>و فتوی، و إن خلی بعض الأخبار عن ذکره لوضوح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یراعی فی جنس هذه الأثواب التوسّط باعتبار اللائق بحال المیّت عرفاً، فلا یجب الاقتصار علی أدون المراتب و إن ماکس الوارث أو کانوا صغاراً؛ حملًا لإطلاق اللفظ علی المتعارف </w:t>
      </w:r>
      <w:r>
        <w:rPr>
          <w:rStyle w:val="FootnoteAnchor"/>
          <w:rtl w:val="true"/>
        </w:rPr>
        <w:footnoteReference w:id="1839"/>
      </w:r>
      <w:r>
        <w:rPr>
          <w:rFonts w:ascii="IRNazanin" w:hAnsi="IRNazanin" w:eastAsia="IRNazanin"/>
          <w:color w:val="111111"/>
          <w:sz w:val="28"/>
          <w:sz w:val="28"/>
          <w:szCs w:val="28"/>
          <w:rtl w:val="true"/>
          <w:lang w:bidi="fa-IR"/>
        </w:rPr>
        <w:t xml:space="preserve">، و استحسنه فی الروض؛ لأنّ العرف هو المحکّم فی أمثال ذلک ممّا لم یرد فیه تقدیر شرعی </w:t>
      </w:r>
      <w:r>
        <w:rPr>
          <w:rStyle w:val="FootnoteAnchor"/>
          <w:rtl w:val="true"/>
        </w:rPr>
        <w:footnoteReference w:id="1840"/>
      </w:r>
      <w:r>
        <w:rPr>
          <w:rFonts w:ascii="IRNazanin" w:hAnsi="IRNazanin" w:eastAsia="IRNazanin"/>
          <w:color w:val="111111"/>
          <w:sz w:val="28"/>
          <w:sz w:val="28"/>
          <w:szCs w:val="28"/>
          <w:rtl w:val="true"/>
          <w:lang w:bidi="fa-IR"/>
        </w:rPr>
        <w:t xml:space="preserve">، و تبعهما علی ذلک غیر واحد من متأخّری المتأخّرین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مستنده ما یستفاد من أدلّة استحقاق المیّت من ماله الکفن </w:t>
      </w:r>
      <w:r>
        <w:rPr>
          <w:rStyle w:val="FootnoteAnchor"/>
          <w:rtl w:val="true"/>
        </w:rPr>
        <w:footnoteReference w:id="1842"/>
      </w:r>
      <w:r>
        <w:rPr>
          <w:rFonts w:ascii="IRNazanin" w:hAnsi="IRNazanin" w:eastAsia="IRNazanin"/>
          <w:color w:val="111111"/>
          <w:sz w:val="28"/>
          <w:sz w:val="28"/>
          <w:szCs w:val="28"/>
          <w:rtl w:val="true"/>
          <w:lang w:bidi="fa-IR"/>
        </w:rPr>
        <w:t>، فإنّ المتبادر منه هو الکفن اللائق بحاله الذی لا یوجب مهانته فی أنظار الناس، کما یستحقّ المفلّس من ماله اللباس اللائق، فلو لم یکن فی الکفن اللائق إلّا مزیّة دنیویّة و اعتناء دنیوی بالمیّت کفی استحقاقه له من ماله،</w:t>
      </w:r>
    </w:p>
    <w:p>
      <w:pPr>
        <w:pStyle w:val="BookText"/>
        <w:rPr/>
      </w:pPr>
      <w:r>
        <w:rPr>
          <w:rFonts w:ascii="IRNazanin" w:hAnsi="IRNazanin" w:eastAsia="IRNazanin"/>
          <w:color w:val="111111"/>
          <w:sz w:val="28"/>
          <w:sz w:val="28"/>
          <w:szCs w:val="28"/>
          <w:rtl w:val="true"/>
          <w:lang w:bidi="fa-IR"/>
        </w:rPr>
        <w:t xml:space="preserve">کیف؟ و قد ورد فی کثیر من الأخبار رجحان إجادة الکفن و کونه زینة للمیّت، و أنّ الموتی یتباهون بأکفانهم؟ </w:t>
      </w:r>
      <w:r>
        <w:rPr>
          <w:rStyle w:val="FootnoteAnchor"/>
          <w:rtl w:val="true"/>
        </w:rPr>
        <w:footnoteReference w:id="1843"/>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الکفن عرفاً و شرعاً احترام المیّت، و اعتناء به فی الدنیا و الآخرة، فهو أولی بمراعاة الشارع کونه لائقاً بحال المیّت من اللباس الدنیوی المراعی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ما عن المحکیّ عن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المناقشة فی الحکم المذکور؛ من حیث عدم الدلیل علی جواز ذلک مع نزاع الورثة أو کونهم صغاراً،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یستفاد ذلک من جواز أخذ ما یصدق علیه الکفن و من العرف </w:t>
      </w:r>
      <w:r>
        <w:rPr>
          <w:rStyle w:val="FootnoteAnchor"/>
          <w:rtl w:val="true"/>
        </w:rPr>
        <w:footnoteReference w:id="18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جواز ما یصدق علیه الکفن یوجب جواز مزاحمة الوارث، إذ لیس للولیّ أو غیره ممّن یباشر أُمور المیّت إلّا تجهیزه الواجب، و حیث یتحقّق بغیر ذلک الکفن فلا سلطان له علی الوارث فی الزائد، مع أنّ ما ذکره یوجب جواز التکفین بل مطلق التجهیز بما فوق اللائق و إن لم یأذن الوارث، فما ذکره أخیراً من الرجوع إلی العرف هو الأجود بالتقریب الذی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اختار الولیّ التکفین بالأدون لم یکن آثماً و کان الباقی للورثة؛ لأنّ أدلّة وجوب التکفین لم توجب التکفین إلّا بمطلق ما یصدق علیه الکفن، و لا ینافی ذلک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استحقاق المیّت للکفن اللائق، فتدبّر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هل یعتبر فی کلّ ثوب من الثلاثة أن لا یکون حاکیاً، کما فی</w:t>
      </w:r>
    </w:p>
    <w:p>
      <w:pPr>
        <w:pStyle w:val="BookText"/>
        <w:rPr/>
      </w:pPr>
      <w:r>
        <w:rPr>
          <w:rFonts w:ascii="IRNazanin" w:hAnsi="IRNazanin" w:eastAsia="IRNazanin"/>
          <w:color w:val="111111"/>
          <w:sz w:val="28"/>
          <w:sz w:val="28"/>
          <w:szCs w:val="28"/>
          <w:rtl w:val="true"/>
          <w:lang w:bidi="fa-IR"/>
        </w:rPr>
        <w:t xml:space="preserve">الروض </w:t>
      </w:r>
      <w:r>
        <w:rPr>
          <w:rStyle w:val="FootnoteAnchor"/>
          <w:rtl w:val="true"/>
        </w:rPr>
        <w:footnoteReference w:id="1845"/>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1846"/>
      </w:r>
      <w:r>
        <w:rPr>
          <w:rFonts w:ascii="IRNazanin" w:hAnsi="IRNazanin" w:eastAsia="IRNazanin"/>
          <w:color w:val="111111"/>
          <w:sz w:val="28"/>
          <w:sz w:val="28"/>
          <w:szCs w:val="28"/>
          <w:rtl w:val="true"/>
          <w:lang w:bidi="fa-IR"/>
        </w:rPr>
        <w:t>لأنّه المتبادر من إطلاق الثوب، أو یکفی ستره بالمجموع؛ لحصول غرض التکفین به، أم لا یعتبر ذلک أیضاً؛ للأصل و الإطلاق؟ وجوه، بل أقوال خیرها أوسطها؛ لعدم الدلیل علی الأوّل، و التبادر غیر مسلّم بحیث یعتنی به فی رفع الید عن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کون ما یکفَّن به ممّا یصلّی فیه، فهی ضابطة لبیان جنس الکفن، لا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الثالث مضافاً إلی شذوذه بل عدم القول به إلّا من بعض متأخّری المتأخّرین </w:t>
      </w:r>
      <w:r>
        <w:rPr>
          <w:rStyle w:val="FootnoteAnchor"/>
          <w:rtl w:val="true"/>
        </w:rPr>
        <w:footnoteReference w:id="1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علم أنّ مقصود الشارع من التکفین هو ستر البدن، کما نبّه علیه فی ظاهر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ثوب یواری فیه جسده کلّه</w:t>
      </w:r>
      <w:r>
        <w:rPr>
          <w:rFonts w:eastAsia="IRNazanin" w:cs="IRNazanin"/>
          <w:color w:val="111111"/>
          <w:sz w:val="28"/>
          <w:szCs w:val="28"/>
          <w:rtl w:val="true"/>
          <w:lang w:bidi="fa-IR"/>
        </w:rPr>
        <w:t xml:space="preserve">» </w:t>
      </w:r>
      <w:r>
        <w:rPr>
          <w:rStyle w:val="FootnoteAnchor"/>
          <w:rtl w:val="true"/>
        </w:rPr>
        <w:footnoteReference w:id="1848"/>
      </w: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بالمواراة هنا إحاطة الکفن بالجسد </w:t>
      </w:r>
      <w:r>
        <w:rPr>
          <w:rStyle w:val="FootnoteAnchor"/>
          <w:rtl w:val="true"/>
        </w:rPr>
        <w:footnoteReference w:id="1849"/>
      </w:r>
      <w:r>
        <w:rPr>
          <w:rFonts w:ascii="IRNazanin" w:hAnsi="IRNazanin" w:eastAsia="IRNazanin"/>
          <w:color w:val="111111"/>
          <w:sz w:val="28"/>
          <w:sz w:val="28"/>
          <w:szCs w:val="28"/>
          <w:rtl w:val="true"/>
          <w:lang w:bidi="fa-IR"/>
        </w:rPr>
        <w:t>، لکن إرادة الإحاطة لا تنافی إرادتها علی وجه الستر تحقیقاً لمعنی المواراة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عن علل الفضل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بالتکفین لیلقی ربّه طاهر الجسد، و لئلّا تبدو عورته لمن یحمله أو یدفنه، و لئلّا یظهر علی الناس بعض حاله و قبح منظره، و لئلّا یقسو القلب بالنظر إلی مثل ذلک للعاهة و الفساد، و لأن یکون أطیب لأنفس الأحیاء، و لئلّا یبغضه حمیمه فیلغی</w:t>
      </w:r>
    </w:p>
    <w:p>
      <w:pPr>
        <w:pStyle w:val="BookText"/>
        <w:rPr/>
      </w:pPr>
      <w:r>
        <w:rPr>
          <w:rFonts w:ascii="IRNazanin" w:hAnsi="IRNazanin" w:eastAsia="IRNazanin"/>
          <w:color w:val="111111"/>
          <w:sz w:val="28"/>
          <w:sz w:val="28"/>
          <w:szCs w:val="28"/>
          <w:rtl w:val="true"/>
          <w:lang w:bidi="fa-IR"/>
        </w:rPr>
        <w:t>ذکره و مودّته و لا یحفظه فی ما خلف و أوصاه به و أمره به و أحبّ</w:t>
      </w:r>
      <w:r>
        <w:rPr>
          <w:rFonts w:eastAsia="IRNazanin" w:cs="IRNazanin"/>
          <w:color w:val="111111"/>
          <w:sz w:val="28"/>
          <w:szCs w:val="28"/>
          <w:rtl w:val="true"/>
          <w:lang w:bidi="fa-IR"/>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یعتبر فی الأثواب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المحض إجماعاً علی الظاهر المحکیّ عن جملة من العبائر </w:t>
      </w:r>
      <w:r>
        <w:rPr>
          <w:rStyle w:val="FootnoteAnchor"/>
          <w:rtl w:val="true"/>
        </w:rPr>
        <w:footnoteReference w:id="1851"/>
      </w:r>
      <w:r>
        <w:rPr>
          <w:rFonts w:ascii="IRNazanin" w:hAnsi="IRNazanin" w:eastAsia="IRNazanin"/>
          <w:color w:val="111111"/>
          <w:sz w:val="28"/>
          <w:sz w:val="28"/>
          <w:szCs w:val="28"/>
          <w:rtl w:val="true"/>
          <w:lang w:bidi="fa-IR"/>
        </w:rPr>
        <w:t>، و یدلّ علیه مضافاً إلی الکلّیة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کون الکفن من جنس ما یصلّی فیه الرجل خصوص مضمرة ابن راشد التی عدّها فی الذکری من المقبولات </w:t>
      </w:r>
      <w:r>
        <w:rPr>
          <w:rStyle w:val="FootnoteAnchor"/>
          <w:rtl w:val="true"/>
        </w:rPr>
        <w:footnoteReference w:id="18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ثیاب تعمل بالبصرة علی عمل العصب الیمانی من قزّ و قطن، هل یصلح أن یکفّن فیه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القطن أکثر فلا بأس</w:t>
      </w:r>
      <w:r>
        <w:rPr>
          <w:rFonts w:eastAsia="IRNazanin" w:cs="IRNazanin"/>
          <w:color w:val="111111"/>
          <w:sz w:val="28"/>
          <w:szCs w:val="28"/>
          <w:rtl w:val="true"/>
          <w:lang w:bidi="fa-IR"/>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یؤیّدها الأخبار الناهیة عن التکفین بکسوة الکعبة، مع التصریح فیها بجواز بیعها و هبتها و رجحان التبرّک بها </w:t>
      </w:r>
      <w:r>
        <w:rPr>
          <w:rStyle w:val="FootnoteAnchor"/>
          <w:rtl w:val="true"/>
        </w:rPr>
        <w:footnoteReference w:id="1854"/>
      </w:r>
      <w:r>
        <w:rPr>
          <w:rFonts w:ascii="IRNazanin" w:hAnsi="IRNazanin" w:eastAsia="IRNazanin"/>
          <w:color w:val="111111"/>
          <w:sz w:val="28"/>
          <w:sz w:val="28"/>
          <w:szCs w:val="28"/>
          <w:rtl w:val="true"/>
          <w:lang w:bidi="fa-IR"/>
        </w:rPr>
        <w:t>، فالظاهر أنّ النهی لیس إلّا لکونها من الحریر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النصوص و کثیر من معاقد الإجماع، بل صریح إجماع الذکری </w:t>
      </w:r>
      <w:r>
        <w:rPr>
          <w:rStyle w:val="FootnoteAnchor"/>
          <w:rtl w:val="true"/>
        </w:rPr>
        <w:footnoteReference w:id="1855"/>
      </w:r>
      <w:r>
        <w:rPr>
          <w:rFonts w:ascii="IRNazanin" w:hAnsi="IRNazanin" w:eastAsia="IRNazanin"/>
          <w:color w:val="111111"/>
          <w:sz w:val="28"/>
          <w:sz w:val="28"/>
          <w:szCs w:val="28"/>
          <w:rtl w:val="true"/>
          <w:lang w:bidi="fa-IR"/>
        </w:rPr>
        <w:t xml:space="preserve">کالإجماع الذی استظهره کاشف اللثام </w:t>
      </w:r>
      <w:r>
        <w:rPr>
          <w:rStyle w:val="FootnoteAnchor"/>
          <w:rtl w:val="true"/>
        </w:rPr>
        <w:footnoteReference w:id="1856"/>
      </w:r>
      <w:r>
        <w:rPr>
          <w:rFonts w:ascii="IRNazanin" w:hAnsi="IRNazanin" w:eastAsia="IRNazanin"/>
          <w:color w:val="111111"/>
          <w:sz w:val="28"/>
          <w:sz w:val="28"/>
          <w:szCs w:val="28"/>
          <w:rtl w:val="true"/>
          <w:lang w:bidi="fa-IR"/>
        </w:rPr>
        <w:t xml:space="preserve">هو عدم الفرق فی هذا الحکم بین الرجل و المرأة، فما احتمله المصنّف فی المحکیّ عن النهایة </w:t>
      </w:r>
      <w:r>
        <w:rPr>
          <w:rStyle w:val="FootnoteAnchor"/>
          <w:rtl w:val="true"/>
        </w:rPr>
        <w:footnoteReference w:id="1857"/>
      </w:r>
      <w:r>
        <w:rPr>
          <w:rFonts w:ascii="IRNazanin" w:hAnsi="IRNazanin" w:eastAsia="IRNazanin"/>
          <w:color w:val="111111"/>
          <w:sz w:val="28"/>
          <w:sz w:val="28"/>
          <w:szCs w:val="28"/>
          <w:rtl w:val="true"/>
          <w:lang w:bidi="fa-IR"/>
        </w:rPr>
        <w:t xml:space="preserve">و المنتهی </w:t>
      </w:r>
      <w:r>
        <w:rPr>
          <w:rStyle w:val="FootnoteAnchor"/>
          <w:rtl w:val="true"/>
        </w:rPr>
        <w:footnoteReference w:id="1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جواز تکفین المرأة به محلّ نظر، و إن کان یشهد له ما سیجی‌ء </w:t>
      </w:r>
      <w:r>
        <w:rPr>
          <w:rStyle w:val="FootnoteAnchor"/>
          <w:rtl w:val="true"/>
        </w:rPr>
        <w:footnoteReference w:id="1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عموم تنزیل المیّت منزلة المُحرِم، منضمّاً إلی ما دلّ علی جواز إحرام المرأة فی الحریر </w:t>
      </w:r>
      <w:r>
        <w:rPr>
          <w:rStyle w:val="FootnoteAnchor"/>
          <w:rtl w:val="true"/>
        </w:rPr>
        <w:footnoteReference w:id="1860"/>
      </w:r>
      <w:r>
        <w:rPr>
          <w:rFonts w:ascii="IRNazanin" w:hAnsi="IRNazanin" w:eastAsia="IRNazanin"/>
          <w:color w:val="111111"/>
          <w:sz w:val="28"/>
          <w:sz w:val="28"/>
          <w:szCs w:val="28"/>
          <w:rtl w:val="true"/>
          <w:lang w:bidi="fa-IR"/>
        </w:rPr>
        <w:t>، و هذا أولی ممّا استند إلیه هو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استصحاب جواز لبسه لهنّ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فظاهر المصنّف و جماعة </w:t>
      </w:r>
      <w:r>
        <w:rPr>
          <w:rStyle w:val="FootnoteAnchor"/>
          <w:rtl w:val="true"/>
        </w:rPr>
        <w:footnoteReference w:id="1862"/>
      </w:r>
      <w:r>
        <w:rPr>
          <w:rFonts w:ascii="IRNazanin" w:hAnsi="IRNazanin" w:eastAsia="IRNazanin"/>
          <w:color w:val="111111"/>
          <w:sz w:val="28"/>
          <w:sz w:val="28"/>
          <w:szCs w:val="28"/>
          <w:rtl w:val="true"/>
          <w:lang w:bidi="fa-IR"/>
        </w:rPr>
        <w:t>حیث اقتصروا علی المنع من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المنع من مطلق ما لا یجوز الصلاة فیه کأجزاء ما لا یؤکل لحمه و استجوده بعض </w:t>
      </w:r>
      <w:r>
        <w:rPr>
          <w:rStyle w:val="FootnoteAnchor"/>
          <w:rtl w:val="true"/>
        </w:rPr>
        <w:footnoteReference w:id="1863"/>
      </w:r>
      <w:r>
        <w:rPr>
          <w:rFonts w:ascii="IRNazanin" w:hAnsi="IRNazanin" w:eastAsia="IRNazanin"/>
          <w:color w:val="111111"/>
          <w:sz w:val="28"/>
          <w:sz w:val="28"/>
          <w:szCs w:val="28"/>
          <w:rtl w:val="true"/>
          <w:lang w:bidi="fa-IR"/>
        </w:rPr>
        <w:t xml:space="preserve">من حیث عدم الدلیل علی هذه الکلّیة، و إنّما منع من الحریر لما تقدّم </w:t>
      </w:r>
      <w:r>
        <w:rPr>
          <w:rStyle w:val="FootnoteAnchor"/>
          <w:rtl w:val="true"/>
        </w:rPr>
        <w:footnoteReference w:id="1864"/>
      </w:r>
      <w:r>
        <w:rPr>
          <w:rFonts w:ascii="IRNazanin" w:hAnsi="IRNazanin" w:eastAsia="IRNazanin"/>
          <w:color w:val="111111"/>
          <w:sz w:val="28"/>
          <w:sz w:val="28"/>
          <w:szCs w:val="28"/>
          <w:rtl w:val="true"/>
          <w:lang w:bidi="fa-IR"/>
        </w:rPr>
        <w:t>من النصّ و الإجماع، کما منع من المتنجّس لأجلهما أیضاً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المغصوب فلا یختصّ تحریم التصرّف فیه بالتکفین، لکن فی الغنیة </w:t>
      </w:r>
      <w:r>
        <w:rPr>
          <w:rStyle w:val="FootnoteAnchor"/>
          <w:rtl w:val="true"/>
        </w:rPr>
        <w:footnoteReference w:id="1865"/>
      </w:r>
      <w:r>
        <w:rPr>
          <w:rFonts w:ascii="IRNazanin" w:hAnsi="IRNazanin" w:eastAsia="IRNazanin"/>
          <w:color w:val="111111"/>
          <w:sz w:val="28"/>
          <w:sz w:val="28"/>
          <w:szCs w:val="28"/>
          <w:rtl w:val="true"/>
          <w:lang w:bidi="fa-IR"/>
        </w:rPr>
        <w:t xml:space="preserve">کما عن السرائر </w:t>
      </w:r>
      <w:r>
        <w:rPr>
          <w:rStyle w:val="FootnoteAnchor"/>
          <w:rtl w:val="true"/>
        </w:rPr>
        <w:footnoteReference w:id="1866"/>
      </w:r>
      <w:r>
        <w:rPr>
          <w:rFonts w:ascii="IRNazanin" w:hAnsi="IRNazanin" w:eastAsia="IRNazanin"/>
          <w:color w:val="111111"/>
          <w:sz w:val="28"/>
          <w:sz w:val="28"/>
          <w:szCs w:val="28"/>
          <w:rtl w:val="true"/>
          <w:lang w:bidi="fa-IR"/>
        </w:rPr>
        <w:t xml:space="preserve">و الکافی لأبی الصلاح </w:t>
      </w:r>
      <w:r>
        <w:rPr>
          <w:rStyle w:val="FootnoteAnchor"/>
          <w:rtl w:val="true"/>
        </w:rPr>
        <w:footnoteReference w:id="1867"/>
      </w:r>
      <w:r>
        <w:rPr>
          <w:rFonts w:ascii="IRNazanin" w:hAnsi="IRNazanin" w:eastAsia="IRNazanin"/>
          <w:color w:val="111111"/>
          <w:sz w:val="28"/>
          <w:sz w:val="28"/>
          <w:szCs w:val="28"/>
          <w:rtl w:val="true"/>
          <w:lang w:bidi="fa-IR"/>
        </w:rPr>
        <w:t xml:space="preserve">و الوسیلة </w:t>
      </w:r>
      <w:r>
        <w:rPr>
          <w:rStyle w:val="FootnoteAnchor"/>
          <w:rtl w:val="true"/>
        </w:rPr>
        <w:footnoteReference w:id="1868"/>
      </w:r>
      <w:r>
        <w:rPr>
          <w:rFonts w:ascii="IRNazanin" w:hAnsi="IRNazanin" w:eastAsia="IRNazanin"/>
          <w:color w:val="111111"/>
          <w:sz w:val="28"/>
          <w:sz w:val="28"/>
          <w:szCs w:val="28"/>
          <w:rtl w:val="true"/>
          <w:lang w:bidi="fa-IR"/>
        </w:rPr>
        <w:t xml:space="preserve">و النافع </w:t>
      </w:r>
      <w:r>
        <w:rPr>
          <w:rStyle w:val="FootnoteAnchor"/>
          <w:rtl w:val="true"/>
        </w:rPr>
        <w:footnoteReference w:id="1869"/>
      </w:r>
    </w:p>
    <w:p>
      <w:pPr>
        <w:pStyle w:val="BookText"/>
        <w:rPr/>
      </w:pPr>
      <w:r>
        <w:rPr>
          <w:rFonts w:ascii="IRNazanin" w:hAnsi="IRNazanin" w:eastAsia="IRNazanin"/>
          <w:color w:val="111111"/>
          <w:sz w:val="28"/>
          <w:sz w:val="28"/>
          <w:szCs w:val="28"/>
          <w:rtl w:val="true"/>
          <w:lang w:bidi="fa-IR"/>
        </w:rPr>
        <w:t xml:space="preserve">و القواعد </w:t>
      </w:r>
      <w:r>
        <w:rPr>
          <w:rStyle w:val="FootnoteAnchor"/>
          <w:rtl w:val="true"/>
        </w:rPr>
        <w:footnoteReference w:id="1870"/>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87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872"/>
      </w:r>
      <w:r>
        <w:rPr>
          <w:rFonts w:ascii="IRNazanin" w:hAnsi="IRNazanin" w:eastAsia="IRNazanin"/>
          <w:color w:val="111111"/>
          <w:sz w:val="28"/>
          <w:sz w:val="28"/>
          <w:szCs w:val="28"/>
          <w:rtl w:val="true"/>
          <w:lang w:bidi="fa-IR"/>
        </w:rPr>
        <w:t>هو اعتبار هذه الکلّیة، بل استظهر من کلمات الثلاث الأخیرة کون المسألة من المسلّمات؛ و لذا قال المحقّق الأردبیلی فیما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اشتراطهم کون الکفن من جنس ما یصلّی فیه و کونه غیر جلد، فکأنّ دلیله الإجماع </w:t>
      </w:r>
      <w:r>
        <w:rPr>
          <w:rStyle w:val="FootnoteAnchor"/>
          <w:rtl w:val="true"/>
        </w:rPr>
        <w:footnoteReference w:id="187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صرّح بدعواه فی الغنیة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استدلّ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الاشتغال؛ بناءً علی عدم إطلاق فی أدلّة التکفین، و وجوب الرجوع فی أمثال المقام عند فقد الإطلاق إلی الاحتیاط</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علیه بروایة محمّد بن مسلم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تجمّروا الأکفان و لا تمسّوا موتاکم بالطیب إلّا الکافور فإنّ المیّت بمنزلة المحرِم</w:t>
      </w:r>
      <w:r>
        <w:rPr>
          <w:rFonts w:eastAsia="IRNazanin" w:cs="IRNazanin"/>
          <w:color w:val="111111"/>
          <w:sz w:val="28"/>
          <w:szCs w:val="28"/>
          <w:rtl w:val="true"/>
          <w:lang w:bidi="fa-IR"/>
        </w:rPr>
        <w:t xml:space="preserve">» </w:t>
      </w:r>
      <w:r>
        <w:rPr>
          <w:rStyle w:val="FootnoteAnchor"/>
          <w:rtl w:val="true"/>
        </w:rPr>
        <w:footnoteReference w:id="1875"/>
      </w:r>
      <w:r>
        <w:rPr>
          <w:rFonts w:ascii="IRNazanin" w:hAnsi="IRNazanin" w:eastAsia="IRNazanin"/>
          <w:color w:val="111111"/>
          <w:sz w:val="28"/>
          <w:sz w:val="28"/>
          <w:szCs w:val="28"/>
          <w:rtl w:val="true"/>
          <w:lang w:bidi="fa-IR"/>
        </w:rPr>
        <w:t xml:space="preserve">و رواها فی المحکیّ عن العلل عن أبیه عن سعد عن محمّد بن عیسی عن القاسم بن یحیی عن جدّه الحسن بن راشد عن الصادق علیه السلام </w:t>
      </w:r>
      <w:r>
        <w:rPr>
          <w:rStyle w:val="FootnoteAnchor"/>
          <w:rtl w:val="true"/>
        </w:rPr>
        <w:footnoteReference w:id="1876"/>
      </w:r>
      <w:r>
        <w:rPr>
          <w:rFonts w:ascii="IRNazanin" w:hAnsi="IRNazanin" w:eastAsia="IRNazanin"/>
          <w:color w:val="111111"/>
          <w:sz w:val="28"/>
          <w:sz w:val="28"/>
          <w:szCs w:val="28"/>
          <w:rtl w:val="true"/>
          <w:lang w:bidi="fa-IR"/>
        </w:rPr>
        <w:t>، دلّت علی تنزیل المیّت فی کلّ الأحکام منزلة المحرِم، فإذا انضمّ إلیه ما ورد فی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w:t>
      </w:r>
    </w:p>
    <w:p>
      <w:pPr>
        <w:pStyle w:val="BookText"/>
        <w:rPr/>
      </w:pPr>
      <w:r>
        <w:rPr>
          <w:rFonts w:ascii="IRNazanin" w:hAnsi="IRNazanin" w:eastAsia="IRNazanin"/>
          <w:color w:val="111111"/>
          <w:sz w:val="28"/>
          <w:sz w:val="28"/>
          <w:szCs w:val="28"/>
          <w:rtl w:val="true"/>
          <w:lang w:bidi="fa-IR"/>
        </w:rPr>
        <w:t>کون ما یحرم فیه من جنس ما یصلّی فیه، کحسنة حریز بابن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ثوب یصلّی فیه فلا بأس أن یحرم فیه</w:t>
      </w:r>
      <w:r>
        <w:rPr>
          <w:rFonts w:eastAsia="IRNazanin" w:cs="IRNazanin"/>
          <w:color w:val="111111"/>
          <w:sz w:val="28"/>
          <w:szCs w:val="28"/>
          <w:rtl w:val="true"/>
          <w:lang w:bidi="fa-IR"/>
        </w:rPr>
        <w:t xml:space="preserve">» </w:t>
      </w:r>
      <w:r>
        <w:rPr>
          <w:rStyle w:val="FootnoteAnchor"/>
          <w:rtl w:val="true"/>
        </w:rPr>
        <w:footnoteReference w:id="1877"/>
      </w:r>
      <w:r>
        <w:rPr>
          <w:rFonts w:ascii="IRNazanin" w:hAnsi="IRNazanin" w:eastAsia="IRNazanin"/>
          <w:color w:val="111111"/>
          <w:sz w:val="28"/>
          <w:sz w:val="28"/>
          <w:szCs w:val="28"/>
          <w:rtl w:val="true"/>
          <w:lang w:bidi="fa-IR"/>
        </w:rPr>
        <w:t>دلّ علی وجوب کون الکفن ممّا یجوز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الإمام علیه السلام هذا التنزیل علّةً لکراهة إمساس الطیب و تجمیر الأکفان دلیل علی کون التنزیل علی جهة الاستحباب بمعنی أنّه ینبغی أن ینزّل المیّت منزلة المحرم، لا أنّه کذلک لزوماً، و إلّا لحرم إمساسه الطیب، کما یحرم إمساس من مات محرماً الکافور ممنوعة؛ بعد فرض تسلیم عدم حرمة وضع الطیب علی المیّت کما سیجی‌ء </w:t>
      </w:r>
      <w:r>
        <w:rPr>
          <w:rStyle w:val="FootnoteAnchor"/>
          <w:rtl w:val="true"/>
        </w:rPr>
        <w:footnoteReference w:id="1878"/>
      </w:r>
      <w:r>
        <w:rPr>
          <w:rFonts w:ascii="IRNazanin" w:hAnsi="IRNazanin" w:eastAsia="IRNazanin"/>
          <w:color w:val="111111"/>
          <w:sz w:val="28"/>
          <w:sz w:val="28"/>
          <w:szCs w:val="28"/>
          <w:rtl w:val="true"/>
          <w:lang w:bidi="fa-IR"/>
        </w:rPr>
        <w:t>، و هذا بخلاف التلبّس بثوب الإحرام؛ فإنّه من أرکان الإحرام، فتنزیل المیّت منزلة المحرم یدلّ علی وجوب کسوته إیّاه، و جعل المیّت منزلة المحرم لا یوجب حرمة الإمساس و إنّما یوجب کراهته من حیث إنّه فی صورة التعریض للطیب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إمساس من مات محرماً بالکافور فهو حکم شرعیّ، و لیس العلّة فیه مراعاة کونه محرماً حال الحیاة؛ و لذا لا یراعی فیه سائر تروک الإحرام، و کیف کان فلا محیص عمّا علیه المشهور و ادّعی علیه الإجماع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یعتبر مع ذلک أن لا یکون من الجلود، کما صرّح به جماعة، منهم الشهید فی الذکری </w:t>
      </w:r>
      <w:r>
        <w:rPr>
          <w:rStyle w:val="FootnoteAnchor"/>
          <w:rtl w:val="true"/>
        </w:rPr>
        <w:footnoteReference w:id="1879"/>
      </w:r>
      <w:r>
        <w:rPr>
          <w:rFonts w:ascii="IRNazanin" w:hAnsi="IRNazanin" w:eastAsia="IRNazanin"/>
          <w:color w:val="111111"/>
          <w:sz w:val="28"/>
          <w:sz w:val="28"/>
          <w:szCs w:val="28"/>
          <w:rtl w:val="true"/>
          <w:lang w:bidi="fa-IR"/>
        </w:rPr>
        <w:t xml:space="preserve">، بل یظهر من عبارة الأردبیلی المتقدّمة </w:t>
      </w:r>
      <w:r>
        <w:rPr>
          <w:rStyle w:val="FootnoteAnchor"/>
          <w:rtl w:val="true"/>
        </w:rPr>
        <w:footnoteReference w:id="1880"/>
      </w:r>
      <w:r>
        <w:rPr>
          <w:rFonts w:ascii="IRNazanin" w:hAnsi="IRNazanin" w:eastAsia="IRNazanin"/>
          <w:color w:val="111111"/>
          <w:sz w:val="28"/>
          <w:sz w:val="28"/>
          <w:szCs w:val="28"/>
          <w:rtl w:val="true"/>
          <w:lang w:bidi="fa-IR"/>
        </w:rPr>
        <w:t>، بل</w:t>
      </w:r>
    </w:p>
    <w:p>
      <w:pPr>
        <w:pStyle w:val="BookText"/>
        <w:rPr/>
      </w:pPr>
      <w:r>
        <w:rPr>
          <w:rFonts w:ascii="IRNazanin" w:hAnsi="IRNazanin" w:eastAsia="IRNazanin"/>
          <w:color w:val="111111"/>
          <w:sz w:val="28"/>
          <w:sz w:val="28"/>
          <w:szCs w:val="28"/>
          <w:rtl w:val="true"/>
          <w:lang w:bidi="fa-IR"/>
        </w:rPr>
        <w:t xml:space="preserve">ظاهر عبارة الغنیة </w:t>
      </w:r>
      <w:r>
        <w:rPr>
          <w:rStyle w:val="FootnoteAnchor"/>
          <w:rtl w:val="true"/>
        </w:rPr>
        <w:footnoteReference w:id="1881"/>
      </w:r>
      <w:r>
        <w:rPr>
          <w:rFonts w:ascii="IRNazanin" w:hAnsi="IRNazanin" w:eastAsia="IRNazanin"/>
          <w:color w:val="111111"/>
          <w:sz w:val="28"/>
          <w:sz w:val="28"/>
          <w:szCs w:val="28"/>
          <w:rtl w:val="true"/>
          <w:lang w:bidi="fa-IR"/>
        </w:rPr>
        <w:t xml:space="preserve">کونها مظنّة الإجماع؟ الأقوی ذلک؛ لأدلّة اعتبار کون الکفن ثوباً </w:t>
      </w:r>
      <w:r>
        <w:rPr>
          <w:rStyle w:val="FootnoteAnchor"/>
          <w:rtl w:val="true"/>
        </w:rPr>
        <w:footnoteReference w:id="1882"/>
      </w:r>
      <w:r>
        <w:rPr>
          <w:rFonts w:ascii="IRNazanin" w:hAnsi="IRNazanin" w:eastAsia="IRNazanin"/>
          <w:color w:val="111111"/>
          <w:sz w:val="28"/>
          <w:sz w:val="28"/>
          <w:szCs w:val="28"/>
          <w:rtl w:val="true"/>
          <w:lang w:bidi="fa-IR"/>
        </w:rPr>
        <w:t>حیث إنّ المتبادر منه وضعاً أو انصرافاً ما عدا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جواز کونه من صوف ما یؤکل لحمه و وبره علی المشهور، خلافاً للمحکیّ عن الإسکافی </w:t>
      </w:r>
      <w:r>
        <w:rPr>
          <w:rStyle w:val="FootnoteAnchor"/>
          <w:rtl w:val="true"/>
        </w:rPr>
        <w:footnoteReference w:id="1883"/>
      </w:r>
      <w:r>
        <w:rPr>
          <w:rFonts w:ascii="IRNazanin" w:hAnsi="IRNazanin" w:eastAsia="IRNazanin"/>
          <w:color w:val="111111"/>
          <w:sz w:val="28"/>
          <w:sz w:val="28"/>
          <w:szCs w:val="28"/>
          <w:rtl w:val="true"/>
          <w:lang w:bidi="fa-IR"/>
        </w:rPr>
        <w:t xml:space="preserve">فمنعه فی الوبر، و ربما یحکی عنه المنع عن الشعر أیضاً </w:t>
      </w:r>
      <w:r>
        <w:rPr>
          <w:rStyle w:val="FootnoteAnchor"/>
          <w:rtl w:val="true"/>
        </w:rPr>
        <w:footnoteReference w:id="1884"/>
      </w:r>
      <w:r>
        <w:rPr>
          <w:rFonts w:ascii="IRNazanin" w:hAnsi="IRNazanin" w:eastAsia="IRNazanin"/>
          <w:color w:val="111111"/>
          <w:sz w:val="28"/>
          <w:sz w:val="28"/>
          <w:szCs w:val="28"/>
          <w:rtl w:val="true"/>
          <w:lang w:bidi="fa-IR"/>
        </w:rPr>
        <w:t>، و علی کلّ حال فلا دلیل علیه مع صدق الثوب، و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جواز الصوف </w:t>
      </w:r>
      <w:r>
        <w:rPr>
          <w:rStyle w:val="FootnoteAnchor"/>
          <w:rtl w:val="true"/>
        </w:rPr>
        <w:footnoteReference w:id="1885"/>
      </w:r>
      <w:r>
        <w:rPr>
          <w:rFonts w:ascii="IRNazanin" w:hAnsi="IRNazanin" w:eastAsia="IRNazanin"/>
          <w:color w:val="111111"/>
          <w:sz w:val="28"/>
          <w:sz w:val="28"/>
          <w:szCs w:val="28"/>
          <w:rtl w:val="true"/>
          <w:lang w:bidi="fa-IR"/>
        </w:rPr>
        <w:t xml:space="preserve">، و یؤیّده بعد الأصل و الإطلاقات الرضوی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أنّه لا یعتبر کونه منسوجاً؛ لصدق الثوب علی الملبود، و یظهر ممّن استند المنع </w:t>
      </w:r>
      <w:r>
        <w:rPr>
          <w:rStyle w:val="FootnoteAnchor"/>
          <w:rtl w:val="true"/>
        </w:rPr>
        <w:footnoteReference w:id="1887"/>
      </w:r>
      <w:r>
        <w:rPr>
          <w:rFonts w:ascii="IRNazanin" w:hAnsi="IRNazanin" w:eastAsia="IRNazanin"/>
          <w:color w:val="111111"/>
          <w:sz w:val="28"/>
          <w:sz w:val="28"/>
          <w:szCs w:val="28"/>
          <w:rtl w:val="true"/>
          <w:lang w:bidi="fa-IR"/>
        </w:rPr>
        <w:t xml:space="preserve">عن الجلد إلی أنّ المتبادر من الثوب هو المنسوج کالمعتبر </w:t>
      </w:r>
      <w:r>
        <w:rPr>
          <w:rStyle w:val="FootnoteAnchor"/>
          <w:rtl w:val="true"/>
        </w:rPr>
        <w:footnoteReference w:id="1888"/>
      </w:r>
      <w:r>
        <w:rPr>
          <w:rFonts w:ascii="IRNazanin" w:hAnsi="IRNazanin" w:eastAsia="IRNazanin"/>
          <w:color w:val="111111"/>
          <w:sz w:val="28"/>
          <w:sz w:val="28"/>
          <w:szCs w:val="28"/>
          <w:rtl w:val="true"/>
          <w:lang w:bidi="fa-IR"/>
        </w:rPr>
        <w:t xml:space="preserve">و المدارک </w:t>
      </w:r>
      <w:r>
        <w:rPr>
          <w:rStyle w:val="FootnoteAnchor"/>
          <w:rtl w:val="true"/>
        </w:rPr>
        <w:footnoteReference w:id="1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النسج، و فیه نظر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اعتبار طهارة الأثواب، فیدلّ علیه مضافاً إلی الکلّیة المتقدّمة </w:t>
      </w:r>
      <w:r>
        <w:rPr>
          <w:rStyle w:val="FootnoteAnchor"/>
          <w:rtl w:val="true"/>
        </w:rPr>
        <w:footnoteReference w:id="1890"/>
      </w:r>
      <w:r>
        <w:rPr>
          <w:rFonts w:ascii="IRNazanin" w:hAnsi="IRNazanin" w:eastAsia="IRNazanin"/>
          <w:color w:val="111111"/>
          <w:sz w:val="28"/>
          <w:sz w:val="28"/>
          <w:szCs w:val="28"/>
          <w:rtl w:val="true"/>
          <w:lang w:bidi="fa-IR"/>
        </w:rPr>
        <w:t>، إلّا أن یراد بها بیان الجنس لا الوصف کما تقدّم فی اعتبار الساتریّة، و إلی</w:t>
      </w:r>
    </w:p>
    <w:p>
      <w:pPr>
        <w:pStyle w:val="BookText"/>
        <w:rPr/>
      </w:pPr>
      <w:r>
        <w:rPr>
          <w:rFonts w:ascii="IRNazanin" w:hAnsi="IRNazanin" w:eastAsia="IRNazanin"/>
          <w:color w:val="111111"/>
          <w:sz w:val="28"/>
          <w:sz w:val="28"/>
          <w:szCs w:val="28"/>
          <w:rtl w:val="true"/>
          <w:lang w:bidi="fa-IR"/>
        </w:rPr>
        <w:t xml:space="preserve">الإجماع المحکیّ عن المعتبر </w:t>
      </w:r>
      <w:r>
        <w:rPr>
          <w:rStyle w:val="FootnoteAnchor"/>
          <w:rtl w:val="true"/>
        </w:rPr>
        <w:footnoteReference w:id="1891"/>
      </w:r>
      <w:r>
        <w:rPr>
          <w:rFonts w:ascii="IRNazanin" w:hAnsi="IRNazanin" w:eastAsia="IRNazanin"/>
          <w:color w:val="111111"/>
          <w:sz w:val="28"/>
          <w:sz w:val="28"/>
          <w:szCs w:val="28"/>
          <w:rtl w:val="true"/>
          <w:lang w:bidi="fa-IR"/>
        </w:rPr>
        <w:t xml:space="preserve">و التذکرة </w:t>
      </w:r>
      <w:r>
        <w:rPr>
          <w:rStyle w:val="FootnoteAnchor"/>
          <w:rtl w:val="true"/>
        </w:rPr>
        <w:footnoteReference w:id="1892"/>
      </w:r>
      <w:r>
        <w:rPr>
          <w:rFonts w:ascii="IRNazanin" w:hAnsi="IRNazanin" w:eastAsia="IRNazanin"/>
          <w:color w:val="111111"/>
          <w:sz w:val="28"/>
          <w:sz w:val="28"/>
          <w:szCs w:val="28"/>
          <w:rtl w:val="true"/>
          <w:lang w:bidi="fa-IR"/>
        </w:rPr>
        <w:t xml:space="preserve">و الذکری </w:t>
      </w:r>
      <w:r>
        <w:rPr>
          <w:rStyle w:val="FootnoteAnchor"/>
          <w:rtl w:val="true"/>
        </w:rPr>
        <w:footnoteReference w:id="1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من وجوب إزالة النجاسة عن الکفن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الاختیار، و مع الاضطرار فلا ریب فی المنع فی المغصوب، و أمّا غیره فعن الذکری أنّ فیه وجوهاً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لإطلاقه، و الجواز لئلّا یدفن عاریاً مع وجوب ستره و لو بالحجر، و وجوب ستر العورة حالة الصلاة ثمّ ینزع بعد، و حینئذٍ فالجلد مقدّم لعدم صریح النهی فیه، ثمّ النجس لعروض المانع، ثمّ الحریر لجواز صلاتهنّ فیه اختیاراً </w:t>
      </w:r>
      <w:r>
        <w:rPr>
          <w:rStyle w:val="FootnoteAnchor"/>
          <w:rtl w:val="true"/>
        </w:rPr>
        <w:footnoteReference w:id="189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الفرق بین النجس و غیره، فأجاز الأوّل؛ لعدم وجوب نزعه عن المیّت لو استوعب الکفن و تعذّر غسله و قرضه، و لأنه آئلٌ إلی النجاسة عن قریب فأمره أخفّ، و منع فی الثانی؛ لإطلاق أدلّة المنع کما عرفت فی الحریر، مع الأمر بنزع الجلود عن الشهید،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اضطرّ إلی ستر عورته للصلاة و لم یوجد إلّا الممنوع منه أمکن الستر بأحد هذه الأشیاء من غیر ترتّب؛ لعدم الدلیل علیه، مع احتمال وضعه فی القبر علی وجه لا تری عورته ثمّ یصلّی علیه </w:t>
      </w:r>
      <w:r>
        <w:rPr>
          <w:rStyle w:val="FootnoteAnchor"/>
          <w:rtl w:val="true"/>
        </w:rPr>
        <w:footnoteReference w:id="189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توقّف فی البیان بین ما لو دار بین غیر المأکول و الحریر و المتنجّس </w:t>
      </w:r>
      <w:r>
        <w:rPr>
          <w:rStyle w:val="FootnoteAnchor"/>
          <w:rtl w:val="true"/>
        </w:rPr>
        <w:footnoteReference w:id="18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التفرقة بین ما منع عنه للدلیل و ما منع عنه لعدم الدلیل علی جوازه </w:t>
      </w:r>
      <w:r>
        <w:rPr>
          <w:rStyle w:val="FootnoteAnchor"/>
          <w:rtl w:val="true"/>
        </w:rPr>
        <w:footnoteReference w:id="1897"/>
      </w:r>
      <w:r>
        <w:rPr>
          <w:rFonts w:ascii="IRNazanin" w:hAnsi="IRNazanin" w:eastAsia="IRNazanin"/>
          <w:color w:val="111111"/>
          <w:sz w:val="28"/>
          <w:sz w:val="28"/>
          <w:szCs w:val="28"/>
          <w:rtl w:val="true"/>
          <w:lang w:bidi="fa-IR"/>
        </w:rPr>
        <w:t>، و هو مبنیّ علی استناده فی المنع عمّا لا یؤکل لحمه إلی أصالة الاشتغال و توقیفیّة التکفین، و قد عرفت الدلیل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الجمیع نظر، فالأظهر وجوب الستر بکلّ واحد من هذه عند الانحصار؛ لما استفید من أخبار علّة تکفین المیّت </w:t>
      </w:r>
      <w:r>
        <w:rPr>
          <w:rStyle w:val="FootnoteAnchor"/>
          <w:rtl w:val="true"/>
        </w:rPr>
        <w:footnoteReference w:id="1898"/>
      </w:r>
      <w:r>
        <w:rPr>
          <w:rFonts w:ascii="Amiri" w:hAnsi="Amiri" w:eastAsia="Amiri" w:cs="Amiri"/>
          <w:color w:val="111111"/>
          <w:sz w:val="28"/>
          <w:sz w:val="28"/>
          <w:szCs w:val="28"/>
          <w:rtl w:val="true"/>
          <w:lang w:bidi="ar-SA"/>
        </w:rPr>
        <w:t xml:space="preserve">، و من کون حرمته میّتاً کحرمته حیّاً </w:t>
      </w:r>
      <w:r>
        <w:rPr>
          <w:rStyle w:val="FootnoteAnchor"/>
          <w:rtl w:val="true"/>
        </w:rPr>
        <w:footnoteReference w:id="1899"/>
      </w:r>
      <w:r>
        <w:rPr>
          <w:rFonts w:ascii="IRNazanin" w:hAnsi="IRNazanin" w:eastAsia="IRNazanin"/>
          <w:color w:val="111111"/>
          <w:sz w:val="28"/>
          <w:sz w:val="28"/>
          <w:szCs w:val="28"/>
          <w:rtl w:val="true"/>
          <w:lang w:bidi="fa-IR"/>
        </w:rPr>
        <w:t>، و من أنّ أصل ستر بدن المیّت مطلوب، مضافاً إلی إطلاق ثلاثة الأثواب فی بیان الکفن الواجب، و انصراف أدلّة المنع عن المذکورات إلی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بعدم الوجوب، فالظاهر الجواز بإذن الوارث و عدم الحرمة؛ إذ مع قصد الاحتیاط لا یعدّ ذلک إضاعة للمال و لا تشریعاً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الانحصار فی واحد، و أمّا مع وجود اثنین منها أو ثلاثة، فالأقوی تقدیم الثوب النجس علی الحریر و غیر المأکول؛ لإطلاق دلیل المنع فیهما، و عدم شمول دلیل اعتبار الطهارة لما نحن فیه، إمّا لکون العمدة هو نقل الإجماع المنفیّ فی المقام، و إمّا لأنّه و إن کان دلیلًا لفظیّاً مطلقاً إلّا أنّ تقیید الثوب بالطاهر متأخّر عن تقییده بکونه غیر حریر أو ممّا یجوز </w:t>
      </w:r>
      <w:r>
        <w:rPr>
          <w:rStyle w:val="FootnoteAnchor"/>
          <w:rtl w:val="true"/>
        </w:rPr>
        <w:footnoteReference w:id="1900"/>
      </w:r>
      <w:r>
        <w:rPr>
          <w:rFonts w:ascii="IRNazanin" w:hAnsi="IRNazanin" w:eastAsia="IRNazanin"/>
          <w:color w:val="111111"/>
          <w:sz w:val="28"/>
          <w:sz w:val="28"/>
          <w:szCs w:val="28"/>
          <w:rtl w:val="true"/>
          <w:lang w:bidi="fa-IR"/>
        </w:rPr>
        <w:t>الصلاة، لا بمعنی الترتیب فی التقیید اللفظی؛ ضرورة عدم الترتیب فی ورود القیود علی مطلق واحد، بل بمعنی أنّ الملحوظ فی نظر الشارع اعتبار وصف طهارة</w:t>
      </w:r>
    </w:p>
    <w:p>
      <w:pPr>
        <w:pStyle w:val="BookText"/>
        <w:rPr/>
      </w:pPr>
      <w:r>
        <w:rPr>
          <w:rFonts w:ascii="IRNazanin" w:hAnsi="IRNazanin" w:eastAsia="IRNazanin"/>
          <w:color w:val="111111"/>
          <w:sz w:val="28"/>
          <w:sz w:val="28"/>
          <w:szCs w:val="28"/>
          <w:rtl w:val="true"/>
          <w:lang w:bidi="fa-IR"/>
        </w:rPr>
        <w:t>الثوب بعد اعتبار کون ذاته ممّا یجوز فیه الصلاة؛ بمعنی أنّه اعتبر کون هذا الجنس الخاصّ من الثوب طاهراً فی حال الاختیار، و المفروض عدم التمکّن فی المقام من هذا الجنس الخاصّ الطاهر، فیجوز هذا الجنس الخاصّ و إن لم یکن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ذلک فی لباس المصلی عند تحقیق معنی قول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فوات الوصف أولی من فوات الموصوف فیما لو دار الأمر بین المتنجّس و غیره </w:t>
      </w:r>
      <w:r>
        <w:rPr>
          <w:rStyle w:val="FootnoteAnchor"/>
          <w:rtl w:val="true"/>
        </w:rPr>
        <w:footnoteReference w:id="1901"/>
      </w:r>
      <w:r>
        <w:rPr>
          <w:rFonts w:ascii="IRNazanin" w:hAnsi="IRNazanin" w:eastAsia="IRNazanin"/>
          <w:color w:val="111111"/>
          <w:sz w:val="28"/>
          <w:sz w:val="28"/>
          <w:szCs w:val="28"/>
          <w:rtl w:val="true"/>
          <w:lang w:bidi="fa-IR"/>
        </w:rPr>
        <w:t>، و قد أشار إلی هذا المطلب هنا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النجس لعروض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تفصیله ما ذکرنا، لا ما یتوهّم من أنّ هذا یعنی ترخیص الممنوع عنه لوصفه عند دوران الأمر بینه و بین الممنوع عنه لذاته أمر اعتباریّ لا یساعده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دار الأمر بین الحریر و غیر المأکول، ففیه إشکال، و لا یبعد تقدیم الثانی للرجال و الأوّل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دار الأمر بین جلد المأکول و بین ثوب الحریر، فعن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تقدیمه علی الحریر </w:t>
      </w:r>
      <w:r>
        <w:rPr>
          <w:rStyle w:val="FootnoteAnchor"/>
          <w:rtl w:val="true"/>
        </w:rPr>
        <w:footnoteReference w:id="1902"/>
      </w:r>
      <w:r>
        <w:rPr>
          <w:rFonts w:ascii="IRNazanin" w:hAnsi="IRNazanin" w:eastAsia="IRNazanin"/>
          <w:color w:val="111111"/>
          <w:sz w:val="28"/>
          <w:sz w:val="28"/>
          <w:szCs w:val="28"/>
          <w:rtl w:val="true"/>
          <w:lang w:bidi="fa-IR"/>
        </w:rPr>
        <w:t>و لعلّه لإطلاق حرمة الحریر، و إلّا فالجلد لا یطلق علیه الثوب، بخلاف غیر الحریر فیجب تقدیمه، و حمل اشتراط عدم الحریر به فی الثوب علی حال الاضطرار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تقدیم الثوب من غیر المأکول علی جلد المأکول؛ لأنّه لا یعدّ ثوباً إلّا أن یستفاد من کلمات الشارع أهمّیة کونه ممّا یؤکل من کونه ثوباً، و أنّ اعتبار الثوبیّة لأجل الاقتصار فی أوامر التکفین علیه لا لأجل</w:t>
      </w:r>
      <w:bookmarkStart w:id="279" w:name="pg13042_127209"/>
    </w:p>
    <w:p>
      <w:pPr>
        <w:pStyle w:val="BookText"/>
        <w:rPr/>
      </w:pPr>
      <w:bookmarkEnd w:id="279"/>
      <w:r>
        <w:rPr>
          <w:rFonts w:ascii="IRNazanin" w:hAnsi="IRNazanin" w:eastAsia="IRNazanin"/>
          <w:color w:val="111111"/>
          <w:sz w:val="28"/>
          <w:sz w:val="28"/>
          <w:szCs w:val="28"/>
          <w:rtl w:val="true"/>
          <w:lang w:bidi="fa-IR"/>
        </w:rPr>
        <w:t>المنع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لذا حکم فی الروضة بتقدیم الجلد علی الکلّ،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العجز فیجزی کلّ مباح، لکن یقدّم الجلد علی الحریر، و هو علی غیر المأکول من وبر و شعر و جلد ثمّ النجس، و یحتمل تقدیمه علی الحریر و ما بعده و علی غیر المأکول خاصّة، و المنع من غیر جلد المأکول مطلقاً </w:t>
      </w:r>
      <w:r>
        <w:rPr>
          <w:rStyle w:val="FootnoteAnchor"/>
          <w:rtl w:val="true"/>
        </w:rPr>
        <w:footnoteReference w:id="190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6"/>
        <w:numPr>
          <w:ilvl w:val="5"/>
          <w:numId w:val="1"/>
        </w:numPr>
        <w:rPr/>
      </w:pPr>
      <w:bookmarkStart w:id="280" w:name="__RefHeading___Toc6530274_3224264995"/>
      <w:bookmarkStart w:id="281" w:name="_Toc109"/>
      <w:bookmarkEnd w:id="280"/>
      <w:r>
        <w:rPr>
          <w:rtl w:val="true"/>
        </w:rPr>
        <w:t>[</w:t>
      </w:r>
      <w:r>
        <w:rPr>
          <w:rtl w:val="true"/>
        </w:rPr>
        <w:t>الحنوط</w:t>
      </w:r>
      <w:r>
        <w:rPr>
          <w:rtl w:val="true"/>
        </w:rPr>
        <w:t>]</w:t>
      </w:r>
      <w:bookmarkEnd w:id="281"/>
    </w:p>
    <w:p>
      <w:pPr>
        <w:pStyle w:val="BookText"/>
        <w:rPr/>
      </w:pPr>
      <w:r>
        <w:rPr>
          <w:rFonts w:ascii="IRNazanin" w:hAnsi="IRNazanin" w:eastAsia="IRNazanin"/>
          <w:color w:val="111111"/>
          <w:sz w:val="28"/>
          <w:sz w:val="28"/>
          <w:szCs w:val="28"/>
          <w:rtl w:val="true"/>
          <w:lang w:bidi="fa-IR"/>
        </w:rPr>
        <w:t xml:space="preserve">و یجب تحنیطه قبل التکفین کما عن القواعد </w:t>
      </w:r>
      <w:r>
        <w:rPr>
          <w:rStyle w:val="FootnoteAnchor"/>
          <w:rtl w:val="true"/>
        </w:rPr>
        <w:footnoteReference w:id="1904"/>
      </w:r>
      <w:r>
        <w:rPr>
          <w:rFonts w:ascii="IRNazanin" w:hAnsi="IRNazanin" w:eastAsia="IRNazanin"/>
          <w:color w:val="111111"/>
          <w:sz w:val="28"/>
          <w:sz w:val="28"/>
          <w:szCs w:val="28"/>
          <w:rtl w:val="true"/>
          <w:lang w:bidi="fa-IR"/>
        </w:rPr>
        <w:t xml:space="preserve">و غیره </w:t>
      </w:r>
      <w:r>
        <w:rPr>
          <w:rStyle w:val="FootnoteAnchor"/>
          <w:rtl w:val="true"/>
        </w:rPr>
        <w:footnoteReference w:id="1905"/>
      </w:r>
      <w:r>
        <w:rPr>
          <w:rFonts w:ascii="IRNazanin" w:hAnsi="IRNazanin" w:eastAsia="IRNazanin"/>
          <w:color w:val="111111"/>
          <w:sz w:val="28"/>
          <w:sz w:val="28"/>
          <w:szCs w:val="28"/>
          <w:rtl w:val="true"/>
          <w:lang w:bidi="fa-IR"/>
        </w:rPr>
        <w:t>لظاهر قولهما علیهما السلام فی مصحّحة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جفّفت المیّت عمدت إلی کافور مسحوق فمسحت به آثار السجود</w:t>
      </w:r>
      <w:r>
        <w:rPr>
          <w:rFonts w:eastAsia="IRNazanin" w:cs="IRNazanin"/>
          <w:color w:val="111111"/>
          <w:sz w:val="28"/>
          <w:szCs w:val="28"/>
          <w:rtl w:val="true"/>
          <w:lang w:bidi="fa-IR"/>
        </w:rPr>
        <w:t xml:space="preserve">» </w:t>
      </w:r>
      <w:r>
        <w:rPr>
          <w:rStyle w:val="FootnoteAnchor"/>
          <w:rtl w:val="true"/>
        </w:rPr>
        <w:footnoteReference w:id="1906"/>
      </w:r>
      <w:r>
        <w:rPr>
          <w:rFonts w:ascii="IRNazanin" w:hAnsi="IRNazanin" w:eastAsia="IRNazanin"/>
          <w:color w:val="111111"/>
          <w:sz w:val="28"/>
          <w:sz w:val="28"/>
          <w:szCs w:val="28"/>
          <w:rtl w:val="true"/>
          <w:lang w:bidi="fa-IR"/>
        </w:rPr>
        <w:t xml:space="preserve">و نحوها خبر یونس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المحکیّ عن الدعائم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تغسیله نشّفه بثوب و اجعل الکافور فی موضع سجوده و جبهته و أنفه و یدیه و رکبتیه و رجلیه</w:t>
      </w:r>
      <w:r>
        <w:rPr>
          <w:rFonts w:eastAsia="IRNazanin" w:cs="IRNazanin"/>
          <w:color w:val="111111"/>
          <w:sz w:val="28"/>
          <w:szCs w:val="28"/>
          <w:rtl w:val="true"/>
          <w:lang w:bidi="fa-IR"/>
        </w:rPr>
        <w:t xml:space="preserve">» </w:t>
      </w:r>
      <w:r>
        <w:rPr>
          <w:rStyle w:val="FootnoteAnchor"/>
          <w:rtl w:val="true"/>
        </w:rPr>
        <w:footnoteReference w:id="1908"/>
      </w:r>
      <w:r>
        <w:rPr>
          <w:rFonts w:ascii="IRNazanin" w:hAnsi="IRNazanin" w:eastAsia="IRNazanin"/>
          <w:color w:val="111111"/>
          <w:sz w:val="28"/>
          <w:sz w:val="28"/>
          <w:szCs w:val="28"/>
          <w:rtl w:val="true"/>
          <w:lang w:bidi="fa-IR"/>
        </w:rPr>
        <w:t>و نحوها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غسله حنّطه بثلاثة عشر درهماً و ثلث</w:t>
      </w:r>
      <w:r>
        <w:rPr>
          <w:rFonts w:eastAsia="IRNazanin" w:cs="IRNazanin"/>
          <w:color w:val="111111"/>
          <w:sz w:val="28"/>
          <w:szCs w:val="28"/>
          <w:rtl w:val="true"/>
          <w:lang w:bidi="fa-IR"/>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التأزیر بالمئزر، کما عن صریح المراسم </w:t>
      </w:r>
      <w:r>
        <w:rPr>
          <w:rStyle w:val="FootnoteAnchor"/>
          <w:rtl w:val="true"/>
        </w:rPr>
        <w:footnoteReference w:id="1910"/>
      </w:r>
      <w:r>
        <w:rPr>
          <w:rFonts w:ascii="IRNazanin" w:hAnsi="IRNazanin" w:eastAsia="IRNazanin"/>
          <w:color w:val="111111"/>
          <w:sz w:val="28"/>
          <w:sz w:val="28"/>
          <w:szCs w:val="28"/>
          <w:rtl w:val="true"/>
          <w:lang w:bidi="fa-IR"/>
        </w:rPr>
        <w:t xml:space="preserve">و المنتهی </w:t>
      </w:r>
      <w:r>
        <w:rPr>
          <w:rStyle w:val="FootnoteAnchor"/>
          <w:rtl w:val="true"/>
        </w:rPr>
        <w:footnoteReference w:id="1911"/>
      </w:r>
      <w:r>
        <w:rPr>
          <w:rFonts w:ascii="IRNazanin" w:hAnsi="IRNazanin" w:eastAsia="IRNazanin"/>
          <w:color w:val="111111"/>
          <w:sz w:val="28"/>
          <w:sz w:val="28"/>
          <w:szCs w:val="28"/>
          <w:rtl w:val="true"/>
          <w:lang w:bidi="fa-IR"/>
        </w:rPr>
        <w:t>و نهایة</w:t>
      </w:r>
    </w:p>
    <w:p>
      <w:pPr>
        <w:pStyle w:val="BookText"/>
        <w:rPr/>
      </w:pPr>
      <w:r>
        <w:rPr>
          <w:rFonts w:ascii="IRNazanin" w:hAnsi="IRNazanin" w:eastAsia="IRNazanin"/>
          <w:color w:val="111111"/>
          <w:sz w:val="28"/>
          <w:sz w:val="28"/>
          <w:szCs w:val="28"/>
          <w:rtl w:val="true"/>
          <w:lang w:bidi="fa-IR"/>
        </w:rPr>
        <w:t xml:space="preserve">الإحکام </w:t>
      </w:r>
      <w:r>
        <w:rPr>
          <w:rStyle w:val="FootnoteAnchor"/>
          <w:rtl w:val="true"/>
        </w:rPr>
        <w:footnoteReference w:id="1912"/>
      </w:r>
      <w:r>
        <w:rPr>
          <w:rFonts w:ascii="IRNazanin" w:hAnsi="IRNazanin" w:eastAsia="IRNazanin"/>
          <w:color w:val="111111"/>
          <w:sz w:val="28"/>
          <w:sz w:val="28"/>
          <w:szCs w:val="28"/>
          <w:rtl w:val="true"/>
          <w:lang w:bidi="fa-IR"/>
        </w:rPr>
        <w:t xml:space="preserve">و التحریر </w:t>
      </w:r>
      <w:r>
        <w:rPr>
          <w:rStyle w:val="FootnoteAnchor"/>
          <w:rtl w:val="true"/>
        </w:rPr>
        <w:footnoteReference w:id="1913"/>
      </w:r>
      <w:r>
        <w:rPr>
          <w:rFonts w:ascii="IRNazanin" w:hAnsi="IRNazanin" w:eastAsia="IRNazanin"/>
          <w:color w:val="111111"/>
          <w:sz w:val="28"/>
          <w:sz w:val="28"/>
          <w:szCs w:val="28"/>
          <w:rtl w:val="true"/>
          <w:lang w:bidi="fa-IR"/>
        </w:rPr>
        <w:t xml:space="preserve">و ظاهر المبسوط </w:t>
      </w:r>
      <w:r>
        <w:rPr>
          <w:rStyle w:val="FootnoteAnchor"/>
          <w:rtl w:val="true"/>
        </w:rPr>
        <w:footnoteReference w:id="1914"/>
      </w:r>
      <w:r>
        <w:rPr>
          <w:rFonts w:ascii="IRNazanin" w:hAnsi="IRNazanin" w:eastAsia="IRNazanin"/>
          <w:color w:val="111111"/>
          <w:sz w:val="28"/>
          <w:sz w:val="28"/>
          <w:szCs w:val="28"/>
          <w:rtl w:val="true"/>
          <w:lang w:bidi="fa-IR"/>
        </w:rPr>
        <w:t xml:space="preserve">و النهایة </w:t>
      </w:r>
      <w:r>
        <w:rPr>
          <w:rStyle w:val="FootnoteAnchor"/>
          <w:rtl w:val="true"/>
        </w:rPr>
        <w:footnoteReference w:id="1915"/>
      </w:r>
      <w:r>
        <w:rPr>
          <w:rFonts w:ascii="Amiri" w:hAnsi="Amiri" w:eastAsia="Amiri" w:cs="Amiri"/>
          <w:color w:val="111111"/>
          <w:sz w:val="28"/>
          <w:sz w:val="28"/>
          <w:szCs w:val="28"/>
          <w:rtl w:val="true"/>
          <w:lang w:bidi="ar-SA"/>
        </w:rPr>
        <w:t xml:space="preserve">و المقنعة </w:t>
      </w:r>
      <w:r>
        <w:rPr>
          <w:rStyle w:val="FootnoteAnchor"/>
          <w:rtl w:val="true"/>
        </w:rPr>
        <w:footnoteReference w:id="1916"/>
      </w:r>
      <w:r>
        <w:rPr>
          <w:rFonts w:ascii="IRNazanin" w:hAnsi="IRNazanin" w:eastAsia="IRNazanin"/>
          <w:color w:val="111111"/>
          <w:sz w:val="28"/>
          <w:sz w:val="28"/>
          <w:szCs w:val="28"/>
          <w:rtl w:val="true"/>
          <w:lang w:bidi="fa-IR"/>
        </w:rPr>
        <w:t xml:space="preserve">و الوسیلة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المقنعة و المراسم و المنتهی یعطی التأخیر عن إلباس القمیص أیضاً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التکفین،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من تکفینه حنّطه </w:t>
      </w:r>
      <w:r>
        <w:rPr>
          <w:rStyle w:val="FootnoteAnchor"/>
          <w:rtl w:val="true"/>
        </w:rPr>
        <w:footnoteReference w:id="1919"/>
      </w:r>
      <w:r>
        <w:rPr>
          <w:rFonts w:ascii="IRNazanin" w:hAnsi="IRNazanin" w:eastAsia="IRNazanin"/>
          <w:color w:val="111111"/>
          <w:sz w:val="28"/>
          <w:sz w:val="28"/>
          <w:szCs w:val="28"/>
          <w:rtl w:val="true"/>
          <w:lang w:bidi="fa-IR"/>
        </w:rPr>
        <w:t xml:space="preserve">، و هو المحکی عن عبارة الرضوی </w:t>
      </w:r>
      <w:r>
        <w:rPr>
          <w:rStyle w:val="FootnoteAnchor"/>
          <w:rtl w:val="true"/>
        </w:rPr>
        <w:footnoteReference w:id="1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إلی التخییر بعض المعاصرین </w:t>
      </w:r>
      <w:r>
        <w:rPr>
          <w:rStyle w:val="FootnoteAnchor"/>
          <w:rtl w:val="true"/>
        </w:rPr>
        <w:footnoteReference w:id="1921"/>
      </w:r>
      <w:r>
        <w:rPr>
          <w:rFonts w:ascii="IRNazanin" w:hAnsi="IRNazanin" w:eastAsia="IRNazanin"/>
          <w:color w:val="111111"/>
          <w:sz w:val="28"/>
          <w:sz w:val="28"/>
          <w:szCs w:val="28"/>
          <w:rtl w:val="true"/>
          <w:lang w:bidi="fa-IR"/>
        </w:rPr>
        <w:t xml:space="preserve">تبعاً لکاشف اللثام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یمسح مساجده بالکافور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المعروف من مذهب الأصحاب کما فی المدارک </w:t>
      </w:r>
      <w:r>
        <w:rPr>
          <w:rStyle w:val="FootnoteAnchor"/>
          <w:rtl w:val="true"/>
        </w:rPr>
        <w:footnoteReference w:id="1923"/>
      </w:r>
      <w:r>
        <w:rPr>
          <w:rFonts w:ascii="IRNazanin" w:hAnsi="IRNazanin" w:eastAsia="IRNazanin"/>
          <w:color w:val="111111"/>
          <w:sz w:val="28"/>
          <w:sz w:val="28"/>
          <w:szCs w:val="28"/>
          <w:rtl w:val="true"/>
          <w:lang w:bidi="fa-IR"/>
        </w:rPr>
        <w:t xml:space="preserve">، بل إجماعاً کما عن الخلاف </w:t>
      </w:r>
      <w:r>
        <w:rPr>
          <w:rStyle w:val="FootnoteAnchor"/>
          <w:rtl w:val="true"/>
        </w:rPr>
        <w:footnoteReference w:id="1924"/>
      </w:r>
      <w:r>
        <w:rPr>
          <w:rFonts w:ascii="IRNazanin" w:hAnsi="IRNazanin" w:eastAsia="IRNazanin"/>
          <w:color w:val="111111"/>
          <w:sz w:val="28"/>
          <w:sz w:val="28"/>
          <w:szCs w:val="28"/>
          <w:rtl w:val="true"/>
          <w:lang w:bidi="fa-IR"/>
        </w:rPr>
        <w:t xml:space="preserve">و الغنیة </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 xml:space="preserve">و المنتهی </w:t>
      </w:r>
      <w:r>
        <w:rPr>
          <w:rStyle w:val="FootnoteAnchor"/>
          <w:rtl w:val="true"/>
        </w:rPr>
        <w:footnoteReference w:id="1926"/>
      </w:r>
      <w:r>
        <w:rPr>
          <w:rFonts w:ascii="IRNazanin" w:hAnsi="IRNazanin" w:eastAsia="IRNazanin"/>
          <w:color w:val="111111"/>
          <w:sz w:val="28"/>
          <w:sz w:val="28"/>
          <w:szCs w:val="28"/>
          <w:rtl w:val="true"/>
          <w:lang w:bidi="fa-IR"/>
        </w:rPr>
        <w:t xml:space="preserve">و التذکرة </w:t>
      </w:r>
      <w:r>
        <w:rPr>
          <w:rStyle w:val="FootnoteAnchor"/>
          <w:rtl w:val="true"/>
        </w:rPr>
        <w:footnoteReference w:id="1927"/>
      </w:r>
      <w:r>
        <w:rPr>
          <w:rFonts w:ascii="IRNazanin" w:hAnsi="IRNazanin" w:eastAsia="IRNazanin"/>
          <w:color w:val="111111"/>
          <w:sz w:val="28"/>
          <w:sz w:val="28"/>
          <w:szCs w:val="28"/>
          <w:rtl w:val="true"/>
          <w:lang w:bidi="fa-IR"/>
        </w:rPr>
        <w:t xml:space="preserve">و الروض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ظاهر غیر واحد من الأخبار </w:t>
      </w:r>
      <w:r>
        <w:rPr>
          <w:rStyle w:val="FootnoteAnchor"/>
          <w:rtl w:val="true"/>
        </w:rPr>
        <w:footnoteReference w:id="1929"/>
      </w:r>
      <w:r>
        <w:rPr>
          <w:rFonts w:ascii="IRNazanin" w:hAnsi="IRNazanin" w:eastAsia="IRNazanin"/>
          <w:color w:val="111111"/>
          <w:sz w:val="28"/>
          <w:sz w:val="28"/>
          <w:szCs w:val="28"/>
          <w:rtl w:val="true"/>
          <w:lang w:bidi="fa-IR"/>
        </w:rPr>
        <w:t>، إلّا أنّ الأولی التمسّک بالإجماعات المستفیضة، بل الإجماع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حکی کاشف اللثام عن ظاهر المراسم استحبابه </w:t>
      </w:r>
      <w:r>
        <w:rPr>
          <w:rStyle w:val="FootnoteAnchor"/>
          <w:rtl w:val="true"/>
        </w:rPr>
        <w:footnoteReference w:id="1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لاحظ آخر کلامه الموهم لذلک و إلّا فأوّل کلامه ظاهر فی الوجوب </w:t>
      </w:r>
      <w:r>
        <w:rPr>
          <w:rStyle w:val="FootnoteAnchor"/>
          <w:rtl w:val="true"/>
        </w:rPr>
        <w:footnoteReference w:id="1931"/>
      </w:r>
      <w:r>
        <w:rPr>
          <w:rFonts w:ascii="Amiri" w:hAnsi="Amiri" w:eastAsia="Amiri" w:cs="Amiri"/>
          <w:color w:val="111111"/>
          <w:sz w:val="28"/>
          <w:sz w:val="28"/>
          <w:szCs w:val="28"/>
          <w:rtl w:val="true"/>
          <w:lang w:bidi="ar-SA"/>
        </w:rPr>
        <w:t xml:space="preserve">، و تأمّل فیه المحقّق الأردبیلی قدّس سرّه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بالمساجد،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السبعة التی یجب السجود علیها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العمانی </w:t>
      </w:r>
      <w:r>
        <w:rPr>
          <w:rStyle w:val="FootnoteAnchor"/>
          <w:rtl w:val="true"/>
        </w:rPr>
        <w:footnoteReference w:id="1933"/>
      </w:r>
      <w:r>
        <w:rPr>
          <w:rFonts w:ascii="IRNazanin" w:hAnsi="IRNazanin" w:eastAsia="IRNazanin"/>
          <w:color w:val="111111"/>
          <w:sz w:val="28"/>
          <w:sz w:val="28"/>
          <w:szCs w:val="28"/>
          <w:rtl w:val="true"/>
          <w:lang w:bidi="fa-IR"/>
        </w:rPr>
        <w:t xml:space="preserve">و المفید </w:t>
      </w:r>
      <w:r>
        <w:rPr>
          <w:rStyle w:val="FootnoteAnchor"/>
          <w:rtl w:val="true"/>
        </w:rPr>
        <w:footnoteReference w:id="1934"/>
      </w:r>
      <w:r>
        <w:rPr>
          <w:rFonts w:ascii="IRNazanin" w:hAnsi="IRNazanin" w:eastAsia="IRNazanin"/>
          <w:color w:val="111111"/>
          <w:sz w:val="28"/>
          <w:sz w:val="28"/>
          <w:szCs w:val="28"/>
          <w:rtl w:val="true"/>
          <w:lang w:bidi="fa-IR"/>
        </w:rPr>
        <w:t xml:space="preserve">و القاضی </w:t>
      </w:r>
      <w:r>
        <w:rPr>
          <w:rStyle w:val="FootnoteAnchor"/>
          <w:rtl w:val="true"/>
        </w:rPr>
        <w:footnoteReference w:id="1935"/>
      </w:r>
      <w:r>
        <w:rPr>
          <w:rFonts w:ascii="IRNazanin" w:hAnsi="IRNazanin" w:eastAsia="IRNazanin"/>
          <w:color w:val="111111"/>
          <w:sz w:val="28"/>
          <w:sz w:val="28"/>
          <w:szCs w:val="28"/>
          <w:rtl w:val="true"/>
          <w:lang w:bidi="fa-IR"/>
        </w:rPr>
        <w:t xml:space="preserve">و الحلبی </w:t>
      </w:r>
      <w:r>
        <w:rPr>
          <w:rStyle w:val="FootnoteAnchor"/>
          <w:rtl w:val="true"/>
        </w:rPr>
        <w:footnoteReference w:id="1936"/>
      </w:r>
      <w:r>
        <w:rPr>
          <w:rFonts w:ascii="IRNazanin" w:hAnsi="IRNazanin" w:eastAsia="IRNazanin"/>
          <w:color w:val="111111"/>
          <w:sz w:val="28"/>
          <w:sz w:val="28"/>
          <w:szCs w:val="28"/>
          <w:rtl w:val="true"/>
          <w:lang w:bidi="fa-IR"/>
        </w:rPr>
        <w:t xml:space="preserve">و المصنّف فی المنتهی </w:t>
      </w:r>
      <w:r>
        <w:rPr>
          <w:rStyle w:val="FootnoteAnchor"/>
          <w:rtl w:val="true"/>
        </w:rPr>
        <w:footnoteReference w:id="1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طرف الأنف الذی یُرْغَم به؛ و لعلّه لظاهر الأمر بإمساس المساجد </w:t>
      </w:r>
      <w:r>
        <w:rPr>
          <w:rStyle w:val="FootnoteAnchor"/>
          <w:rtl w:val="true"/>
        </w:rPr>
        <w:footnoteReference w:id="19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روایة الدعائم المتقدّمة </w:t>
      </w:r>
      <w:r>
        <w:rPr>
          <w:rStyle w:val="FootnoteAnchor"/>
          <w:rtl w:val="true"/>
        </w:rPr>
        <w:footnoteReference w:id="1939"/>
      </w:r>
      <w:r>
        <w:rPr>
          <w:rFonts w:ascii="IRNazanin" w:hAnsi="IRNazanin" w:eastAsia="IRNazanin"/>
          <w:color w:val="111111"/>
          <w:sz w:val="28"/>
          <w:sz w:val="28"/>
          <w:szCs w:val="28"/>
          <w:rtl w:val="true"/>
          <w:lang w:bidi="fa-IR"/>
        </w:rPr>
        <w:t>، لکنّها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عبد الرحمن بن أبی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الحنوط؟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فی مساجده</w:t>
      </w:r>
      <w:r>
        <w:rPr>
          <w:rFonts w:eastAsia="IRNazanin" w:cs="IRNazanin"/>
          <w:color w:val="111111"/>
          <w:sz w:val="28"/>
          <w:szCs w:val="28"/>
          <w:rtl w:val="true"/>
          <w:lang w:bidi="fa-IR"/>
        </w:rPr>
        <w:t xml:space="preserve">» </w:t>
      </w:r>
      <w:r>
        <w:rPr>
          <w:rStyle w:val="FootnoteAnchor"/>
          <w:rtl w:val="true"/>
        </w:rPr>
        <w:footnoteReference w:id="1940"/>
      </w:r>
      <w:r>
        <w:rPr>
          <w:rFonts w:ascii="IRNazanin" w:hAnsi="IRNazanin" w:eastAsia="IRNazanin"/>
          <w:color w:val="111111"/>
          <w:sz w:val="28"/>
          <w:sz w:val="28"/>
          <w:szCs w:val="28"/>
          <w:rtl w:val="true"/>
          <w:lang w:bidi="fa-IR"/>
        </w:rPr>
        <w:t>مع ورودها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من المساجد فی الموثّقة الواجب منها؛ لأنّ الإرغام قد یتحقّق و قد لا یتحقّق، إلّا أنّ الاحتیاط ممّا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یجعل علی بصره و أنفه و علی مسامعه و فیه و یدیه و رکبتیه و مفاصله کلّها و علی أثر السجود منه </w:t>
      </w:r>
      <w:r>
        <w:rPr>
          <w:rStyle w:val="FootnoteAnchor"/>
          <w:rtl w:val="true"/>
        </w:rPr>
        <w:footnoteReference w:id="1941"/>
      </w:r>
      <w:r>
        <w:rPr>
          <w:rFonts w:ascii="IRNazanin" w:hAnsi="IRNazanin" w:eastAsia="IRNazanin"/>
          <w:color w:val="111111"/>
          <w:sz w:val="28"/>
          <w:sz w:val="28"/>
          <w:szCs w:val="28"/>
          <w:rtl w:val="true"/>
          <w:lang w:bidi="fa-IR"/>
        </w:rPr>
        <w:t xml:space="preserve">، و یشهد له الروایات المنضمّة بعضها إلی بعض </w:t>
      </w:r>
      <w:r>
        <w:rPr>
          <w:rStyle w:val="FootnoteAnchor"/>
          <w:rtl w:val="true"/>
        </w:rPr>
        <w:footnoteReference w:id="1942"/>
      </w:r>
      <w:r>
        <w:rPr>
          <w:rFonts w:ascii="IRNazanin" w:hAnsi="IRNazanin" w:eastAsia="IRNazanin"/>
          <w:color w:val="111111"/>
          <w:sz w:val="28"/>
          <w:sz w:val="28"/>
          <w:szCs w:val="28"/>
          <w:rtl w:val="true"/>
          <w:lang w:bidi="fa-IR"/>
        </w:rPr>
        <w:t>، إلّا أنّ الأقوی حمل ما لم یرد عنه النهی بالخصوص علی الاستحباب، لخلوّ الأخبار البیانیّة کالموثّقة المتقدّمة، بل أکثر الأخبار عنها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اعمد إلی کافور مسحوق فضعه علی جبهته موضع السجود، و امسح بالکافور علی جمیع مفاصله من قرنه إلی قدمه، و فی رأسه و فی عنقه و فی منکبیه و مرافقه و فی کلّ مفصل من مفاصله من الیدین و الرجلین و فی وسط راحتیه إلی أن قال و لا تجعل فی منخریه و لا فی بصره و لا فی مسامعه و لا علی وجهه قطناً و لا کافوراً</w:t>
      </w:r>
      <w:r>
        <w:rPr>
          <w:rFonts w:eastAsia="IRNazanin" w:cs="IRNazanin"/>
          <w:color w:val="111111"/>
          <w:sz w:val="28"/>
          <w:szCs w:val="28"/>
          <w:rtl w:val="true"/>
          <w:lang w:bidi="fa-IR"/>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فی النهی الرضویّ بزیادة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حسنة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أُذنیه شیئاً من الکافور</w:t>
      </w:r>
      <w:r>
        <w:rPr>
          <w:rFonts w:eastAsia="IRNazanin" w:cs="IRNazanin"/>
          <w:color w:val="111111"/>
          <w:sz w:val="28"/>
          <w:szCs w:val="28"/>
          <w:rtl w:val="true"/>
          <w:lang w:bidi="fa-IR"/>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عثمان النواء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 مسامعه بکافور</w:t>
      </w:r>
      <w:r>
        <w:rPr>
          <w:rFonts w:eastAsia="IRNazanin" w:cs="IRNazanin"/>
          <w:color w:val="111111"/>
          <w:sz w:val="28"/>
          <w:szCs w:val="28"/>
          <w:rtl w:val="true"/>
          <w:lang w:bidi="fa-IR"/>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مصحّحة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فی مسامع المیّت حنوطاً</w:t>
      </w:r>
      <w:r>
        <w:rPr>
          <w:rFonts w:eastAsia="IRNazanin" w:cs="IRNazanin"/>
          <w:color w:val="111111"/>
          <w:sz w:val="28"/>
          <w:szCs w:val="28"/>
          <w:rtl w:val="true"/>
          <w:lang w:bidi="fa-IR"/>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أنّه لا یترک علی أنفه و لا اذنه و لا عینیه و لا فیه شی‌ء من ذلک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فالأقوی کراهة الوضع فی المسامع و البصر و المنخرین، و حمل أخبار الرجحان علی التقیّة کما قیل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بأس بالقول باستحباب ما عدا هذه المواضع ممّا تضمّنه الأخبار، و هی الصدر، وفاقاً للمشهور؛ لروایتی زرارة </w:t>
      </w:r>
      <w:r>
        <w:rPr>
          <w:rStyle w:val="FootnoteAnchor"/>
          <w:rtl w:val="true"/>
        </w:rPr>
        <w:footnoteReference w:id="1950"/>
      </w:r>
      <w:r>
        <w:rPr>
          <w:rFonts w:ascii="IRNazanin" w:hAnsi="IRNazanin" w:eastAsia="IRNazanin"/>
          <w:color w:val="111111"/>
          <w:sz w:val="28"/>
          <w:sz w:val="28"/>
          <w:szCs w:val="28"/>
          <w:rtl w:val="true"/>
          <w:lang w:bidi="fa-IR"/>
        </w:rPr>
        <w:t xml:space="preserve">و الحلبی </w:t>
      </w:r>
      <w:r>
        <w:rPr>
          <w:rStyle w:val="FootnoteAnchor"/>
          <w:rtl w:val="true"/>
        </w:rPr>
        <w:footnoteReference w:id="1951"/>
      </w:r>
      <w:r>
        <w:rPr>
          <w:rFonts w:ascii="IRNazanin" w:hAnsi="IRNazanin" w:eastAsia="IRNazanin"/>
          <w:color w:val="111111"/>
          <w:sz w:val="28"/>
          <w:sz w:val="28"/>
          <w:szCs w:val="28"/>
          <w:rtl w:val="true"/>
          <w:lang w:bidi="fa-IR"/>
        </w:rPr>
        <w:t xml:space="preserve">، و فیهما ذکر المفاصل کلّها و الرأس و اللحیة، کما فی روایة یونس المتقدّمة </w:t>
      </w:r>
      <w:r>
        <w:rPr>
          <w:rStyle w:val="FootnoteAnchor"/>
          <w:rtl w:val="true"/>
        </w:rPr>
        <w:footnoteReference w:id="1952"/>
      </w:r>
      <w:r>
        <w:rPr>
          <w:rFonts w:ascii="IRNazanin" w:hAnsi="IRNazanin" w:eastAsia="IRNazanin"/>
          <w:color w:val="111111"/>
          <w:sz w:val="28"/>
          <w:sz w:val="28"/>
          <w:szCs w:val="28"/>
          <w:rtl w:val="true"/>
          <w:lang w:bidi="fa-IR"/>
        </w:rPr>
        <w:t>من دون ذکر اللحیة، کما أنّ فیها ذکر العنق و المنکبین و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القدمین و موضع الشراک منهما کما فی روایة الحسین بن مختار </w:t>
      </w:r>
      <w:r>
        <w:rPr>
          <w:rStyle w:val="FootnoteAnchor"/>
          <w:rtl w:val="true"/>
        </w:rPr>
        <w:footnoteReference w:id="1953"/>
      </w:r>
      <w:r>
        <w:rPr>
          <w:rFonts w:ascii="IRNazanin" w:hAnsi="IRNazanin" w:eastAsia="IRNazanin"/>
          <w:color w:val="111111"/>
          <w:sz w:val="28"/>
          <w:sz w:val="28"/>
          <w:szCs w:val="28"/>
          <w:rtl w:val="true"/>
          <w:lang w:bidi="fa-IR"/>
        </w:rPr>
        <w:t xml:space="preserve">، و ظهر الکفّین کما فی روایة سماعة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یجتزی فی الکافور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الأخبار </w:t>
      </w:r>
      <w:r>
        <w:rPr>
          <w:rStyle w:val="FootnoteAnchor"/>
          <w:rtl w:val="true"/>
        </w:rPr>
        <w:footnoteReference w:id="1955"/>
      </w:r>
      <w:r>
        <w:rPr>
          <w:rFonts w:ascii="IRNazanin" w:hAnsi="IRNazanin" w:eastAsia="IRNazanin"/>
          <w:color w:val="111111"/>
          <w:sz w:val="28"/>
          <w:sz w:val="28"/>
          <w:szCs w:val="28"/>
          <w:rtl w:val="true"/>
          <w:lang w:bidi="fa-IR"/>
        </w:rPr>
        <w:t xml:space="preserve">، إلّا أنّها بین مشتمل علی مسح الموضع </w:t>
      </w:r>
      <w:r>
        <w:rPr>
          <w:rStyle w:val="FootnoteAnchor"/>
          <w:rtl w:val="true"/>
        </w:rPr>
        <w:footnoteReference w:id="1956"/>
      </w:r>
      <w:r>
        <w:rPr>
          <w:rFonts w:ascii="IRNazanin" w:hAnsi="IRNazanin" w:eastAsia="IRNazanin"/>
          <w:color w:val="111111"/>
          <w:sz w:val="28"/>
          <w:sz w:val="28"/>
          <w:szCs w:val="28"/>
          <w:rtl w:val="true"/>
          <w:lang w:bidi="fa-IR"/>
        </w:rPr>
        <w:t xml:space="preserve">، و بین صریح فی وضعه علیه </w:t>
      </w:r>
      <w:r>
        <w:rPr>
          <w:rStyle w:val="FootnoteAnchor"/>
          <w:rtl w:val="true"/>
        </w:rPr>
        <w:footnoteReference w:id="1957"/>
      </w:r>
      <w:r>
        <w:rPr>
          <w:rFonts w:ascii="IRNazanin" w:hAnsi="IRNazanin" w:eastAsia="IRNazanin"/>
          <w:color w:val="111111"/>
          <w:sz w:val="28"/>
          <w:sz w:val="28"/>
          <w:szCs w:val="28"/>
          <w:rtl w:val="true"/>
          <w:lang w:bidi="fa-IR"/>
        </w:rPr>
        <w:t>، فالظاهر وجوب وضعه علیه علی وجه المسح؛ حملًا للمطلق علی المقیّد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التحدید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المشهور، بل عن صریح الریاض </w:t>
      </w:r>
      <w:r>
        <w:rPr>
          <w:rStyle w:val="FootnoteAnchor"/>
          <w:rtl w:val="true"/>
        </w:rPr>
        <w:footnoteReference w:id="1958"/>
      </w:r>
      <w:r>
        <w:rPr>
          <w:rFonts w:ascii="IRNazanin" w:hAnsi="IRNazanin" w:eastAsia="IRNazanin"/>
          <w:color w:val="111111"/>
          <w:sz w:val="28"/>
          <w:sz w:val="28"/>
          <w:szCs w:val="28"/>
          <w:rtl w:val="true"/>
          <w:lang w:bidi="fa-IR"/>
        </w:rPr>
        <w:t xml:space="preserve">و ظاهر المعتبر </w:t>
      </w:r>
      <w:r>
        <w:rPr>
          <w:rStyle w:val="FootnoteAnchor"/>
          <w:rtl w:val="true"/>
        </w:rPr>
        <w:footnoteReference w:id="1959"/>
      </w:r>
      <w:r>
        <w:rPr>
          <w:rFonts w:ascii="IRNazanin" w:hAnsi="IRNazanin" w:eastAsia="IRNazanin"/>
          <w:color w:val="111111"/>
          <w:sz w:val="28"/>
          <w:sz w:val="28"/>
          <w:szCs w:val="28"/>
          <w:rtl w:val="true"/>
          <w:lang w:bidi="fa-IR"/>
        </w:rPr>
        <w:t xml:space="preserve">و المدارک </w:t>
      </w:r>
      <w:r>
        <w:rPr>
          <w:rStyle w:val="FootnoteAnchor"/>
          <w:rtl w:val="true"/>
        </w:rPr>
        <w:footnoteReference w:id="1960"/>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1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 کفایة المسمّی و أنّ الاختلاف الآتی إنّما هو فی أقلّ الفضل، بل و ربما وقع التصریح به فی معاقد الإجماعات </w:t>
      </w:r>
      <w:r>
        <w:rPr>
          <w:rStyle w:val="FootnoteAnchor"/>
          <w:rtl w:val="true"/>
        </w:rPr>
        <w:footnoteReference w:id="1962"/>
      </w:r>
      <w:r>
        <w:rPr>
          <w:rFonts w:ascii="IRNazanin" w:hAnsi="IRNazanin" w:eastAsia="IRNazanin"/>
          <w:color w:val="111111"/>
          <w:sz w:val="28"/>
          <w:sz w:val="28"/>
          <w:szCs w:val="28"/>
          <w:rtl w:val="true"/>
          <w:lang w:bidi="fa-IR"/>
        </w:rPr>
        <w:t>، إلّا أنّ الظاهر أنّها مسوقة لدعوی الإجماع علی أصل وجوب التحنیط، و التعبیر بالأقلّ أو المسمّی أو بما تیسّر من فتوی ناقل الإجماع لا من معقده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عدم الخلاف فی المسمّی موهونة بما یظهر من الذکری </w:t>
      </w:r>
      <w:r>
        <w:rPr>
          <w:rStyle w:val="FootnoteAnchor"/>
          <w:rtl w:val="true"/>
        </w:rPr>
        <w:footnoteReference w:id="196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964"/>
      </w:r>
      <w:r>
        <w:rPr>
          <w:rFonts w:ascii="IRNazanin" w:hAnsi="IRNazanin" w:eastAsia="IRNazanin"/>
          <w:color w:val="111111"/>
          <w:sz w:val="28"/>
          <w:sz w:val="28"/>
          <w:szCs w:val="28"/>
          <w:rtl w:val="true"/>
          <w:lang w:bidi="fa-IR"/>
        </w:rPr>
        <w:t xml:space="preserve">و الروض </w:t>
      </w: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الخلاف فی تقدیر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أوهن من ذلک التمسّک لذلک بالإطلاقات؛ إذ لا یخفی علی الناظر فیها ظهور کونها مسوقة لبیان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بقوله علیه السلام فی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شیئاً من الحنوط علی مسامعه و مساجده و شیئاً علی ظهر الکفّین</w:t>
      </w:r>
      <w:r>
        <w:rPr>
          <w:rFonts w:eastAsia="IRNazanin" w:cs="IRNazanin"/>
          <w:color w:val="111111"/>
          <w:sz w:val="28"/>
          <w:szCs w:val="28"/>
          <w:rtl w:val="true"/>
          <w:lang w:bidi="fa-IR"/>
        </w:rPr>
        <w:t xml:space="preserve">» </w:t>
      </w:r>
      <w:r>
        <w:rPr>
          <w:rStyle w:val="FootnoteAnchor"/>
          <w:rtl w:val="true"/>
        </w:rPr>
        <w:footnoteReference w:id="1966"/>
      </w:r>
      <w:r>
        <w:rPr>
          <w:rFonts w:ascii="IRNazanin" w:hAnsi="IRNazanin" w:eastAsia="IRNazanin"/>
          <w:color w:val="111111"/>
          <w:sz w:val="28"/>
          <w:sz w:val="28"/>
          <w:szCs w:val="28"/>
          <w:rtl w:val="true"/>
          <w:lang w:bidi="fa-IR"/>
        </w:rPr>
        <w:t>ففیها مع اشتمالها علی ذکر المسامع، و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تدلّ إلّا علی کفایة المسمّی فی کلٍّ من المسامع و المساجد و ظهر الکفّین، لا علی کفایته فی المجموع، فیحتمل أن یکون مقدار الحنوط معلوماً عند الشخص، فأمره بوضع شی‌ءٍ منه علی کذا و شی‌ءٍ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المداقّة فی التسویة بین المواضع، لا کفایة المسمّی لأجل الحنوط</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 یقتضی الاعتراف بعدم العثور فی کفایة المسمّی علی ما یطمئنّ به النفس بعد فرض القول بوجوب الاحتیاط فی مثل المقام ممّا قطع فیه بالتکلیف، سیّما مع مرسلة ابن أبی نجران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یجزی من الکافور للمیّت مثقال</w:t>
      </w:r>
      <w:r>
        <w:rPr>
          <w:rFonts w:eastAsia="IRNazanin" w:cs="IRNazanin"/>
          <w:color w:val="111111"/>
          <w:sz w:val="28"/>
          <w:szCs w:val="28"/>
          <w:rtl w:val="true"/>
          <w:lang w:bidi="fa-IR"/>
        </w:rPr>
        <w:t xml:space="preserve">» </w:t>
      </w:r>
      <w:r>
        <w:rPr>
          <w:rStyle w:val="FootnoteAnchor"/>
          <w:rtl w:val="true"/>
        </w:rPr>
        <w:footnoteReference w:id="1967"/>
      </w:r>
      <w:r>
        <w:rPr>
          <w:rFonts w:ascii="IRNazanin" w:hAnsi="IRNazanin" w:eastAsia="IRNazanin"/>
          <w:color w:val="111111"/>
          <w:sz w:val="28"/>
          <w:sz w:val="28"/>
          <w:szCs w:val="28"/>
          <w:rtl w:val="true"/>
          <w:lang w:bidi="fa-IR"/>
        </w:rPr>
        <w:t>و ظاهر الصدوق فی الفقیه العمل</w:t>
      </w:r>
    </w:p>
    <w:p>
      <w:pPr>
        <w:pStyle w:val="BookText"/>
        <w:rPr/>
      </w:pPr>
      <w:r>
        <w:rPr>
          <w:rFonts w:ascii="IRNazanin" w:hAnsi="IRNazanin" w:eastAsia="IRNazanin"/>
          <w:color w:val="111111"/>
          <w:sz w:val="28"/>
          <w:sz w:val="28"/>
          <w:szCs w:val="28"/>
          <w:rtl w:val="true"/>
          <w:lang w:bidi="fa-IR"/>
        </w:rPr>
        <w:t xml:space="preserve">بمضمونها </w:t>
      </w:r>
      <w:r>
        <w:rPr>
          <w:rStyle w:val="FootnoteAnchor"/>
          <w:rtl w:val="true"/>
        </w:rPr>
        <w:footnoteReference w:id="1968"/>
      </w:r>
      <w:r>
        <w:rPr>
          <w:rFonts w:ascii="IRNazanin" w:hAnsi="IRNazanin" w:eastAsia="IRNazanin"/>
          <w:color w:val="111111"/>
          <w:sz w:val="28"/>
          <w:sz w:val="28"/>
          <w:szCs w:val="28"/>
          <w:rtl w:val="true"/>
          <w:lang w:bidi="fa-IR"/>
        </w:rPr>
        <w:t xml:space="preserve">، و ظاهر الذکری نسبته إلی الشیخین و الإسکافی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لابن أبی نجران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 و نصف</w:t>
      </w:r>
      <w:r>
        <w:rPr>
          <w:rFonts w:eastAsia="IRNazanin" w:cs="IRNazanin"/>
          <w:color w:val="111111"/>
          <w:sz w:val="28"/>
          <w:szCs w:val="28"/>
          <w:rtl w:val="true"/>
          <w:lang w:bidi="fa-IR"/>
        </w:rPr>
        <w:t xml:space="preserve">» </w:t>
      </w:r>
      <w:r>
        <w:rPr>
          <w:rStyle w:val="FootnoteAnchor"/>
          <w:rtl w:val="true"/>
        </w:rPr>
        <w:footnoteReference w:id="1970"/>
      </w:r>
      <w:r>
        <w:rPr>
          <w:rFonts w:ascii="IRNazanin" w:hAnsi="IRNazanin" w:eastAsia="IRNazanin"/>
          <w:color w:val="111111"/>
          <w:sz w:val="28"/>
          <w:sz w:val="28"/>
          <w:szCs w:val="28"/>
          <w:rtl w:val="true"/>
          <w:lang w:bidi="fa-IR"/>
        </w:rPr>
        <w:t>و هی أقوی سنداً من الأُولی، إلّا أنّ القائل بها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ثلث </w:t>
      </w:r>
      <w:r>
        <w:rPr>
          <w:rStyle w:val="FootnoteAnchor"/>
          <w:rtl w:val="true"/>
        </w:rPr>
        <w:footnoteReference w:id="1971"/>
      </w:r>
      <w:r>
        <w:rPr>
          <w:rFonts w:ascii="IRNazanin" w:hAnsi="IRNazanin" w:eastAsia="IRNazanin"/>
          <w:color w:val="111111"/>
          <w:sz w:val="28"/>
          <w:sz w:val="28"/>
          <w:szCs w:val="28"/>
          <w:rtl w:val="true"/>
          <w:lang w:bidi="fa-IR"/>
        </w:rPr>
        <w:t xml:space="preserve">، لکنّ العمل بها أحوط، و أشدّ احتیاطاً العمل بالأُولی، و إن کان القول المشهور لا یخلو عن قوّة؛ لأصالة البراءة علی المختار من جریانها فی أمثال المقام و ضعف الروایات، فتُحمل علی الاستحباب، کما عن المعتبر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وجوب التحنیط ثابت لکلّ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تحنیطه و لا وضع الکافور فی ماء غسله،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یدفن </w:t>
      </w:r>
      <w:r>
        <w:rPr>
          <w:rStyle w:val="FootnoteAnchor"/>
          <w:rtl w:val="true"/>
        </w:rPr>
        <w:footnoteReference w:id="1973"/>
      </w:r>
      <w:r>
        <w:rPr>
          <w:rFonts w:ascii="IRNazanin" w:hAnsi="IRNazanin" w:eastAsia="IRNazanin"/>
          <w:color w:val="111111"/>
          <w:sz w:val="28"/>
          <w:sz w:val="28"/>
          <w:szCs w:val="28"/>
          <w:rtl w:val="true"/>
          <w:lang w:bidi="fa-IR"/>
        </w:rPr>
        <w:t>بغیر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کما عن المنتهی </w:t>
      </w:r>
      <w:r>
        <w:rPr>
          <w:rStyle w:val="FootnoteAnchor"/>
          <w:rtl w:val="true"/>
        </w:rPr>
        <w:footnoteReference w:id="197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975"/>
      </w:r>
      <w:r>
        <w:rPr>
          <w:rFonts w:ascii="IRNazanin" w:hAnsi="IRNazanin" w:eastAsia="IRNazanin"/>
          <w:color w:val="111111"/>
          <w:sz w:val="28"/>
          <w:sz w:val="28"/>
          <w:szCs w:val="28"/>
          <w:rtl w:val="true"/>
          <w:lang w:bidi="fa-IR"/>
        </w:rPr>
        <w:t xml:space="preserve">، بل إجماعاً کما عن الخلاف </w:t>
      </w:r>
      <w:r>
        <w:rPr>
          <w:rStyle w:val="FootnoteAnchor"/>
          <w:rtl w:val="true"/>
        </w:rPr>
        <w:footnoteReference w:id="1976"/>
      </w:r>
      <w:r>
        <w:rPr>
          <w:rFonts w:ascii="IRNazanin" w:hAnsi="IRNazanin" w:eastAsia="IRNazanin"/>
          <w:color w:val="111111"/>
          <w:sz w:val="28"/>
          <w:sz w:val="28"/>
          <w:szCs w:val="28"/>
          <w:rtl w:val="true"/>
          <w:lang w:bidi="fa-IR"/>
        </w:rPr>
        <w:t xml:space="preserve">و الغنیة </w:t>
      </w:r>
      <w:r>
        <w:rPr>
          <w:rStyle w:val="FootnoteAnchor"/>
          <w:rtl w:val="true"/>
        </w:rPr>
        <w:footnoteReference w:id="1977"/>
      </w:r>
      <w:r>
        <w:rPr>
          <w:rFonts w:ascii="IRNazanin" w:hAnsi="IRNazanin" w:eastAsia="IRNazanin"/>
          <w:color w:val="111111"/>
          <w:sz w:val="28"/>
          <w:sz w:val="28"/>
          <w:szCs w:val="28"/>
          <w:rtl w:val="true"/>
          <w:lang w:bidi="fa-IR"/>
        </w:rPr>
        <w:t>لمصحّحة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یغطّی وجهه و یصنع به ما یصنع بالحلال غیر أنّه لا یقرّبه</w:t>
      </w:r>
    </w:p>
    <w:p>
      <w:pPr>
        <w:pStyle w:val="BookText"/>
        <w:rPr/>
      </w:pPr>
      <w:r>
        <w:rPr>
          <w:rFonts w:ascii="Amiri" w:hAnsi="Amiri" w:eastAsia="Amiri" w:cs="Amiri"/>
          <w:color w:val="111111"/>
          <w:sz w:val="28"/>
          <w:sz w:val="28"/>
          <w:szCs w:val="28"/>
          <w:rtl w:val="true"/>
          <w:lang w:bidi="ar-SA"/>
        </w:rPr>
        <w:t>طیباً</w:t>
      </w:r>
      <w:r>
        <w:rPr>
          <w:rFonts w:eastAsia="Amiri" w:cs="Amiri" w:ascii="Amiri" w:hAnsi="Amiri"/>
          <w:color w:val="111111"/>
          <w:sz w:val="28"/>
          <w:szCs w:val="28"/>
          <w:rtl w:val="true"/>
          <w:lang w:bidi="ar-SA"/>
        </w:rPr>
        <w:t xml:space="preserve">» </w:t>
      </w:r>
      <w:r>
        <w:rPr>
          <w:rStyle w:val="FootnoteAnchor"/>
          <w:rtl w:val="true"/>
        </w:rPr>
        <w:footnoteReference w:id="1978"/>
      </w:r>
      <w:r>
        <w:rPr>
          <w:rFonts w:ascii="IRNazanin" w:hAnsi="IRNazanin" w:eastAsia="IRNazanin"/>
          <w:color w:val="111111"/>
          <w:sz w:val="28"/>
          <w:sz w:val="28"/>
          <w:szCs w:val="28"/>
          <w:rtl w:val="true"/>
          <w:lang w:bidi="fa-IR"/>
        </w:rPr>
        <w:t>و لموثّقة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و یکفّن فی الثیاب کلّها و یغطّی وجهه و یصنع به کما یصنع بالمحلّ غیر أنّه لا یمسّ الطیب</w:t>
      </w:r>
      <w:r>
        <w:rPr>
          <w:rFonts w:eastAsia="IRNazanin" w:cs="IRNazanin"/>
          <w:color w:val="111111"/>
          <w:sz w:val="28"/>
          <w:szCs w:val="28"/>
          <w:rtl w:val="true"/>
          <w:lang w:bidi="fa-IR"/>
        </w:rPr>
        <w:t xml:space="preserve">» </w:t>
      </w:r>
      <w:r>
        <w:rPr>
          <w:rStyle w:val="FootnoteAnchor"/>
          <w:rtl w:val="true"/>
        </w:rPr>
        <w:footnoteReference w:id="1979"/>
      </w:r>
      <w:r>
        <w:rPr>
          <w:rFonts w:ascii="IRNazanin" w:hAnsi="IRNazanin" w:eastAsia="IRNazanin"/>
          <w:color w:val="111111"/>
          <w:sz w:val="28"/>
          <w:sz w:val="28"/>
          <w:szCs w:val="28"/>
          <w:rtl w:val="true"/>
          <w:lang w:bidi="fa-IR"/>
        </w:rPr>
        <w:t>و نحوهما الروایات الحاکیة لفعل مولانا الحسین علیه السلام بعبد الرحمن بن الحسن علیه السلام، حیث مات محرماً فی موضع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لا الإجماع علی عدم جواز تغسیله بماء الکافور أمکن الخدشة فیه؛ من حیث ظهور الأخبار فی المنع عن التحنیط، و فی تغسیله الغسل المعهود الذی منه إدخال جزء قلیل من الکافور فی الماء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 به کما یصنع بالُمحلّ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تغطیة وجهه، کما صرّح به فی الروایتین، و رأسه کما فی غیرهما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للمحکیّ عن السیّد و العمانی </w:t>
      </w:r>
      <w:r>
        <w:rPr>
          <w:rStyle w:val="FootnoteAnchor"/>
          <w:rtl w:val="true"/>
        </w:rPr>
        <w:footnoteReference w:id="1982"/>
      </w:r>
      <w:r>
        <w:rPr>
          <w:rFonts w:ascii="IRNazanin" w:hAnsi="IRNazanin" w:eastAsia="IRNazanin"/>
          <w:color w:val="111111"/>
          <w:sz w:val="28"/>
          <w:sz w:val="28"/>
          <w:szCs w:val="28"/>
          <w:rtl w:val="true"/>
          <w:lang w:bidi="fa-IR"/>
        </w:rPr>
        <w:t xml:space="preserve">فمنعا عن تخمیر رأسه؛ للنبویّ المعلّل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یوم القیامة ملبّیاً</w:t>
      </w:r>
      <w:r>
        <w:rPr>
          <w:rFonts w:eastAsia="IRNazanin" w:cs="IRNazanin"/>
          <w:color w:val="111111"/>
          <w:sz w:val="28"/>
          <w:szCs w:val="28"/>
          <w:rtl w:val="true"/>
          <w:lang w:bidi="fa-IR"/>
        </w:rPr>
        <w:t xml:space="preserve">» </w:t>
      </w:r>
      <w:r>
        <w:rPr>
          <w:rStyle w:val="FootnoteAnchor"/>
          <w:rtl w:val="true"/>
        </w:rPr>
        <w:footnoteReference w:id="1983"/>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محرماً بعثه اللّٰه یوم القیامة ملبّیاً</w:t>
      </w:r>
      <w:r>
        <w:rPr>
          <w:rFonts w:eastAsia="Amiri" w:cs="Amiri" w:ascii="Amiri" w:hAnsi="Amiri"/>
          <w:color w:val="111111"/>
          <w:sz w:val="28"/>
          <w:szCs w:val="28"/>
          <w:rtl w:val="true"/>
          <w:lang w:bidi="ar-SA"/>
        </w:rPr>
        <w:t xml:space="preserve">» </w:t>
      </w:r>
      <w:r>
        <w:rPr>
          <w:rStyle w:val="FootnoteAnchor"/>
          <w:rtl w:val="true"/>
        </w:rPr>
        <w:footnoteReference w:id="1984"/>
      </w:r>
      <w:r>
        <w:rPr>
          <w:rFonts w:ascii="IRNazanin" w:hAnsi="IRNazanin" w:eastAsia="IRNazanin"/>
          <w:color w:val="111111"/>
          <w:sz w:val="28"/>
          <w:sz w:val="28"/>
          <w:szCs w:val="28"/>
          <w:rtl w:val="true"/>
          <w:lang w:bidi="fa-IR"/>
        </w:rPr>
        <w:t>و النبویّ ضعیف، و التعلیل کالروایة غیر دالّ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منهما التمسّک ببقاء أحکام الإحرام له، فالمذهب ما علیه المشهور</w:t>
      </w:r>
      <w:r>
        <w:rPr>
          <w:rFonts w:eastAsia="IRNazanin" w:cs="IRNazanin"/>
          <w:color w:val="111111"/>
          <w:sz w:val="28"/>
          <w:szCs w:val="28"/>
          <w:rtl w:val="true"/>
          <w:lang w:bidi="fa-IR"/>
        </w:rPr>
        <w:t>.</w:t>
      </w:r>
      <w:bookmarkStart w:id="282" w:name="pg13042_127218"/>
    </w:p>
    <w:p>
      <w:pPr>
        <w:pStyle w:val="BookText"/>
        <w:rPr/>
      </w:pPr>
      <w:bookmarkEnd w:id="282"/>
      <w:r>
        <w:rPr>
          <w:rFonts w:ascii="IRNazanin" w:hAnsi="IRNazanin" w:eastAsia="IRNazanin"/>
          <w:color w:val="111111"/>
          <w:sz w:val="28"/>
          <w:sz w:val="28"/>
          <w:szCs w:val="28"/>
          <w:rtl w:val="true"/>
          <w:lang w:bidi="fa-IR"/>
        </w:rPr>
        <w:t>ثمّ لا فرق بین أنواع المحرم حتّی من أفسد حجّه حیث یجب علیه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مات بعد طواف الزیارة ففی ثبوت الحکم له نظر کما فی الروض </w:t>
      </w:r>
      <w:r>
        <w:rPr>
          <w:rStyle w:val="FootnoteAnchor"/>
          <w:rtl w:val="true"/>
        </w:rPr>
        <w:footnoteReference w:id="1985"/>
      </w:r>
      <w:r>
        <w:rPr>
          <w:rFonts w:ascii="IRNazanin" w:hAnsi="IRNazanin" w:eastAsia="IRNazanin"/>
          <w:color w:val="111111"/>
          <w:sz w:val="28"/>
          <w:sz w:val="28"/>
          <w:szCs w:val="28"/>
          <w:rtl w:val="true"/>
          <w:lang w:bidi="fa-IR"/>
        </w:rPr>
        <w:t xml:space="preserve">و غیره </w:t>
      </w:r>
      <w:r>
        <w:rPr>
          <w:rStyle w:val="FootnoteAnchor"/>
          <w:rtl w:val="true"/>
        </w:rPr>
        <w:footnoteReference w:id="1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 الطیب له حال الحیاة، و من إطلاق النصّ، و الأوّل لا یخلو عن قوّة، وفاقاً للمحکیّ عن المصنّف قدّس سرّه فی النهایة </w:t>
      </w:r>
      <w:r>
        <w:rPr>
          <w:rStyle w:val="FootnoteAnchor"/>
          <w:rtl w:val="true"/>
        </w:rPr>
        <w:footnoteReference w:id="1987"/>
      </w:r>
      <w:r>
        <w:rPr>
          <w:rFonts w:ascii="IRNazanin" w:hAnsi="IRNazanin" w:eastAsia="IRNazanin"/>
          <w:color w:val="111111"/>
          <w:sz w:val="28"/>
          <w:sz w:val="28"/>
          <w:szCs w:val="28"/>
          <w:rtl w:val="true"/>
          <w:lang w:bidi="fa-IR"/>
        </w:rPr>
        <w:t>لقوّة انصراف الإطلاقات إلی غیر ما نحن فیه، أو لظهور عدم جریان الحکمة فی هذا المورد</w:t>
      </w:r>
      <w:r>
        <w:rPr>
          <w:rFonts w:eastAsia="IRNazanin" w:cs="IRNazanin"/>
          <w:color w:val="111111"/>
          <w:sz w:val="28"/>
          <w:szCs w:val="28"/>
          <w:rtl w:val="true"/>
          <w:lang w:bidi="fa-IR"/>
        </w:rPr>
        <w:t>.</w:t>
      </w:r>
    </w:p>
    <w:p>
      <w:pPr>
        <w:pStyle w:val="Heading6"/>
        <w:numPr>
          <w:ilvl w:val="5"/>
          <w:numId w:val="1"/>
        </w:numPr>
        <w:rPr/>
      </w:pPr>
      <w:bookmarkStart w:id="283" w:name="__RefHeading___Toc6530276_3224264995"/>
      <w:bookmarkStart w:id="284" w:name="_Toc110"/>
      <w:bookmarkEnd w:id="283"/>
      <w:r>
        <w:rPr>
          <w:rtl w:val="true"/>
        </w:rPr>
        <w:t>[</w:t>
      </w:r>
      <w:r>
        <w:rPr>
          <w:rtl w:val="true"/>
        </w:rPr>
        <w:t>یستحبّ فی التحنیط و التکفین أُمور</w:t>
      </w:r>
      <w:r>
        <w:rPr>
          <w:rtl w:val="true"/>
        </w:rPr>
        <w:t>]</w:t>
      </w:r>
      <w:bookmarkEnd w:id="284"/>
    </w:p>
    <w:p>
      <w:pPr>
        <w:pStyle w:val="Heading6"/>
        <w:numPr>
          <w:ilvl w:val="5"/>
          <w:numId w:val="1"/>
        </w:numPr>
        <w:rPr/>
      </w:pPr>
      <w:bookmarkStart w:id="285" w:name="__RefHeading___Toc6530278_3224264995"/>
      <w:bookmarkStart w:id="286" w:name="_Toc111"/>
      <w:bookmarkEnd w:id="285"/>
      <w:r>
        <w:rPr>
          <w:rtl w:val="true"/>
        </w:rPr>
        <w:t>اشارة</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التحنیط و التکفین أُمور</w:t>
      </w:r>
      <w:r>
        <w:rPr>
          <w:rFonts w:eastAsia="IRNazanin" w:cs="IRNazanin"/>
          <w:color w:val="111111"/>
          <w:sz w:val="28"/>
          <w:szCs w:val="28"/>
          <w:rtl w:val="true"/>
          <w:lang w:bidi="fa-IR"/>
        </w:rPr>
        <w:t>:</w:t>
      </w:r>
    </w:p>
    <w:p>
      <w:pPr>
        <w:pStyle w:val="Heading6"/>
        <w:numPr>
          <w:ilvl w:val="5"/>
          <w:numId w:val="1"/>
        </w:numPr>
        <w:rPr/>
      </w:pPr>
      <w:bookmarkStart w:id="287" w:name="__RefHeading___Toc6530280_3224264995"/>
      <w:bookmarkStart w:id="288" w:name="_Toc112"/>
      <w:bookmarkEnd w:id="287"/>
      <w:r>
        <w:rPr>
          <w:rtl w:val="true"/>
        </w:rPr>
        <w:t>[</w:t>
      </w:r>
      <w:r>
        <w:rPr/>
        <w:t>1</w:t>
      </w:r>
      <w:r>
        <w:rPr>
          <w:rtl w:val="true"/>
        </w:rPr>
        <w:t xml:space="preserve">- </w:t>
      </w:r>
      <w:r>
        <w:rPr>
          <w:rtl w:val="true"/>
        </w:rPr>
        <w:t>أن یکون قدر کافور ثلاثة عشر درهماً و ثلثاً</w:t>
      </w:r>
      <w:r>
        <w:rPr>
          <w:rtl w:val="true"/>
        </w:rPr>
        <w:t>]</w:t>
      </w:r>
      <w:bookmarkEnd w:id="28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کافور الحنوط فقط أو منضمّاً إلی کافور الغسل علی ما عن السرائر من نسبته إلی بعض الأصحاب </w:t>
      </w:r>
      <w:r>
        <w:rPr>
          <w:rStyle w:val="FootnoteAnchor"/>
          <w:rtl w:val="true"/>
        </w:rPr>
        <w:footnoteReference w:id="1988"/>
      </w:r>
      <w:r>
        <w:rPr>
          <w:rFonts w:ascii="IRNazanin" w:hAnsi="IRNazanin" w:eastAsia="IRNazanin"/>
          <w:color w:val="111111"/>
          <w:sz w:val="28"/>
          <w:sz w:val="28"/>
          <w:szCs w:val="28"/>
          <w:rtl w:val="true"/>
          <w:lang w:bidi="fa-IR"/>
        </w:rPr>
        <w:t xml:space="preserve">، و إن کان ضعیفاً مدفوعاً بصریح بعض النصوص </w:t>
      </w:r>
      <w:r>
        <w:rPr>
          <w:rStyle w:val="FootnoteAnchor"/>
          <w:rtl w:val="true"/>
        </w:rPr>
        <w:footnoteReference w:id="1989"/>
      </w:r>
      <w:r>
        <w:rPr>
          <w:rFonts w:ascii="IRNazanin" w:hAnsi="IRNazanin" w:eastAsia="IRNazanin"/>
          <w:color w:val="111111"/>
          <w:sz w:val="28"/>
          <w:sz w:val="28"/>
          <w:szCs w:val="28"/>
          <w:rtl w:val="true"/>
          <w:lang w:bidi="fa-IR"/>
        </w:rPr>
        <w:t xml:space="preserve">و ظاهر الفتاوی </w:t>
      </w:r>
      <w:r>
        <w:rPr>
          <w:rStyle w:val="FootnoteAnchor"/>
          <w:rtl w:val="true"/>
        </w:rPr>
        <w:footnoteReference w:id="19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عشر درهماً و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بالمثقال الشرعی تسعة و ثلث، و بالصیرفی سبعة کاملة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فتوًی و روایة؛ و الأصل فیه ما روی فی عدّة 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جبرئیل أتی النبیّ صلّی اللّٰه علیه و آله و سلم بأُوقیّة من کافور الجنّة و هی أربعون درهماً فقسّمها النبیّ صلّی اللّٰه علیه و آله و سلم أثلاثاً بینه و بین علیّ</w:t>
      </w:r>
    </w:p>
    <w:p>
      <w:pPr>
        <w:pStyle w:val="BookText"/>
        <w:rPr/>
      </w:pPr>
      <w:r>
        <w:rPr>
          <w:rFonts w:ascii="IRNazanin" w:hAnsi="IRNazanin" w:eastAsia="IRNazanin"/>
          <w:color w:val="111111"/>
          <w:sz w:val="28"/>
          <w:sz w:val="28"/>
          <w:szCs w:val="28"/>
          <w:rtl w:val="true"/>
          <w:lang w:bidi="fa-IR"/>
        </w:rPr>
        <w:t>و فاطمة صلوات اللّٰه علیهما و علی آلهما الطاهرین</w:t>
      </w:r>
      <w:r>
        <w:rPr>
          <w:rFonts w:eastAsia="IRNazanin" w:cs="IRNazanin"/>
          <w:color w:val="111111"/>
          <w:sz w:val="28"/>
          <w:szCs w:val="28"/>
          <w:rtl w:val="true"/>
          <w:lang w:bidi="fa-IR"/>
        </w:rPr>
        <w:t xml:space="preserve">» </w:t>
      </w:r>
      <w:r>
        <w:rPr>
          <w:rStyle w:val="FootnoteAnchor"/>
          <w:rtl w:val="true"/>
        </w:rPr>
        <w:footnoteReference w:id="1991"/>
      </w:r>
      <w:r>
        <w:rPr>
          <w:rFonts w:ascii="IRNazanin" w:hAnsi="IRNazanin" w:eastAsia="IRNazanin"/>
          <w:color w:val="111111"/>
          <w:sz w:val="28"/>
          <w:sz w:val="28"/>
          <w:szCs w:val="28"/>
          <w:rtl w:val="true"/>
          <w:lang w:bidi="fa-IR"/>
        </w:rPr>
        <w:t>فظهر ضعف ما 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التحدید بثلاثة عشر و نصف </w:t>
      </w:r>
      <w:r>
        <w:rPr>
          <w:rStyle w:val="FootnoteAnchor"/>
          <w:rtl w:val="true"/>
        </w:rPr>
        <w:footnoteReference w:id="1992"/>
      </w:r>
      <w:r>
        <w:rPr>
          <w:rFonts w:ascii="IRNazanin" w:hAnsi="IRNazanin" w:eastAsia="IRNazanin"/>
          <w:color w:val="111111"/>
          <w:sz w:val="28"/>
          <w:sz w:val="28"/>
          <w:szCs w:val="28"/>
          <w:rtl w:val="true"/>
          <w:lang w:bidi="fa-IR"/>
        </w:rPr>
        <w:t>، مضافاً إلی مرفوعة ابن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فی الحنوط ثلاثة عشر درهماً و ثلث أکثره</w:t>
      </w:r>
      <w:r>
        <w:rPr>
          <w:rFonts w:eastAsia="IRNazanin" w:cs="IRNazanin"/>
          <w:color w:val="111111"/>
          <w:sz w:val="28"/>
          <w:szCs w:val="28"/>
          <w:rtl w:val="true"/>
          <w:lang w:bidi="fa-IR"/>
        </w:rPr>
        <w:t xml:space="preserve">» </w:t>
      </w:r>
      <w:r>
        <w:rPr>
          <w:rStyle w:val="FootnoteAnchor"/>
          <w:rtl w:val="true"/>
        </w:rPr>
        <w:footnoteReference w:id="1993"/>
      </w:r>
      <w:r>
        <w:rPr>
          <w:rFonts w:ascii="IRNazanin" w:hAnsi="IRNazanin" w:eastAsia="IRNazanin"/>
          <w:color w:val="111111"/>
          <w:sz w:val="28"/>
          <w:sz w:val="28"/>
          <w:szCs w:val="28"/>
          <w:rtl w:val="true"/>
          <w:lang w:bidi="fa-IR"/>
        </w:rPr>
        <w:t xml:space="preserve">و نحوها المرویّ عن العلل عن ابن سنان بإسقاط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دون هذا المقدار فی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دراهم، کما فی المقنعة </w:t>
      </w:r>
      <w:r>
        <w:rPr>
          <w:rStyle w:val="FootnoteAnchor"/>
          <w:rtl w:val="true"/>
        </w:rPr>
        <w:footnoteReference w:id="1995"/>
      </w:r>
      <w:r>
        <w:rPr>
          <w:rFonts w:ascii="IRNazanin" w:hAnsi="IRNazanin" w:eastAsia="IRNazanin"/>
          <w:color w:val="111111"/>
          <w:sz w:val="28"/>
          <w:sz w:val="28"/>
          <w:szCs w:val="28"/>
          <w:rtl w:val="true"/>
          <w:lang w:bidi="fa-IR"/>
        </w:rPr>
        <w:t xml:space="preserve">و السرائر </w:t>
      </w:r>
      <w:r>
        <w:rPr>
          <w:rStyle w:val="FootnoteAnchor"/>
          <w:rtl w:val="true"/>
        </w:rPr>
        <w:footnoteReference w:id="1996"/>
      </w:r>
      <w:r>
        <w:rPr>
          <w:rFonts w:ascii="IRNazanin" w:hAnsi="IRNazanin" w:eastAsia="IRNazanin"/>
          <w:color w:val="111111"/>
          <w:sz w:val="28"/>
          <w:sz w:val="28"/>
          <w:szCs w:val="28"/>
          <w:rtl w:val="true"/>
          <w:lang w:bidi="fa-IR"/>
        </w:rPr>
        <w:t xml:space="preserve">و الخلاف مدّعیاً فیه الإجماع </w:t>
      </w:r>
      <w:r>
        <w:rPr>
          <w:rStyle w:val="FootnoteAnchor"/>
          <w:rtl w:val="true"/>
        </w:rPr>
        <w:footnoteReference w:id="1997"/>
      </w:r>
      <w:r>
        <w:rPr>
          <w:rFonts w:ascii="IRNazanin" w:hAnsi="IRNazanin" w:eastAsia="IRNazanin"/>
          <w:color w:val="111111"/>
          <w:sz w:val="28"/>
          <w:sz w:val="28"/>
          <w:szCs w:val="28"/>
          <w:rtl w:val="true"/>
          <w:lang w:bidi="fa-IR"/>
        </w:rPr>
        <w:t xml:space="preserve">، و المعتبر نافیاً عنه الخلاف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بعض کتب الصدوق </w:t>
      </w:r>
      <w:r>
        <w:rPr>
          <w:rStyle w:val="FootnoteAnchor"/>
          <w:rtl w:val="true"/>
        </w:rPr>
        <w:footnoteReference w:id="1999"/>
      </w:r>
      <w:r>
        <w:rPr>
          <w:rFonts w:ascii="IRNazanin" w:hAnsi="IRNazanin" w:eastAsia="IRNazanin"/>
          <w:color w:val="111111"/>
          <w:sz w:val="28"/>
          <w:sz w:val="28"/>
          <w:szCs w:val="28"/>
          <w:rtl w:val="true"/>
          <w:lang w:bidi="fa-IR"/>
        </w:rPr>
        <w:t xml:space="preserve">و نسخ المراسم </w:t>
      </w:r>
      <w:r>
        <w:rPr>
          <w:rStyle w:val="FootnoteAnchor"/>
          <w:rtl w:val="true"/>
        </w:rPr>
        <w:footnoteReference w:id="2000"/>
      </w:r>
      <w:r>
        <w:rPr>
          <w:rFonts w:ascii="IRNazanin" w:hAnsi="IRNazanin" w:eastAsia="IRNazanin"/>
          <w:color w:val="111111"/>
          <w:sz w:val="28"/>
          <w:sz w:val="28"/>
          <w:szCs w:val="28"/>
          <w:rtl w:val="true"/>
          <w:lang w:bidi="fa-IR"/>
        </w:rPr>
        <w:t xml:space="preserve">و سائر کتب الشیخ </w:t>
      </w:r>
      <w:r>
        <w:rPr>
          <w:rStyle w:val="FootnoteAnchor"/>
          <w:rtl w:val="true"/>
        </w:rPr>
        <w:footnoteReference w:id="2001"/>
      </w:r>
      <w:r>
        <w:rPr>
          <w:rFonts w:ascii="IRNazanin" w:hAnsi="IRNazanin" w:eastAsia="IRNazanin"/>
          <w:color w:val="111111"/>
          <w:sz w:val="28"/>
          <w:sz w:val="28"/>
          <w:szCs w:val="28"/>
          <w:rtl w:val="true"/>
          <w:lang w:bidi="fa-IR"/>
        </w:rPr>
        <w:t xml:space="preserve">و الوسیلة </w:t>
      </w:r>
      <w:r>
        <w:rPr>
          <w:rStyle w:val="FootnoteAnchor"/>
          <w:rtl w:val="true"/>
        </w:rPr>
        <w:footnoteReference w:id="2002"/>
      </w:r>
      <w:r>
        <w:rPr>
          <w:rFonts w:ascii="IRNazanin" w:hAnsi="IRNazanin" w:eastAsia="IRNazanin"/>
          <w:color w:val="111111"/>
          <w:sz w:val="28"/>
          <w:sz w:val="28"/>
          <w:szCs w:val="28"/>
          <w:rtl w:val="true"/>
          <w:lang w:bidi="fa-IR"/>
        </w:rPr>
        <w:t xml:space="preserve">و الإصباح </w:t>
      </w:r>
      <w:r>
        <w:rPr>
          <w:rStyle w:val="FootnoteAnchor"/>
          <w:rtl w:val="true"/>
        </w:rPr>
        <w:footnoteReference w:id="2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مثاقیل؛ لروایة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من</w:t>
      </w:r>
      <w:bookmarkStart w:id="289" w:name="pg13042_127220"/>
    </w:p>
    <w:p>
      <w:pPr>
        <w:pStyle w:val="BookText"/>
        <w:rPr/>
      </w:pPr>
      <w:bookmarkEnd w:id="289"/>
      <w:r>
        <w:rPr>
          <w:rFonts w:ascii="IRNazanin" w:hAnsi="IRNazanin" w:eastAsia="IRNazanin"/>
          <w:color w:val="111111"/>
          <w:sz w:val="28"/>
          <w:sz w:val="28"/>
          <w:szCs w:val="28"/>
          <w:rtl w:val="true"/>
          <w:lang w:bidi="fa-IR"/>
        </w:rPr>
        <w:t>الکافور أربعة مثاقیل</w:t>
      </w:r>
      <w:r>
        <w:rPr>
          <w:rFonts w:eastAsia="IRNazanin" w:cs="IRNazanin"/>
          <w:color w:val="111111"/>
          <w:sz w:val="28"/>
          <w:szCs w:val="28"/>
          <w:rtl w:val="true"/>
          <w:lang w:bidi="fa-IR"/>
        </w:rPr>
        <w:t xml:space="preserve">» </w:t>
      </w:r>
      <w:r>
        <w:rPr>
          <w:rStyle w:val="FootnoteAnchor"/>
          <w:rtl w:val="true"/>
        </w:rPr>
        <w:footnoteReference w:id="2004"/>
      </w:r>
      <w:r>
        <w:rPr>
          <w:rFonts w:ascii="IRNazanin" w:hAnsi="IRNazanin" w:eastAsia="IRNazanin"/>
          <w:color w:val="111111"/>
          <w:sz w:val="28"/>
          <w:sz w:val="28"/>
          <w:szCs w:val="28"/>
          <w:rtl w:val="true"/>
          <w:lang w:bidi="fa-IR"/>
        </w:rPr>
        <w:t>و عن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من الکافور</w:t>
      </w:r>
      <w:r>
        <w:rPr>
          <w:rFonts w:eastAsia="IRNazanin" w:cs="IRNazanin"/>
          <w:color w:val="111111"/>
          <w:sz w:val="28"/>
          <w:szCs w:val="28"/>
          <w:rtl w:val="true"/>
          <w:lang w:bidi="fa-IR"/>
        </w:rPr>
        <w:t xml:space="preserve">»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فلا یعرف مستند لأربعة دراهم إلّا إذا فسّرت المثاقیل بالدراهم کما عن السرائر </w:t>
      </w:r>
      <w:r>
        <w:rPr>
          <w:rStyle w:val="FootnoteAnchor"/>
          <w:rtl w:val="true"/>
        </w:rPr>
        <w:footnoteReference w:id="2006"/>
      </w:r>
      <w:r>
        <w:rPr>
          <w:rFonts w:ascii="IRNazanin" w:hAnsi="IRNazanin" w:eastAsia="IRNazanin"/>
          <w:color w:val="111111"/>
          <w:sz w:val="28"/>
          <w:sz w:val="28"/>
          <w:szCs w:val="28"/>
          <w:rtl w:val="true"/>
          <w:lang w:bidi="fa-IR"/>
        </w:rPr>
        <w:t xml:space="preserve">و المنتهی </w:t>
      </w:r>
      <w:r>
        <w:rPr>
          <w:rStyle w:val="FootnoteAnchor"/>
          <w:rtl w:val="true"/>
        </w:rPr>
        <w:footnoteReference w:id="2007"/>
      </w:r>
      <w:r>
        <w:rPr>
          <w:rFonts w:ascii="IRNazanin" w:hAnsi="IRNazanin" w:eastAsia="IRNazanin"/>
          <w:color w:val="111111"/>
          <w:sz w:val="28"/>
          <w:sz w:val="28"/>
          <w:szCs w:val="28"/>
          <w:rtl w:val="true"/>
          <w:lang w:bidi="fa-IR"/>
        </w:rPr>
        <w:t xml:space="preserve">، و فیه إشکال؛ لمخالفته للظاهر من غیر قرینة، و لذا طالب ابن طاوس کما عن الذکری </w:t>
      </w:r>
      <w:r>
        <w:rPr>
          <w:rStyle w:val="FootnoteAnchor"/>
          <w:rtl w:val="true"/>
        </w:rPr>
        <w:footnoteReference w:id="2008"/>
      </w:r>
      <w:r>
        <w:rPr>
          <w:rFonts w:ascii="IRNazanin" w:hAnsi="IRNazanin" w:eastAsia="IRNazanin"/>
          <w:color w:val="111111"/>
          <w:sz w:val="28"/>
          <w:sz w:val="28"/>
          <w:szCs w:val="28"/>
          <w:rtl w:val="true"/>
          <w:lang w:bidi="fa-IR"/>
        </w:rPr>
        <w:t>الحلیّ بمستند ذلک التفسیر، و الأمر سهل بعد القطع باستحباب الأربعة، درهماً کان أو 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دون الأربعةِ درهمٌ من الفضل، کما عن المعتبر </w:t>
      </w:r>
      <w:r>
        <w:rPr>
          <w:rStyle w:val="FootnoteAnchor"/>
          <w:rtl w:val="true"/>
        </w:rPr>
        <w:footnoteReference w:id="2009"/>
      </w:r>
      <w:r>
        <w:rPr>
          <w:rFonts w:ascii="Amiri" w:hAnsi="Amiri" w:eastAsia="Amiri" w:cs="Amiri"/>
          <w:color w:val="111111"/>
          <w:sz w:val="28"/>
          <w:sz w:val="28"/>
          <w:szCs w:val="28"/>
          <w:rtl w:val="true"/>
          <w:lang w:bidi="ar-SA"/>
        </w:rPr>
        <w:t xml:space="preserve">و جماعة </w:t>
      </w:r>
      <w:r>
        <w:rPr>
          <w:rStyle w:val="FootnoteAnchor"/>
          <w:rtl w:val="true"/>
        </w:rPr>
        <w:footnoteReference w:id="2010"/>
      </w:r>
      <w:r>
        <w:rPr>
          <w:rFonts w:ascii="Amiri" w:hAnsi="Amiri" w:eastAsia="Amiri" w:cs="Amiri"/>
          <w:color w:val="111111"/>
          <w:sz w:val="28"/>
          <w:sz w:val="28"/>
          <w:szCs w:val="28"/>
          <w:rtl w:val="true"/>
          <w:lang w:bidi="ar-SA"/>
        </w:rPr>
        <w:t>، مدّعیاً فی الأوّل عدم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مثقال، کما فی المحکیّ عن الآخرین </w:t>
      </w:r>
      <w:r>
        <w:rPr>
          <w:rStyle w:val="FootnoteAnchor"/>
          <w:rtl w:val="true"/>
        </w:rPr>
        <w:footnoteReference w:id="2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ظاهر جماعة وجوبه </w:t>
      </w:r>
      <w:r>
        <w:rPr>
          <w:rStyle w:val="FootnoteAnchor"/>
          <w:rtl w:val="true"/>
        </w:rPr>
        <w:footnoteReference w:id="2012"/>
      </w:r>
      <w:r>
        <w:rPr>
          <w:rFonts w:ascii="IRNazanin" w:hAnsi="IRNazanin" w:eastAsia="IRNazanin"/>
          <w:color w:val="111111"/>
          <w:sz w:val="28"/>
          <w:sz w:val="28"/>
          <w:szCs w:val="28"/>
          <w:rtl w:val="true"/>
          <w:lang w:bidi="fa-IR"/>
        </w:rPr>
        <w:t>، و هو الأحوط</w:t>
      </w:r>
      <w:r>
        <w:rPr>
          <w:rFonts w:eastAsia="IRNazanin" w:cs="IRNazanin"/>
          <w:color w:val="111111"/>
          <w:sz w:val="28"/>
          <w:szCs w:val="28"/>
          <w:rtl w:val="true"/>
          <w:lang w:bidi="fa-IR"/>
        </w:rPr>
        <w:t>.</w:t>
      </w:r>
    </w:p>
    <w:p>
      <w:pPr>
        <w:pStyle w:val="Heading6"/>
        <w:numPr>
          <w:ilvl w:val="5"/>
          <w:numId w:val="1"/>
        </w:numPr>
        <w:rPr/>
      </w:pPr>
      <w:bookmarkStart w:id="290" w:name="__RefHeading___Toc6530282_3224264995"/>
      <w:bookmarkStart w:id="291" w:name="_Toc113"/>
      <w:bookmarkEnd w:id="290"/>
      <w:r>
        <w:rPr>
          <w:rtl w:val="true"/>
        </w:rPr>
        <w:t>[</w:t>
      </w:r>
      <w:r>
        <w:rPr/>
        <w:t>2</w:t>
      </w:r>
      <w:r>
        <w:rPr>
          <w:rtl w:val="true"/>
        </w:rPr>
        <w:t xml:space="preserve">- </w:t>
      </w:r>
      <w:r>
        <w:rPr>
          <w:rtl w:val="true"/>
        </w:rPr>
        <w:t>اغتسال الغاسل أو وضوئه قبل التکفین</w:t>
      </w:r>
      <w:r>
        <w:rPr>
          <w:rtl w:val="true"/>
        </w:rPr>
        <w:t>]</w:t>
      </w:r>
      <w:bookmarkEnd w:id="29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اغتسال الغاسل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هو التکفین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المجامع لغسل المسّ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بل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لا نصّ فی المسألة بالخصوص؛ و لذا علّله فی محکیّ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الاغتسال و الوضوء علی من مسّ میّتاً واجب أو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الأمر به علی الفور، فیکون التعجیل أفضل </w:t>
      </w:r>
      <w:r>
        <w:rPr>
          <w:rStyle w:val="FootnoteAnchor"/>
          <w:rtl w:val="true"/>
        </w:rPr>
        <w:footnoteReference w:id="201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ما عن التذکرة فی خصوص الغسل </w:t>
      </w:r>
      <w:r>
        <w:rPr>
          <w:rStyle w:val="FootnoteAnchor"/>
          <w:rtl w:val="true"/>
        </w:rPr>
        <w:footnoteReference w:id="2015"/>
      </w:r>
      <w:r>
        <w:rPr>
          <w:rFonts w:ascii="IRNazanin" w:hAnsi="IRNazanin" w:eastAsia="IRNazanin"/>
          <w:color w:val="111111"/>
          <w:sz w:val="28"/>
          <w:sz w:val="28"/>
          <w:szCs w:val="28"/>
          <w:rtl w:val="true"/>
          <w:lang w:bidi="fa-IR"/>
        </w:rPr>
        <w:t>، و فی ظاهر هذا التعلیل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المنتهی تعلیله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w:t>
      </w:r>
      <w:r>
        <w:rPr>
          <w:rStyle w:val="FootnoteAnchor"/>
          <w:rtl w:val="true"/>
        </w:rPr>
        <w:footnoteReference w:id="2016"/>
      </w:r>
      <w:r>
        <w:rPr>
          <w:rFonts w:ascii="IRNazanin" w:hAnsi="IRNazanin" w:eastAsia="IRNazanin"/>
          <w:color w:val="111111"/>
          <w:sz w:val="28"/>
          <w:sz w:val="28"/>
          <w:szCs w:val="28"/>
          <w:rtl w:val="true"/>
          <w:lang w:bidi="fa-IR"/>
        </w:rPr>
        <w:t xml:space="preserve">أبلغ أحواله من الطهارة المزیلة للعینیّة و الحکمیّة عند تکفین البالغ فی الطهارة </w:t>
      </w:r>
      <w:r>
        <w:rPr>
          <w:rStyle w:val="FootnoteAnchor"/>
          <w:rtl w:val="true"/>
        </w:rPr>
        <w:footnoteReference w:id="2017"/>
      </w:r>
      <w:r>
        <w:rPr>
          <w:rFonts w:ascii="IRNazanin" w:hAnsi="IRNazanin" w:eastAsia="IRNazanin"/>
          <w:color w:val="111111"/>
          <w:sz w:val="28"/>
          <w:sz w:val="28"/>
          <w:szCs w:val="28"/>
          <w:rtl w:val="true"/>
          <w:lang w:bidi="fa-IR"/>
        </w:rPr>
        <w:t>، و هذا جیّد و یکون إرجاعه إلی ما دلّ علی تعلیل وجوب غسل المسّ بأنّه لأجل ملاقاته للمؤمنین، و قد ثبت أنّ حرمة المؤمن حیّاً کحرمته میّتاً، فاستحبّ أن لا یلاقی المیّت الطاهر من الخبث و الحدث إلّا طاهراً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إرجاع ما تقدّم عن المعتبر و التذکرة إلی هذا،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تعجیل ما وجب علیه لیلاقی المیّت و یقلّبه مع الطهارة، لا مجرّد الاستحباب النفسیّ الثابت فی التطهّر، فلا یرد أنّه لا یصیر بذلک من سنن التکفین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یعارضه حینئذٍ أدلّة استحباب تعجیل التجهیز کما توهّم؛ لأنّ المراد بالتعجیل ما یقابل التوانی و التأخیر، لا حذف بعض مستحبّات التجهیز، فکلّ ما ثبت استحباب شی‌ءٍ فی التجهیز فلا ینافیه أدلّة التعجیل، بل الأمر کذلک حتّی لو کان الاستحباب من باب التسامح فی أدلّة السنن، کما</w:t>
      </w:r>
    </w:p>
    <w:p>
      <w:pPr>
        <w:pStyle w:val="BookText"/>
        <w:rPr/>
      </w:pPr>
      <w:r>
        <w:rPr>
          <w:rFonts w:ascii="IRNazanin" w:hAnsi="IRNazanin" w:eastAsia="IRNazanin"/>
          <w:color w:val="111111"/>
          <w:sz w:val="28"/>
          <w:sz w:val="28"/>
          <w:szCs w:val="28"/>
          <w:rtl w:val="true"/>
          <w:lang w:bidi="fa-IR"/>
        </w:rPr>
        <w:t>هو أقصی ما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تقدیم الاغتسال قد لا ینافی التعجیل؛ إذ قد یتّفق التأخیر لحاجة مترقّبة، فلا یزاحم لاستحباب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بذلک ضعف ما طعن به جملة من متأخّری المتأخّرین </w:t>
      </w:r>
      <w:r>
        <w:rPr>
          <w:rStyle w:val="FootnoteAnchor"/>
          <w:rtl w:val="true"/>
        </w:rPr>
        <w:footnoteReference w:id="2018"/>
      </w:r>
      <w:r>
        <w:rPr>
          <w:rFonts w:ascii="IRNazanin" w:hAnsi="IRNazanin" w:eastAsia="IRNazanin"/>
          <w:color w:val="111111"/>
          <w:sz w:val="28"/>
          <w:sz w:val="28"/>
          <w:szCs w:val="28"/>
          <w:rtl w:val="true"/>
          <w:lang w:bidi="fa-IR"/>
        </w:rPr>
        <w:t>علی أصحاب هذا القول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المدرک،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بالمعارضة بأدلّة تعجیل التجهیز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تأخیر الاغتسال عن التکفین، کصحیحة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یغسّله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ثمّ یلبّسه أکفانه قبل أن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ثمّ یغسل یدیه من العاتق ثمّ یلبّسه أکفانه ثمّ یغتسل</w:t>
      </w:r>
      <w:r>
        <w:rPr>
          <w:rFonts w:eastAsia="IRNazanin" w:cs="IRNazanin"/>
          <w:color w:val="111111"/>
          <w:sz w:val="28"/>
          <w:szCs w:val="28"/>
          <w:rtl w:val="true"/>
          <w:lang w:bidi="fa-IR"/>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یعقوب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یغسل الذی غسّله یده قبل أن یکفّنه إلی المنکبین ثلاث مرّات، ثمّ إذا کفّنه اغتسل</w:t>
      </w:r>
      <w:r>
        <w:rPr>
          <w:rFonts w:eastAsia="IRNazanin" w:cs="IRNazanin"/>
          <w:color w:val="111111"/>
          <w:sz w:val="28"/>
          <w:szCs w:val="28"/>
          <w:rtl w:val="true"/>
          <w:lang w:bidi="fa-IR"/>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منکم میّتاً فلیغتسل بعد ما یلبّسه أکفانه</w:t>
      </w:r>
      <w:r>
        <w:rPr>
          <w:rFonts w:eastAsia="IRNazanin" w:cs="IRNazanin"/>
          <w:color w:val="111111"/>
          <w:sz w:val="28"/>
          <w:szCs w:val="28"/>
          <w:rtl w:val="true"/>
          <w:lang w:bidi="fa-IR"/>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یؤیّدها خلوّ باقی أخبار آداب التکفین عن الأمر بالاغتسال قبله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الصحیحة الاولی فی مقام بیان جواز التأخیر تقریراً لکلام</w:t>
      </w:r>
    </w:p>
    <w:p>
      <w:pPr>
        <w:pStyle w:val="BookText"/>
        <w:rPr/>
      </w:pPr>
      <w:r>
        <w:rPr>
          <w:rFonts w:ascii="IRNazanin" w:hAnsi="IRNazanin" w:eastAsia="IRNazanin"/>
          <w:color w:val="111111"/>
          <w:sz w:val="28"/>
          <w:sz w:val="28"/>
          <w:szCs w:val="28"/>
          <w:rtl w:val="true"/>
          <w:lang w:bidi="fa-IR"/>
        </w:rPr>
        <w:t xml:space="preserve">السائل إلّا أنّه یغسل بدنه </w:t>
      </w:r>
      <w:r>
        <w:rPr>
          <w:rStyle w:val="FootnoteAnchor"/>
          <w:rtl w:val="true"/>
        </w:rPr>
        <w:footnoteReference w:id="2022"/>
      </w:r>
      <w:r>
        <w:rPr>
          <w:rFonts w:ascii="IRNazanin" w:hAnsi="IRNazanin" w:eastAsia="IRNazanin"/>
          <w:color w:val="111111"/>
          <w:sz w:val="28"/>
          <w:sz w:val="28"/>
          <w:szCs w:val="28"/>
          <w:rtl w:val="true"/>
          <w:lang w:bidi="fa-IR"/>
        </w:rPr>
        <w:t>، و کأنّه أقلّ مراتب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حملها کالصحیحة الأُخری و روایة الخصال علی ما إذا خیف علی المیّت کما فی الذکری </w:t>
      </w:r>
      <w:r>
        <w:rPr>
          <w:rStyle w:val="FootnoteAnchor"/>
          <w:rtl w:val="true"/>
        </w:rPr>
        <w:footnoteReference w:id="2023"/>
      </w:r>
      <w:r>
        <w:rPr>
          <w:rFonts w:ascii="IRNazanin" w:hAnsi="IRNazanin" w:eastAsia="IRNazanin"/>
          <w:color w:val="111111"/>
          <w:sz w:val="28"/>
          <w:sz w:val="28"/>
          <w:szCs w:val="28"/>
          <w:rtl w:val="true"/>
          <w:lang w:bidi="fa-IR"/>
        </w:rPr>
        <w:t xml:space="preserve">و الروض </w:t>
      </w:r>
      <w:r>
        <w:rPr>
          <w:rStyle w:val="FootnoteAnchor"/>
          <w:rtl w:val="true"/>
        </w:rPr>
        <w:footnoteReference w:id="2024"/>
      </w:r>
      <w:r>
        <w:rPr>
          <w:rFonts w:ascii="IRNazanin" w:hAnsi="IRNazanin" w:eastAsia="IRNazanin"/>
          <w:color w:val="111111"/>
          <w:sz w:val="28"/>
          <w:sz w:val="28"/>
          <w:szCs w:val="28"/>
          <w:rtl w:val="true"/>
          <w:lang w:bidi="fa-IR"/>
        </w:rPr>
        <w:t xml:space="preserve">و عن جامع المقاصد </w:t>
      </w:r>
      <w:r>
        <w:rPr>
          <w:rStyle w:val="FootnoteAnchor"/>
          <w:rtl w:val="true"/>
        </w:rPr>
        <w:footnoteReference w:id="2025"/>
      </w:r>
      <w:r>
        <w:rPr>
          <w:rFonts w:ascii="IRNazanin" w:hAnsi="IRNazanin" w:eastAsia="IRNazanin"/>
          <w:color w:val="111111"/>
          <w:sz w:val="28"/>
          <w:sz w:val="28"/>
          <w:szCs w:val="28"/>
          <w:rtl w:val="true"/>
          <w:lang w:bidi="fa-IR"/>
        </w:rPr>
        <w:t>لکنّ الأولی حملها علی إرادة بیان أصل وجوب الاغتسال، و إنّما خُصّ بما بعد التکفین لغلبة وقوع ذلک و تعارفه بین غَسّالة الموتی، حیث إنّهم إنّما یغتسلون بعد تمام تکفین المیّت، أو لغلبة استلزام اغتسال الغاسل تأخیراً کثیراً فی تجهیز المیّت، إذ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استحباب الاغتسال قد یزاحمه استحباب التعجیل، فإنّ المسلّم فیما سبق </w:t>
      </w:r>
      <w:r>
        <w:rPr>
          <w:rStyle w:val="FootnoteAnchor"/>
          <w:rtl w:val="true"/>
        </w:rPr>
        <w:footnoteReference w:id="2026"/>
      </w:r>
      <w:r>
        <w:rPr>
          <w:rFonts w:ascii="IRNazanin" w:hAnsi="IRNazanin" w:eastAsia="IRNazanin"/>
          <w:color w:val="111111"/>
          <w:sz w:val="28"/>
          <w:sz w:val="28"/>
          <w:szCs w:val="28"/>
          <w:rtl w:val="true"/>
          <w:lang w:bidi="fa-IR"/>
        </w:rPr>
        <w:t>عدم منافاة أدلّة التعجیل لأدلّة استحباب الفعل، بمعنی أنّ نفس فعل مستحبّات التجهیز و آدابه و إن أدّی إلی تأخیر الدفن لا ینافی استحباب تعجیل التجهیز؛ لأنّه من جملة التجهیز، بخلاف ما إذا اتّفق توقّف بعض الأفعال المستحبّة علی فعلٍ کثیرٍ ینافی التعجیل، کما إذا توقّف تحنیطه بالمقدار الکامل علی تأخیر کثیر للذهاب إلی محلٍّ بعید لشراء الحنوط و نحو ذلک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تبیّن ممّا ذکر من مذهب المشهور و 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التطهیر لغیر الغاسل أیضاً إذا باشر التکفین کما فی الروض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 غسل الغاسل إلی المنکبین کما فی صحیحة ابن یقطین </w:t>
      </w:r>
      <w:r>
        <w:rPr>
          <w:rStyle w:val="FootnoteAnchor"/>
          <w:rtl w:val="true"/>
        </w:rPr>
        <w:footnoteReference w:id="2028"/>
      </w:r>
      <w:r>
        <w:rPr>
          <w:rFonts w:ascii="IRNazanin" w:hAnsi="IRNazanin" w:eastAsia="IRNazanin"/>
          <w:color w:val="111111"/>
          <w:sz w:val="28"/>
          <w:sz w:val="28"/>
          <w:szCs w:val="28"/>
          <w:rtl w:val="true"/>
          <w:lang w:bidi="fa-IR"/>
        </w:rPr>
        <w:t xml:space="preserve">أو إلی المرافق بزیادة غسل الرجلین إلی الرکبتین کما فی روایة عمّار </w:t>
      </w:r>
      <w:r>
        <w:rPr>
          <w:rStyle w:val="FootnoteAnchor"/>
          <w:rtl w:val="true"/>
        </w:rPr>
        <w:footnoteReference w:id="2029"/>
      </w:r>
      <w:r>
        <w:rPr>
          <w:rFonts w:ascii="IRNazanin" w:hAnsi="IRNazanin" w:eastAsia="IRNazanin"/>
          <w:color w:val="111111"/>
          <w:sz w:val="28"/>
          <w:sz w:val="28"/>
          <w:szCs w:val="28"/>
          <w:rtl w:val="true"/>
          <w:lang w:bidi="fa-IR"/>
        </w:rPr>
        <w:t xml:space="preserve">فی المرتبة الثالثة من الاستحباب عند المشهور، و فی الاولی عند غیرهم تبعاً لظاهر المقنعة </w:t>
      </w:r>
      <w:r>
        <w:rPr>
          <w:rStyle w:val="FootnoteAnchor"/>
          <w:rtl w:val="true"/>
        </w:rPr>
        <w:footnoteReference w:id="2030"/>
      </w:r>
      <w:r>
        <w:rPr>
          <w:rFonts w:ascii="IRNazanin" w:hAnsi="IRNazanin" w:eastAsia="IRNazanin"/>
          <w:color w:val="111111"/>
          <w:sz w:val="28"/>
          <w:sz w:val="28"/>
          <w:szCs w:val="28"/>
          <w:rtl w:val="true"/>
          <w:lang w:bidi="fa-IR"/>
        </w:rPr>
        <w:t xml:space="preserve">و المحکی عن المقنع </w:t>
      </w:r>
      <w:r>
        <w:rPr>
          <w:rStyle w:val="FootnoteAnchor"/>
          <w:rtl w:val="true"/>
        </w:rPr>
        <w:footnoteReference w:id="2031"/>
      </w:r>
      <w:r>
        <w:rPr>
          <w:rFonts w:ascii="IRNazanin" w:hAnsi="IRNazanin" w:eastAsia="IRNazanin"/>
          <w:color w:val="111111"/>
          <w:sz w:val="28"/>
          <w:sz w:val="28"/>
          <w:szCs w:val="28"/>
          <w:rtl w:val="true"/>
          <w:lang w:bidi="fa-IR"/>
        </w:rPr>
        <w:t xml:space="preserve">و المراسم </w:t>
      </w:r>
      <w:r>
        <w:rPr>
          <w:rStyle w:val="FootnoteAnchor"/>
          <w:rtl w:val="true"/>
        </w:rPr>
        <w:footnoteReference w:id="2032"/>
      </w:r>
      <w:r>
        <w:rPr>
          <w:rFonts w:ascii="IRNazanin" w:hAnsi="IRNazanin" w:eastAsia="IRNazanin"/>
          <w:color w:val="111111"/>
          <w:sz w:val="28"/>
          <w:sz w:val="28"/>
          <w:szCs w:val="28"/>
          <w:rtl w:val="true"/>
          <w:lang w:bidi="fa-IR"/>
        </w:rPr>
        <w:t xml:space="preserve">و الکافی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المصرّح به فی کلمات کثیر من الأوّلین کالشهیدین </w:t>
      </w:r>
      <w:r>
        <w:rPr>
          <w:rStyle w:val="FootnoteAnchor"/>
          <w:rtl w:val="true"/>
        </w:rPr>
        <w:footnoteReference w:id="2034"/>
      </w:r>
      <w:r>
        <w:rPr>
          <w:rFonts w:ascii="IRNazanin" w:hAnsi="IRNazanin" w:eastAsia="IRNazanin"/>
          <w:color w:val="111111"/>
          <w:sz w:val="28"/>
          <w:sz w:val="28"/>
          <w:szCs w:val="28"/>
          <w:rtl w:val="true"/>
          <w:lang w:bidi="fa-IR"/>
        </w:rPr>
        <w:t>هو کون هذا الغسل و الوضوء غسل المسّ و وضوؤه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فی الذکری فی تعداد الأغسال المسنونة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استحباب الغسل للتکفین مرویّاً عن محمّد بن مسلم </w:t>
      </w:r>
      <w:r>
        <w:rPr>
          <w:rStyle w:val="FootnoteAnchor"/>
          <w:rtl w:val="true"/>
        </w:rPr>
        <w:footnoteReference w:id="2035"/>
      </w:r>
      <w:r>
        <w:rPr>
          <w:rFonts w:ascii="IRNazanin" w:hAnsi="IRNazanin" w:eastAsia="IRNazanin"/>
          <w:color w:val="111111"/>
          <w:sz w:val="28"/>
          <w:sz w:val="28"/>
          <w:szCs w:val="28"/>
          <w:rtl w:val="true"/>
          <w:lang w:bidi="fa-IR"/>
        </w:rPr>
        <w:t>غسلٌ آخر غیر هذا، لکنّ الحکم باستحبابه ضعیف؛ لأنّ الروایة التی استند إلیها فی الذکری، و لمّح إلیها ابن سعید فی محکیّ النزهة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استحباب الغسل للتکفین </w:t>
      </w:r>
      <w:r>
        <w:rPr>
          <w:rStyle w:val="FootnoteAnchor"/>
          <w:rtl w:val="true"/>
        </w:rPr>
        <w:footnoteReference w:id="2036"/>
      </w:r>
      <w:r>
        <w:rPr>
          <w:rFonts w:ascii="IRNazanin" w:hAnsi="IRNazanin" w:eastAsia="IRNazanin"/>
          <w:color w:val="111111"/>
          <w:sz w:val="28"/>
          <w:sz w:val="28"/>
          <w:szCs w:val="28"/>
          <w:rtl w:val="true"/>
          <w:lang w:bidi="fa-IR"/>
        </w:rPr>
        <w:t>هی قوله علیه السلام فی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غسّلت میّتاً أو کفّنته أو مسسته بعد ما یبرد</w:t>
      </w:r>
      <w:r>
        <w:rPr>
          <w:rFonts w:eastAsia="IRNazanin" w:cs="IRNazanin"/>
          <w:color w:val="111111"/>
          <w:sz w:val="28"/>
          <w:szCs w:val="28"/>
          <w:rtl w:val="true"/>
          <w:lang w:bidi="fa-IR"/>
        </w:rPr>
        <w:t xml:space="preserve">»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bookmarkStart w:id="292" w:name="pg13042_127225"/>
    </w:p>
    <w:p>
      <w:pPr>
        <w:pStyle w:val="BookText"/>
        <w:rPr/>
      </w:pPr>
      <w:bookmarkEnd w:id="292"/>
      <w:r>
        <w:rPr>
          <w:rFonts w:ascii="IRNazanin" w:hAnsi="IRNazanin" w:eastAsia="IRNazanin"/>
          <w:color w:val="111111"/>
          <w:sz w:val="28"/>
          <w:sz w:val="28"/>
          <w:szCs w:val="28"/>
          <w:rtl w:val="true"/>
          <w:lang w:bidi="fa-IR"/>
        </w:rPr>
        <w:t>و لا یخفی ضعف دلالتها علی المدّعی؛ سیّما و إنّ المحکیّ عن بعض نسخ التهذیب و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ظهر أیضاً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الإشکال فی جواز الاکتفاء بهذا الوضوء لأجل الصلاة؛ لأنّ المفروض کونه نفس الوضوء المجامع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وضوءاً آخر یفعل لأجل خفّة الحدث فالظاهر عدم جواز الدخول معه، 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صرّحوا بأنّ الوضوء المستحبّ تقدیمه علی التکفین هو وضوء الصلاة، فعلی اعتبار نیّة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الرفع أو الاستباحة، لا بدّ من نیّتهما لیحصل الفضیلة المطلوبة، و حینئذٍ فلا مجال للتردّد فی إباحة الصلاة، و لا لفرض خلوّه عن نیّة رفع الحدث، إلّا أن ینزّل علی استحباب الوضوء مطلقاً، و أنّ الأفضل کونه وضوء الصلاة </w:t>
      </w:r>
      <w:r>
        <w:rPr>
          <w:rStyle w:val="FootnoteAnchor"/>
          <w:rtl w:val="true"/>
        </w:rPr>
        <w:footnoteReference w:id="203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احتمال إرادتهم صورة وضوء الصلاة لتخفیف الحدث، کما یقیّدون الوضوء بذلک کثیراً، فلا یحتاج إلی تأویل بإرادة الأفضل</w:t>
      </w:r>
      <w:r>
        <w:rPr>
          <w:rFonts w:eastAsia="IRNazanin" w:cs="IRNazanin"/>
          <w:color w:val="111111"/>
          <w:sz w:val="28"/>
          <w:szCs w:val="28"/>
          <w:rtl w:val="true"/>
          <w:lang w:bidi="fa-IR"/>
        </w:rPr>
        <w:t>.</w:t>
      </w:r>
    </w:p>
    <w:p>
      <w:pPr>
        <w:pStyle w:val="Heading6"/>
        <w:numPr>
          <w:ilvl w:val="5"/>
          <w:numId w:val="1"/>
        </w:numPr>
        <w:rPr/>
      </w:pPr>
      <w:bookmarkStart w:id="293" w:name="__RefHeading___Toc6530284_3224264995"/>
      <w:bookmarkStart w:id="294" w:name="_Toc114"/>
      <w:bookmarkEnd w:id="293"/>
      <w:r>
        <w:rPr>
          <w:rtl w:val="true"/>
        </w:rPr>
        <w:t>[</w:t>
      </w:r>
      <w:r>
        <w:rPr/>
        <w:t>3</w:t>
      </w:r>
      <w:r>
        <w:rPr>
          <w:rtl w:val="true"/>
        </w:rPr>
        <w:t xml:space="preserve">- </w:t>
      </w:r>
      <w:r>
        <w:rPr>
          <w:rtl w:val="true"/>
        </w:rPr>
        <w:t>زیادة الحِبَرة</w:t>
      </w:r>
      <w:r>
        <w:rPr>
          <w:rtl w:val="true"/>
        </w:rPr>
        <w:t>]</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زیادة حِبَرة </w:t>
      </w:r>
      <w:r>
        <w:rPr>
          <w:rStyle w:val="FootnoteAnchor"/>
          <w:rtl w:val="true"/>
        </w:rPr>
        <w:footnoteReference w:id="2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الأثواب، بکسر الحاء و فتح 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یمنیّ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الحکم مشهور، بل عن المعتبر </w:t>
      </w:r>
      <w:r>
        <w:rPr>
          <w:rStyle w:val="FootnoteAnchor"/>
          <w:rtl w:val="true"/>
        </w:rPr>
        <w:footnoteReference w:id="2041"/>
      </w:r>
      <w:r>
        <w:rPr>
          <w:rFonts w:ascii="IRNazanin" w:hAnsi="IRNazanin" w:eastAsia="IRNazanin"/>
          <w:color w:val="111111"/>
          <w:sz w:val="28"/>
          <w:sz w:val="28"/>
          <w:szCs w:val="28"/>
          <w:rtl w:val="true"/>
          <w:lang w:bidi="fa-IR"/>
        </w:rPr>
        <w:t xml:space="preserve">و التذکرة </w:t>
      </w:r>
      <w:r>
        <w:rPr>
          <w:rStyle w:val="FootnoteAnchor"/>
          <w:rtl w:val="true"/>
        </w:rPr>
        <w:footnoteReference w:id="2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علمائنا،</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جمیع علمائنا </w:t>
      </w:r>
      <w:r>
        <w:rPr>
          <w:rStyle w:val="FootnoteAnchor"/>
          <w:rtl w:val="true"/>
        </w:rPr>
        <w:footnoteReference w:id="2043"/>
      </w:r>
      <w:r>
        <w:rPr>
          <w:rFonts w:ascii="IRNazanin" w:hAnsi="IRNazanin" w:eastAsia="IRNazanin"/>
          <w:color w:val="111111"/>
          <w:sz w:val="28"/>
          <w:sz w:val="28"/>
          <w:szCs w:val="28"/>
          <w:rtl w:val="true"/>
          <w:lang w:bidi="fa-IR"/>
        </w:rPr>
        <w:t xml:space="preserve">، بل عن صریح الخلاف </w:t>
      </w:r>
      <w:r>
        <w:rPr>
          <w:rStyle w:val="FootnoteAnchor"/>
          <w:rtl w:val="true"/>
        </w:rPr>
        <w:footnoteReference w:id="2044"/>
      </w:r>
      <w:r>
        <w:rPr>
          <w:rFonts w:ascii="IRNazanin" w:hAnsi="IRNazanin" w:eastAsia="IRNazanin"/>
          <w:color w:val="111111"/>
          <w:sz w:val="28"/>
          <w:sz w:val="28"/>
          <w:szCs w:val="28"/>
          <w:rtl w:val="true"/>
          <w:lang w:bidi="fa-IR"/>
        </w:rPr>
        <w:t xml:space="preserve">و الغنیة </w:t>
      </w:r>
      <w:r>
        <w:rPr>
          <w:rStyle w:val="FootnoteAnchor"/>
          <w:rtl w:val="true"/>
        </w:rPr>
        <w:footnoteReference w:id="2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کافیة فی المقام، و إن لم یکتف بها جملة من الأعلام، أوّلهم فیما أعلم صاحب المدارک </w:t>
      </w:r>
      <w:r>
        <w:rPr>
          <w:rStyle w:val="FootnoteAnchor"/>
          <w:rtl w:val="true"/>
        </w:rPr>
        <w:footnoteReference w:id="2046"/>
      </w:r>
      <w:r>
        <w:rPr>
          <w:rFonts w:ascii="IRNazanin" w:hAnsi="IRNazanin" w:eastAsia="IRNazanin"/>
          <w:color w:val="111111"/>
          <w:sz w:val="28"/>
          <w:sz w:val="28"/>
          <w:szCs w:val="28"/>
          <w:rtl w:val="true"/>
          <w:lang w:bidi="fa-IR"/>
        </w:rPr>
        <w:t xml:space="preserve">، فنفوا استحباب الزائد، و حکوه أیضاً عن العمانی </w:t>
      </w:r>
      <w:r>
        <w:rPr>
          <w:rStyle w:val="FootnoteAnchor"/>
          <w:rtl w:val="true"/>
        </w:rPr>
        <w:footnoteReference w:id="2047"/>
      </w:r>
      <w:r>
        <w:rPr>
          <w:rFonts w:ascii="IRNazanin" w:hAnsi="IRNazanin" w:eastAsia="IRNazanin"/>
          <w:color w:val="111111"/>
          <w:sz w:val="28"/>
          <w:sz w:val="28"/>
          <w:szCs w:val="28"/>
          <w:rtl w:val="true"/>
          <w:lang w:bidi="fa-IR"/>
        </w:rPr>
        <w:t xml:space="preserve">و فی الحکایة نظر یأتی و الحلبی </w:t>
      </w:r>
      <w:r>
        <w:rPr>
          <w:rStyle w:val="FootnoteAnchor"/>
          <w:rtl w:val="true"/>
        </w:rPr>
        <w:footnoteReference w:id="2048"/>
      </w:r>
      <w:r>
        <w:rPr>
          <w:rFonts w:ascii="IRNazanin" w:hAnsi="IRNazanin" w:eastAsia="IRNazanin"/>
          <w:color w:val="111111"/>
          <w:sz w:val="28"/>
          <w:sz w:val="28"/>
          <w:szCs w:val="28"/>
          <w:rtl w:val="true"/>
          <w:lang w:bidi="fa-IR"/>
        </w:rPr>
        <w:t xml:space="preserve">، بل </w:t>
      </w:r>
      <w:r>
        <w:rPr>
          <w:rStyle w:val="FootnoteAnchor"/>
          <w:rtl w:val="true"/>
        </w:rPr>
        <w:footnoteReference w:id="2049"/>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الأکثر استحباب کون اللفافة المفروضة حبرة </w:t>
      </w:r>
      <w:r>
        <w:rPr>
          <w:rStyle w:val="FootnoteAnchor"/>
          <w:rtl w:val="true"/>
        </w:rPr>
        <w:footnoteReference w:id="2050"/>
      </w:r>
      <w:r>
        <w:rPr>
          <w:rFonts w:ascii="IRNazanin" w:hAnsi="IRNazanin" w:eastAsia="IRNazanin"/>
          <w:color w:val="111111"/>
          <w:sz w:val="28"/>
          <w:sz w:val="28"/>
          <w:szCs w:val="28"/>
          <w:rtl w:val="true"/>
          <w:lang w:bidi="fa-IR"/>
        </w:rPr>
        <w:t>، و فیه نظر بعد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روایة یونس بن یعقوب عن أبی الحسن الأوّل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کفّنت أبی علیه السلام فی ثوبین شطویین کان یحرم فیهما و قمیص من قمصه و عمامة کانت لعلیّ بن الحسین علیه السلام و بُردٍ اشتریته بأربعین دیناراً، لو کان الیوم یساوی أربعمائة دینار</w:t>
      </w:r>
      <w:r>
        <w:rPr>
          <w:rFonts w:eastAsia="IRNazanin" w:cs="IRNazanin"/>
          <w:color w:val="111111"/>
          <w:sz w:val="28"/>
          <w:szCs w:val="28"/>
          <w:rtl w:val="true"/>
          <w:lang w:bidi="fa-IR"/>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البُرد لا یلفّ به و لکن یطرح علیه طرحاً، فإذا أُدخل القبر وضع تحت خدّه و تحت جنبه</w:t>
      </w:r>
      <w:r>
        <w:rPr>
          <w:rFonts w:eastAsia="IRNazanin" w:cs="IRNazanin"/>
          <w:color w:val="111111"/>
          <w:sz w:val="28"/>
          <w:szCs w:val="28"/>
          <w:rtl w:val="true"/>
          <w:lang w:bidi="fa-IR"/>
        </w:rPr>
        <w:t xml:space="preserve">» </w:t>
      </w:r>
      <w:r>
        <w:rPr>
          <w:rStyle w:val="FootnoteAnchor"/>
          <w:rtl w:val="true"/>
        </w:rPr>
        <w:footnoteReference w:id="2052"/>
      </w:r>
      <w:r>
        <w:rPr>
          <w:rFonts w:ascii="Amiri" w:hAnsi="Amiri" w:eastAsia="Amiri" w:cs="Amiri"/>
          <w:color w:val="111111"/>
          <w:sz w:val="28"/>
          <w:sz w:val="28"/>
          <w:szCs w:val="28"/>
          <w:rtl w:val="true"/>
          <w:lang w:bidi="ar-SA"/>
        </w:rPr>
        <w:t>فإنّ البُرد لو کان من</w:t>
      </w:r>
    </w:p>
    <w:p>
      <w:pPr>
        <w:pStyle w:val="BookText"/>
        <w:rPr/>
      </w:pPr>
      <w:r>
        <w:rPr>
          <w:rFonts w:ascii="IRNazanin" w:hAnsi="IRNazanin" w:eastAsia="IRNazanin"/>
          <w:color w:val="111111"/>
          <w:sz w:val="28"/>
          <w:sz w:val="28"/>
          <w:szCs w:val="28"/>
          <w:rtl w:val="true"/>
          <w:lang w:bidi="fa-IR"/>
        </w:rPr>
        <w:t>الأثواب الثلاثة وجب لفّه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أیضاً بما تقدّم من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الکفن المفروض ثلاثة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الزائد سنّة إلی أن یبلغ خمسة، فما زاد فهو مبتدع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العمامة سنّة</w:t>
      </w:r>
      <w:r>
        <w:rPr>
          <w:rFonts w:eastAsia="IRNazanin" w:cs="IRNazanin"/>
          <w:color w:val="111111"/>
          <w:sz w:val="28"/>
          <w:szCs w:val="28"/>
          <w:rtl w:val="true"/>
          <w:lang w:bidi="fa-IR"/>
        </w:rPr>
        <w:t xml:space="preserve">» </w:t>
      </w:r>
      <w:r>
        <w:rPr>
          <w:rStyle w:val="FootnoteAnchor"/>
          <w:rtl w:val="true"/>
        </w:rPr>
        <w:footnoteReference w:id="2053"/>
      </w:r>
      <w:r>
        <w:rPr>
          <w:rFonts w:ascii="IRNazanin" w:hAnsi="IRNazanin" w:eastAsia="IRNazanin"/>
          <w:color w:val="111111"/>
          <w:sz w:val="28"/>
          <w:sz w:val="28"/>
          <w:szCs w:val="28"/>
          <w:rtl w:val="true"/>
          <w:lang w:bidi="fa-IR"/>
        </w:rPr>
        <w:t xml:space="preserve">بناءً علی أنّ المراد بالخمسة هی الإقطاع التی یلفّ بها الجسد، و هی مع الخرقة خمسة، و لیست العمامة معدوداً </w:t>
      </w:r>
      <w:r>
        <w:rPr>
          <w:rStyle w:val="FootnoteAnchor"/>
          <w:rtl w:val="true"/>
        </w:rPr>
        <w:footnoteReference w:id="2054"/>
      </w:r>
      <w:r>
        <w:rPr>
          <w:rFonts w:ascii="IRNazanin" w:hAnsi="IRNazanin" w:eastAsia="IRNazanin"/>
          <w:color w:val="111111"/>
          <w:sz w:val="28"/>
          <w:sz w:val="28"/>
          <w:szCs w:val="28"/>
          <w:rtl w:val="true"/>
          <w:lang w:bidi="fa-IR"/>
        </w:rPr>
        <w:t xml:space="preserve">من الکفن، کما هو صریح صدر الروایة و حسنة الحلبی الآتیة الحاصرة للکفن فیما یلفّ به الجسد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فاندفع بذلک وجه الاستدلال بهذه الصحیحة لخلاف المشهور؛ حیث إنّ ما زاد علی الخمسة إذا کانت بدعة و المفروض دخول العمامة و الخرقة فی الخمسة کما فی صحیحة معاویة بن وهب الآتیة </w:t>
      </w:r>
      <w:r>
        <w:rPr>
          <w:rStyle w:val="FootnoteAnchor"/>
          <w:rtl w:val="true"/>
        </w:rPr>
        <w:footnoteReference w:id="2056"/>
      </w:r>
      <w:r>
        <w:rPr>
          <w:rFonts w:ascii="IRNazanin" w:hAnsi="IRNazanin" w:eastAsia="IRNazanin"/>
          <w:color w:val="111111"/>
          <w:sz w:val="28"/>
          <w:sz w:val="28"/>
          <w:szCs w:val="28"/>
          <w:rtl w:val="true"/>
          <w:lang w:bidi="fa-IR"/>
        </w:rPr>
        <w:t>فیکون اللفافة الزائدة بدعة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الصحیحة ناظرة إلی مضمون حسنة الحلبی الآتیة </w:t>
      </w:r>
      <w:r>
        <w:rPr>
          <w:rStyle w:val="FootnoteAnchor"/>
          <w:rtl w:val="true"/>
        </w:rPr>
        <w:footnoteReference w:id="2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 الخرقة من الأثواب دون العمامة، لا إلی صحیحة معاویة</w:t>
      </w:r>
    </w:p>
    <w:p>
      <w:pPr>
        <w:pStyle w:val="BookText"/>
        <w:rPr/>
      </w:pPr>
      <w:r>
        <w:rPr>
          <w:rFonts w:ascii="IRNazanin" w:hAnsi="IRNazanin" w:eastAsia="IRNazanin"/>
          <w:color w:val="111111"/>
          <w:sz w:val="28"/>
          <w:sz w:val="28"/>
          <w:szCs w:val="28"/>
          <w:rtl w:val="true"/>
          <w:lang w:bidi="fa-IR"/>
        </w:rPr>
        <w:t xml:space="preserve">ابن وهب الملحوظ فیها دخول العمامة و الخرقة فی الأثواب، و لا إلی ما رواه ابن سنان </w:t>
      </w:r>
      <w:r>
        <w:rPr>
          <w:rStyle w:val="FootnoteAnchor"/>
          <w:rtl w:val="true"/>
        </w:rPr>
        <w:footnoteReference w:id="2058"/>
      </w:r>
      <w:r>
        <w:rPr>
          <w:rFonts w:ascii="IRNazanin" w:hAnsi="IRNazanin" w:eastAsia="IRNazanin"/>
          <w:color w:val="111111"/>
          <w:sz w:val="28"/>
          <w:sz w:val="28"/>
          <w:szCs w:val="28"/>
          <w:rtl w:val="true"/>
          <w:lang w:bidi="fa-IR"/>
        </w:rPr>
        <w:t xml:space="preserve">المخرجة لهما عن الأثواب، و إن حکی فی الذکری </w:t>
      </w:r>
      <w:r>
        <w:rPr>
          <w:rStyle w:val="FootnoteAnchor"/>
          <w:rtl w:val="true"/>
        </w:rPr>
        <w:footnoteReference w:id="2059"/>
      </w:r>
      <w:r>
        <w:rPr>
          <w:rFonts w:ascii="IRNazanin" w:hAnsi="IRNazanin" w:eastAsia="IRNazanin"/>
          <w:color w:val="111111"/>
          <w:sz w:val="28"/>
          <w:sz w:val="28"/>
          <w:szCs w:val="28"/>
          <w:rtl w:val="true"/>
          <w:lang w:bidi="fa-IR"/>
        </w:rPr>
        <w:t>عن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الخمسة فی کلامهم غیر الخرقة و العمامة </w:t>
      </w:r>
      <w:r>
        <w:rPr>
          <w:rStyle w:val="FootnoteAnchor"/>
          <w:rtl w:val="true"/>
        </w:rPr>
        <w:footnoteReference w:id="2060"/>
      </w:r>
      <w:r>
        <w:rPr>
          <w:rFonts w:ascii="IRNazanin" w:hAnsi="IRNazanin" w:eastAsia="IRNazanin"/>
          <w:color w:val="111111"/>
          <w:sz w:val="28"/>
          <w:sz w:val="28"/>
          <w:szCs w:val="28"/>
          <w:rtl w:val="true"/>
          <w:lang w:bidi="fa-IR"/>
        </w:rPr>
        <w:t xml:space="preserve">، إلّا أنّ الظاهر أنّ الشیخ فی النهایة </w:t>
      </w:r>
      <w:r>
        <w:rPr>
          <w:rStyle w:val="FootnoteAnchor"/>
          <w:rtl w:val="true"/>
        </w:rPr>
        <w:footnoteReference w:id="2061"/>
      </w:r>
      <w:r>
        <w:rPr>
          <w:rFonts w:ascii="IRNazanin" w:hAnsi="IRNazanin" w:eastAsia="IRNazanin"/>
          <w:color w:val="111111"/>
          <w:sz w:val="28"/>
          <w:sz w:val="28"/>
          <w:szCs w:val="28"/>
          <w:rtl w:val="true"/>
          <w:lang w:bidi="fa-IR"/>
        </w:rPr>
        <w:t xml:space="preserve">و المبسوط </w:t>
      </w:r>
      <w:r>
        <w:rPr>
          <w:rStyle w:val="FootnoteAnchor"/>
          <w:rtl w:val="true"/>
        </w:rPr>
        <w:footnoteReference w:id="2062"/>
      </w:r>
      <w:r>
        <w:rPr>
          <w:rFonts w:ascii="IRNazanin" w:hAnsi="IRNazanin" w:eastAsia="IRNazanin"/>
          <w:color w:val="111111"/>
          <w:sz w:val="28"/>
          <w:sz w:val="28"/>
          <w:szCs w:val="28"/>
          <w:rtl w:val="true"/>
          <w:lang w:bidi="fa-IR"/>
        </w:rPr>
        <w:t>فهم من الصحیحة ما ذکرنا، حیث قال فیهما 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نهایة الکفن خمسة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لفافتان إحداهما حبرة و قمیص و إزار و خرقة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فلا ینافی الأخبار المذکورة ما استفاض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رسول اللّٰه صلّی اللّٰه علیه و آله و سلم کُفّن فی ثلاثة أثواب </w:t>
      </w:r>
      <w:r>
        <w:rPr>
          <w:rStyle w:val="FootnoteAnchor"/>
          <w:rtl w:val="true"/>
        </w:rPr>
        <w:footnoteReference w:id="2063"/>
      </w:r>
      <w:r>
        <w:rPr>
          <w:rFonts w:ascii="IRNazanin" w:hAnsi="IRNazanin" w:eastAsia="IRNazanin"/>
          <w:color w:val="111111"/>
          <w:sz w:val="28"/>
          <w:sz w:val="28"/>
          <w:szCs w:val="28"/>
          <w:rtl w:val="true"/>
          <w:lang w:bidi="fa-IR"/>
        </w:rPr>
        <w:t>لجواز ترک المستحبّ؛ لبیان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یراد من الأثواب الثلاثة فیها ما عدا المئزر، و تُرک ذکر المئزر لوضوحه، کما فی بعض النصوص </w:t>
      </w:r>
      <w:r>
        <w:rPr>
          <w:rStyle w:val="FootnoteAnchor"/>
          <w:rtl w:val="true"/>
        </w:rPr>
        <w:footnoteReference w:id="2064"/>
      </w:r>
      <w:r>
        <w:rPr>
          <w:rFonts w:ascii="IRNazanin" w:hAnsi="IRNazanin" w:eastAsia="IRNazanin"/>
          <w:color w:val="111111"/>
          <w:sz w:val="28"/>
          <w:sz w:val="28"/>
          <w:szCs w:val="28"/>
          <w:rtl w:val="true"/>
          <w:lang w:bidi="fa-IR"/>
        </w:rPr>
        <w:t xml:space="preserve">و الفتاوی </w:t>
      </w:r>
      <w:r>
        <w:rPr>
          <w:rStyle w:val="FootnoteAnchor"/>
          <w:rtl w:val="true"/>
        </w:rPr>
        <w:footnoteReference w:id="2065"/>
      </w:r>
      <w:r>
        <w:rPr>
          <w:rFonts w:ascii="IRNazanin" w:hAnsi="IRNazanin" w:eastAsia="IRNazanin"/>
          <w:color w:val="111111"/>
          <w:sz w:val="28"/>
          <w:sz w:val="28"/>
          <w:szCs w:val="28"/>
          <w:rtl w:val="true"/>
          <w:lang w:bidi="fa-IR"/>
        </w:rPr>
        <w:t xml:space="preserve">، و علیه یبتنی الاستدلال بهذه الأخبار، أو </w:t>
      </w:r>
      <w:r>
        <w:rPr>
          <w:rStyle w:val="FootnoteAnchor"/>
          <w:rtl w:val="true"/>
        </w:rPr>
        <w:footnoteReference w:id="2066"/>
      </w:r>
      <w:r>
        <w:rPr>
          <w:rFonts w:ascii="IRNazanin" w:hAnsi="IRNazanin" w:eastAsia="IRNazanin"/>
          <w:color w:val="111111"/>
          <w:sz w:val="28"/>
          <w:sz w:val="28"/>
          <w:szCs w:val="28"/>
          <w:rtl w:val="true"/>
          <w:lang w:bidi="fa-IR"/>
        </w:rPr>
        <w:t xml:space="preserve">استحباب الزیادة کما عن المعتبر </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 xml:space="preserve">و التذکرة </w:t>
      </w:r>
      <w:r>
        <w:rPr>
          <w:rStyle w:val="FootnoteAnchor"/>
          <w:rtl w:val="true"/>
        </w:rPr>
        <w:footnoteReference w:id="2068"/>
      </w:r>
      <w:r>
        <w:rPr>
          <w:rFonts w:ascii="IRNazanin" w:hAnsi="IRNazanin" w:eastAsia="IRNazanin"/>
          <w:color w:val="111111"/>
          <w:sz w:val="28"/>
          <w:sz w:val="28"/>
          <w:szCs w:val="28"/>
          <w:rtl w:val="true"/>
          <w:lang w:bidi="fa-IR"/>
        </w:rPr>
        <w:t xml:space="preserve">و غیرهما </w:t>
      </w:r>
      <w:r>
        <w:rPr>
          <w:rStyle w:val="FootnoteAnchor"/>
          <w:rtl w:val="true"/>
        </w:rPr>
        <w:footnoteReference w:id="2069"/>
      </w:r>
      <w:r>
        <w:rPr>
          <w:rFonts w:ascii="IRNazanin" w:hAnsi="IRNazanin" w:eastAsia="IRNazanin"/>
          <w:color w:val="111111"/>
          <w:sz w:val="28"/>
          <w:sz w:val="28"/>
          <w:szCs w:val="28"/>
          <w:rtl w:val="true"/>
          <w:lang w:bidi="fa-IR"/>
        </w:rPr>
        <w:t>حیث إنّ المذکور فی هذه الروایات کون أحد الثلاثة أو اثنین منها مئزراً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حمل هذه الحکایة علی التقیّة؛ لما یظهر من محکیّ المعتبر </w:t>
      </w:r>
      <w:r>
        <w:rPr>
          <w:rStyle w:val="FootnoteAnchor"/>
          <w:rtl w:val="true"/>
        </w:rPr>
        <w:footnoteReference w:id="2070"/>
      </w:r>
      <w:r>
        <w:rPr>
          <w:rFonts w:ascii="IRNazanin" w:hAnsi="IRNazanin" w:eastAsia="IRNazanin"/>
          <w:color w:val="111111"/>
          <w:sz w:val="28"/>
          <w:sz w:val="28"/>
          <w:szCs w:val="28"/>
          <w:rtl w:val="true"/>
          <w:lang w:bidi="fa-IR"/>
        </w:rPr>
        <w:t xml:space="preserve">و التذکرة </w:t>
      </w:r>
      <w:r>
        <w:rPr>
          <w:rStyle w:val="FootnoteAnchor"/>
          <w:rtl w:val="true"/>
        </w:rPr>
        <w:footnoteReference w:id="2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اتفاق العامّة علی إنکار ذلک، لکن الاحتمال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ذلک فیما ورد من أخبار الکفن مجرّداً عن هذه الزیادة مع اقتضاء المقام لبیان المستحبّ لو کان، مثل صحیحة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المیّت فی خمسة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لا یزرّ علیه، و إزار، و خرقة یعصّب بها وسطه، و بُرد یلفّ به، و عمامة یعمّم بها و یلقی فضلها علی صدره</w:t>
      </w:r>
      <w:r>
        <w:rPr>
          <w:rFonts w:eastAsia="IRNazanin" w:cs="IRNazanin"/>
          <w:color w:val="111111"/>
          <w:sz w:val="28"/>
          <w:szCs w:val="28"/>
          <w:rtl w:val="true"/>
          <w:lang w:bidi="fa-IR"/>
        </w:rPr>
        <w:t xml:space="preserve">»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الرجل فی ثلاثة أثواب، و المرأة إذا کانت عظیمة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منطق و خمار و لفافتین</w:t>
      </w:r>
      <w:r>
        <w:rPr>
          <w:rFonts w:eastAsia="IRNazanin" w:cs="IRNazanin"/>
          <w:color w:val="111111"/>
          <w:sz w:val="28"/>
          <w:szCs w:val="28"/>
          <w:rtl w:val="true"/>
          <w:lang w:bidi="fa-IR"/>
        </w:rPr>
        <w:t xml:space="preserve">» </w:t>
      </w:r>
      <w:r>
        <w:rPr>
          <w:rStyle w:val="FootnoteAnchor"/>
          <w:rtl w:val="true"/>
        </w:rPr>
        <w:footnoteReference w:id="2073"/>
      </w:r>
      <w:r>
        <w:rPr>
          <w:rFonts w:ascii="IRNazanin" w:hAnsi="IRNazanin" w:eastAsia="IRNazanin"/>
          <w:color w:val="111111"/>
          <w:sz w:val="28"/>
          <w:sz w:val="28"/>
          <w:szCs w:val="28"/>
          <w:rtl w:val="true"/>
          <w:lang w:bidi="fa-IR"/>
        </w:rPr>
        <w:t>و نحوهما غیرهما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بعض الأخبار کون الزیادة فتوی العامة فی ذلک الزمان، فیحمل روایتا یونس و ابن سنان المتقدّمتان </w:t>
      </w:r>
      <w:r>
        <w:rPr>
          <w:rStyle w:val="FootnoteAnchor"/>
          <w:rtl w:val="true"/>
        </w:rPr>
        <w:footnoteReference w:id="2074"/>
      </w:r>
      <w:r>
        <w:rPr>
          <w:rFonts w:ascii="IRNazanin" w:hAnsi="IRNazanin" w:eastAsia="IRNazanin"/>
          <w:color w:val="111111"/>
          <w:sz w:val="28"/>
          <w:sz w:val="28"/>
          <w:szCs w:val="28"/>
          <w:rtl w:val="true"/>
          <w:lang w:bidi="fa-IR"/>
        </w:rPr>
        <w:t>علی ذلک، فمن ذلک حسنة الحلبی بابن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فی وصیّته أن أُکفّنه بثلاثة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رداء له حبرة کان یصلّی فیه یوم الجمعة و ثوب آخر</w:t>
      </w:r>
    </w:p>
    <w:p>
      <w:pPr>
        <w:pStyle w:val="BookText"/>
        <w:rPr/>
      </w:pPr>
      <w:r>
        <w:rPr>
          <w:rFonts w:ascii="IRNazanin" w:hAnsi="IRNazanin" w:eastAsia="IRNazanin"/>
          <w:color w:val="111111"/>
          <w:sz w:val="28"/>
          <w:sz w:val="28"/>
          <w:szCs w:val="28"/>
          <w:rtl w:val="true"/>
          <w:lang w:bidi="fa-IR"/>
        </w:rPr>
        <w:t>و قمیص،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تکتب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یغلبک الناس،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 فی أربعة أو خمسة فلا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عمّمته بعد بعمامة، و لیس تعدّ العمامة من الکفن إنّما یعدّ ما یلف به الجسد</w:t>
      </w:r>
      <w:r>
        <w:rPr>
          <w:rFonts w:eastAsia="IRNazanin" w:cs="IRNazanin"/>
          <w:color w:val="111111"/>
          <w:sz w:val="28"/>
          <w:szCs w:val="28"/>
          <w:rtl w:val="true"/>
          <w:lang w:bidi="fa-IR"/>
        </w:rPr>
        <w:t xml:space="preserve">» </w:t>
      </w:r>
      <w:r>
        <w:rPr>
          <w:rStyle w:val="FootnoteAnchor"/>
          <w:rtl w:val="true"/>
        </w:rPr>
        <w:footnoteReference w:id="2075"/>
      </w:r>
      <w:r>
        <w:rPr>
          <w:rFonts w:ascii="IRNazanin" w:hAnsi="IRNazanin" w:eastAsia="IRNazanin"/>
          <w:color w:val="111111"/>
          <w:sz w:val="28"/>
          <w:sz w:val="28"/>
          <w:szCs w:val="28"/>
          <w:rtl w:val="true"/>
          <w:lang w:bidi="fa-IR"/>
        </w:rPr>
        <w:t xml:space="preserve">و بمضمونها غیرها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الشیعة الذین لا یتفطّنون لرجحان التقیّة، و هذا و إن کان خلاف ظاهر الروایة إلّا أنّ ظهورها لیس أقوی من شهادة المحقّق و المصنّف </w:t>
      </w:r>
      <w:r>
        <w:rPr>
          <w:rStyle w:val="FootnoteAnchor"/>
          <w:rtl w:val="true"/>
        </w:rPr>
        <w:footnoteReference w:id="2077"/>
      </w:r>
      <w:r>
        <w:rPr>
          <w:rFonts w:ascii="IRNazanin" w:hAnsi="IRNazanin" w:eastAsia="IRNazanin"/>
          <w:color w:val="111111"/>
          <w:sz w:val="28"/>
          <w:sz w:val="28"/>
          <w:szCs w:val="28"/>
          <w:rtl w:val="true"/>
          <w:lang w:bidi="fa-IR"/>
        </w:rPr>
        <w:t>باتفاق العامّة علی نفی استحباب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المحکیّ عن الغنیة زیادة لفافة أُخری علی الحبرة،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المستحبّ أن یزاد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لفافتان إحداهما حبرة و عمامة و خرقة یشدّ بها فخذاه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بدلیل الإجماع المشار إلیه </w:t>
      </w:r>
      <w:r>
        <w:rPr>
          <w:rStyle w:val="FootnoteAnchor"/>
          <w:rtl w:val="true"/>
        </w:rPr>
        <w:footnoteReference w:id="207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صرّح به فی الفقیه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الکفن المفروض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 و إزار و لفافة، سوی العمامة و الخرقة فإنّهما لا یعدّان من الکفن، و من أحبّ أن یزید زاد لفافتین حتّی یبلغ العدد خمسة فلا بأس </w:t>
      </w:r>
      <w:r>
        <w:rPr>
          <w:rStyle w:val="FootnoteAnchor"/>
          <w:rtl w:val="true"/>
        </w:rPr>
        <w:footnoteReference w:id="2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الخمسة فی کلام الأکثر غیر الخرقة و العمامة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وهن ما قدّمناه عن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ظاهر الأکثر</w:t>
      </w:r>
    </w:p>
    <w:p>
      <w:pPr>
        <w:pStyle w:val="BookText"/>
        <w:rPr/>
      </w:pPr>
      <w:r>
        <w:rPr>
          <w:rFonts w:ascii="IRNazanin" w:hAnsi="IRNazanin" w:eastAsia="IRNazanin"/>
          <w:color w:val="111111"/>
          <w:sz w:val="28"/>
          <w:sz w:val="28"/>
          <w:szCs w:val="28"/>
          <w:rtl w:val="true"/>
          <w:lang w:bidi="fa-IR"/>
        </w:rPr>
        <w:t xml:space="preserve">استحباب کون الحبرة اللفافة المفروضة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أوهن منه ما نسبه فی المدارک إلی أبی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کلامه فی نفی استحباب الزائد علی الثلاث،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الأفضل أن یکون الملاف ثلاثاً إحداهنّ حبرة یمانیّة </w:t>
      </w:r>
      <w:r>
        <w:rPr>
          <w:rStyle w:val="FootnoteAnchor"/>
          <w:rtl w:val="true"/>
        </w:rPr>
        <w:footnoteReference w:id="208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قدّس سرّه لم یلاحظ ما قبل هذه العبارة و ما بعدها؛ فإنّ المحکیّ عن أبی الصلاح فی الذکری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یکفّنه فی درع و مئزر و لفافة و نمط و یعمّمه،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الأفضل أن یکون الملاف ثلاثاً، إحداهنّ حبرة یمانیة، و تجزی واحدة </w:t>
      </w:r>
      <w:r>
        <w:rPr>
          <w:rStyle w:val="FootnoteAnchor"/>
          <w:rtl w:val="true"/>
        </w:rPr>
        <w:footnoteReference w:id="20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ظاهر فی أنّه یستحبّ مضافاً إلی زیادة الحبرة علی اللفافة الواجبة زیادة لفافة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فمستند الأکثر إمّا حمل الخمسة فی صحیحة زرارة المتقدّمة </w:t>
      </w:r>
      <w:r>
        <w:rPr>
          <w:rStyle w:val="FootnoteAnchor"/>
          <w:rtl w:val="true"/>
        </w:rPr>
        <w:footnoteReference w:id="2084"/>
      </w:r>
      <w:r>
        <w:rPr>
          <w:rFonts w:ascii="IRNazanin" w:hAnsi="IRNazanin" w:eastAsia="IRNazanin"/>
          <w:color w:val="111111"/>
          <w:sz w:val="28"/>
          <w:sz w:val="28"/>
          <w:szCs w:val="28"/>
          <w:rtl w:val="true"/>
          <w:lang w:bidi="fa-IR"/>
        </w:rPr>
        <w:t xml:space="preserve">علی ما عدا العمامة و الخرقة؛ بناءً علی خروجهما من الکفن، کما صرّح بخروج الاولی فی نفس تلک الصحیحة و بخروج الثانیة فی غیرها </w:t>
      </w:r>
      <w:r>
        <w:rPr>
          <w:rStyle w:val="FootnoteAnchor"/>
          <w:rtl w:val="true"/>
        </w:rPr>
        <w:footnoteReference w:id="2085"/>
      </w:r>
      <w:r>
        <w:rPr>
          <w:rFonts w:ascii="IRNazanin" w:hAnsi="IRNazanin" w:eastAsia="IRNazanin"/>
          <w:color w:val="111111"/>
          <w:sz w:val="28"/>
          <w:sz w:val="28"/>
          <w:szCs w:val="28"/>
          <w:rtl w:val="true"/>
          <w:lang w:bidi="fa-IR"/>
        </w:rPr>
        <w:t>، و حمل الأثواب الثلاثة التی کفن فیها رسول اللّٰه صلّی اللّٰه علیه و آله و سلم علی اللفائف الثلاث فوق القمیص و المئزر، و ینافیه الاستشهاد ببعضها علی تثلیث الکفن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دلالة الصحیحة علی ما ذکر لا یخلو من تأمّل، فلا یبقی فی المقام إلّا إجماع الغنیة المعتضد بما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أنّه المشهور بین</w:t>
      </w:r>
    </w:p>
    <w:p>
      <w:pPr>
        <w:pStyle w:val="BookText"/>
        <w:rPr/>
      </w:pPr>
      <w:r>
        <w:rPr>
          <w:rFonts w:ascii="Amiri" w:hAnsi="Amiri" w:eastAsia="Amiri" w:cs="Amiri"/>
          <w:color w:val="111111"/>
          <w:sz w:val="28"/>
          <w:sz w:val="28"/>
          <w:szCs w:val="28"/>
          <w:rtl w:val="true"/>
          <w:lang w:bidi="ar-SA"/>
        </w:rPr>
        <w:t xml:space="preserve">المتقدّمین </w:t>
      </w:r>
      <w:r>
        <w:rPr>
          <w:rStyle w:val="FootnoteAnchor"/>
          <w:rtl w:val="true"/>
        </w:rPr>
        <w:footnoteReference w:id="2086"/>
      </w:r>
      <w:r>
        <w:rPr>
          <w:rFonts w:ascii="IRNazanin" w:hAnsi="IRNazanin" w:eastAsia="IRNazanin"/>
          <w:color w:val="111111"/>
          <w:sz w:val="28"/>
          <w:sz w:val="28"/>
          <w:szCs w:val="28"/>
          <w:rtl w:val="true"/>
          <w:lang w:bidi="fa-IR"/>
        </w:rPr>
        <w:t>، و لعلّه کافٍ فی المقام، بل یکفی بما دونه؛ نظراً إلی قاعدة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ینافیها حرمة إضاعة المال؛ إذ بعد الحکم بالاستحباب و ترتّب الثواب علی التکفین به و لو من جهة أدلّة التسامح فیخرج عن موضوع الإضاعة، و إلّا لکان حبرة </w:t>
      </w:r>
      <w:r>
        <w:rPr>
          <w:rStyle w:val="FootnoteAnchor"/>
          <w:rtl w:val="true"/>
        </w:rPr>
        <w:footnoteReference w:id="2087"/>
      </w:r>
      <w:r>
        <w:rPr>
          <w:rFonts w:ascii="IRNazanin" w:hAnsi="IRNazanin" w:eastAsia="IRNazanin"/>
          <w:color w:val="111111"/>
          <w:sz w:val="28"/>
          <w:sz w:val="28"/>
          <w:szCs w:val="28"/>
          <w:rtl w:val="true"/>
          <w:lang w:bidi="fa-IR"/>
        </w:rPr>
        <w:t>فی مقدّمات الأغسال المسنونة إضاعة، و هذا واضح</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لم یوجد الحبرة، فالمصرّح به فی کلمات جماعة کالشهیدین </w:t>
      </w:r>
      <w:r>
        <w:rPr>
          <w:rStyle w:val="FootnoteAnchor"/>
          <w:rtl w:val="true"/>
        </w:rPr>
        <w:footnoteReference w:id="2088"/>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089"/>
      </w:r>
      <w:r>
        <w:rPr>
          <w:rFonts w:ascii="IRNazanin" w:hAnsi="IRNazanin" w:eastAsia="IRNazanin"/>
          <w:color w:val="111111"/>
          <w:sz w:val="28"/>
          <w:sz w:val="28"/>
          <w:szCs w:val="28"/>
          <w:rtl w:val="true"/>
          <w:lang w:bidi="fa-IR"/>
        </w:rPr>
        <w:t xml:space="preserve">إجزاء لفافة عنها، و هو المحکیّ عن النهایة </w:t>
      </w:r>
      <w:r>
        <w:rPr>
          <w:rStyle w:val="FootnoteAnchor"/>
          <w:rtl w:val="true"/>
        </w:rPr>
        <w:footnoteReference w:id="2090"/>
      </w:r>
      <w:r>
        <w:rPr>
          <w:rFonts w:ascii="IRNazanin" w:hAnsi="IRNazanin" w:eastAsia="IRNazanin"/>
          <w:color w:val="111111"/>
          <w:sz w:val="28"/>
          <w:sz w:val="28"/>
          <w:szCs w:val="28"/>
          <w:rtl w:val="true"/>
          <w:lang w:bidi="fa-IR"/>
        </w:rPr>
        <w:t xml:space="preserve">و المبسوط </w:t>
      </w:r>
      <w:r>
        <w:rPr>
          <w:rStyle w:val="FootnoteAnchor"/>
          <w:rtl w:val="true"/>
        </w:rPr>
        <w:footnoteReference w:id="2091"/>
      </w:r>
      <w:r>
        <w:rPr>
          <w:rFonts w:ascii="IRNazanin" w:hAnsi="IRNazanin" w:eastAsia="IRNazanin"/>
          <w:color w:val="111111"/>
          <w:sz w:val="28"/>
          <w:sz w:val="28"/>
          <w:szCs w:val="28"/>
          <w:rtl w:val="true"/>
          <w:lang w:bidi="fa-IR"/>
        </w:rPr>
        <w:t xml:space="preserve">و السرائر </w:t>
      </w:r>
      <w:r>
        <w:rPr>
          <w:rStyle w:val="FootnoteAnchor"/>
          <w:rtl w:val="true"/>
        </w:rPr>
        <w:footnoteReference w:id="2092"/>
      </w:r>
      <w:r>
        <w:rPr>
          <w:rFonts w:ascii="IRNazanin" w:hAnsi="IRNazanin" w:eastAsia="IRNazanin"/>
          <w:color w:val="111111"/>
          <w:sz w:val="28"/>
          <w:sz w:val="28"/>
          <w:szCs w:val="28"/>
          <w:rtl w:val="true"/>
          <w:lang w:bidi="fa-IR"/>
        </w:rPr>
        <w:t xml:space="preserve">و الإصباح </w:t>
      </w:r>
      <w:r>
        <w:rPr>
          <w:rStyle w:val="FootnoteAnchor"/>
          <w:rtl w:val="true"/>
        </w:rPr>
        <w:footnoteReference w:id="2093"/>
      </w:r>
      <w:r>
        <w:rPr>
          <w:rFonts w:ascii="Amiri" w:hAnsi="Amiri" w:eastAsia="Amiri" w:cs="Amiri"/>
          <w:color w:val="111111"/>
          <w:sz w:val="28"/>
          <w:sz w:val="28"/>
          <w:szCs w:val="28"/>
          <w:rtl w:val="true"/>
          <w:lang w:bidi="ar-SA"/>
        </w:rPr>
        <w:t xml:space="preserve">و المهذّب </w:t>
      </w:r>
      <w:r>
        <w:rPr>
          <w:rStyle w:val="FootnoteAnchor"/>
          <w:rtl w:val="true"/>
        </w:rPr>
        <w:footnoteReference w:id="2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الأخبار ما یدلّ علی ذلک، لکنّ الظاهر من عبارة المحقّق الثانی فی حاشیة الشرائع فی مسألة تعذّر 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إجزاء اللفافة عن النمط بل عن الحبرة متّفق علیه بین الأصحاب </w:t>
      </w:r>
      <w:r>
        <w:rPr>
          <w:rStyle w:val="FootnoteAnchor"/>
          <w:rtl w:val="true"/>
        </w:rPr>
        <w:footnoteReference w:id="2095"/>
      </w:r>
      <w:r>
        <w:rPr>
          <w:rFonts w:ascii="IRNazanin" w:hAnsi="IRNazanin" w:eastAsia="IRNazanin"/>
          <w:color w:val="111111"/>
          <w:sz w:val="28"/>
          <w:sz w:val="28"/>
          <w:szCs w:val="28"/>
          <w:rtl w:val="true"/>
          <w:lang w:bidi="fa-IR"/>
        </w:rPr>
        <w:t>، و عن الحدائق فی مسألة 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صرّحوا بأنّه لو لم یجدها یعنی الحبرة جعل</w:t>
      </w:r>
    </w:p>
    <w:p>
      <w:pPr>
        <w:pStyle w:val="BookText"/>
        <w:rPr/>
      </w:pPr>
      <w:r>
        <w:rPr>
          <w:rFonts w:ascii="IRNazanin" w:hAnsi="IRNazanin" w:eastAsia="IRNazanin"/>
          <w:color w:val="111111"/>
          <w:sz w:val="28"/>
          <w:sz w:val="28"/>
          <w:szCs w:val="28"/>
          <w:rtl w:val="true"/>
          <w:lang w:bidi="fa-IR"/>
        </w:rPr>
        <w:t xml:space="preserve">بدلها لفافة أُخری، فکذلک النمط </w:t>
      </w:r>
      <w:r>
        <w:rPr>
          <w:rStyle w:val="FootnoteAnchor"/>
          <w:rtl w:val="true"/>
        </w:rPr>
        <w:footnoteReference w:id="209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انفتح فی المقام باب التسامح انسدّ باب الإضاعة، فلا بأس بمتابعتهم، بل متابعة بعضهم فی محتمل الثواب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العبارة کالمحکیّ عن الإصباح </w:t>
      </w:r>
      <w:r>
        <w:rPr>
          <w:rStyle w:val="FootnoteAnchor"/>
          <w:rtl w:val="true"/>
        </w:rPr>
        <w:footnoteReference w:id="2097"/>
      </w:r>
      <w:r>
        <w:rPr>
          <w:rFonts w:ascii="IRNazanin" w:hAnsi="IRNazanin" w:eastAsia="IRNazanin"/>
          <w:color w:val="111111"/>
          <w:sz w:val="28"/>
          <w:sz w:val="28"/>
          <w:szCs w:val="28"/>
          <w:rtl w:val="true"/>
          <w:lang w:bidi="fa-IR"/>
        </w:rPr>
        <w:t xml:space="preserve">و التلخیص </w:t>
      </w:r>
      <w:r>
        <w:rPr>
          <w:rStyle w:val="FootnoteAnchor"/>
          <w:rtl w:val="true"/>
        </w:rPr>
        <w:footnoteReference w:id="2098"/>
      </w:r>
      <w:r>
        <w:rPr>
          <w:rFonts w:ascii="IRNazanin" w:hAnsi="IRNazanin" w:eastAsia="IRNazanin"/>
          <w:color w:val="111111"/>
          <w:sz w:val="28"/>
          <w:sz w:val="28"/>
          <w:szCs w:val="28"/>
          <w:rtl w:val="true"/>
          <w:lang w:bidi="fa-IR"/>
        </w:rPr>
        <w:t xml:space="preserve">و الوسیلة </w:t>
      </w:r>
      <w:r>
        <w:rPr>
          <w:rStyle w:val="FootnoteAnchor"/>
          <w:rtl w:val="true"/>
        </w:rPr>
        <w:footnoteReference w:id="2099"/>
      </w:r>
      <w:r>
        <w:rPr>
          <w:rFonts w:ascii="Amiri" w:hAnsi="Amiri" w:eastAsia="Amiri" w:cs="Amiri"/>
          <w:color w:val="111111"/>
          <w:sz w:val="28"/>
          <w:sz w:val="28"/>
          <w:szCs w:val="28"/>
          <w:rtl w:val="true"/>
          <w:lang w:bidi="ar-SA"/>
        </w:rPr>
        <w:t xml:space="preserve">و کتب المحقّق قدّس سرّه </w:t>
      </w:r>
      <w:r>
        <w:rPr>
          <w:rStyle w:val="FootnoteAnchor"/>
          <w:rtl w:val="true"/>
        </w:rPr>
        <w:footnoteReference w:id="2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استحباب زیادة الحبرة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استحبابها للمرأة؛ لعدم ما یدلّ علی التخصیص، کعدم </w:t>
      </w:r>
      <w:r>
        <w:rPr>
          <w:rStyle w:val="FootnoteAnchor"/>
          <w:rtl w:val="true"/>
        </w:rPr>
        <w:footnoteReference w:id="2101"/>
      </w:r>
      <w:r>
        <w:rPr>
          <w:rFonts w:ascii="IRNazanin" w:hAnsi="IRNazanin" w:eastAsia="IRNazanin"/>
          <w:color w:val="111111"/>
          <w:sz w:val="28"/>
          <w:sz w:val="28"/>
          <w:szCs w:val="28"/>
          <w:rtl w:val="true"/>
          <w:lang w:bidi="fa-IR"/>
        </w:rPr>
        <w:t xml:space="preserve">نفی الأخبار </w:t>
      </w:r>
      <w:r>
        <w:rPr>
          <w:rStyle w:val="FootnoteAnchor"/>
          <w:rtl w:val="true"/>
        </w:rPr>
        <w:footnoteReference w:id="2102"/>
      </w:r>
      <w:r>
        <w:rPr>
          <w:rFonts w:ascii="IRNazanin" w:hAnsi="IRNazanin" w:eastAsia="IRNazanin"/>
          <w:color w:val="111111"/>
          <w:sz w:val="28"/>
          <w:sz w:val="28"/>
          <w:szCs w:val="28"/>
          <w:rtl w:val="true"/>
          <w:lang w:bidi="fa-IR"/>
        </w:rPr>
        <w:t>إنّما یجدی لو وجد دلیل عامّ للرجل و المرأة و المفروض أنّ ما استدلّ به لاستحباب الحبرة من الأخبار لا یشمل المرأة، إلّا أن یستدلّ علیه مضافاً إلی ظهور الاتّفاق من عبارة الذکری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عندنا أن یزاد للرجل و المرأة </w:t>
      </w:r>
      <w:r>
        <w:rPr>
          <w:rStyle w:val="FootnoteAnchor"/>
          <w:rtl w:val="true"/>
        </w:rPr>
        <w:footnoteReference w:id="2103"/>
      </w:r>
      <w:r>
        <w:rPr>
          <w:rFonts w:ascii="IRNazanin" w:hAnsi="IRNazanin" w:eastAsia="IRNazanin"/>
          <w:color w:val="111111"/>
          <w:sz w:val="28"/>
          <w:sz w:val="28"/>
          <w:szCs w:val="28"/>
          <w:rtl w:val="true"/>
          <w:lang w:bidi="fa-IR"/>
        </w:rPr>
        <w:t xml:space="preserve">، المعتضد بالشهرة المدّعاة فی الروض روایة </w:t>
      </w:r>
      <w:r>
        <w:rPr>
          <w:rStyle w:val="FootnoteAnchor"/>
          <w:rtl w:val="true"/>
        </w:rPr>
        <w:footnoteReference w:id="2104"/>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تکفّن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یکفّن الرجل غیر أنّها تشدّ علی ثدییها خرقة</w:t>
      </w:r>
      <w:r>
        <w:rPr>
          <w:rFonts w:eastAsia="IRNazanin" w:cs="IRNazanin"/>
          <w:color w:val="111111"/>
          <w:sz w:val="28"/>
          <w:szCs w:val="28"/>
          <w:rtl w:val="true"/>
          <w:lang w:bidi="fa-IR"/>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bookmarkStart w:id="295" w:name="pg13042_127234"/>
    </w:p>
    <w:p>
      <w:pPr>
        <w:pStyle w:val="Heading6"/>
        <w:numPr>
          <w:ilvl w:val="5"/>
          <w:numId w:val="1"/>
        </w:numPr>
        <w:rPr/>
      </w:pPr>
      <w:bookmarkStart w:id="296" w:name="__RefHeading___Toc6530286_3224264995"/>
      <w:bookmarkStart w:id="297" w:name="_Toc115"/>
      <w:bookmarkEnd w:id="295"/>
      <w:bookmarkEnd w:id="296"/>
      <w:r>
        <w:rPr>
          <w:rtl w:val="true"/>
        </w:rPr>
        <w:t>[</w:t>
      </w:r>
      <w:r>
        <w:rPr/>
        <w:t>4</w:t>
      </w:r>
      <w:r>
        <w:rPr>
          <w:rtl w:val="true"/>
        </w:rPr>
        <w:t xml:space="preserve">- </w:t>
      </w:r>
      <w:r>
        <w:rPr>
          <w:rtl w:val="true"/>
        </w:rPr>
        <w:t>استحباب خرقة للفخذین</w:t>
      </w:r>
      <w:r>
        <w:rPr>
          <w:rtl w:val="true"/>
        </w:rPr>
        <w:t>]</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یزاد لمطلق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خرقة لفخذیه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الأثواب الثلاثة مع العمامة علی قول العمانیّ </w:t>
      </w:r>
      <w:r>
        <w:rPr>
          <w:rStyle w:val="FootnoteAnchor"/>
          <w:rtl w:val="true"/>
        </w:rPr>
        <w:footnoteReference w:id="2106"/>
      </w:r>
      <w:r>
        <w:rPr>
          <w:rFonts w:ascii="IRNazanin" w:hAnsi="IRNazanin" w:eastAsia="IRNazanin"/>
          <w:color w:val="111111"/>
          <w:sz w:val="28"/>
          <w:sz w:val="28"/>
          <w:szCs w:val="28"/>
          <w:rtl w:val="true"/>
          <w:lang w:bidi="fa-IR"/>
        </w:rPr>
        <w:t xml:space="preserve">و من تبعه </w:t>
      </w:r>
      <w:r>
        <w:rPr>
          <w:rStyle w:val="FootnoteAnchor"/>
          <w:rtl w:val="true"/>
        </w:rPr>
        <w:footnoteReference w:id="2107"/>
      </w:r>
      <w:r>
        <w:rPr>
          <w:rFonts w:ascii="IRNazanin" w:hAnsi="IRNazanin" w:eastAsia="IRNazanin"/>
          <w:color w:val="111111"/>
          <w:sz w:val="28"/>
          <w:sz w:val="28"/>
          <w:szCs w:val="28"/>
          <w:rtl w:val="true"/>
          <w:lang w:bidi="fa-IR"/>
        </w:rPr>
        <w:t xml:space="preserve">، أو مع الحبرة علی قول من لم یستحبّ ما عدا الحبرة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فلا خلاف فی استحبابها، و الأخبار بها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أن یکون طولها ثلاثة أذرع و نصفاً، و عرضها شبراً و نصفاً کما فی روایة عمّار </w:t>
      </w:r>
      <w:r>
        <w:rPr>
          <w:rStyle w:val="FootnoteAnchor"/>
          <w:rtl w:val="true"/>
        </w:rPr>
        <w:footnoteReference w:id="2109"/>
      </w:r>
      <w:r>
        <w:rPr>
          <w:rFonts w:ascii="IRNazanin" w:hAnsi="IRNazanin" w:eastAsia="IRNazanin"/>
          <w:color w:val="111111"/>
          <w:sz w:val="28"/>
          <w:sz w:val="28"/>
          <w:szCs w:val="28"/>
          <w:rtl w:val="true"/>
          <w:lang w:bidi="fa-IR"/>
        </w:rPr>
        <w:t xml:space="preserve">، أو شبراً کما فی روایة یونس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طریق شدّ الفخذین بها کما فی روایة الکاهلی </w:t>
      </w:r>
      <w:r>
        <w:rPr>
          <w:rStyle w:val="FootnoteAnchor"/>
          <w:rtl w:val="true"/>
        </w:rPr>
        <w:footnoteReference w:id="2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یذفر بها إذفاراً،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وجد فی الروایة، و المعروف أنّه یثفر بها إثفاراً، من أثفرت الدابّة إثفاراً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فعلی تقدیر الإثفار فلا بدّ أن یشدّ أحد طرفیها فی وسط المیّت إمّا بأن یشقّ رأسها أو یجعل فیها خیط و نحوه، ثمّ یدخل الخرقة بین فخذیه و یضمّ بها عورته ضمّاً شدیداً و یخرجها من تحت الشداد الذی علی وسطه، ثمّ یلفّ حقویه و فخذیه بما بقی لفّاً شدیداً، فإذا انتهت فأدخل طرفها</w:t>
      </w:r>
      <w:bookmarkStart w:id="298" w:name="pg13042_127235"/>
    </w:p>
    <w:p>
      <w:pPr>
        <w:pStyle w:val="BookText"/>
        <w:rPr/>
      </w:pPr>
      <w:bookmarkEnd w:id="298"/>
      <w:r>
        <w:rPr>
          <w:rFonts w:ascii="IRNazanin" w:hAnsi="IRNazanin" w:eastAsia="IRNazanin"/>
          <w:color w:val="111111"/>
          <w:sz w:val="28"/>
          <w:sz w:val="28"/>
          <w:szCs w:val="28"/>
          <w:rtl w:val="true"/>
          <w:lang w:bidi="fa-IR"/>
        </w:rPr>
        <w:t>تحت الجزء الذی انتهت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شدّ بها فخذیه علی غیر هذا الوجه أمکن الإجزاء، کما فی مصحّحة ابن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یعصب بها وسطه</w:t>
      </w:r>
      <w:r>
        <w:rPr>
          <w:rFonts w:eastAsia="IRNazanin" w:cs="IRNazanin"/>
          <w:color w:val="111111"/>
          <w:sz w:val="28"/>
          <w:szCs w:val="28"/>
          <w:rtl w:val="true"/>
          <w:lang w:bidi="fa-IR"/>
        </w:rPr>
        <w:t xml:space="preserve">» </w:t>
      </w:r>
      <w:r>
        <w:rPr>
          <w:rStyle w:val="FootnoteAnchor"/>
          <w:rtl w:val="true"/>
        </w:rPr>
        <w:footnoteReference w:id="2113"/>
      </w:r>
      <w:r>
        <w:rPr>
          <w:rFonts w:ascii="IRNazanin" w:hAnsi="IRNazanin" w:eastAsia="IRNazanin"/>
          <w:color w:val="111111"/>
          <w:sz w:val="28"/>
          <w:sz w:val="28"/>
          <w:szCs w:val="28"/>
          <w:rtl w:val="true"/>
          <w:lang w:bidi="fa-IR"/>
        </w:rPr>
        <w:t>مضافاً إلی ظاهر إطلاق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شدّ الخرقة بعد أن یجعل فی ألیتیه شی‌ء من القطن؛ للروایات </w:t>
      </w:r>
      <w:r>
        <w:rPr>
          <w:rStyle w:val="FootnoteAnchor"/>
          <w:rtl w:val="true"/>
        </w:rPr>
        <w:footnoteReference w:id="2114"/>
      </w:r>
      <w:r>
        <w:rPr>
          <w:rFonts w:ascii="IRNazanin" w:hAnsi="IRNazanin" w:eastAsia="IRNazanin"/>
          <w:color w:val="111111"/>
          <w:sz w:val="28"/>
          <w:sz w:val="28"/>
          <w:szCs w:val="28"/>
          <w:rtl w:val="true"/>
          <w:lang w:bidi="fa-IR"/>
        </w:rPr>
        <w:t>، بل و فی دبره إذا خاف خروج شی‌ء منه، کما فی روایة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احش القطن فی دبره لئلّا یخرج منه شی‌ء</w:t>
      </w:r>
      <w:r>
        <w:rPr>
          <w:rFonts w:eastAsia="IRNazanin" w:cs="IRNazanin"/>
          <w:color w:val="111111"/>
          <w:sz w:val="28"/>
          <w:szCs w:val="28"/>
          <w:rtl w:val="true"/>
          <w:lang w:bidi="fa-IR"/>
        </w:rPr>
        <w:t xml:space="preserve">» </w:t>
      </w:r>
      <w:r>
        <w:rPr>
          <w:rStyle w:val="FootnoteAnchor"/>
          <w:rtl w:val="true"/>
        </w:rPr>
        <w:footnoteReference w:id="2115"/>
      </w:r>
      <w:r>
        <w:rPr>
          <w:rFonts w:ascii="IRNazanin" w:hAnsi="IRNazanin" w:eastAsia="IRNazanin"/>
          <w:color w:val="111111"/>
          <w:sz w:val="28"/>
          <w:sz w:val="28"/>
          <w:szCs w:val="28"/>
          <w:rtl w:val="true"/>
          <w:lang w:bidi="fa-IR"/>
        </w:rPr>
        <w:t>و فی روایة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تدخل فی مقعدته من القطن ما دخل</w:t>
      </w:r>
      <w:r>
        <w:rPr>
          <w:rFonts w:eastAsia="IRNazanin" w:cs="IRNazanin"/>
          <w:color w:val="111111"/>
          <w:sz w:val="28"/>
          <w:szCs w:val="28"/>
          <w:rtl w:val="true"/>
          <w:lang w:bidi="fa-IR"/>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ذلک؛ لأنّه منافٍ لاحترام المیّت </w:t>
      </w:r>
      <w:r>
        <w:rPr>
          <w:rStyle w:val="FootnoteAnchor"/>
          <w:rtl w:val="true"/>
        </w:rPr>
        <w:footnoteReference w:id="2117"/>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عین الاحترام بعد ورود رجحانه من النصّ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یخش خروج شی‌ء فالظاهر عدم الاستحباب؛ لانصراف الروایات و الفتاوی إلی صورة خوف خروج شی‌ء، فالاستحباب مطلقاً أیضاً ضعیف</w:t>
      </w:r>
      <w:r>
        <w:rPr>
          <w:rFonts w:eastAsia="IRNazanin" w:cs="IRNazanin"/>
          <w:color w:val="111111"/>
          <w:sz w:val="28"/>
          <w:szCs w:val="28"/>
          <w:rtl w:val="true"/>
          <w:lang w:bidi="fa-IR"/>
        </w:rPr>
        <w:t>.</w:t>
      </w:r>
    </w:p>
    <w:p>
      <w:pPr>
        <w:pStyle w:val="Heading6"/>
        <w:numPr>
          <w:ilvl w:val="5"/>
          <w:numId w:val="1"/>
        </w:numPr>
        <w:rPr/>
      </w:pPr>
      <w:bookmarkStart w:id="299" w:name="__RefHeading___Toc6530288_3224264995"/>
      <w:bookmarkStart w:id="300" w:name="_Toc116"/>
      <w:bookmarkEnd w:id="299"/>
      <w:r>
        <w:rPr>
          <w:rtl w:val="true"/>
        </w:rPr>
        <w:t>[</w:t>
      </w:r>
      <w:r>
        <w:rPr/>
        <w:t>5</w:t>
      </w:r>
      <w:r>
        <w:rPr>
          <w:rtl w:val="true"/>
        </w:rPr>
        <w:t xml:space="preserve">- </w:t>
      </w:r>
      <w:r>
        <w:rPr>
          <w:rtl w:val="true"/>
        </w:rPr>
        <w:t>استحباب لفافة أُخری لثدیی المرأة</w:t>
      </w:r>
      <w:r>
        <w:rPr>
          <w:rtl w:val="true"/>
        </w:rPr>
        <w:t>]</w:t>
      </w:r>
      <w:bookmarkEnd w:id="30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تزاد </w:t>
      </w:r>
      <w:r>
        <w:rPr>
          <w:rStyle w:val="FootnoteAnchor"/>
          <w:rtl w:val="true"/>
        </w:rPr>
        <w:footnoteReference w:id="2118"/>
      </w:r>
      <w:r>
        <w:rPr>
          <w:rFonts w:ascii="IRNazanin" w:hAnsi="IRNazanin" w:eastAsia="IRNazanin"/>
          <w:color w:val="111111"/>
          <w:sz w:val="28"/>
          <w:sz w:val="28"/>
          <w:szCs w:val="28"/>
          <w:rtl w:val="true"/>
          <w:lang w:bidi="fa-IR"/>
        </w:rPr>
        <w:t>للمرأة لفافة أُخری لثدییها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لخبر سهل</w:t>
      </w:r>
      <w:bookmarkStart w:id="301" w:name="pg13042_127236"/>
    </w:p>
    <w:p>
      <w:pPr>
        <w:pStyle w:val="BookText"/>
        <w:rPr/>
      </w:pPr>
      <w:bookmarkEnd w:id="301"/>
      <w:r>
        <w:rPr>
          <w:rFonts w:ascii="IRNazanin" w:hAnsi="IRNazanin" w:eastAsia="IRNazanin"/>
          <w:color w:val="111111"/>
          <w:sz w:val="28"/>
          <w:sz w:val="28"/>
          <w:szCs w:val="28"/>
          <w:rtl w:val="true"/>
          <w:lang w:bidi="fa-IR"/>
        </w:rPr>
        <w:t>المتقدّم فی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یکفّن کما یکفّن الرجل، غیر أنّها تشدّ علی ثدییها خرقة تضمّ الثدی إلی الصدر و تشدّها علی ظهرها، و یضع لها القطن أکثر ممّا یضع للرجال، و یحشی القبل و الدبر بالقطن و الحنوط، ثمّ یشدّ علیها الخرقة شدّاً شدیداً</w:t>
      </w:r>
      <w:r>
        <w:rPr>
          <w:rFonts w:eastAsia="IRNazanin" w:cs="IRNazanin"/>
          <w:color w:val="111111"/>
          <w:sz w:val="28"/>
          <w:szCs w:val="28"/>
          <w:rtl w:val="true"/>
          <w:lang w:bidi="fa-IR"/>
        </w:rPr>
        <w:t xml:space="preserve">»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6530290_3224264995"/>
      <w:bookmarkStart w:id="303" w:name="_Toc117"/>
      <w:bookmarkEnd w:id="302"/>
      <w:r>
        <w:rPr>
          <w:rtl w:val="true"/>
        </w:rPr>
        <w:t>[</w:t>
      </w:r>
      <w:r>
        <w:rPr/>
        <w:t>6</w:t>
      </w:r>
      <w:r>
        <w:rPr>
          <w:rtl w:val="true"/>
        </w:rPr>
        <w:t xml:space="preserve">- </w:t>
      </w:r>
      <w:r>
        <w:rPr>
          <w:rtl w:val="true"/>
        </w:rPr>
        <w:t>استحباب العمامة للرجل</w:t>
      </w:r>
      <w:r>
        <w:rPr>
          <w:rtl w:val="true"/>
        </w:rPr>
        <w:t>]</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حدّ لها طولًا و لا عرضاً إلّا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یستحبّ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فی روایة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وسط العمامة فیثنی علی رأسه بالتدویر، ثمّ یلقی فضل الشقّ الأیمن علی الأیسر، و الأیسر علی الأیمن، ثمّ یمدّ علی صدره</w:t>
      </w:r>
      <w:r>
        <w:rPr>
          <w:rFonts w:eastAsia="IRNazanin" w:cs="IRNazanin"/>
          <w:color w:val="111111"/>
          <w:sz w:val="28"/>
          <w:szCs w:val="28"/>
          <w:rtl w:val="true"/>
          <w:lang w:bidi="fa-IR"/>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6530292_3224264995"/>
      <w:bookmarkStart w:id="305" w:name="_Toc118"/>
      <w:bookmarkEnd w:id="304"/>
      <w:r>
        <w:rPr>
          <w:rtl w:val="true"/>
        </w:rPr>
        <w:t>[</w:t>
      </w:r>
      <w:r>
        <w:rPr/>
        <w:t>7</w:t>
      </w:r>
      <w:r>
        <w:rPr>
          <w:rtl w:val="true"/>
        </w:rPr>
        <w:t xml:space="preserve">- </w:t>
      </w:r>
      <w:r>
        <w:rPr>
          <w:rtl w:val="true"/>
        </w:rPr>
        <w:t>استحباب النمط للمرأة</w:t>
      </w:r>
      <w:r>
        <w:rPr>
          <w:rtl w:val="true"/>
        </w:rPr>
        <w:t>]</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تزاد للمرأة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البسط، له خمل رقیق کما عن النهایة </w:t>
      </w:r>
      <w:r>
        <w:rPr>
          <w:rStyle w:val="FootnoteAnchor"/>
          <w:rtl w:val="true"/>
        </w:rPr>
        <w:footnoteReference w:id="2121"/>
      </w:r>
      <w:r>
        <w:rPr>
          <w:rFonts w:ascii="IRNazanin" w:hAnsi="IRNazanin" w:eastAsia="IRNazanin"/>
          <w:color w:val="111111"/>
          <w:sz w:val="28"/>
          <w:sz w:val="28"/>
          <w:szCs w:val="28"/>
          <w:rtl w:val="true"/>
          <w:lang w:bidi="fa-IR"/>
        </w:rPr>
        <w:t>، و عن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ثوب من صوف ذو لون من الألوان، و لا یکاد یقال للأبیض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الحکم ذکره کثیر من الأصحاب کما فی الذکری </w:t>
      </w:r>
      <w:r>
        <w:rPr>
          <w:rStyle w:val="FootnoteAnchor"/>
          <w:rtl w:val="true"/>
        </w:rPr>
        <w:footnoteReference w:id="2123"/>
      </w:r>
      <w:r>
        <w:rPr>
          <w:rFonts w:ascii="IRNazanin" w:hAnsi="IRNazanin" w:eastAsia="IRNazanin"/>
          <w:color w:val="111111"/>
          <w:sz w:val="28"/>
          <w:sz w:val="28"/>
          <w:szCs w:val="28"/>
          <w:rtl w:val="true"/>
          <w:lang w:bidi="fa-IR"/>
        </w:rPr>
        <w:t>، و ربما یستدلّ له بقوله علیه السلام فی مرسلة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الکفن فریضة للرجال ثلاثة أثواب، و العمامة و الخرقة سنّة، و أمّا النساء ففریضتها </w:t>
      </w:r>
      <w:r>
        <w:rPr>
          <w:rStyle w:val="FootnoteAnchor"/>
          <w:rtl w:val="true"/>
        </w:rPr>
        <w:footnoteReference w:id="2124"/>
      </w:r>
      <w:r>
        <w:rPr>
          <w:rFonts w:ascii="Amiri" w:hAnsi="Amiri" w:eastAsia="Amiri" w:cs="Amiri"/>
          <w:color w:val="111111"/>
          <w:sz w:val="28"/>
          <w:sz w:val="28"/>
          <w:szCs w:val="28"/>
          <w:rtl w:val="true"/>
          <w:lang w:bidi="ar-SA"/>
        </w:rPr>
        <w:t>خمسة أثواب</w:t>
      </w:r>
      <w:r>
        <w:rPr>
          <w:rFonts w:eastAsia="Amiri" w:cs="Amiri" w:ascii="Amiri" w:hAnsi="Amiri"/>
          <w:color w:val="111111"/>
          <w:sz w:val="28"/>
          <w:szCs w:val="28"/>
          <w:rtl w:val="true"/>
          <w:lang w:bidi="ar-SA"/>
        </w:rPr>
        <w:t xml:space="preserve">» </w:t>
      </w:r>
      <w:r>
        <w:rPr>
          <w:rStyle w:val="FootnoteAnchor"/>
          <w:rtl w:val="true"/>
        </w:rPr>
        <w:footnoteReference w:id="2125"/>
      </w:r>
      <w:r>
        <w:rPr>
          <w:rFonts w:ascii="Amiri" w:hAnsi="Amiri" w:eastAsia="Amiri" w:cs="Amiri"/>
          <w:color w:val="111111"/>
          <w:sz w:val="28"/>
          <w:sz w:val="28"/>
          <w:szCs w:val="28"/>
          <w:rtl w:val="true"/>
          <w:lang w:bidi="ar-SA"/>
        </w:rPr>
        <w:t>بناءً علی أنّ</w:t>
      </w:r>
    </w:p>
    <w:p>
      <w:pPr>
        <w:pStyle w:val="BookText"/>
        <w:rPr/>
      </w:pPr>
      <w:r>
        <w:rPr>
          <w:rFonts w:ascii="IRNazanin" w:hAnsi="IRNazanin" w:eastAsia="IRNazanin"/>
          <w:color w:val="111111"/>
          <w:sz w:val="28"/>
          <w:sz w:val="28"/>
          <w:szCs w:val="28"/>
          <w:rtl w:val="true"/>
          <w:lang w:bidi="fa-IR"/>
        </w:rPr>
        <w:t>المراد من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 المفروضة و لِفافة الثدیین و لِفافة اخری، و جعلها فرضاً لتأکّد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ابن مسلم </w:t>
      </w:r>
      <w:r>
        <w:rPr>
          <w:rStyle w:val="FootnoteAnchor"/>
          <w:rtl w:val="true"/>
        </w:rPr>
        <w:footnoteReference w:id="2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الرجل فی ثلاثة أثواب، و المرأة إذا کانت عظیمة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منطق و خمار و لفافتین</w:t>
      </w:r>
      <w:r>
        <w:rPr>
          <w:rFonts w:eastAsia="IRNazanin" w:cs="IRNazanin"/>
          <w:color w:val="111111"/>
          <w:sz w:val="28"/>
          <w:szCs w:val="28"/>
          <w:rtl w:val="true"/>
          <w:lang w:bidi="fa-IR"/>
        </w:rPr>
        <w:t xml:space="preserve">» </w:t>
      </w:r>
      <w:r>
        <w:rPr>
          <w:rStyle w:val="FootnoteAnchor"/>
          <w:rtl w:val="true"/>
        </w:rPr>
        <w:footnoteReference w:id="2127"/>
      </w:r>
      <w:r>
        <w:rPr>
          <w:rFonts w:ascii="IRNazanin" w:hAnsi="IRNazanin" w:eastAsia="IRNazanin"/>
          <w:color w:val="111111"/>
          <w:sz w:val="28"/>
          <w:sz w:val="28"/>
          <w:szCs w:val="28"/>
          <w:rtl w:val="true"/>
          <w:lang w:bidi="fa-IR"/>
        </w:rPr>
        <w:t>بناءً علی إرادة اللفافة الشاملة، لا ما یعمّ لفافة الثدیین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ابن مسلم </w:t>
      </w:r>
      <w:r>
        <w:rPr>
          <w:rStyle w:val="FootnoteAnchor"/>
          <w:rtl w:val="true"/>
        </w:rPr>
        <w:footnoteReference w:id="21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تکفّن المرأة فی خمسة، أحدها الخمار</w:t>
      </w:r>
      <w:r>
        <w:rPr>
          <w:rFonts w:eastAsia="IRNazanin" w:cs="IRNazanin"/>
          <w:color w:val="111111"/>
          <w:sz w:val="28"/>
          <w:szCs w:val="28"/>
          <w:rtl w:val="true"/>
          <w:lang w:bidi="fa-IR"/>
        </w:rPr>
        <w:t xml:space="preserve">» </w:t>
      </w:r>
      <w:r>
        <w:rPr>
          <w:rStyle w:val="FootnoteAnchor"/>
          <w:rtl w:val="true"/>
        </w:rPr>
        <w:footnoteReference w:id="2129"/>
      </w:r>
      <w:r>
        <w:rPr>
          <w:rFonts w:ascii="IRNazanin" w:hAnsi="IRNazanin" w:eastAsia="IRNazanin"/>
          <w:color w:val="111111"/>
          <w:sz w:val="28"/>
          <w:sz w:val="28"/>
          <w:szCs w:val="28"/>
          <w:rtl w:val="true"/>
          <w:lang w:bidi="fa-IR"/>
        </w:rPr>
        <w:t>بناءً علی أنّ الرابع هی اللفافة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یخفی ضعف دلالة الجمیع، و لو دلّت فلا تدلّ علی النمط، و لو دلّت فإنّما تدلّ علی اتّحاده مع الحبرة للرجل کما عن الاقتصاد </w:t>
      </w:r>
      <w:r>
        <w:rPr>
          <w:rStyle w:val="FootnoteAnchor"/>
          <w:rtl w:val="true"/>
        </w:rPr>
        <w:footnoteReference w:id="2130"/>
      </w:r>
      <w:r>
        <w:rPr>
          <w:rFonts w:ascii="IRNazanin" w:hAnsi="IRNazanin" w:eastAsia="IRNazanin"/>
          <w:color w:val="111111"/>
          <w:sz w:val="28"/>
          <w:sz w:val="28"/>
          <w:szCs w:val="28"/>
          <w:rtl w:val="true"/>
          <w:lang w:bidi="fa-IR"/>
        </w:rPr>
        <w:t xml:space="preserve">و السرائر </w:t>
      </w:r>
      <w:r>
        <w:rPr>
          <w:rStyle w:val="FootnoteAnchor"/>
          <w:rtl w:val="true"/>
        </w:rPr>
        <w:footnoteReference w:id="2131"/>
      </w:r>
      <w:r>
        <w:rPr>
          <w:rFonts w:ascii="IRNazanin" w:hAnsi="IRNazanin" w:eastAsia="IRNazanin"/>
          <w:color w:val="111111"/>
          <w:sz w:val="28"/>
          <w:sz w:val="28"/>
          <w:szCs w:val="28"/>
          <w:rtl w:val="true"/>
          <w:lang w:bidi="fa-IR"/>
        </w:rPr>
        <w:t xml:space="preserve">لا زیادتها علی الحبرة حتّی تکون لفائف المرأة ثلاثاً کما عن القاضی </w:t>
      </w:r>
      <w:r>
        <w:rPr>
          <w:rStyle w:val="FootnoteAnchor"/>
          <w:rtl w:val="true"/>
        </w:rPr>
        <w:footnoteReference w:id="2132"/>
      </w:r>
      <w:r>
        <w:rPr>
          <w:rFonts w:ascii="IRNazanin" w:hAnsi="IRNazanin" w:eastAsia="IRNazanin"/>
          <w:color w:val="111111"/>
          <w:sz w:val="28"/>
          <w:sz w:val="28"/>
          <w:szCs w:val="28"/>
          <w:rtl w:val="true"/>
          <w:lang w:bidi="fa-IR"/>
        </w:rPr>
        <w:t xml:space="preserve">، و لا زیادة لفافتین أُخریین علی کفن الرجل إحداهما النمط حتّی یکون لفائفها أربعاً کما عن ظاهر المقنعة و النهایة و الخلاف و المبسوط و المراسم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فکلمات الأصحاب المحکیّة عنهم فی الذکری </w:t>
      </w:r>
      <w:r>
        <w:rPr>
          <w:rStyle w:val="FootnoteAnchor"/>
          <w:rtl w:val="true"/>
        </w:rPr>
        <w:footnoteReference w:id="2134"/>
      </w:r>
      <w:r>
        <w:rPr>
          <w:rFonts w:ascii="IRNazanin" w:hAnsi="IRNazanin" w:eastAsia="IRNazanin"/>
          <w:color w:val="111111"/>
          <w:sz w:val="28"/>
          <w:sz w:val="28"/>
          <w:szCs w:val="28"/>
          <w:rtl w:val="true"/>
          <w:lang w:bidi="fa-IR"/>
        </w:rPr>
        <w:t>و کشف</w:t>
      </w:r>
      <w:bookmarkStart w:id="306" w:name="pg13042_127238"/>
    </w:p>
    <w:p>
      <w:pPr>
        <w:pStyle w:val="BookText"/>
        <w:rPr/>
      </w:pPr>
      <w:bookmarkEnd w:id="306"/>
      <w:r>
        <w:rPr>
          <w:rFonts w:ascii="IRNazanin" w:hAnsi="IRNazanin" w:eastAsia="IRNazanin"/>
          <w:color w:val="111111"/>
          <w:sz w:val="28"/>
          <w:sz w:val="28"/>
          <w:szCs w:val="28"/>
          <w:rtl w:val="true"/>
          <w:lang w:bidi="fa-IR"/>
        </w:rPr>
        <w:t xml:space="preserve">اللثام </w:t>
      </w:r>
      <w:r>
        <w:rPr>
          <w:rStyle w:val="FootnoteAnchor"/>
          <w:rtl w:val="true"/>
        </w:rPr>
        <w:footnoteReference w:id="2135"/>
      </w:r>
      <w:r>
        <w:rPr>
          <w:rFonts w:ascii="IRNazanin" w:hAnsi="IRNazanin" w:eastAsia="IRNazanin"/>
          <w:color w:val="111111"/>
          <w:sz w:val="28"/>
          <w:sz w:val="28"/>
          <w:szCs w:val="28"/>
          <w:rtl w:val="true"/>
          <w:lang w:bidi="fa-IR"/>
        </w:rPr>
        <w:t>مختلفة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الخطب سهل بعد ما عرفت من جواز العمل بمجرّد فتوی فقیه یکشف ظنّاً عن وجود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فلو لم یوجد النمط جاز مقامها لفافة أُخری، و کذلک الحبرة، قال فی حاشیة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یوجد جعل بدله لفافة، کما یجعل بدل الحبرة لفافة أُخری عند فقدها، قاله الأصحاب </w:t>
      </w:r>
      <w:r>
        <w:rPr>
          <w:rStyle w:val="FootnoteAnchor"/>
          <w:rtl w:val="true"/>
        </w:rPr>
        <w:footnoteReference w:id="213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6"/>
        <w:numPr>
          <w:ilvl w:val="5"/>
          <w:numId w:val="1"/>
        </w:numPr>
        <w:rPr/>
      </w:pPr>
      <w:bookmarkStart w:id="307" w:name="__RefHeading___Toc6530294_3224264995"/>
      <w:bookmarkStart w:id="308" w:name="_Toc119"/>
      <w:bookmarkEnd w:id="307"/>
      <w:r>
        <w:rPr>
          <w:rtl w:val="true"/>
        </w:rPr>
        <w:t>[</w:t>
      </w:r>
      <w:r>
        <w:rPr/>
        <w:t>8</w:t>
      </w:r>
      <w:r>
        <w:rPr>
          <w:rtl w:val="true"/>
        </w:rPr>
        <w:t xml:space="preserve">- </w:t>
      </w:r>
      <w:r>
        <w:rPr>
          <w:rtl w:val="true"/>
        </w:rPr>
        <w:t>استحباب القناع للمرأة</w:t>
      </w:r>
      <w:r>
        <w:rPr>
          <w:rtl w:val="true"/>
        </w:rPr>
        <w:t>]</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یزاد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قناعاً عوض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 الأصحاب فی محکیّ الذکری </w:t>
      </w:r>
      <w:r>
        <w:rPr>
          <w:rStyle w:val="FootnoteAnchor"/>
          <w:rtl w:val="true"/>
        </w:rPr>
        <w:footnoteReference w:id="2137"/>
      </w:r>
      <w:r>
        <w:rPr>
          <w:rFonts w:ascii="IRNazanin" w:hAnsi="IRNazanin" w:eastAsia="IRNazanin"/>
          <w:color w:val="111111"/>
          <w:sz w:val="28"/>
          <w:sz w:val="28"/>
          <w:szCs w:val="28"/>
          <w:rtl w:val="true"/>
          <w:lang w:bidi="fa-IR"/>
        </w:rPr>
        <w:t xml:space="preserve">و المدارک </w:t>
      </w:r>
      <w:r>
        <w:rPr>
          <w:rStyle w:val="FootnoteAnchor"/>
          <w:rtl w:val="true"/>
        </w:rPr>
        <w:footnoteReference w:id="2138"/>
      </w:r>
      <w:r>
        <w:rPr>
          <w:rFonts w:ascii="IRNazanin" w:hAnsi="IRNazanin" w:eastAsia="IRNazanin"/>
          <w:color w:val="111111"/>
          <w:sz w:val="28"/>
          <w:sz w:val="28"/>
          <w:szCs w:val="28"/>
          <w:rtl w:val="true"/>
          <w:lang w:bidi="fa-IR"/>
        </w:rPr>
        <w:t xml:space="preserve">و الحدائق </w:t>
      </w:r>
      <w:r>
        <w:rPr>
          <w:rStyle w:val="FootnoteAnchor"/>
          <w:rtl w:val="true"/>
        </w:rPr>
        <w:footnoteReference w:id="2139"/>
      </w:r>
      <w:r>
        <w:rPr>
          <w:rFonts w:ascii="IRNazanin" w:hAnsi="IRNazanin" w:eastAsia="IRNazanin"/>
          <w:color w:val="111111"/>
          <w:sz w:val="28"/>
          <w:sz w:val="28"/>
          <w:szCs w:val="28"/>
          <w:rtl w:val="true"/>
          <w:lang w:bidi="fa-IR"/>
        </w:rPr>
        <w:t xml:space="preserve">لروایتی عبد الرحمن و ابن مسلم المتقدّمتین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 w:name="__RefHeading___Toc6530296_3224264995"/>
      <w:bookmarkStart w:id="310" w:name="_Toc120"/>
      <w:bookmarkEnd w:id="309"/>
      <w:r>
        <w:rPr>
          <w:rtl w:val="true"/>
        </w:rPr>
        <w:t>[</w:t>
      </w:r>
      <w:r>
        <w:rPr/>
        <w:t>9</w:t>
      </w:r>
      <w:r>
        <w:rPr>
          <w:rtl w:val="true"/>
        </w:rPr>
        <w:t xml:space="preserve">- </w:t>
      </w:r>
      <w:r>
        <w:rPr>
          <w:rtl w:val="true"/>
        </w:rPr>
        <w:t>استحباب نثر الذریرة علی الکفن</w:t>
      </w:r>
      <w:r>
        <w:rPr>
          <w:rtl w:val="true"/>
        </w:rPr>
        <w:t>]</w:t>
      </w:r>
      <w:bookmarkEnd w:id="31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الکفن و تطیّبه بها اتّفاقاً علی الظاهر المحکیّ عن صریح المعتبر </w:t>
      </w:r>
      <w:r>
        <w:rPr>
          <w:rStyle w:val="FootnoteAnchor"/>
          <w:rtl w:val="true"/>
        </w:rPr>
        <w:footnoteReference w:id="2141"/>
      </w:r>
      <w:r>
        <w:rPr>
          <w:rFonts w:ascii="IRNazanin" w:hAnsi="IRNazanin" w:eastAsia="IRNazanin"/>
          <w:color w:val="111111"/>
          <w:sz w:val="28"/>
          <w:sz w:val="28"/>
          <w:szCs w:val="28"/>
          <w:rtl w:val="true"/>
          <w:lang w:bidi="fa-IR"/>
        </w:rPr>
        <w:t xml:space="preserve">و التذکرة </w:t>
      </w:r>
      <w:r>
        <w:rPr>
          <w:rStyle w:val="FootnoteAnchor"/>
          <w:rtl w:val="true"/>
        </w:rPr>
        <w:footnoteReference w:id="2142"/>
      </w:r>
      <w:r>
        <w:rPr>
          <w:rFonts w:ascii="IRNazanin" w:hAnsi="IRNazanin" w:eastAsia="IRNazanin"/>
          <w:color w:val="111111"/>
          <w:sz w:val="28"/>
          <w:sz w:val="28"/>
          <w:szCs w:val="28"/>
          <w:rtl w:val="true"/>
          <w:lang w:bidi="fa-IR"/>
        </w:rPr>
        <w:t>لقوله علیه السلام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کفّنت المیّت فذرّ علی کلّ ثوب منه شیئاً من ذریرة و کافور</w:t>
      </w:r>
      <w:r>
        <w:rPr>
          <w:rFonts w:eastAsia="IRNazanin" w:cs="IRNazanin"/>
          <w:color w:val="111111"/>
          <w:sz w:val="28"/>
          <w:szCs w:val="28"/>
          <w:rtl w:val="true"/>
          <w:lang w:bidi="fa-IR"/>
        </w:rPr>
        <w:t xml:space="preserve">» </w:t>
      </w:r>
      <w:r>
        <w:rPr>
          <w:rStyle w:val="FootnoteAnchor"/>
          <w:rtl w:val="true"/>
        </w:rPr>
        <w:footnoteReference w:id="2143"/>
      </w:r>
      <w:r>
        <w:rPr>
          <w:rFonts w:ascii="IRNazanin" w:hAnsi="IRNazanin" w:eastAsia="IRNazanin"/>
          <w:color w:val="111111"/>
          <w:sz w:val="28"/>
          <w:sz w:val="28"/>
          <w:szCs w:val="28"/>
          <w:rtl w:val="true"/>
          <w:lang w:bidi="fa-IR"/>
        </w:rPr>
        <w:t xml:space="preserve">و قریب منها روایة عمّار </w:t>
      </w:r>
      <w:r>
        <w:rPr>
          <w:rStyle w:val="FootnoteAnchor"/>
          <w:rtl w:val="true"/>
        </w:rPr>
        <w:footnoteReference w:id="2144"/>
      </w:r>
      <w:r>
        <w:rPr>
          <w:rFonts w:ascii="IRNazanin" w:hAnsi="IRNazanin" w:eastAsia="IRNazanin"/>
          <w:color w:val="111111"/>
          <w:sz w:val="28"/>
          <w:sz w:val="28"/>
          <w:szCs w:val="28"/>
          <w:rtl w:val="true"/>
          <w:lang w:bidi="fa-IR"/>
        </w:rPr>
        <w:t xml:space="preserve">و غیرها </w:t>
      </w:r>
      <w:r>
        <w:rPr>
          <w:rStyle w:val="FootnoteAnchor"/>
          <w:rtl w:val="true"/>
        </w:rPr>
        <w:footnoteReference w:id="2145"/>
      </w:r>
      <w:r>
        <w:rPr>
          <w:rFonts w:ascii="IRNazanin" w:hAnsi="IRNazanin" w:eastAsia="IRNazanin"/>
          <w:color w:val="111111"/>
          <w:sz w:val="28"/>
          <w:sz w:val="28"/>
          <w:szCs w:val="28"/>
          <w:rtl w:val="true"/>
          <w:lang w:bidi="fa-IR"/>
        </w:rPr>
        <w:t>، فما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یستحبّ</w:t>
      </w:r>
      <w:bookmarkStart w:id="311" w:name="pg13042_127239"/>
    </w:p>
    <w:p>
      <w:pPr>
        <w:pStyle w:val="BookText"/>
        <w:rPr/>
      </w:pPr>
      <w:bookmarkEnd w:id="311"/>
      <w:r>
        <w:rPr>
          <w:rFonts w:ascii="IRNazanin" w:hAnsi="IRNazanin" w:eastAsia="IRNazanin"/>
          <w:color w:val="111111"/>
          <w:sz w:val="28"/>
          <w:sz w:val="28"/>
          <w:szCs w:val="28"/>
          <w:rtl w:val="true"/>
          <w:lang w:bidi="fa-IR"/>
        </w:rPr>
        <w:t xml:space="preserve">نثرها علی اللفافة </w:t>
      </w:r>
      <w:r>
        <w:rPr>
          <w:rStyle w:val="FootnoteAnchor"/>
          <w:rtl w:val="true"/>
        </w:rPr>
        <w:footnoteReference w:id="2146"/>
      </w:r>
      <w:r>
        <w:rPr>
          <w:rFonts w:ascii="IRNazanin" w:hAnsi="IRNazanin" w:eastAsia="IRNazanin"/>
          <w:color w:val="111111"/>
          <w:sz w:val="28"/>
          <w:sz w:val="28"/>
          <w:szCs w:val="28"/>
          <w:rtl w:val="true"/>
          <w:lang w:bidi="fa-IR"/>
        </w:rPr>
        <w:t>الظاهرة لم یعلم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یستحبّ نثرها علی القطن الذی یوضع علی الفرجین، نسبه کاشف اللثام إلی الأصحاب </w:t>
      </w:r>
      <w:r>
        <w:rPr>
          <w:rStyle w:val="FootnoteAnchor"/>
          <w:rtl w:val="true"/>
        </w:rPr>
        <w:footnoteReference w:id="2147"/>
      </w:r>
      <w:r>
        <w:rPr>
          <w:rFonts w:ascii="IRNazanin" w:hAnsi="IRNazanin" w:eastAsia="IRNazanin"/>
          <w:color w:val="111111"/>
          <w:sz w:val="28"/>
          <w:sz w:val="28"/>
          <w:szCs w:val="28"/>
          <w:rtl w:val="true"/>
          <w:lang w:bidi="fa-IR"/>
        </w:rPr>
        <w:t xml:space="preserve">، و یدلّ علیه روایة عمّار کما قیل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قد اختلف فی تفسیر الذریرة اختلافاً فاحشاً، و المحکیّ عن المعتبر </w:t>
      </w:r>
      <w:r>
        <w:rPr>
          <w:rStyle w:val="FootnoteAnchor"/>
          <w:rtl w:val="true"/>
        </w:rPr>
        <w:footnoteReference w:id="2149"/>
      </w:r>
      <w:r>
        <w:rPr>
          <w:rFonts w:ascii="IRNazanin" w:hAnsi="IRNazanin" w:eastAsia="IRNazanin"/>
          <w:color w:val="111111"/>
          <w:sz w:val="28"/>
          <w:sz w:val="28"/>
          <w:szCs w:val="28"/>
          <w:rtl w:val="true"/>
          <w:lang w:bidi="fa-IR"/>
        </w:rPr>
        <w:t xml:space="preserve">و التذکرة </w:t>
      </w:r>
      <w:r>
        <w:rPr>
          <w:rStyle w:val="FootnoteAnchor"/>
          <w:rtl w:val="true"/>
        </w:rPr>
        <w:footnoteReference w:id="2150"/>
      </w:r>
      <w:r>
        <w:rPr>
          <w:rFonts w:ascii="IRNazanin" w:hAnsi="IRNazanin" w:eastAsia="IRNazanin"/>
          <w:color w:val="111111"/>
          <w:sz w:val="28"/>
          <w:sz w:val="28"/>
          <w:szCs w:val="28"/>
          <w:rtl w:val="true"/>
          <w:lang w:bidi="fa-IR"/>
        </w:rPr>
        <w:t xml:space="preserve">أنّها الطیب المسحوق، و المراد به الطیب الخاصّ المعروف بهذا الاسم الآن، و تبعهما علی ذلک المحقّق </w:t>
      </w:r>
      <w:r>
        <w:rPr>
          <w:rStyle w:val="FootnoteAnchor"/>
          <w:rtl w:val="true"/>
        </w:rPr>
        <w:footnoteReference w:id="2151"/>
      </w:r>
      <w:r>
        <w:rPr>
          <w:rFonts w:ascii="IRNazanin" w:hAnsi="IRNazanin" w:eastAsia="IRNazanin"/>
          <w:color w:val="111111"/>
          <w:sz w:val="28"/>
          <w:sz w:val="28"/>
          <w:szCs w:val="28"/>
          <w:rtl w:val="true"/>
          <w:lang w:bidi="fa-IR"/>
        </w:rPr>
        <w:t xml:space="preserve">و الشهید </w:t>
      </w:r>
      <w:r>
        <w:rPr>
          <w:rStyle w:val="FootnoteAnchor"/>
          <w:rtl w:val="true"/>
        </w:rPr>
        <w:footnoteReference w:id="2152"/>
      </w:r>
      <w:r>
        <w:rPr>
          <w:rFonts w:ascii="IRNazanin" w:hAnsi="IRNazanin" w:eastAsia="IRNazanin"/>
          <w:color w:val="111111"/>
          <w:sz w:val="28"/>
          <w:sz w:val="28"/>
          <w:szCs w:val="28"/>
          <w:rtl w:val="true"/>
          <w:lang w:bidi="fa-IR"/>
        </w:rPr>
        <w:t xml:space="preserve">الثانیان و غیرهما </w:t>
      </w:r>
      <w:r>
        <w:rPr>
          <w:rStyle w:val="FootnoteAnchor"/>
          <w:rtl w:val="true"/>
        </w:rPr>
        <w:footnoteReference w:id="2153"/>
      </w:r>
      <w:r>
        <w:rPr>
          <w:rFonts w:ascii="IRNazanin" w:hAnsi="IRNazanin" w:eastAsia="IRNazanin"/>
          <w:color w:val="111111"/>
          <w:sz w:val="28"/>
          <w:sz w:val="28"/>
          <w:szCs w:val="28"/>
          <w:rtl w:val="true"/>
          <w:lang w:bidi="fa-IR"/>
        </w:rPr>
        <w:t>، و هو الأقوی</w:t>
      </w:r>
      <w:r>
        <w:rPr>
          <w:rFonts w:eastAsia="IRNazanin" w:cs="IRNazanin"/>
          <w:color w:val="111111"/>
          <w:sz w:val="28"/>
          <w:szCs w:val="28"/>
          <w:rtl w:val="true"/>
          <w:lang w:bidi="fa-IR"/>
        </w:rPr>
        <w:t>.</w:t>
      </w:r>
    </w:p>
    <w:p>
      <w:pPr>
        <w:pStyle w:val="Heading6"/>
        <w:numPr>
          <w:ilvl w:val="5"/>
          <w:numId w:val="1"/>
        </w:numPr>
        <w:rPr/>
      </w:pPr>
      <w:bookmarkStart w:id="312" w:name="__RefHeading___Toc6530298_3224264995"/>
      <w:bookmarkStart w:id="313" w:name="_Toc121"/>
      <w:bookmarkEnd w:id="312"/>
      <w:r>
        <w:rPr>
          <w:rtl w:val="true"/>
        </w:rPr>
        <w:t>[</w:t>
      </w:r>
      <w:r>
        <w:rPr/>
        <w:t>10</w:t>
      </w:r>
      <w:r>
        <w:rPr>
          <w:rtl w:val="true"/>
        </w:rPr>
        <w:t xml:space="preserve">- </w:t>
      </w:r>
      <w:r>
        <w:rPr>
          <w:rtl w:val="true"/>
        </w:rPr>
        <w:t>استحباب جعل جریدتین مع المیت</w:t>
      </w:r>
      <w:r>
        <w:rPr>
          <w:rtl w:val="true"/>
        </w:rPr>
        <w:t>]</w:t>
      </w:r>
      <w:bookmarkEnd w:id="31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مع المیّت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جریدتان </w:t>
      </w:r>
      <w:r>
        <w:rPr>
          <w:rStyle w:val="FootnoteAnchor"/>
          <w:rtl w:val="true"/>
        </w:rPr>
        <w:footnoteReference w:id="2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الجریدة و هی عود النخل بعد أن یجرّد عن الخوص، و قبله یسمّی سعفاً، و استحبابه ثابت بالإجماع المحقّق و الأخبار المتواترة کحکایة الإجماع </w:t>
      </w:r>
      <w:r>
        <w:rPr>
          <w:rStyle w:val="FootnoteAnchor"/>
          <w:rtl w:val="true"/>
        </w:rPr>
        <w:footnoteReference w:id="2155"/>
      </w:r>
      <w:r>
        <w:rPr>
          <w:rFonts w:ascii="IRNazanin" w:hAnsi="IRNazanin" w:eastAsia="IRNazanin"/>
          <w:color w:val="111111"/>
          <w:sz w:val="28"/>
          <w:sz w:val="28"/>
          <w:szCs w:val="28"/>
          <w:rtl w:val="true"/>
          <w:lang w:bidi="fa-IR"/>
        </w:rPr>
        <w:t>، و الأصل فیه علی ما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تعالی لمّا أهبط آدم علیه السلام إلی</w:t>
      </w:r>
    </w:p>
    <w:p>
      <w:pPr>
        <w:pStyle w:val="BookText"/>
        <w:rPr/>
      </w:pPr>
      <w:r>
        <w:rPr>
          <w:rFonts w:ascii="IRNazanin" w:hAnsi="IRNazanin" w:eastAsia="IRNazanin"/>
          <w:color w:val="111111"/>
          <w:sz w:val="28"/>
          <w:sz w:val="28"/>
          <w:szCs w:val="28"/>
          <w:rtl w:val="true"/>
          <w:lang w:bidi="fa-IR"/>
        </w:rPr>
        <w:t>الأرض استوحش، فسأل اللّٰه أن یؤنسه بشی‌ء من أشجار الجنّة، فأنزل اللّٰه إلیه النخلة، فکان یأنس بها فی حیاته، فلمّا حضرته الوفاة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آنس بها فی حیاتی و أرجو الانس بها بعد وفاتی، فإذا متُّ فخذوا منها جریداً و شقّوه بنصفین وضعوهما معی فی أکفانی، ففعل ولده ذلک و فعله الأنبیاء علیهم السلام بعده، ثمّ اندرس ذلک </w:t>
      </w:r>
      <w:r>
        <w:rPr>
          <w:rStyle w:val="FootnoteAnchor"/>
          <w:rtl w:val="true"/>
        </w:rPr>
        <w:footnoteReference w:id="2156"/>
      </w:r>
      <w:r>
        <w:rPr>
          <w:rFonts w:ascii="IRNazanin" w:hAnsi="IRNazanin" w:eastAsia="IRNazanin"/>
          <w:color w:val="111111"/>
          <w:sz w:val="28"/>
          <w:sz w:val="28"/>
          <w:szCs w:val="28"/>
          <w:rtl w:val="true"/>
          <w:lang w:bidi="fa-IR"/>
        </w:rPr>
        <w:t xml:space="preserve">فی الجاهلیّة فأحیاه النبیّ صلّی اللّٰه علیه و آله و سلم و فعله، فصارت سنّة متّبعة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مرسلًا من الشیوخ و مذاکرة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یحیی بن عبادة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مات رجل من الأنصار فشهده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خضّروا صاحبکم، فما أقلّ المتخضّرین یوم القیامة</w:t>
      </w:r>
      <w:r>
        <w:rPr>
          <w:rFonts w:eastAsia="IRNazanin" w:cs="IRNazanin"/>
          <w:color w:val="111111"/>
          <w:sz w:val="28"/>
          <w:szCs w:val="28"/>
          <w:rtl w:val="true"/>
          <w:lang w:bidi="fa-IR"/>
        </w:rPr>
        <w:t xml:space="preserve">» </w:t>
      </w:r>
      <w:r>
        <w:rPr>
          <w:rStyle w:val="FootnoteAnchor"/>
          <w:rtl w:val="true"/>
        </w:rPr>
        <w:footnoteReference w:id="2159"/>
      </w:r>
      <w:r>
        <w:rPr>
          <w:rFonts w:ascii="IRNazanin" w:hAnsi="IRNazanin" w:eastAsia="IRNazanin"/>
          <w:color w:val="111111"/>
          <w:sz w:val="28"/>
          <w:sz w:val="28"/>
          <w:szCs w:val="28"/>
          <w:rtl w:val="true"/>
          <w:lang w:bidi="fa-IR"/>
        </w:rPr>
        <w:t>و فیه إشارة إلی قلّة الشیعة؛ لأنّ التخضّر مختصّ بهم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المیّت إذا مات لِمَ تجعل معه الجریدة؟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یتجافی عنه العذاب و الحساب ما دام العود رطباً، و إنّما العذاب و الحساب کلّه فی یوم واحد فی ساعة واحدة قدر ما یدخل القبر و یرجع القوم، و إنّما جعلت السعفتان لذلک، فلا یصیبه عذاب و لا حساب بعد جفوفهما إن شاء اللّٰه</w:t>
      </w:r>
      <w:r>
        <w:rPr>
          <w:rFonts w:eastAsia="IRNazanin" w:cs="IRNazanin"/>
          <w:color w:val="111111"/>
          <w:sz w:val="28"/>
          <w:szCs w:val="28"/>
          <w:rtl w:val="true"/>
          <w:lang w:bidi="fa-IR"/>
        </w:rPr>
        <w:t xml:space="preserve">» </w:t>
      </w:r>
      <w:r>
        <w:rPr>
          <w:rStyle w:val="FootnoteAnchor"/>
          <w:rtl w:val="true"/>
        </w:rPr>
        <w:footnoteReference w:id="2160"/>
      </w:r>
      <w:r>
        <w:rPr>
          <w:rFonts w:ascii="IRNazanin" w:hAnsi="IRNazanin" w:eastAsia="IRNazanin"/>
          <w:color w:val="111111"/>
          <w:sz w:val="28"/>
          <w:sz w:val="28"/>
          <w:szCs w:val="28"/>
          <w:rtl w:val="true"/>
          <w:lang w:bidi="fa-IR"/>
        </w:rPr>
        <w:t>و فی روایة الحسن بن زیاد الصیقل</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الجریدة تنفع المؤمن و الکافر</w:t>
      </w:r>
      <w:r>
        <w:rPr>
          <w:rFonts w:eastAsia="IRNazanin" w:cs="IRNazanin"/>
          <w:color w:val="111111"/>
          <w:sz w:val="28"/>
          <w:szCs w:val="28"/>
          <w:rtl w:val="true"/>
          <w:lang w:bidi="fa-IR"/>
        </w:rPr>
        <w:t xml:space="preserve">» </w:t>
      </w:r>
      <w:r>
        <w:rPr>
          <w:rStyle w:val="FootnoteAnchor"/>
          <w:rtl w:val="true"/>
        </w:rPr>
        <w:footnoteReference w:id="2161"/>
      </w:r>
      <w:r>
        <w:rPr>
          <w:rFonts w:ascii="IRNazanin" w:hAnsi="IRNazanin" w:eastAsia="IRNazanin"/>
          <w:color w:val="111111"/>
          <w:sz w:val="28"/>
          <w:sz w:val="28"/>
          <w:szCs w:val="28"/>
          <w:rtl w:val="true"/>
          <w:lang w:bidi="fa-IR"/>
        </w:rPr>
        <w:t xml:space="preserve">و نحوها مکاتبة علیّ بن بلال المرویّة عن الفقیه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الصحیحة المذکورة و غیرها مضافاً إلی إجماعی الخلاف </w:t>
      </w:r>
      <w:r>
        <w:rPr>
          <w:rStyle w:val="FootnoteAnchor"/>
          <w:rtl w:val="true"/>
        </w:rPr>
        <w:footnoteReference w:id="2163"/>
      </w:r>
      <w:r>
        <w:rPr>
          <w:rFonts w:ascii="IRNazanin" w:hAnsi="IRNazanin" w:eastAsia="IRNazanin"/>
          <w:color w:val="111111"/>
          <w:sz w:val="28"/>
          <w:sz w:val="28"/>
          <w:szCs w:val="28"/>
          <w:rtl w:val="true"/>
          <w:lang w:bidi="fa-IR"/>
        </w:rPr>
        <w:t xml:space="preserve">و الانتصار </w:t>
      </w:r>
      <w:r>
        <w:rPr>
          <w:rStyle w:val="FootnoteAnchor"/>
          <w:rtl w:val="true"/>
        </w:rPr>
        <w:footnoteReference w:id="2164"/>
      </w:r>
      <w:r>
        <w:rPr>
          <w:rFonts w:ascii="IRNazanin" w:hAnsi="IRNazanin" w:eastAsia="IRNazanin"/>
          <w:color w:val="111111"/>
          <w:sz w:val="28"/>
          <w:sz w:val="28"/>
          <w:szCs w:val="28"/>
          <w:rtl w:val="true"/>
          <w:lang w:bidi="fa-IR"/>
        </w:rPr>
        <w:t xml:space="preserve">اعتبار الرطوبة فیها، بل المحکیّ عن العین </w:t>
      </w:r>
      <w:r>
        <w:rPr>
          <w:rStyle w:val="FootnoteAnchor"/>
          <w:rtl w:val="true"/>
        </w:rPr>
        <w:footnoteReference w:id="2165"/>
      </w:r>
      <w:r>
        <w:rPr>
          <w:rFonts w:ascii="IRNazanin" w:hAnsi="IRNazanin" w:eastAsia="IRNazanin"/>
          <w:color w:val="111111"/>
          <w:sz w:val="28"/>
          <w:sz w:val="28"/>
          <w:szCs w:val="28"/>
          <w:rtl w:val="true"/>
          <w:lang w:bidi="fa-IR"/>
        </w:rPr>
        <w:t xml:space="preserve">و المحیط </w:t>
      </w:r>
      <w:r>
        <w:rPr>
          <w:rStyle w:val="FootnoteAnchor"/>
          <w:rtl w:val="true"/>
        </w:rPr>
        <w:footnoteReference w:id="2166"/>
      </w:r>
      <w:r>
        <w:rPr>
          <w:rFonts w:ascii="IRNazanin" w:hAnsi="IRNazanin" w:eastAsia="IRNazanin"/>
          <w:color w:val="111111"/>
          <w:sz w:val="28"/>
          <w:sz w:val="28"/>
          <w:szCs w:val="28"/>
          <w:rtl w:val="true"/>
          <w:lang w:bidi="fa-IR"/>
        </w:rPr>
        <w:t xml:space="preserve">و غیرهما </w:t>
      </w:r>
      <w:r>
        <w:rPr>
          <w:rStyle w:val="FootnoteAnchor"/>
          <w:rtl w:val="true"/>
        </w:rPr>
        <w:footnoteReference w:id="2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الیابس لا یسمّی جریدة، مضافاً إلی قوله علیه السلام فی روایة محمّد بن علیّ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الیابس</w:t>
      </w:r>
      <w:r>
        <w:rPr>
          <w:rFonts w:eastAsia="IRNazanin" w:cs="IRNazanin"/>
          <w:color w:val="111111"/>
          <w:sz w:val="28"/>
          <w:szCs w:val="28"/>
          <w:rtl w:val="true"/>
          <w:lang w:bidi="fa-IR"/>
        </w:rPr>
        <w:t xml:space="preserve">»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فالأحوط أیضاً اعتبار خرط الخوص عنهما؛ لما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تسمیتها جریدة إلّا بعد الخرط </w:t>
      </w:r>
      <w:r>
        <w:rPr>
          <w:rStyle w:val="FootnoteAnchor"/>
          <w:rtl w:val="true"/>
        </w:rPr>
        <w:footnoteReference w:id="2169"/>
      </w:r>
      <w:r>
        <w:rPr>
          <w:rFonts w:ascii="IRNazanin" w:hAnsi="IRNazanin" w:eastAsia="IRNazanin"/>
          <w:color w:val="111111"/>
          <w:sz w:val="28"/>
          <w:sz w:val="28"/>
          <w:szCs w:val="28"/>
          <w:rtl w:val="true"/>
          <w:lang w:bidi="fa-IR"/>
        </w:rPr>
        <w:t>، و إن کان الظاهر أنّ ذکر الجریدة من جهة سهولة الوضع فی الکفن و عدم الفائدة فی الخوص؛ و لذا عبّر فی الصحیحة المتقدّمة بالسعفتین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عموم الاستحباب للصغیر و الکبیر، و التعلیل بطرد</w:t>
      </w:r>
    </w:p>
    <w:p>
      <w:pPr>
        <w:pStyle w:val="BookText"/>
        <w:rPr/>
      </w:pPr>
      <w:r>
        <w:rPr>
          <w:rFonts w:ascii="IRNazanin" w:hAnsi="IRNazanin" w:eastAsia="IRNazanin"/>
          <w:color w:val="111111"/>
          <w:sz w:val="28"/>
          <w:sz w:val="28"/>
          <w:szCs w:val="28"/>
          <w:rtl w:val="true"/>
          <w:lang w:bidi="fa-IR"/>
        </w:rPr>
        <w:t>العذاب لا ینافیه؛ إذ لعلّه لحسن فی وضعهما یفید فی مستحقّ العذاب دفعه عنه و فی حقّ غیره راحة اخری، و قد تقدّم فعل الأنبیاء ذلک من لدن آدم إلی الخاتم صلوات اللّٰه و سلامه علیه و علی آله و علیهم أجمعین، فصارت سنّة متّبعة، مضافاً إلی إطلاق الأخبار و معاقد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علم أنّه یعتبر فیهما أن تکونا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النخل </w:t>
      </w:r>
      <w:r>
        <w:rPr>
          <w:rStyle w:val="FootnoteAnchor"/>
          <w:rtl w:val="true"/>
        </w:rPr>
        <w:footnoteReference w:id="2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ظاهراً کما عن الحدائق </w:t>
      </w:r>
      <w:r>
        <w:rPr>
          <w:rStyle w:val="FootnoteAnchor"/>
          <w:rtl w:val="true"/>
        </w:rPr>
        <w:footnoteReference w:id="2171"/>
      </w:r>
      <w:r>
        <w:rPr>
          <w:rFonts w:ascii="IRNazanin" w:hAnsi="IRNazanin" w:eastAsia="IRNazanin"/>
          <w:color w:val="111111"/>
          <w:sz w:val="28"/>
          <w:sz w:val="28"/>
          <w:szCs w:val="28"/>
          <w:rtl w:val="true"/>
          <w:lang w:bidi="fa-IR"/>
        </w:rPr>
        <w:t>، إلّا أنّ المحکیّ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یستحبّ أن یوضع مع المیّت جریدتان خضراوان من النخل أو من غیرها من الأشجار، و خالف مع الفقهاء، ثمّ ادّعی إجماع الفرقة </w:t>
      </w:r>
      <w:r>
        <w:rPr>
          <w:rStyle w:val="FootnoteAnchor"/>
          <w:rtl w:val="true"/>
        </w:rPr>
        <w:footnoteReference w:id="2172"/>
      </w:r>
      <w:r>
        <w:rPr>
          <w:rFonts w:ascii="IRNazanin" w:hAnsi="IRNazanin" w:eastAsia="IRNazanin"/>
          <w:color w:val="111111"/>
          <w:sz w:val="28"/>
          <w:sz w:val="28"/>
          <w:szCs w:val="28"/>
          <w:rtl w:val="true"/>
          <w:lang w:bidi="fa-IR"/>
        </w:rPr>
        <w:t xml:space="preserve">، و نحوه عن السرائر </w:t>
      </w:r>
      <w:r>
        <w:rPr>
          <w:rStyle w:val="FootnoteAnchor"/>
          <w:rtl w:val="true"/>
        </w:rPr>
        <w:footnoteReference w:id="2173"/>
      </w:r>
      <w:r>
        <w:rPr>
          <w:rFonts w:ascii="IRNazanin" w:hAnsi="IRNazanin" w:eastAsia="IRNazanin"/>
          <w:color w:val="111111"/>
          <w:sz w:val="28"/>
          <w:sz w:val="28"/>
          <w:szCs w:val="28"/>
          <w:rtl w:val="true"/>
          <w:lang w:bidi="fa-IR"/>
        </w:rPr>
        <w:t>، و لعلّ مرادهما بیان استحباب مطلق الجریدة فی مقابل العامّة لا عدم الترتیب بین النخل و غیره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فهم منه أنّه لا ترتیب بین غیر النخل کما عن الجعفی </w:t>
      </w:r>
      <w:r>
        <w:rPr>
          <w:rStyle w:val="FootnoteAnchor"/>
          <w:rtl w:val="true"/>
        </w:rPr>
        <w:footnoteReference w:id="2174"/>
      </w:r>
      <w:r>
        <w:rPr>
          <w:rFonts w:ascii="IRNazanin" w:hAnsi="IRNazanin" w:eastAsia="IRNazanin"/>
          <w:color w:val="111111"/>
          <w:sz w:val="28"/>
          <w:sz w:val="28"/>
          <w:szCs w:val="28"/>
          <w:rtl w:val="true"/>
          <w:lang w:bidi="fa-IR"/>
        </w:rPr>
        <w:t xml:space="preserve">و الصدوق </w:t>
      </w:r>
      <w:r>
        <w:rPr>
          <w:rStyle w:val="FootnoteAnchor"/>
          <w:rtl w:val="true"/>
        </w:rPr>
        <w:footnoteReference w:id="2175"/>
      </w:r>
      <w:r>
        <w:rPr>
          <w:rFonts w:ascii="IRNazanin" w:hAnsi="IRNazanin" w:eastAsia="IRNazanin"/>
          <w:color w:val="111111"/>
          <w:sz w:val="28"/>
          <w:sz w:val="28"/>
          <w:szCs w:val="28"/>
          <w:rtl w:val="true"/>
          <w:lang w:bidi="fa-IR"/>
        </w:rPr>
        <w:t>، و فی دلالته علی هذا أیضاً نظر، و إن کان یشهد لهذا القول مکاتبة علیّ بن بلال إلی أبی الحسن الثالث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یموت فی بلاد لیس فیها نخل، فهل یجوز مکان الجریدة شی‌ء آخر غیر النخل، فإنّه روی عن آبائک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یتجافی عنه العذاب ما دامت الجریدتان رطبین و أنّها تنفع المؤمن و الکافر؟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من شجر آخر</w:t>
      </w:r>
    </w:p>
    <w:p>
      <w:pPr>
        <w:pStyle w:val="BookText"/>
        <w:rPr/>
      </w:pP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Style w:val="FootnoteAnchor"/>
          <w:rtl w:val="true"/>
        </w:rPr>
        <w:footnoteReference w:id="2176"/>
      </w:r>
      <w:r>
        <w:rPr>
          <w:rFonts w:ascii="IRNazanin" w:hAnsi="IRNazanin" w:eastAsia="IRNazanin"/>
          <w:color w:val="111111"/>
          <w:sz w:val="28"/>
          <w:sz w:val="28"/>
          <w:szCs w:val="28"/>
          <w:rtl w:val="true"/>
          <w:lang w:bidi="fa-IR"/>
        </w:rPr>
        <w:t>، و عن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تقدر علی جریدة من نخل فلا بأس بأن یکون من غیره بعد أن یکون رطباً</w:t>
      </w:r>
      <w:r>
        <w:rPr>
          <w:rFonts w:eastAsia="IRNazanin" w:cs="IRNazanin"/>
          <w:color w:val="111111"/>
          <w:sz w:val="28"/>
          <w:szCs w:val="28"/>
          <w:rtl w:val="true"/>
          <w:lang w:bidi="fa-IR"/>
        </w:rPr>
        <w:t xml:space="preserve">»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المشهور منهم الشیخ فی محکیّ النهایة </w:t>
      </w:r>
      <w:r>
        <w:rPr>
          <w:rStyle w:val="FootnoteAnchor"/>
          <w:rtl w:val="true"/>
        </w:rPr>
        <w:footnoteReference w:id="2178"/>
      </w:r>
      <w:r>
        <w:rPr>
          <w:rFonts w:ascii="IRNazanin" w:hAnsi="IRNazanin" w:eastAsia="IRNazanin"/>
          <w:color w:val="111111"/>
          <w:sz w:val="28"/>
          <w:sz w:val="28"/>
          <w:szCs w:val="28"/>
          <w:rtl w:val="true"/>
          <w:lang w:bidi="fa-IR"/>
        </w:rPr>
        <w:t>علی تقدیم السدر علی غیره؛ و لعلّه لمضمرة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نقدر علی الجریدة؟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عود السدر،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نقدر علی عود السدر؟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الخلاف</w:t>
      </w:r>
      <w:r>
        <w:rPr>
          <w:rFonts w:eastAsia="IRNazanin" w:cs="IRNazanin"/>
          <w:color w:val="111111"/>
          <w:sz w:val="28"/>
          <w:szCs w:val="28"/>
          <w:rtl w:val="true"/>
          <w:lang w:bidi="fa-IR"/>
        </w:rPr>
        <w:t xml:space="preserve">»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الجمع بینهما بحمل المضمرة علی کون السدر أفضل لا أنّه متعیّن بحیث لا یؤدّی الوظیفة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المفید </w:t>
      </w:r>
      <w:r>
        <w:rPr>
          <w:rStyle w:val="FootnoteAnchor"/>
          <w:rtl w:val="true"/>
        </w:rPr>
        <w:footnoteReference w:id="2180"/>
      </w:r>
      <w:r>
        <w:rPr>
          <w:rFonts w:ascii="Amiri" w:hAnsi="Amiri" w:eastAsia="Amiri" w:cs="Amiri"/>
          <w:color w:val="111111"/>
          <w:sz w:val="28"/>
          <w:sz w:val="28"/>
          <w:szCs w:val="28"/>
          <w:rtl w:val="true"/>
          <w:lang w:bidi="ar-SA"/>
        </w:rPr>
        <w:t xml:space="preserve">و سلّار </w:t>
      </w:r>
      <w:r>
        <w:rPr>
          <w:rStyle w:val="FootnoteAnchor"/>
          <w:rtl w:val="true"/>
        </w:rPr>
        <w:footnoteReference w:id="2181"/>
      </w:r>
      <w:r>
        <w:rPr>
          <w:rFonts w:ascii="IRNazanin" w:hAnsi="IRNazanin" w:eastAsia="IRNazanin"/>
          <w:color w:val="111111"/>
          <w:sz w:val="28"/>
          <w:sz w:val="28"/>
          <w:szCs w:val="28"/>
          <w:rtl w:val="true"/>
          <w:lang w:bidi="fa-IR"/>
        </w:rPr>
        <w:t xml:space="preserve">و ابن سعید </w:t>
      </w:r>
      <w:r>
        <w:rPr>
          <w:rStyle w:val="FootnoteAnchor"/>
          <w:rtl w:val="true"/>
        </w:rPr>
        <w:footnoteReference w:id="2182"/>
      </w:r>
      <w:r>
        <w:rPr>
          <w:rFonts w:ascii="IRNazanin" w:hAnsi="IRNazanin" w:eastAsia="IRNazanin"/>
          <w:color w:val="111111"/>
          <w:sz w:val="28"/>
          <w:sz w:val="28"/>
          <w:szCs w:val="28"/>
          <w:rtl w:val="true"/>
          <w:lang w:bidi="fa-IR"/>
        </w:rPr>
        <w:t>عکس المضمرة و تقدیم الخلاف علی السدر، و لم یعلم مستندهم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الکلینی أنّه روی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بدلها أی الجریدة عود الرمّان</w:t>
      </w:r>
      <w:r>
        <w:rPr>
          <w:rFonts w:eastAsia="IRNazanin" w:cs="IRNazanin"/>
          <w:color w:val="111111"/>
          <w:sz w:val="28"/>
          <w:szCs w:val="28"/>
          <w:rtl w:val="true"/>
          <w:lang w:bidi="fa-IR"/>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المشهور فی طولها کما عن جماعة </w:t>
      </w:r>
      <w:r>
        <w:rPr>
          <w:rStyle w:val="FootnoteAnchor"/>
          <w:rtl w:val="true"/>
        </w:rPr>
        <w:footnoteReference w:id="2184"/>
      </w:r>
      <w:r>
        <w:rPr>
          <w:rFonts w:ascii="IRNazanin" w:hAnsi="IRNazanin" w:eastAsia="IRNazanin"/>
          <w:color w:val="111111"/>
          <w:sz w:val="28"/>
          <w:sz w:val="28"/>
          <w:szCs w:val="28"/>
          <w:rtl w:val="true"/>
          <w:lang w:bidi="fa-IR"/>
        </w:rPr>
        <w:t xml:space="preserve">بل عن الانتصار </w:t>
      </w: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 xml:space="preserve">و الغنیة </w:t>
      </w:r>
      <w:r>
        <w:rPr>
          <w:rStyle w:val="FootnoteAnchor"/>
          <w:rtl w:val="true"/>
        </w:rPr>
        <w:footnoteReference w:id="2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کون کلّ واحدة بقدر عظم الذراع؛ و لعلّه لما عن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روی أنّ الجریدتین کلّ واحدة بقدر عظم ذراع</w:t>
      </w:r>
      <w:r>
        <w:rPr>
          <w:rFonts w:eastAsia="IRNazanin" w:cs="IRNazanin"/>
          <w:color w:val="111111"/>
          <w:sz w:val="28"/>
          <w:szCs w:val="28"/>
          <w:rtl w:val="true"/>
          <w:lang w:bidi="fa-IR"/>
        </w:rPr>
        <w:t xml:space="preserve">» </w:t>
      </w:r>
      <w:r>
        <w:rPr>
          <w:rStyle w:val="FootnoteAnchor"/>
          <w:rtl w:val="true"/>
        </w:rPr>
        <w:footnoteReference w:id="2187"/>
      </w:r>
      <w:r>
        <w:rPr>
          <w:rFonts w:ascii="IRNazanin" w:hAnsi="IRNazanin" w:eastAsia="IRNazanin"/>
          <w:color w:val="111111"/>
          <w:sz w:val="28"/>
          <w:sz w:val="28"/>
          <w:szCs w:val="28"/>
          <w:rtl w:val="true"/>
          <w:lang w:bidi="fa-IR"/>
        </w:rPr>
        <w:t>و لعلّه أشار إلی روایة یونس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 له قطعتین من جرید النخل رطباً قدر ذراع، تجعل له واحدة بین رکبتیه، نصف ممّا یلی الساق و نصف ممّا یلی الفخذ، و یجعل الأُخری تحت إبطه الأیمن</w:t>
      </w:r>
      <w:r>
        <w:rPr>
          <w:rFonts w:eastAsia="IRNazanin" w:cs="IRNazanin"/>
          <w:color w:val="111111"/>
          <w:sz w:val="28"/>
          <w:szCs w:val="28"/>
          <w:rtl w:val="true"/>
          <w:lang w:bidi="fa-IR"/>
        </w:rPr>
        <w:t xml:space="preserve">» </w:t>
      </w:r>
      <w:r>
        <w:rPr>
          <w:rStyle w:val="FootnoteAnchor"/>
          <w:rtl w:val="true"/>
        </w:rPr>
        <w:footnoteReference w:id="2188"/>
      </w:r>
      <w:r>
        <w:rPr>
          <w:rFonts w:ascii="IRNazanin" w:hAnsi="IRNazanin" w:eastAsia="IRNazanin"/>
          <w:color w:val="111111"/>
          <w:sz w:val="28"/>
          <w:sz w:val="28"/>
          <w:szCs w:val="28"/>
          <w:rtl w:val="true"/>
          <w:lang w:bidi="fa-IR"/>
        </w:rPr>
        <w:t>و نحوها روایة یحیی بن عبادة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تؤخذ جریدة رطبة قدر ذراع و توضع و أشار بیده من عند ترقوته إلی یده، تلفّ مع ثیابه</w:t>
      </w:r>
      <w:r>
        <w:rPr>
          <w:rFonts w:eastAsia="IRNazanin" w:cs="IRNazanin"/>
          <w:color w:val="111111"/>
          <w:sz w:val="28"/>
          <w:szCs w:val="28"/>
          <w:rtl w:val="true"/>
          <w:lang w:bidi="fa-IR"/>
        </w:rPr>
        <w:t xml:space="preserve">» </w:t>
      </w:r>
      <w:r>
        <w:rPr>
          <w:rStyle w:val="FootnoteAnchor"/>
          <w:rtl w:val="true"/>
        </w:rPr>
        <w:footnoteReference w:id="2189"/>
      </w:r>
      <w:r>
        <w:rPr>
          <w:rFonts w:ascii="IRNazanin" w:hAnsi="IRNazanin" w:eastAsia="IRNazanin"/>
          <w:color w:val="111111"/>
          <w:sz w:val="28"/>
          <w:sz w:val="28"/>
          <w:szCs w:val="28"/>
          <w:rtl w:val="true"/>
          <w:lang w:bidi="fa-IR"/>
        </w:rPr>
        <w:t xml:space="preserve">بناء علی أنّ الذراع حقیقة فی عظمها کما عن کاشف اللثام </w:t>
      </w:r>
      <w:r>
        <w:rPr>
          <w:rStyle w:val="FootnoteAnchor"/>
          <w:rtl w:val="true"/>
        </w:rPr>
        <w:footnoteReference w:id="2190"/>
      </w:r>
      <w:r>
        <w:rPr>
          <w:rFonts w:ascii="IRNazanin" w:hAnsi="IRNazanin" w:eastAsia="IRNazanin"/>
          <w:color w:val="111111"/>
          <w:sz w:val="28"/>
          <w:sz w:val="28"/>
          <w:szCs w:val="28"/>
          <w:rtl w:val="true"/>
          <w:lang w:bidi="fa-IR"/>
        </w:rPr>
        <w:t>أو إرادته منه مجازاً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حسنة جمیل بابن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r>
        <w:rPr>
          <w:rStyle w:val="FootnoteAnchor"/>
          <w:rtl w:val="true"/>
        </w:rPr>
        <w:footnoteReference w:id="2191"/>
      </w:r>
      <w:r>
        <w:rPr>
          <w:rFonts w:ascii="IRNazanin" w:hAnsi="IRNazanin" w:eastAsia="IRNazanin"/>
          <w:color w:val="111111"/>
          <w:sz w:val="28"/>
          <w:sz w:val="28"/>
          <w:szCs w:val="28"/>
          <w:rtl w:val="true"/>
          <w:lang w:bidi="fa-IR"/>
        </w:rPr>
        <w:t>إنّ الجریدة قدر شبر توضع عند الترقوة إلی ما بلغت ممّا یلی الجلد الأیمن، و الأُخری إلی الأیسر عند الترقوة إلی ما بلغت فوق القمیص</w:t>
      </w:r>
      <w:r>
        <w:rPr>
          <w:rFonts w:eastAsia="IRNazanin" w:cs="IRNazanin"/>
          <w:color w:val="111111"/>
          <w:sz w:val="28"/>
          <w:szCs w:val="28"/>
          <w:rtl w:val="true"/>
          <w:lang w:bidi="fa-IR"/>
        </w:rPr>
        <w:t xml:space="preserve">» </w:t>
      </w:r>
      <w:r>
        <w:rPr>
          <w:rStyle w:val="FootnoteAnchor"/>
          <w:rtl w:val="true"/>
        </w:rPr>
        <w:footnoteReference w:id="2192"/>
      </w:r>
      <w:r>
        <w:rPr>
          <w:rFonts w:ascii="IRNazanin" w:hAnsi="IRNazanin" w:eastAsia="IRNazanin"/>
          <w:color w:val="111111"/>
          <w:sz w:val="28"/>
          <w:sz w:val="28"/>
          <w:szCs w:val="28"/>
          <w:rtl w:val="true"/>
          <w:lang w:bidi="fa-IR"/>
        </w:rPr>
        <w:t xml:space="preserve">و لم نرَ قائلًا بالخصوص و إن نفی عنه البأس الصدوق </w:t>
      </w:r>
      <w:r>
        <w:rPr>
          <w:rStyle w:val="FootnoteAnchor"/>
          <w:rtl w:val="true"/>
        </w:rPr>
        <w:footnoteReference w:id="2193"/>
      </w:r>
      <w:r>
        <w:rPr>
          <w:rFonts w:ascii="IRNazanin" w:hAnsi="IRNazanin" w:eastAsia="IRNazanin"/>
          <w:color w:val="111111"/>
          <w:sz w:val="28"/>
          <w:sz w:val="28"/>
          <w:szCs w:val="28"/>
          <w:rtl w:val="true"/>
          <w:lang w:bidi="fa-IR"/>
        </w:rPr>
        <w:t xml:space="preserve">و بعض من تبعه </w:t>
      </w:r>
      <w:r>
        <w:rPr>
          <w:rStyle w:val="FootnoteAnchor"/>
          <w:rtl w:val="true"/>
        </w:rPr>
        <w:footnoteReference w:id="2194"/>
      </w:r>
      <w:r>
        <w:rPr>
          <w:rFonts w:ascii="IRNazanin" w:hAnsi="IRNazanin" w:eastAsia="IRNazanin"/>
          <w:color w:val="111111"/>
          <w:sz w:val="28"/>
          <w:sz w:val="28"/>
          <w:szCs w:val="28"/>
          <w:rtl w:val="true"/>
          <w:lang w:bidi="fa-IR"/>
        </w:rPr>
        <w:t>، و یمکن حمله علی عظم الذراع؛ لأنّه شبر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قدر أربع أصابع فما فوقها </w:t>
      </w:r>
      <w:r>
        <w:rPr>
          <w:rStyle w:val="FootnoteAnchor"/>
          <w:rtl w:val="true"/>
        </w:rPr>
        <w:footnoteReference w:id="2195"/>
      </w:r>
      <w:r>
        <w:rPr>
          <w:rFonts w:ascii="IRNazanin" w:hAnsi="IRNazanin" w:eastAsia="IRNazanin"/>
          <w:color w:val="111111"/>
          <w:sz w:val="28"/>
          <w:sz w:val="28"/>
          <w:szCs w:val="28"/>
          <w:rtl w:val="true"/>
          <w:lang w:bidi="fa-IR"/>
        </w:rPr>
        <w:t>، و لم نعثر له علی روایة، و عن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فهمه ذلک من روایة یحیی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توضع من أصل الیدین إلی الترقوة </w:t>
      </w:r>
      <w:r>
        <w:rPr>
          <w:rStyle w:val="FootnoteAnchor"/>
          <w:rtl w:val="true"/>
        </w:rPr>
        <w:footnoteReference w:id="2196"/>
      </w:r>
      <w:r>
        <w:rPr>
          <w:rFonts w:ascii="Amiri" w:hAnsi="Amiri" w:eastAsia="Amiri" w:cs="Amiri"/>
          <w:color w:val="111111"/>
          <w:sz w:val="28"/>
          <w:sz w:val="28"/>
          <w:szCs w:val="28"/>
          <w:rtl w:val="true"/>
          <w:lang w:bidi="ar-SA"/>
        </w:rPr>
        <w:t>، و فیه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 جائز؛ لثبوت أصل الشرعیّة و عدم القاطع علی قدر معیّن </w:t>
      </w:r>
      <w:r>
        <w:rPr>
          <w:rStyle w:val="FootnoteAnchor"/>
          <w:rtl w:val="true"/>
        </w:rPr>
        <w:footnoteReference w:id="2197"/>
      </w:r>
      <w:r>
        <w:rPr>
          <w:rFonts w:ascii="IRNazanin" w:hAnsi="IRNazanin" w:eastAsia="IRNazanin"/>
          <w:color w:val="111111"/>
          <w:sz w:val="28"/>
          <w:sz w:val="28"/>
          <w:szCs w:val="28"/>
          <w:rtl w:val="true"/>
          <w:lang w:bidi="fa-IR"/>
        </w:rPr>
        <w:t xml:space="preserve">، و هو حسن لو تکافأ الأخبار، و إلّا فالأقوی هو المشهور، و العمل بروایة یونس و ابن عبادة أحوط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تشقّ الجریدتان أو تکونان صحیحتین؟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یدلّ علی الأوّل و العلّة تدلّ علی الثانی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مراده بالخبر ما تقدّم عن المقنعة فی أصل مشروعیّتهما </w:t>
      </w:r>
      <w:r>
        <w:rPr>
          <w:rStyle w:val="FootnoteAnchor"/>
          <w:rtl w:val="true"/>
        </w:rPr>
        <w:footnoteReference w:id="2200"/>
      </w:r>
      <w:r>
        <w:rPr>
          <w:rFonts w:ascii="IRNazanin" w:hAnsi="IRNazanin" w:eastAsia="IRNazanin"/>
          <w:color w:val="111111"/>
          <w:sz w:val="28"/>
          <w:sz w:val="28"/>
          <w:szCs w:val="28"/>
          <w:rtl w:val="true"/>
          <w:lang w:bidi="fa-IR"/>
        </w:rPr>
        <w:t>، و مثله مرسل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صلّی اللّٰه علیه و آله بقبر یعذّب صاحبه، فدعی بجریدة فشقّها نصفین فجعل واحدة عند رأسه و الأُخری عند رجلیه،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وضعتهما؟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یخفّف عنه العذاب ما کانتا خضراوین</w:t>
      </w:r>
      <w:r>
        <w:rPr>
          <w:rFonts w:eastAsia="IRNazanin" w:cs="IRNazanin"/>
          <w:color w:val="111111"/>
          <w:sz w:val="28"/>
          <w:szCs w:val="28"/>
          <w:rtl w:val="true"/>
          <w:lang w:bidi="fa-IR"/>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بالعلّة تجافی العذاب ما دام رطبین؛ لأنّ الرطوبة أبقی مع عدم الشقّ؛ و لذا استحبّ الأصحاب کما فی الروض </w:t>
      </w:r>
      <w:r>
        <w:rPr>
          <w:rStyle w:val="FootnoteAnchor"/>
          <w:rtl w:val="true"/>
        </w:rPr>
        <w:footnoteReference w:id="2202"/>
      </w:r>
      <w:r>
        <w:rPr>
          <w:rFonts w:ascii="IRNazanin" w:hAnsi="IRNazanin" w:eastAsia="IRNazanin"/>
          <w:color w:val="111111"/>
          <w:sz w:val="28"/>
          <w:sz w:val="28"/>
          <w:szCs w:val="28"/>
          <w:rtl w:val="true"/>
          <w:lang w:bidi="fa-IR"/>
        </w:rPr>
        <w:t>و 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لفّها فی</w:t>
      </w:r>
    </w:p>
    <w:p>
      <w:pPr>
        <w:pStyle w:val="BookText"/>
        <w:rPr/>
      </w:pPr>
      <w:r>
        <w:rPr>
          <w:rFonts w:ascii="IRNazanin" w:hAnsi="IRNazanin" w:eastAsia="IRNazanin"/>
          <w:color w:val="111111"/>
          <w:sz w:val="28"/>
          <w:sz w:val="28"/>
          <w:szCs w:val="28"/>
          <w:rtl w:val="true"/>
          <w:lang w:bidi="fa-IR"/>
        </w:rPr>
        <w:t xml:space="preserve">قطن محافظة علی الرطوبة </w:t>
      </w:r>
      <w:r>
        <w:rPr>
          <w:rStyle w:val="FootnoteAnchor"/>
          <w:rtl w:val="true"/>
        </w:rPr>
        <w:footnoteReference w:id="2203"/>
      </w:r>
      <w:r>
        <w:rPr>
          <w:rFonts w:ascii="IRNazanin" w:hAnsi="IRNazanin" w:eastAsia="IRNazanin"/>
          <w:color w:val="111111"/>
          <w:sz w:val="28"/>
          <w:sz w:val="28"/>
          <w:szCs w:val="28"/>
          <w:rtl w:val="true"/>
          <w:lang w:bidi="fa-IR"/>
        </w:rPr>
        <w:t>، لکن ظاهر هذا کعبارة الذکری ربما یفید استحباب ترک الشقّ، مضافاً إلی ظهور الجریدة فی الأخبار و کلام الأصحاب فی غیر المشقوقة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محلّها، فالمشهور کما عن جماعة </w:t>
      </w:r>
      <w:r>
        <w:rPr>
          <w:rStyle w:val="FootnoteAnchor"/>
          <w:rtl w:val="true"/>
        </w:rPr>
        <w:footnoteReference w:id="2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یجعل إحداهما من جانبه الأیمن ملصقة بجلده و الأُخری من الجانب الأیسر کذلک إلّا أنّها بین الدرع و الإزار، و عن الغنیة الإجماع علیه </w:t>
      </w:r>
      <w:r>
        <w:rPr>
          <w:rStyle w:val="FootnoteAnchor"/>
          <w:rtl w:val="true"/>
        </w:rPr>
        <w:footnoteReference w:id="2205"/>
      </w:r>
      <w:r>
        <w:rPr>
          <w:rFonts w:ascii="IRNazanin" w:hAnsi="IRNazanin" w:eastAsia="IRNazanin"/>
          <w:color w:val="111111"/>
          <w:sz w:val="28"/>
          <w:sz w:val="28"/>
          <w:szCs w:val="28"/>
          <w:rtl w:val="true"/>
          <w:lang w:bidi="fa-IR"/>
        </w:rPr>
        <w:t>، و یشهد له حسنة جمیل بابن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r>
        <w:rPr>
          <w:rStyle w:val="FootnoteAnchor"/>
          <w:rtl w:val="true"/>
        </w:rPr>
        <w:footnoteReference w:id="2206"/>
      </w:r>
      <w:r>
        <w:rPr>
          <w:rFonts w:ascii="IRNazanin" w:hAnsi="IRNazanin" w:eastAsia="IRNazanin"/>
          <w:color w:val="111111"/>
          <w:sz w:val="28"/>
          <w:sz w:val="28"/>
          <w:szCs w:val="28"/>
          <w:rtl w:val="true"/>
          <w:lang w:bidi="fa-IR"/>
        </w:rPr>
        <w:t>إنّ الجریدة قدر شبر توضع من عند الترقوة إلی ما بلغت ممّا یلی الجلد الأیمن، و الأُخری فی الأیسر عند الترقوة إلی ما بلغت من فوق القمیص</w:t>
      </w:r>
      <w:r>
        <w:rPr>
          <w:rFonts w:eastAsia="IRNazanin" w:cs="IRNazanin"/>
          <w:color w:val="111111"/>
          <w:sz w:val="28"/>
          <w:szCs w:val="28"/>
          <w:rtl w:val="true"/>
          <w:lang w:bidi="fa-IR"/>
        </w:rPr>
        <w:t xml:space="preserve">» </w:t>
      </w:r>
      <w:r>
        <w:rPr>
          <w:rStyle w:val="FootnoteAnchor"/>
          <w:rtl w:val="true"/>
        </w:rPr>
        <w:footnoteReference w:id="2207"/>
      </w:r>
      <w:r>
        <w:rPr>
          <w:rFonts w:ascii="IRNazanin" w:hAnsi="IRNazanin" w:eastAsia="IRNazanin"/>
          <w:color w:val="111111"/>
          <w:sz w:val="28"/>
          <w:sz w:val="28"/>
          <w:szCs w:val="28"/>
          <w:rtl w:val="true"/>
          <w:lang w:bidi="fa-IR"/>
        </w:rPr>
        <w:t>و لا یقدح اشتمالها علی ما لا یقول به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تحدید الجریدة بالشبر إمّا لأنّهما مطلبان مستقلّان یؤخذ بأحدهما و یطرح الآخر لمعارض أقوی، و إمّا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الشبر قدر عظم الذراع تقریباً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الصدوقین فی الرسالة </w:t>
      </w:r>
      <w:r>
        <w:rPr>
          <w:rStyle w:val="FootnoteAnchor"/>
          <w:rtl w:val="true"/>
        </w:rPr>
        <w:footnoteReference w:id="2209"/>
      </w:r>
      <w:r>
        <w:rPr>
          <w:rFonts w:ascii="IRNazanin" w:hAnsi="IRNazanin" w:eastAsia="IRNazanin"/>
          <w:color w:val="111111"/>
          <w:sz w:val="28"/>
          <w:sz w:val="28"/>
          <w:szCs w:val="28"/>
          <w:rtl w:val="true"/>
          <w:lang w:bidi="fa-IR"/>
        </w:rPr>
        <w:t xml:space="preserve">و الفقیه </w:t>
      </w:r>
      <w:r>
        <w:rPr>
          <w:rStyle w:val="FootnoteAnchor"/>
          <w:rtl w:val="true"/>
        </w:rPr>
        <w:footnoteReference w:id="2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یجعل الیسری عند ورکه ما بین القمیص و الإزار و الیمنی مثل المشهور؛ للرضوی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معه</w:t>
      </w:r>
    </w:p>
    <w:p>
      <w:pPr>
        <w:pStyle w:val="BookText"/>
        <w:rPr/>
      </w:pPr>
      <w:r>
        <w:rPr>
          <w:rFonts w:ascii="IRNazanin" w:hAnsi="IRNazanin" w:eastAsia="IRNazanin"/>
          <w:color w:val="111111"/>
          <w:sz w:val="28"/>
          <w:sz w:val="28"/>
          <w:szCs w:val="28"/>
          <w:rtl w:val="true"/>
          <w:lang w:bidi="fa-IR"/>
        </w:rPr>
        <w:t>جریدتین إحداهما عند ترقوته تلصق بجلده و الأُخری عند ورکه</w:t>
      </w:r>
      <w:r>
        <w:rPr>
          <w:rFonts w:eastAsia="IRNazanin" w:cs="IRNazanin"/>
          <w:color w:val="111111"/>
          <w:sz w:val="28"/>
          <w:szCs w:val="28"/>
          <w:rtl w:val="true"/>
          <w:lang w:bidi="fa-IR"/>
        </w:rPr>
        <w:t xml:space="preserve">» </w:t>
      </w:r>
      <w:r>
        <w:rPr>
          <w:rStyle w:val="FootnoteAnchor"/>
          <w:rtl w:val="true"/>
        </w:rPr>
        <w:footnoteReference w:id="2211"/>
      </w:r>
      <w:r>
        <w:rPr>
          <w:rFonts w:ascii="IRNazanin" w:hAnsi="IRNazanin" w:eastAsia="IRNazanin"/>
          <w:color w:val="111111"/>
          <w:sz w:val="28"/>
          <w:sz w:val="28"/>
          <w:szCs w:val="28"/>
          <w:rtl w:val="true"/>
          <w:lang w:bidi="fa-IR"/>
        </w:rPr>
        <w:t>و لیس فیه تعیین الأیمن و الأیسر إلّا أن یستفاد من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الجعفی </w:t>
      </w:r>
      <w:r>
        <w:rPr>
          <w:rStyle w:val="FootnoteAnchor"/>
          <w:rtl w:val="true"/>
        </w:rPr>
        <w:footnoteReference w:id="2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بمضمون روایة یونس المتقدّمة سابقاً فی مقدار الجریدة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جماعة </w:t>
      </w:r>
      <w:r>
        <w:rPr>
          <w:rStyle w:val="FootnoteAnchor"/>
          <w:rtl w:val="true"/>
        </w:rPr>
        <w:footnoteReference w:id="2214"/>
      </w:r>
      <w:r>
        <w:rPr>
          <w:rFonts w:ascii="IRNazanin" w:hAnsi="IRNazanin" w:eastAsia="IRNazanin"/>
          <w:color w:val="111111"/>
          <w:sz w:val="28"/>
          <w:sz w:val="28"/>
          <w:szCs w:val="28"/>
          <w:rtl w:val="true"/>
          <w:lang w:bidi="fa-IR"/>
        </w:rPr>
        <w:t xml:space="preserve">تبعاً للمعتبر </w:t>
      </w:r>
      <w:r>
        <w:rPr>
          <w:rStyle w:val="FootnoteAnchor"/>
          <w:rtl w:val="true"/>
        </w:rPr>
        <w:footnoteReference w:id="2215"/>
      </w:r>
      <w:r>
        <w:rPr>
          <w:rFonts w:ascii="IRNazanin" w:hAnsi="IRNazanin" w:eastAsia="IRNazanin"/>
          <w:color w:val="111111"/>
          <w:sz w:val="28"/>
          <w:sz w:val="28"/>
          <w:szCs w:val="28"/>
          <w:rtl w:val="true"/>
          <w:lang w:bidi="fa-IR"/>
        </w:rPr>
        <w:t xml:space="preserve">التخییر؛ و لعلّه لضعف الروایات حتّی روایة جمیل </w:t>
      </w:r>
      <w:r>
        <w:rPr>
          <w:rStyle w:val="FootnoteAnchor"/>
          <w:rtl w:val="true"/>
        </w:rPr>
        <w:footnoteReference w:id="2216"/>
      </w:r>
      <w:r>
        <w:rPr>
          <w:rFonts w:ascii="IRNazanin" w:hAnsi="IRNazanin" w:eastAsia="IRNazanin"/>
          <w:color w:val="111111"/>
          <w:sz w:val="28"/>
          <w:sz w:val="28"/>
          <w:szCs w:val="28"/>
          <w:rtl w:val="true"/>
          <w:lang w:bidi="fa-IR"/>
        </w:rPr>
        <w:t>بالإضمار، و إطلاق روایة الفضیل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توضع للمیّت جریدتان، واحدة فی الأیمن، و الأُخری فی الأیسر</w:t>
      </w:r>
      <w:r>
        <w:rPr>
          <w:rFonts w:eastAsia="IRNazanin" w:cs="IRNazanin"/>
          <w:color w:val="111111"/>
          <w:sz w:val="28"/>
          <w:szCs w:val="28"/>
          <w:rtl w:val="true"/>
          <w:lang w:bidi="fa-IR"/>
        </w:rPr>
        <w:t xml:space="preserve">» </w:t>
      </w:r>
      <w:r>
        <w:rPr>
          <w:rStyle w:val="FootnoteAnchor"/>
          <w:rtl w:val="true"/>
        </w:rPr>
        <w:footnoteReference w:id="2217"/>
      </w:r>
      <w:r>
        <w:rPr>
          <w:rFonts w:ascii="IRNazanin" w:hAnsi="IRNazanin" w:eastAsia="IRNazanin"/>
          <w:color w:val="111111"/>
          <w:sz w:val="28"/>
          <w:sz w:val="28"/>
          <w:szCs w:val="28"/>
          <w:rtl w:val="true"/>
          <w:lang w:bidi="fa-IR"/>
        </w:rPr>
        <w:t>بناءً علی أنّ السکوت فی مقام البیان یقتضی عدم ثبوت کیفیّة خاصّة، إلّا أنّ حسنة جمیل أظهر فی المستحبّات بالکیفیّة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یقدح الإضمار من جمیل؛ فإنّ إضماره خیر من إظهار غیره، مع أنّها معتضدة فی الجملة بروایة یحیی بن عبادة المتقدمة </w:t>
      </w:r>
      <w:r>
        <w:rPr>
          <w:rStyle w:val="FootnoteAnchor"/>
          <w:rtl w:val="true"/>
        </w:rPr>
        <w:footnoteReference w:id="2218"/>
      </w:r>
      <w:r>
        <w:rPr>
          <w:rFonts w:ascii="IRNazanin" w:hAnsi="IRNazanin" w:eastAsia="IRNazanin"/>
          <w:color w:val="111111"/>
          <w:sz w:val="28"/>
          <w:sz w:val="28"/>
          <w:szCs w:val="28"/>
          <w:rtl w:val="true"/>
          <w:lang w:bidi="fa-IR"/>
        </w:rPr>
        <w:t xml:space="preserve">المرویّة عن معانی الأخبار </w:t>
      </w:r>
      <w:r>
        <w:rPr>
          <w:rStyle w:val="FootnoteAnchor"/>
          <w:rtl w:val="true"/>
        </w:rPr>
        <w:footnoteReference w:id="2219"/>
      </w:r>
      <w:r>
        <w:rPr>
          <w:rFonts w:ascii="IRNazanin" w:hAnsi="IRNazanin" w:eastAsia="IRNazanin"/>
          <w:color w:val="111111"/>
          <w:sz w:val="28"/>
          <w:sz w:val="28"/>
          <w:szCs w:val="28"/>
          <w:rtl w:val="true"/>
          <w:lang w:bidi="fa-IR"/>
        </w:rPr>
        <w:t xml:space="preserve">بطریق صحیح کما قیل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الاقتصاد </w:t>
      </w:r>
      <w:r>
        <w:rPr>
          <w:rStyle w:val="FootnoteAnchor"/>
          <w:rtl w:val="true"/>
        </w:rPr>
        <w:footnoteReference w:id="2221"/>
      </w:r>
      <w:r>
        <w:rPr>
          <w:rFonts w:ascii="IRNazanin" w:hAnsi="IRNazanin" w:eastAsia="IRNazanin"/>
          <w:color w:val="111111"/>
          <w:sz w:val="28"/>
          <w:sz w:val="28"/>
          <w:szCs w:val="28"/>
          <w:rtl w:val="true"/>
          <w:lang w:bidi="fa-IR"/>
        </w:rPr>
        <w:t xml:space="preserve">و المصباح </w:t>
      </w:r>
      <w:r>
        <w:rPr>
          <w:rStyle w:val="FootnoteAnchor"/>
          <w:rtl w:val="true"/>
        </w:rPr>
        <w:footnoteReference w:id="2222"/>
      </w:r>
      <w:r>
        <w:rPr>
          <w:rFonts w:ascii="IRNazanin" w:hAnsi="IRNazanin" w:eastAsia="IRNazanin"/>
          <w:color w:val="111111"/>
          <w:sz w:val="28"/>
          <w:sz w:val="28"/>
          <w:szCs w:val="28"/>
          <w:rtl w:val="true"/>
          <w:lang w:bidi="fa-IR"/>
        </w:rPr>
        <w:t xml:space="preserve">و مختصره </w:t>
      </w:r>
      <w:r>
        <w:rPr>
          <w:rStyle w:val="FootnoteAnchor"/>
          <w:rtl w:val="true"/>
        </w:rPr>
        <w:footnoteReference w:id="2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إحداهما علی الجلد عند حقوه الأیمن، و الأُخری علی الأیسر بین القمیص و الإزار، و لم یعرف له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عدم التقیّة، و أمّا معها فتوضع حیث یمکن و لو فی القبر، نسبه فی محکیّ الحدائق إلی الأصحاب </w:t>
      </w:r>
      <w:r>
        <w:rPr>
          <w:rStyle w:val="FootnoteAnchor"/>
          <w:rtl w:val="true"/>
        </w:rPr>
        <w:footnoteReference w:id="2224"/>
      </w:r>
      <w:r>
        <w:rPr>
          <w:rFonts w:ascii="IRNazanin" w:hAnsi="IRNazanin" w:eastAsia="IRNazanin"/>
          <w:color w:val="111111"/>
          <w:sz w:val="28"/>
          <w:sz w:val="28"/>
          <w:szCs w:val="28"/>
          <w:rtl w:val="true"/>
          <w:lang w:bidi="fa-IR"/>
        </w:rPr>
        <w:t>لمرفوعة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ربما یحضرنی من أخافه، فلا یمکن وضع الجریدتین علی ما رویناه؟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أدخلها حیث یمکن</w:t>
      </w:r>
      <w:r>
        <w:rPr>
          <w:rFonts w:eastAsia="IRNazanin" w:cs="IRNazanin"/>
          <w:color w:val="111111"/>
          <w:sz w:val="28"/>
          <w:szCs w:val="28"/>
          <w:rtl w:val="true"/>
          <w:lang w:bidi="fa-IR"/>
        </w:rPr>
        <w:t xml:space="preserve">» </w:t>
      </w:r>
      <w:r>
        <w:rPr>
          <w:rStyle w:val="FootnoteAnchor"/>
          <w:rtl w:val="true"/>
        </w:rPr>
        <w:footnoteReference w:id="2225"/>
      </w:r>
      <w:r>
        <w:rPr>
          <w:rFonts w:ascii="IRNazanin" w:hAnsi="IRNazanin" w:eastAsia="IRNazanin"/>
          <w:color w:val="111111"/>
          <w:sz w:val="28"/>
          <w:sz w:val="28"/>
          <w:szCs w:val="28"/>
          <w:rtl w:val="true"/>
          <w:lang w:bidi="fa-IR"/>
        </w:rPr>
        <w:t>و رواها الشیخ بزیادة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وضعت فی القبر أجزأه</w:t>
      </w:r>
      <w:r>
        <w:rPr>
          <w:rFonts w:eastAsia="IRNazanin" w:cs="IRNazanin"/>
          <w:color w:val="111111"/>
          <w:sz w:val="28"/>
          <w:szCs w:val="28"/>
          <w:rtl w:val="true"/>
          <w:lang w:bidi="fa-IR"/>
        </w:rPr>
        <w:t xml:space="preserve">» </w:t>
      </w:r>
      <w:r>
        <w:rPr>
          <w:rStyle w:val="FootnoteAnchor"/>
          <w:rtl w:val="true"/>
        </w:rPr>
        <w:footnoteReference w:id="2226"/>
      </w:r>
      <w:r>
        <w:rPr>
          <w:rFonts w:ascii="IRNazanin" w:hAnsi="IRNazanin" w:eastAsia="IRNazanin"/>
          <w:color w:val="111111"/>
          <w:sz w:val="28"/>
          <w:sz w:val="28"/>
          <w:szCs w:val="28"/>
          <w:rtl w:val="true"/>
          <w:lang w:bidi="fa-IR"/>
        </w:rPr>
        <w:t>و فی روایة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الجریدة توضع فی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227"/>
      </w:r>
      <w:r>
        <w:rPr>
          <w:rFonts w:ascii="IRNazanin" w:hAnsi="IRNazanin" w:eastAsia="IRNazanin"/>
          <w:color w:val="111111"/>
          <w:sz w:val="28"/>
          <w:sz w:val="28"/>
          <w:szCs w:val="28"/>
          <w:rtl w:val="true"/>
          <w:lang w:bidi="fa-IR"/>
        </w:rPr>
        <w:t xml:space="preserve">، و ظاهرها جواز ذلک اختیاراً، لکنّه مخالف للأخبار </w:t>
      </w:r>
      <w:r>
        <w:rPr>
          <w:rStyle w:val="FootnoteAnchor"/>
          <w:rtl w:val="true"/>
        </w:rPr>
        <w:footnoteReference w:id="2228"/>
      </w:r>
      <w:r>
        <w:rPr>
          <w:rFonts w:ascii="IRNazanin" w:hAnsi="IRNazanin" w:eastAsia="IRNazanin"/>
          <w:color w:val="111111"/>
          <w:sz w:val="28"/>
          <w:sz w:val="28"/>
          <w:szCs w:val="28"/>
          <w:rtl w:val="true"/>
          <w:lang w:bidi="fa-IR"/>
        </w:rPr>
        <w:t xml:space="preserve">الکثیرة الآمرة بوضعه فی الکفن؛ و لذا حمله الصدوق فی الفقیه علی حال التقیّة أو عدم وجدانها إلّا بعد جعل المیّت فی قبره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ترک وضعها فی القبر لتقیّة أو نسیان أو غیرهما جاز وضعهما علی</w:t>
      </w:r>
      <w:bookmarkStart w:id="314" w:name="pg13042_127249"/>
    </w:p>
    <w:p>
      <w:pPr>
        <w:pStyle w:val="BookText"/>
        <w:rPr/>
      </w:pPr>
      <w:bookmarkEnd w:id="314"/>
      <w:r>
        <w:rPr>
          <w:rFonts w:ascii="Amiri" w:hAnsi="Amiri" w:eastAsia="Amiri" w:cs="Amiri"/>
          <w:color w:val="111111"/>
          <w:sz w:val="28"/>
          <w:sz w:val="28"/>
          <w:szCs w:val="28"/>
          <w:rtl w:val="true"/>
          <w:lang w:bidi="ar-SA"/>
        </w:rPr>
        <w:t xml:space="preserve">القبر؛ للنبویّ صلّی اللّٰه علیه و آله المتقدّم </w:t>
      </w:r>
      <w:r>
        <w:rPr>
          <w:rStyle w:val="FootnoteAnchor"/>
          <w:rtl w:val="true"/>
        </w:rPr>
        <w:footnoteReference w:id="2230"/>
      </w:r>
      <w:r>
        <w:rPr>
          <w:rFonts w:ascii="IRNazanin" w:hAnsi="IRNazanin" w:eastAsia="IRNazanin"/>
          <w:color w:val="111111"/>
          <w:sz w:val="28"/>
          <w:sz w:val="28"/>
          <w:szCs w:val="28"/>
          <w:rtl w:val="true"/>
          <w:lang w:bidi="fa-IR"/>
        </w:rPr>
        <w:t>فی شقّ الجریدتین</w:t>
      </w:r>
      <w:r>
        <w:rPr>
          <w:rFonts w:eastAsia="IRNazanin" w:cs="IRNazanin"/>
          <w:color w:val="111111"/>
          <w:sz w:val="28"/>
          <w:szCs w:val="28"/>
          <w:rtl w:val="true"/>
          <w:lang w:bidi="fa-IR"/>
        </w:rPr>
        <w:t>.</w:t>
      </w:r>
    </w:p>
    <w:p>
      <w:pPr>
        <w:pStyle w:val="Heading6"/>
        <w:numPr>
          <w:ilvl w:val="5"/>
          <w:numId w:val="1"/>
        </w:numPr>
        <w:rPr/>
      </w:pPr>
      <w:bookmarkStart w:id="315" w:name="__RefHeading___Toc6530300_3224264995"/>
      <w:bookmarkStart w:id="316" w:name="_Toc122"/>
      <w:bookmarkEnd w:id="315"/>
      <w:r>
        <w:rPr>
          <w:rtl w:val="true"/>
        </w:rPr>
        <w:t>[</w:t>
      </w:r>
      <w:r>
        <w:rPr/>
        <w:t>11</w:t>
      </w:r>
      <w:r>
        <w:rPr>
          <w:rtl w:val="true"/>
        </w:rPr>
        <w:t xml:space="preserve">- </w:t>
      </w:r>
      <w:r>
        <w:rPr>
          <w:rtl w:val="true"/>
        </w:rPr>
        <w:t>استحباب کتابة اسم المیّت و الشهادتین علی الکفن و الجریدتین</w:t>
      </w:r>
      <w:r>
        <w:rPr>
          <w:rtl w:val="true"/>
        </w:rPr>
        <w:t>]</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اسم المیّت، و عن سلّار </w:t>
      </w:r>
      <w:r>
        <w:rPr>
          <w:rStyle w:val="FootnoteAnchor"/>
          <w:rtl w:val="true"/>
        </w:rPr>
        <w:footnoteReference w:id="2231"/>
      </w:r>
      <w:r>
        <w:rPr>
          <w:rFonts w:ascii="IRNazanin" w:hAnsi="IRNazanin" w:eastAsia="IRNazanin"/>
          <w:color w:val="111111"/>
          <w:sz w:val="28"/>
          <w:sz w:val="28"/>
          <w:szCs w:val="28"/>
          <w:rtl w:val="true"/>
          <w:lang w:bidi="fa-IR"/>
        </w:rPr>
        <w:t xml:space="preserve">و الصدوق فی الهدایة </w:t>
      </w:r>
      <w:r>
        <w:rPr>
          <w:rStyle w:val="FootnoteAnchor"/>
          <w:rtl w:val="true"/>
        </w:rPr>
        <w:footnoteReference w:id="2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یشهد الشهادتین و الإقرار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بها الأعمّ من الحبرة و الإزار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القمیص و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المئزر کما أنّه أراد منه فی محکیّ الدروس </w:t>
      </w:r>
      <w:r>
        <w:rPr>
          <w:rStyle w:val="FootnoteAnchor"/>
          <w:rtl w:val="true"/>
        </w:rPr>
        <w:footnoteReference w:id="2233"/>
      </w:r>
      <w:r>
        <w:rPr>
          <w:rFonts w:ascii="IRNazanin" w:hAnsi="IRNazanin" w:eastAsia="IRNazanin"/>
          <w:color w:val="111111"/>
          <w:sz w:val="28"/>
          <w:sz w:val="28"/>
          <w:szCs w:val="28"/>
          <w:rtl w:val="true"/>
          <w:lang w:bidi="fa-IR"/>
        </w:rPr>
        <w:t>، حیث جمع بین الحبرة و اللفافة و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به اللفافة الواجبة؛ بناءً علی أنّ المراد باللفافة الحبرة، فیوافق ما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یستحبّ أن یکتب علی الحبرة و القمیص و اللفافة </w:t>
      </w:r>
      <w:r>
        <w:rPr>
          <w:rStyle w:val="FootnoteAnchor"/>
          <w:rtl w:val="true"/>
        </w:rPr>
        <w:footnoteReference w:id="2234"/>
      </w:r>
      <w:r>
        <w:rPr>
          <w:rFonts w:ascii="Amiri" w:hAnsi="Amiri" w:eastAsia="Amiri" w:cs="Amiri"/>
          <w:color w:val="111111"/>
          <w:sz w:val="28"/>
          <w:sz w:val="28"/>
          <w:szCs w:val="28"/>
          <w:rtl w:val="true"/>
          <w:lang w:bidi="ar-SA"/>
        </w:rPr>
        <w:t xml:space="preserve">، و عن جماعة </w:t>
      </w:r>
      <w:r>
        <w:rPr>
          <w:rStyle w:val="FootnoteAnchor"/>
          <w:rtl w:val="true"/>
        </w:rPr>
        <w:footnoteReference w:id="2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الأکفان بقول مطلق، و صرّح جماعة منهم الشیخ </w:t>
      </w:r>
      <w:r>
        <w:rPr>
          <w:rStyle w:val="FootnoteAnchor"/>
          <w:rtl w:val="true"/>
        </w:rPr>
        <w:footnoteReference w:id="2236"/>
      </w:r>
      <w:r>
        <w:rPr>
          <w:rFonts w:ascii="IRNazanin" w:hAnsi="IRNazanin" w:eastAsia="IRNazanin"/>
          <w:color w:val="111111"/>
          <w:sz w:val="28"/>
          <w:sz w:val="28"/>
          <w:szCs w:val="28"/>
          <w:rtl w:val="true"/>
          <w:lang w:bidi="fa-IR"/>
        </w:rPr>
        <w:t xml:space="preserve">و القاضی </w:t>
      </w:r>
      <w:r>
        <w:rPr>
          <w:rStyle w:val="FootnoteAnchor"/>
          <w:rtl w:val="true"/>
        </w:rPr>
        <w:footnoteReference w:id="2237"/>
      </w:r>
      <w:r>
        <w:rPr>
          <w:rFonts w:ascii="IRNazanin" w:hAnsi="IRNazanin" w:eastAsia="IRNazanin"/>
          <w:color w:val="111111"/>
          <w:sz w:val="28"/>
          <w:sz w:val="28"/>
          <w:szCs w:val="28"/>
          <w:rtl w:val="true"/>
          <w:lang w:bidi="fa-IR"/>
        </w:rPr>
        <w:t xml:space="preserve">و الشهید </w:t>
      </w:r>
      <w:r>
        <w:rPr>
          <w:rStyle w:val="FootnoteAnchor"/>
          <w:rtl w:val="true"/>
        </w:rPr>
        <w:footnoteReference w:id="2238"/>
      </w:r>
      <w:r>
        <w:rPr>
          <w:rFonts w:ascii="IRNazanin" w:hAnsi="IRNazanin" w:eastAsia="IRNazanin"/>
          <w:color w:val="111111"/>
          <w:sz w:val="28"/>
          <w:sz w:val="28"/>
          <w:szCs w:val="28"/>
          <w:rtl w:val="true"/>
          <w:lang w:bidi="fa-IR"/>
        </w:rPr>
        <w:t xml:space="preserve">علی ما حکی عنهم دخول </w:t>
      </w:r>
      <w:r>
        <w:rPr>
          <w:rStyle w:val="FootnoteAnchor"/>
          <w:rtl w:val="true"/>
        </w:rPr>
        <w:footnoteReference w:id="2239"/>
      </w:r>
      <w:r>
        <w:rPr>
          <w:rFonts w:ascii="IRNazanin" w:hAnsi="IRNazanin" w:eastAsia="IRNazanin"/>
          <w:color w:val="111111"/>
          <w:sz w:val="28"/>
          <w:sz w:val="28"/>
          <w:szCs w:val="28"/>
          <w:rtl w:val="true"/>
          <w:lang w:bidi="fa-IR"/>
        </w:rPr>
        <w:t xml:space="preserve">العمامة،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الجریدتین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الأصل فی ذلک قبل الشهرة و الإجماع المحکیّ عن الخلاف </w:t>
      </w:r>
      <w:r>
        <w:rPr>
          <w:rStyle w:val="FootnoteAnchor"/>
          <w:rtl w:val="true"/>
        </w:rPr>
        <w:footnoteReference w:id="2240"/>
      </w:r>
    </w:p>
    <w:p>
      <w:pPr>
        <w:pStyle w:val="BookText"/>
        <w:rPr/>
      </w:pPr>
      <w:r>
        <w:rPr>
          <w:rFonts w:ascii="IRNazanin" w:hAnsi="IRNazanin" w:eastAsia="IRNazanin"/>
          <w:color w:val="111111"/>
          <w:sz w:val="28"/>
          <w:sz w:val="28"/>
          <w:szCs w:val="28"/>
          <w:rtl w:val="true"/>
          <w:lang w:bidi="fa-IR"/>
        </w:rPr>
        <w:t xml:space="preserve">و الغنیة </w:t>
      </w:r>
      <w:r>
        <w:rPr>
          <w:rStyle w:val="FootnoteAnchor"/>
          <w:rtl w:val="true"/>
        </w:rPr>
        <w:footnoteReference w:id="2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Style w:val="FootnoteAnchor"/>
          <w:rtl w:val="true"/>
        </w:rPr>
        <w:footnoteReference w:id="2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الصادق علیه السلام کتب علی حاشیة کفن إسماعیل ابنه و فی بعض الروایات علی إزاره </w:t>
      </w:r>
      <w:r>
        <w:rPr>
          <w:rStyle w:val="FootnoteAnchor"/>
          <w:rtl w:val="true"/>
        </w:rPr>
        <w:footnoteReference w:id="2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یشهد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أضاف الأصحاب کما حکی جماعة </w:t>
      </w:r>
      <w:r>
        <w:rPr>
          <w:rStyle w:val="FootnoteAnchor"/>
          <w:rtl w:val="true"/>
        </w:rPr>
        <w:footnoteReference w:id="2245"/>
      </w:r>
      <w:r>
        <w:rPr>
          <w:rFonts w:ascii="IRNazanin" w:hAnsi="IRNazanin" w:eastAsia="IRNazanin"/>
          <w:color w:val="111111"/>
          <w:sz w:val="28"/>
          <w:sz w:val="28"/>
          <w:szCs w:val="28"/>
          <w:rtl w:val="true"/>
          <w:lang w:bidi="fa-IR"/>
        </w:rPr>
        <w:t>کِتبة الشهادة بالرسالة و ولایة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محکیّ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الکتابة بالشهادتین و الإقرار بالنبیّ و الأئمّة صلوات اللّٰه علیه و علیهم و وضع التربة فی حال الدفن انفراد محض، لا یوافقنا علیه أحد من الفقهاء، دلیلنا إجماع الفرقة و عملهم علیه </w:t>
      </w:r>
      <w:r>
        <w:rPr>
          <w:rStyle w:val="FootnoteAnchor"/>
          <w:rtl w:val="true"/>
        </w:rPr>
        <w:footnoteReference w:id="224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الغنیة 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یکتب علی الجریدتین و علی القمیص و الإزار ما یستحبّ أن یلقّنه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الإقرار بالشهادتین و بالأئمّة و البعث و العقاب و الثواب؛ بدلیل الإجماع المشار إلیه </w:t>
      </w:r>
      <w:r>
        <w:rPr>
          <w:rStyle w:val="FootnoteAnchor"/>
          <w:rtl w:val="true"/>
        </w:rPr>
        <w:footnoteReference w:id="22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أصالة الجواز، بل الرجحان من جهة عمومات الاستشفاع</w:t>
      </w:r>
    </w:p>
    <w:p>
      <w:pPr>
        <w:pStyle w:val="BookText"/>
        <w:rPr/>
      </w:pPr>
      <w:r>
        <w:rPr>
          <w:rFonts w:ascii="IRNazanin" w:hAnsi="IRNazanin" w:eastAsia="IRNazanin"/>
          <w:color w:val="111111"/>
          <w:sz w:val="28"/>
          <w:sz w:val="28"/>
          <w:szCs w:val="28"/>
          <w:rtl w:val="true"/>
          <w:lang w:bidi="fa-IR"/>
        </w:rPr>
        <w:t>و الاستدفاع و التبرّک، و بها یندفع توهّم التشریع، و لا یعارضها عمومات مرجوحیّة الاستخفاف؛ لمنع تحقّقه مع القصد المذکور، و دعوی أنّها فی معرض التلویث بما یخرج من بدن المیّت أو مخارجه ممنوعة، سیّما مع وقوع الکتابة فی مواضع من الکفن مأمونة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حکی فی ذلک من الآثار، مثل ما روی أنّ أمیر المؤمنین علیه السلام کتب علی کفن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وفدت علی الکریم بغیر زادٍ من الحسنات و القلب السلیم و حمل الزاد أقبح کلّ شی‌ءٍ إذا کان الوفود علی الکریم </w:t>
      </w:r>
      <w:r>
        <w:rPr>
          <w:rStyle w:val="FootnoteAnchor"/>
          <w:rtl w:val="true"/>
        </w:rPr>
        <w:footnoteReference w:id="2248"/>
      </w:r>
      <w:r>
        <w:rPr>
          <w:rFonts w:ascii="IRNazanin" w:hAnsi="IRNazanin" w:eastAsia="IRNazanin"/>
          <w:color w:val="111111"/>
          <w:sz w:val="28"/>
          <w:sz w:val="28"/>
          <w:szCs w:val="28"/>
          <w:rtl w:val="true"/>
          <w:lang w:bidi="fa-IR"/>
        </w:rPr>
        <w:t>و ما حکی عن جُنّة الأمان بسنده إلی سیّد الساجدین عن أبیه عن أمیر المؤمنین صلوات اللّٰه علیهم أجمعین فی فضل دعاء الجوشن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هذا الدعاء علی النبیّ صلّی اللّٰه علیه و آله و سلم فی بعض غزواته و علیه جوشن ثقیل آلَمَه ثقله،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اخلع هذا الجوشن و اقرأ هذا الدعاء؛ فإنّه أمان لک و لأُمّتک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الکلام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کَتبه علی کفنه أستحیی اللّٰه أن یعذّبه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أبی بحفظ هذا الدعاء و أن أکتبه علی کفنه و أن أُعلّمه أهلی و أحثّهم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البلد الأمین بهذا السند أیضاً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کتبه فی جام بکافور أو مسک ثمّ غسله و رشّه علی کفنه أنزل اللّٰه فی قبره ألف نور، و آمنه هول منکر و نکیر، و رفع عنه عذاب القبر، و یدخل</w:t>
      </w:r>
    </w:p>
    <w:p>
      <w:pPr>
        <w:pStyle w:val="BookText"/>
        <w:rPr/>
      </w:pPr>
      <w:r>
        <w:rPr>
          <w:rFonts w:ascii="IRNazanin" w:hAnsi="IRNazanin" w:eastAsia="IRNazanin"/>
          <w:color w:val="111111"/>
          <w:sz w:val="28"/>
          <w:sz w:val="28"/>
          <w:szCs w:val="28"/>
          <w:rtl w:val="true"/>
          <w:lang w:bidi="fa-IR"/>
        </w:rPr>
        <w:t xml:space="preserve">کلّ یوم سبعون ألف ملک إلی قبره یبشّرونه بالجنّة، و یوسّع علیه قبره مدّ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البحار أیضاً عن البلد الأمین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جعل هذا الدعاء فی کفنه شهد له عند اللّٰه أنّه وفی بعهده، و یکفی منکراً و نکیراً، و تحفّه الملائکة عن یمینه و شماله بالولدان و الحور، و یجعل فی أعلی علّیین، و یبنی له بیت فی الجنّة، و هو هذا الدعاء </w:t>
      </w:r>
      <w:r>
        <w:rPr>
          <w:rFonts w:eastAsia="IRNazanin" w:cs="IRNazanin"/>
          <w:color w:val="111111"/>
          <w:sz w:val="28"/>
          <w:szCs w:val="28"/>
          <w:rtl w:val="true"/>
          <w:lang w:bidi="fa-IR"/>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البحار أیضاً عن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جدّی ورّام بن أبی فراس قدّس سرّه و کان ممّن یقتدی بفعله أوصی أن یجعل فی فمه بعد وفاته فصّ عقیق علیه أسماء أئمّته علیهم السلام، فنقشت أنا فصّاً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و محمّد نبییّ، و علیّ و سمّیت الأئمّة علیهم السلام أئمّتی و وسیلتی، و أوصیت أن یجعل فی فمی بعد الموت لیکون جواب الملکین عند المسألة فی القبر سهلًا إن شاء اللّٰه تعالی </w:t>
      </w:r>
      <w:r>
        <w:rPr>
          <w:rStyle w:val="FootnoteAnchor"/>
          <w:rtl w:val="true"/>
        </w:rPr>
        <w:footnoteReference w:id="225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 ما عن الشیخ فی کتاب الغیبة عن أبی الحسن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 الشیخ أبی جعفر محمّد بن عثمان العمری، فوجده و بین یدیه ساجة و نقّاش ینقش علیها آیات من القرآن و أسماء الأئمّة علیهم السلام علی حواشیها،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هذه الساجة؟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لقبری یکون فیه أُوضع علیها،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إلیها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bookmarkStart w:id="317" w:name="pg13042_127253"/>
    </w:p>
    <w:p>
      <w:pPr>
        <w:pStyle w:val="BookText"/>
        <w:rPr/>
      </w:pPr>
      <w:bookmarkEnd w:id="317"/>
      <w:r>
        <w:rPr>
          <w:rFonts w:ascii="IRNazanin" w:hAnsi="IRNazanin" w:eastAsia="IRNazanin"/>
          <w:color w:val="111111"/>
          <w:sz w:val="28"/>
          <w:sz w:val="28"/>
          <w:szCs w:val="28"/>
          <w:rtl w:val="true"/>
          <w:lang w:bidi="fa-IR"/>
        </w:rPr>
        <w:t>و من جمیع هذا مضافاً إلی اشتهار ذلک بین الشیعة یعلم عدم وجهٍ ظاهر فی تردّد أوّل الشهیدین و ثانی المحقّقین فی ذلک، حیث حکی عن الأوّل فی الذکری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الأصحاب استحباب کتابة شی‌ء غیر ما ذکر، فیمکن أن یقال بجوازه؛ قضیّةً للأصل، و بالمنع؛ لأنّه تصرّف لم یعلم إباحة الشرع له </w:t>
      </w:r>
      <w:r>
        <w:rPr>
          <w:rStyle w:val="FootnoteAnchor"/>
          <w:rtl w:val="true"/>
        </w:rPr>
        <w:footnoteReference w:id="225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فی جامع المقاصد،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الأصحاب استحباب کِتبة شی‌ء غیر ما ذکر، و لم ینقل شی‌ءٌ یعتدّ به یدلّ علی الزیادة، و إعراض الأصحاب عن الزیادة یشعر بعدم تجویزه، مع أنّ هذا الباب لا مجال للرأی فیه، فیمکن المنع، و فی الذکری احتمل الأمرین </w:t>
      </w:r>
      <w:r>
        <w:rPr>
          <w:rStyle w:val="FootnoteAnchor"/>
          <w:rtl w:val="true"/>
        </w:rPr>
        <w:footnoteReference w:id="225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6"/>
        <w:numPr>
          <w:ilvl w:val="5"/>
          <w:numId w:val="1"/>
        </w:numPr>
        <w:rPr/>
      </w:pPr>
      <w:bookmarkStart w:id="318" w:name="__RefHeading___Toc6530302_3224264995"/>
      <w:bookmarkStart w:id="319" w:name="_Toc123"/>
      <w:bookmarkEnd w:id="318"/>
      <w:r>
        <w:rPr>
          <w:rtl w:val="true"/>
        </w:rPr>
        <w:t>[</w:t>
      </w:r>
      <w:r>
        <w:rPr/>
        <w:t>12</w:t>
      </w:r>
      <w:r>
        <w:rPr>
          <w:rtl w:val="true"/>
        </w:rPr>
        <w:t xml:space="preserve">- </w:t>
      </w:r>
      <w:r>
        <w:rPr>
          <w:rtl w:val="true"/>
        </w:rPr>
        <w:t>استحباب الکتابة بالتربة الحسینیّة</w:t>
      </w:r>
      <w:r>
        <w:rPr>
          <w:rtl w:val="true"/>
        </w:rPr>
        <w:t>]</w:t>
      </w:r>
      <w:bookmarkEnd w:id="31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الحسینیّة علی مشرّفها آلاف سلام و تحیّة، و یستحبّ الجمع بین وظیفتی الکتابة و جعل التربة بالقبر بلا خلاف ظاهر، و یؤیّده ما عن الاحتجاج عن الحمیری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أسأله عن طین القبر یوضع مع المیّت فی قبره، هل یجوز ذلک أم لا؟ فأجاب و قرأت التوقیع و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مع المیّت فی قبره و یخلط بحنوطه إن شاء اللّٰه، و روی لنا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علی إزار إسماعیل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إله إلّا اللّٰه، فهل یجوز أن نکتب ذلک بطین القبر أو غیره؟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 الحمد للّٰه</w:t>
      </w:r>
      <w:r>
        <w:rPr>
          <w:rFonts w:eastAsia="IRNazanin" w:cs="IRNazanin"/>
          <w:color w:val="111111"/>
          <w:sz w:val="28"/>
          <w:szCs w:val="28"/>
          <w:rtl w:val="true"/>
          <w:lang w:bidi="fa-IR"/>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bookmarkStart w:id="320" w:name="pg13042_127254"/>
    </w:p>
    <w:p>
      <w:pPr>
        <w:pStyle w:val="BookText"/>
        <w:rPr/>
      </w:pPr>
      <w:bookmarkEnd w:id="320"/>
      <w:r>
        <w:rPr>
          <w:rFonts w:ascii="IRNazanin" w:hAnsi="IRNazanin" w:eastAsia="IRNazanin"/>
          <w:color w:val="111111"/>
          <w:sz w:val="28"/>
          <w:sz w:val="28"/>
          <w:szCs w:val="28"/>
          <w:rtl w:val="true"/>
          <w:lang w:bidi="fa-IR"/>
        </w:rPr>
        <w:t>و المتبادر من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المؤثّرة، و لذا صرّح جماعة </w:t>
      </w:r>
      <w:r>
        <w:rPr>
          <w:rStyle w:val="FootnoteAnchor"/>
          <w:rtl w:val="true"/>
        </w:rPr>
        <w:footnoteReference w:id="2257"/>
      </w:r>
      <w:r>
        <w:rPr>
          <w:rFonts w:ascii="IRNazanin" w:hAnsi="IRNazanin" w:eastAsia="IRNazanin"/>
          <w:color w:val="111111"/>
          <w:sz w:val="28"/>
          <w:sz w:val="28"/>
          <w:szCs w:val="28"/>
          <w:rtl w:val="true"/>
          <w:lang w:bidi="fa-IR"/>
        </w:rPr>
        <w:t xml:space="preserve">علی ما حکی عنهم باشتراط بلّ التربة بالماء، و مع عدمها فبطین و ماء، بل و ظاهره التخییر بینه و بین طین القبر کما عن غیر واحد </w:t>
      </w:r>
      <w:r>
        <w:rPr>
          <w:rStyle w:val="FootnoteAnchor"/>
          <w:rtl w:val="true"/>
        </w:rPr>
        <w:footnoteReference w:id="2258"/>
      </w:r>
      <w:r>
        <w:rPr>
          <w:rFonts w:ascii="IRNazanin" w:hAnsi="IRNazanin" w:eastAsia="IRNazanin"/>
          <w:color w:val="111111"/>
          <w:sz w:val="28"/>
          <w:sz w:val="28"/>
          <w:szCs w:val="28"/>
          <w:rtl w:val="true"/>
          <w:lang w:bidi="fa-IR"/>
        </w:rPr>
        <w:t xml:space="preserve">، و مع عدمه فبالإصبع ذکره جماعة </w:t>
      </w:r>
      <w:r>
        <w:rPr>
          <w:rStyle w:val="FootnoteAnchor"/>
          <w:rtl w:val="true"/>
        </w:rPr>
        <w:footnoteReference w:id="2259"/>
      </w:r>
      <w:r>
        <w:rPr>
          <w:rFonts w:ascii="IRNazanin" w:hAnsi="IRNazanin" w:eastAsia="IRNazanin"/>
          <w:color w:val="111111"/>
          <w:sz w:val="28"/>
          <w:sz w:val="28"/>
          <w:szCs w:val="28"/>
          <w:rtl w:val="true"/>
          <w:lang w:bidi="fa-IR"/>
        </w:rPr>
        <w:t xml:space="preserve">، بل نسبه فی الروض </w:t>
      </w:r>
      <w:r>
        <w:rPr>
          <w:rStyle w:val="FootnoteAnchor"/>
          <w:rtl w:val="true"/>
        </w:rPr>
        <w:footnoteReference w:id="2260"/>
      </w:r>
      <w:r>
        <w:rPr>
          <w:rFonts w:ascii="IRNazanin" w:hAnsi="IRNazanin" w:eastAsia="IRNazanin"/>
          <w:color w:val="111111"/>
          <w:sz w:val="28"/>
          <w:sz w:val="28"/>
          <w:szCs w:val="28"/>
          <w:rtl w:val="true"/>
          <w:lang w:bidi="fa-IR"/>
        </w:rPr>
        <w:t xml:space="preserve">کما عن جامع المقاصد </w:t>
      </w:r>
      <w:r>
        <w:rPr>
          <w:rStyle w:val="FootnoteAnchor"/>
          <w:rtl w:val="true"/>
        </w:rPr>
        <w:footnoteReference w:id="2261"/>
      </w:r>
      <w:r>
        <w:rPr>
          <w:rFonts w:ascii="IRNazanin" w:hAnsi="IRNazanin" w:eastAsia="IRNazanin"/>
          <w:color w:val="111111"/>
          <w:sz w:val="28"/>
          <w:sz w:val="28"/>
          <w:szCs w:val="28"/>
          <w:rtl w:val="true"/>
          <w:lang w:bidi="fa-IR"/>
        </w:rPr>
        <w:t xml:space="preserve">إلی الأصحاب، و لم نعثر له علی مستند؛ و لعلّه لتحصیل صورة الکتابة، و علیه فالأحسن الکتابة بالماء الخالص، کما صرّح به فی الریاض </w:t>
      </w:r>
      <w:r>
        <w:rPr>
          <w:rStyle w:val="FootnoteAnchor"/>
          <w:rtl w:val="true"/>
        </w:rPr>
        <w:footnoteReference w:id="2262"/>
      </w:r>
      <w:r>
        <w:rPr>
          <w:rFonts w:ascii="IRNazanin" w:hAnsi="IRNazanin" w:eastAsia="IRNazanin"/>
          <w:color w:val="111111"/>
          <w:sz w:val="28"/>
          <w:sz w:val="28"/>
          <w:szCs w:val="28"/>
          <w:rtl w:val="true"/>
          <w:lang w:bidi="fa-IR"/>
        </w:rPr>
        <w:t xml:space="preserve">، تبعاً لکاشف اللثام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6530304_3224264995"/>
      <w:bookmarkStart w:id="322" w:name="_Toc124"/>
      <w:bookmarkEnd w:id="321"/>
      <w:r>
        <w:rPr>
          <w:rtl w:val="true"/>
        </w:rPr>
        <w:t>[</w:t>
      </w:r>
      <w:r>
        <w:rPr/>
        <w:t>13</w:t>
      </w:r>
      <w:r>
        <w:rPr>
          <w:rtl w:val="true"/>
        </w:rPr>
        <w:t xml:space="preserve">- </w:t>
      </w:r>
      <w:r>
        <w:rPr>
          <w:rtl w:val="true"/>
        </w:rPr>
        <w:t>استحباب سحق الکافور بالید</w:t>
      </w:r>
      <w:r>
        <w:rPr>
          <w:rtl w:val="true"/>
        </w:rPr>
        <w:t>]</w:t>
      </w:r>
      <w:bookmarkEnd w:id="32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سحق الکافور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الشیخین </w:t>
      </w:r>
      <w:r>
        <w:rPr>
          <w:rStyle w:val="FootnoteAnchor"/>
          <w:rtl w:val="true"/>
        </w:rPr>
        <w:footnoteReference w:id="2264"/>
      </w:r>
      <w:r>
        <w:rPr>
          <w:rFonts w:ascii="IRNazanin" w:hAnsi="IRNazanin" w:eastAsia="IRNazanin"/>
          <w:color w:val="111111"/>
          <w:sz w:val="28"/>
          <w:sz w:val="28"/>
          <w:szCs w:val="28"/>
          <w:rtl w:val="true"/>
          <w:lang w:bidi="fa-IR"/>
        </w:rPr>
        <w:t xml:space="preserve">، و لم نعثر له علی مستند کما اعترف به جماعة </w:t>
      </w:r>
      <w:r>
        <w:rPr>
          <w:rStyle w:val="FootnoteAnchor"/>
          <w:rtl w:val="true"/>
        </w:rPr>
        <w:footnoteReference w:id="2265"/>
      </w:r>
      <w:r>
        <w:rPr>
          <w:rFonts w:ascii="IRNazanin" w:hAnsi="IRNazanin" w:eastAsia="IRNazanin"/>
          <w:color w:val="111111"/>
          <w:sz w:val="28"/>
          <w:sz w:val="28"/>
          <w:szCs w:val="28"/>
          <w:rtl w:val="true"/>
          <w:lang w:bidi="fa-IR"/>
        </w:rPr>
        <w:t xml:space="preserve">، و ربما علّل بحفظه عن الضیاع </w:t>
      </w:r>
      <w:r>
        <w:rPr>
          <w:rStyle w:val="FootnoteAnchor"/>
          <w:rtl w:val="true"/>
        </w:rPr>
        <w:footnoteReference w:id="2266"/>
      </w:r>
      <w:r>
        <w:rPr>
          <w:rFonts w:ascii="IRNazanin" w:hAnsi="IRNazanin" w:eastAsia="IRNazanin"/>
          <w:color w:val="111111"/>
          <w:sz w:val="28"/>
          <w:sz w:val="28"/>
          <w:szCs w:val="28"/>
          <w:rtl w:val="true"/>
          <w:lang w:bidi="fa-IR"/>
        </w:rPr>
        <w:t>، و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bookmarkStart w:id="323" w:name="pg13042_127255"/>
    </w:p>
    <w:p>
      <w:pPr>
        <w:pStyle w:val="BookText"/>
        <w:rPr/>
      </w:pPr>
      <w:bookmarkEnd w:id="323"/>
      <w:r>
        <w:rPr>
          <w:rFonts w:ascii="IRNazanin" w:hAnsi="IRNazanin" w:eastAsia="IRNazanin"/>
          <w:color w:val="111111"/>
          <w:sz w:val="28"/>
          <w:sz w:val="28"/>
          <w:szCs w:val="28"/>
          <w:rtl w:val="true"/>
          <w:lang w:bidi="fa-IR"/>
        </w:rPr>
        <w:t xml:space="preserve">یکره سحقه بحجر و نحوه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6530306_3224264995"/>
      <w:bookmarkStart w:id="325" w:name="_Toc125"/>
      <w:bookmarkEnd w:id="324"/>
      <w:r>
        <w:rPr>
          <w:rtl w:val="true"/>
        </w:rPr>
        <w:t>[</w:t>
      </w:r>
      <w:r>
        <w:rPr/>
        <w:t>14</w:t>
      </w:r>
      <w:r>
        <w:rPr>
          <w:rtl w:val="true"/>
        </w:rPr>
        <w:t xml:space="preserve">- </w:t>
      </w:r>
      <w:r>
        <w:rPr>
          <w:rtl w:val="true"/>
        </w:rPr>
        <w:t>استحباب جعل فاضل الکافور علی صدر المیت</w:t>
      </w:r>
      <w:r>
        <w:rPr>
          <w:rtl w:val="true"/>
        </w:rPr>
        <w:t>]</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یفضل من الکافور بعد إمساس المواضع الواجبة و المستحبّة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2268"/>
      </w:r>
      <w:r>
        <w:rPr>
          <w:rFonts w:ascii="IRNazanin" w:hAnsi="IRNazanin" w:eastAsia="IRNazanin"/>
          <w:color w:val="111111"/>
          <w:sz w:val="28"/>
          <w:sz w:val="28"/>
          <w:szCs w:val="28"/>
          <w:rtl w:val="true"/>
          <w:lang w:bidi="fa-IR"/>
        </w:rPr>
        <w:t>، و فی المحکیّ عن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تلقی </w:t>
      </w:r>
      <w:r>
        <w:rPr>
          <w:rStyle w:val="FootnoteAnchor"/>
          <w:rtl w:val="true"/>
        </w:rPr>
        <w:footnoteReference w:id="2269"/>
      </w:r>
      <w:r>
        <w:rPr>
          <w:rFonts w:ascii="IRNazanin" w:hAnsi="IRNazanin" w:eastAsia="IRNazanin"/>
          <w:color w:val="111111"/>
          <w:sz w:val="28"/>
          <w:sz w:val="28"/>
          <w:szCs w:val="28"/>
          <w:rtl w:val="true"/>
          <w:lang w:bidi="fa-IR"/>
        </w:rPr>
        <w:t>ما بقی علی صدره</w:t>
      </w:r>
      <w:r>
        <w:rPr>
          <w:rFonts w:eastAsia="IRNazanin" w:cs="IRNazanin"/>
          <w:color w:val="111111"/>
          <w:sz w:val="28"/>
          <w:szCs w:val="28"/>
          <w:rtl w:val="true"/>
          <w:lang w:bidi="fa-IR"/>
        </w:rPr>
        <w:t xml:space="preserve">» </w:t>
      </w:r>
      <w:r>
        <w:rPr>
          <w:rStyle w:val="FootnoteAnchor"/>
          <w:rtl w:val="true"/>
        </w:rPr>
        <w:footnoteReference w:id="2270"/>
      </w:r>
      <w:r>
        <w:rPr>
          <w:rFonts w:ascii="IRNazanin" w:hAnsi="IRNazanin" w:eastAsia="IRNazanin"/>
          <w:color w:val="111111"/>
          <w:sz w:val="28"/>
          <w:sz w:val="28"/>
          <w:szCs w:val="28"/>
          <w:rtl w:val="true"/>
          <w:lang w:bidi="fa-IR"/>
        </w:rPr>
        <w:t xml:space="preserve">و لیس فی غیره من الأخبار إلّا وضع شی‌ءٍ من الکافور علی الصدر </w:t>
      </w:r>
      <w:r>
        <w:rPr>
          <w:rStyle w:val="FootnoteAnchor"/>
          <w:rtl w:val="true"/>
        </w:rPr>
        <w:footnoteReference w:id="2271"/>
      </w:r>
      <w:r>
        <w:rPr>
          <w:rFonts w:ascii="IRNazanin" w:hAnsi="IRNazanin" w:eastAsia="IRNazanin"/>
          <w:color w:val="111111"/>
          <w:sz w:val="28"/>
          <w:sz w:val="28"/>
          <w:szCs w:val="28"/>
          <w:rtl w:val="true"/>
          <w:lang w:bidi="fa-IR"/>
        </w:rPr>
        <w:t xml:space="preserve">، فلا یحسن الاستدلال بها فیما نحن فیه کما وقع من بعض </w:t>
      </w:r>
      <w:r>
        <w:rPr>
          <w:rStyle w:val="FootnoteAnchor"/>
          <w:rtl w:val="true"/>
        </w:rPr>
        <w:footnoteReference w:id="2272"/>
      </w:r>
      <w:r>
        <w:rPr>
          <w:rFonts w:ascii="IRNazanin" w:hAnsi="IRNazanin" w:eastAsia="IRNazanin"/>
          <w:color w:val="111111"/>
          <w:sz w:val="28"/>
          <w:sz w:val="28"/>
          <w:szCs w:val="28"/>
          <w:rtl w:val="true"/>
          <w:lang w:bidi="fa-IR"/>
        </w:rPr>
        <w:t xml:space="preserve">و کذا التعلیل بکونه مسجداً فی سجدة الشکر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6" w:name="__RefHeading___Toc6530308_3224264995"/>
      <w:bookmarkStart w:id="327" w:name="_Toc126"/>
      <w:bookmarkEnd w:id="326"/>
      <w:r>
        <w:rPr>
          <w:rtl w:val="true"/>
        </w:rPr>
        <w:t>[</w:t>
      </w:r>
      <w:r>
        <w:rPr/>
        <w:t>15</w:t>
      </w:r>
      <w:r>
        <w:rPr>
          <w:rtl w:val="true"/>
        </w:rPr>
        <w:t xml:space="preserve">- </w:t>
      </w:r>
      <w:r>
        <w:rPr>
          <w:rtl w:val="true"/>
        </w:rPr>
        <w:t>استحباب خیاطة الکفن بخیوطه</w:t>
      </w:r>
      <w:r>
        <w:rPr>
          <w:rtl w:val="true"/>
        </w:rPr>
        <w:t>]</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خیاطة الکفن بخیوطه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فی محکیّ الذکری </w:t>
      </w:r>
      <w:r>
        <w:rPr>
          <w:rStyle w:val="FootnoteAnchor"/>
          <w:rtl w:val="true"/>
        </w:rPr>
        <w:footnoteReference w:id="2274"/>
      </w:r>
      <w:r>
        <w:rPr>
          <w:rFonts w:ascii="IRNazanin" w:hAnsi="IRNazanin" w:eastAsia="IRNazanin"/>
          <w:color w:val="111111"/>
          <w:sz w:val="28"/>
          <w:sz w:val="28"/>
          <w:szCs w:val="28"/>
          <w:rtl w:val="true"/>
          <w:lang w:bidi="fa-IR"/>
        </w:rPr>
        <w:t xml:space="preserve">و جامع المقاصد إلی الشیخ و الأصحاب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کراهة بلّ الخیوط بالریق، بل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الأصحاب یجتنبونه و لا بأس بمتابعتهم؛ لإزالة الاحتمال، و وقوفاً علی الأولی، و هو موضع الوفاق </w:t>
      </w:r>
      <w:r>
        <w:rPr>
          <w:rStyle w:val="FootnoteAnchor"/>
          <w:rtl w:val="true"/>
        </w:rPr>
        <w:footnoteReference w:id="227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bookmarkStart w:id="328" w:name="pg13042_127256"/>
    </w:p>
    <w:p>
      <w:pPr>
        <w:pStyle w:val="BookText"/>
        <w:rPr/>
      </w:pPr>
      <w:bookmarkEnd w:id="328"/>
      <w:r>
        <w:rPr>
          <w:rFonts w:ascii="IRNazanin" w:hAnsi="IRNazanin" w:eastAsia="IRNazanin"/>
          <w:color w:val="111111"/>
          <w:sz w:val="28"/>
          <w:sz w:val="28"/>
          <w:szCs w:val="28"/>
          <w:rtl w:val="true"/>
          <w:lang w:bidi="fa-IR"/>
        </w:rPr>
        <w:t>و ربما یستأنس له بکونه من فضلات غیر المأکول فلا ینبغی مصاحبة الکفن له، و فیه ما تری</w:t>
      </w:r>
      <w:r>
        <w:rPr>
          <w:rFonts w:eastAsia="IRNazanin" w:cs="IRNazanin"/>
          <w:color w:val="111111"/>
          <w:sz w:val="28"/>
          <w:szCs w:val="28"/>
          <w:rtl w:val="true"/>
          <w:lang w:bidi="fa-IR"/>
        </w:rPr>
        <w:t>.</w:t>
      </w:r>
    </w:p>
    <w:p>
      <w:pPr>
        <w:pStyle w:val="Heading6"/>
        <w:numPr>
          <w:ilvl w:val="5"/>
          <w:numId w:val="1"/>
        </w:numPr>
        <w:rPr/>
      </w:pPr>
      <w:bookmarkStart w:id="329" w:name="__RefHeading___Toc6530310_3224264995"/>
      <w:bookmarkStart w:id="330" w:name="_Toc127"/>
      <w:bookmarkEnd w:id="329"/>
      <w:r>
        <w:rPr>
          <w:rtl w:val="true"/>
        </w:rPr>
        <w:t>[</w:t>
      </w:r>
      <w:r>
        <w:rPr/>
        <w:t>16</w:t>
      </w:r>
      <w:r>
        <w:rPr>
          <w:rtl w:val="true"/>
        </w:rPr>
        <w:t xml:space="preserve">- </w:t>
      </w:r>
      <w:r>
        <w:rPr>
          <w:rtl w:val="true"/>
        </w:rPr>
        <w:t>استحباب التکفین بالقطن</w:t>
      </w:r>
      <w:r>
        <w:rPr>
          <w:rtl w:val="true"/>
        </w:rPr>
        <w:t>]</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التکفین بالقطن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لروایة أبی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الکتّان کان لبنی إسرائیل یکفّنون به، و القطن لُامّة محمّد صلّی اللّٰه علیه و آله</w:t>
      </w:r>
      <w:r>
        <w:rPr>
          <w:rFonts w:eastAsia="IRNazanin" w:cs="IRNazanin"/>
          <w:color w:val="111111"/>
          <w:sz w:val="28"/>
          <w:szCs w:val="28"/>
          <w:rtl w:val="true"/>
          <w:lang w:bidi="fa-IR"/>
        </w:rPr>
        <w:t xml:space="preserve">»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أفضله الأبیض فی غیر الحبرة؛ للنبویّ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لباسکم أحسن من البیاض فالبسوه و کفّنوا به موتاکم</w:t>
      </w:r>
      <w:r>
        <w:rPr>
          <w:rFonts w:eastAsia="IRNazanin" w:cs="IRNazanin"/>
          <w:color w:val="111111"/>
          <w:sz w:val="28"/>
          <w:szCs w:val="28"/>
          <w:rtl w:val="true"/>
          <w:lang w:bidi="fa-IR"/>
        </w:rPr>
        <w:t xml:space="preserve">» </w:t>
      </w:r>
      <w:r>
        <w:rPr>
          <w:rStyle w:val="FootnoteAnchor"/>
          <w:rtl w:val="true"/>
        </w:rPr>
        <w:footnoteReference w:id="2278"/>
      </w:r>
      <w:r>
        <w:rPr>
          <w:rFonts w:ascii="IRNazanin" w:hAnsi="IRNazanin" w:eastAsia="IRNazanin"/>
          <w:color w:val="111111"/>
          <w:sz w:val="28"/>
          <w:sz w:val="28"/>
          <w:szCs w:val="28"/>
          <w:rtl w:val="true"/>
          <w:lang w:bidi="fa-IR"/>
        </w:rPr>
        <w:t>، و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البسوا البیاض فإنّه أطیب و أطهر، و کفّنوا به موتاکم</w:t>
      </w:r>
      <w:r>
        <w:rPr>
          <w:rFonts w:eastAsia="IRNazanin" w:cs="IRNazanin"/>
          <w:color w:val="111111"/>
          <w:sz w:val="28"/>
          <w:szCs w:val="28"/>
          <w:rtl w:val="true"/>
          <w:lang w:bidi="fa-IR"/>
        </w:rPr>
        <w:t xml:space="preserve">»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1" w:name="__RefHeading___Toc6530312_3224264995"/>
      <w:bookmarkStart w:id="332" w:name="_Toc128"/>
      <w:bookmarkEnd w:id="331"/>
      <w:r>
        <w:rPr>
          <w:rtl w:val="true"/>
        </w:rPr>
        <w:t>[</w:t>
      </w:r>
      <w:r>
        <w:rPr>
          <w:rtl w:val="true"/>
        </w:rPr>
        <w:t>ما یکره فی التکفین</w:t>
      </w:r>
      <w:r>
        <w:rPr>
          <w:rtl w:val="true"/>
        </w:rPr>
        <w:t>]</w:t>
      </w:r>
      <w:bookmarkEnd w:id="332"/>
    </w:p>
    <w:p>
      <w:pPr>
        <w:pStyle w:val="Heading6"/>
        <w:numPr>
          <w:ilvl w:val="5"/>
          <w:numId w:val="1"/>
        </w:numPr>
        <w:rPr/>
      </w:pPr>
      <w:bookmarkStart w:id="333" w:name="__RefHeading___Toc6530314_3224264995"/>
      <w:bookmarkStart w:id="334" w:name="_Toc129"/>
      <w:bookmarkEnd w:id="333"/>
      <w:r>
        <w:rPr>
          <w:rtl w:val="true"/>
        </w:rPr>
        <w:t>[</w:t>
      </w:r>
      <w:r>
        <w:rPr/>
        <w:t>1</w:t>
      </w:r>
      <w:r>
        <w:rPr>
          <w:rtl w:val="true"/>
        </w:rPr>
        <w:t xml:space="preserve">- </w:t>
      </w:r>
      <w:r>
        <w:rPr>
          <w:rtl w:val="true"/>
        </w:rPr>
        <w:t>کراهة التکفین بالکَتّان</w:t>
      </w:r>
      <w:r>
        <w:rPr>
          <w:rtl w:val="true"/>
        </w:rPr>
        <w:t>]</w:t>
      </w:r>
      <w:bookmarkEnd w:id="33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الکاف؛ لروایة یعقوب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یکفن المیّت فی کتّان</w:t>
      </w:r>
      <w:r>
        <w:rPr>
          <w:rFonts w:eastAsia="IRNazanin" w:cs="IRNazanin"/>
          <w:color w:val="111111"/>
          <w:sz w:val="28"/>
          <w:szCs w:val="28"/>
          <w:rtl w:val="true"/>
          <w:lang w:bidi="fa-IR"/>
        </w:rPr>
        <w:t xml:space="preserve">» </w:t>
      </w:r>
      <w:r>
        <w:rPr>
          <w:rStyle w:val="FootnoteAnchor"/>
          <w:rtl w:val="true"/>
        </w:rPr>
        <w:footnoteReference w:id="2280"/>
      </w:r>
      <w:r>
        <w:rPr>
          <w:rFonts w:ascii="IRNazanin" w:hAnsi="IRNazanin" w:eastAsia="IRNazanin"/>
          <w:color w:val="111111"/>
          <w:sz w:val="28"/>
          <w:sz w:val="28"/>
          <w:szCs w:val="28"/>
          <w:rtl w:val="true"/>
          <w:lang w:bidi="fa-IR"/>
        </w:rPr>
        <w:t>و ظاهرها عدم الجواز، إلّا أنّ المشهور علی الکراهة، بل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w:t>
      </w:r>
      <w:r>
        <w:rPr>
          <w:rStyle w:val="FootnoteAnchor"/>
          <w:rtl w:val="true"/>
        </w:rPr>
        <w:footnoteReference w:id="2281"/>
      </w:r>
      <w:r>
        <w:rPr>
          <w:rFonts w:ascii="IRNazanin" w:hAnsi="IRNazanin" w:eastAsia="IRNazanin"/>
          <w:color w:val="111111"/>
          <w:sz w:val="28"/>
          <w:sz w:val="28"/>
          <w:szCs w:val="28"/>
          <w:rtl w:val="true"/>
          <w:lang w:bidi="fa-IR"/>
        </w:rPr>
        <w:t>، بل هو صریح الإجماع المحکیّ عن الغنیة،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الأکفان الثیاب البیض من القطن أو الکتّان </w:t>
      </w:r>
      <w:r>
        <w:rPr>
          <w:rStyle w:val="FootnoteAnchor"/>
          <w:rtl w:val="true"/>
        </w:rPr>
        <w:footnoteReference w:id="2282"/>
      </w:r>
      <w:r>
        <w:rPr>
          <w:rFonts w:ascii="IRNazanin" w:hAnsi="IRNazanin" w:eastAsia="IRNazanin"/>
          <w:color w:val="111111"/>
          <w:sz w:val="28"/>
          <w:sz w:val="28"/>
          <w:szCs w:val="28"/>
          <w:rtl w:val="true"/>
          <w:lang w:bidi="fa-IR"/>
        </w:rPr>
        <w:t>، لکن ظاهره أفضلیّة الکتّان الأبیض علی غیره، و هو خلاف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اتفاق التذکرة إنّما هو علی القدر المشترک بین الکراهة و الحرمة، کما قد یدّعی الاتّفاق علی الاستحباب مع وجود القول بالوجوب، کما لا یخفی علی من له انس بکلامهم</w:t>
      </w:r>
      <w:r>
        <w:rPr>
          <w:rFonts w:eastAsia="IRNazanin" w:cs="IRNazanin"/>
          <w:color w:val="111111"/>
          <w:sz w:val="28"/>
          <w:szCs w:val="28"/>
          <w:rtl w:val="true"/>
          <w:lang w:bidi="fa-IR"/>
        </w:rPr>
        <w:t>.</w:t>
      </w:r>
      <w:bookmarkStart w:id="335" w:name="pg13042_127257"/>
    </w:p>
    <w:p>
      <w:pPr>
        <w:pStyle w:val="BookText"/>
        <w:rPr/>
      </w:pPr>
      <w:bookmarkEnd w:id="335"/>
      <w:r>
        <w:rPr>
          <w:rFonts w:ascii="IRNazanin" w:hAnsi="IRNazanin" w:eastAsia="IRNazanin"/>
          <w:color w:val="111111"/>
          <w:sz w:val="28"/>
          <w:sz w:val="28"/>
          <w:szCs w:val="28"/>
          <w:rtl w:val="true"/>
          <w:lang w:bidi="fa-IR"/>
        </w:rPr>
        <w:t xml:space="preserve">فالعمل بروایة یعقوب بن یزید المعتضدة بظاهر روایة أبی خدیجة المتقدّمة </w:t>
      </w:r>
      <w:r>
        <w:rPr>
          <w:rStyle w:val="FootnoteAnchor"/>
          <w:rtl w:val="true"/>
        </w:rPr>
        <w:footnoteReference w:id="2283"/>
      </w:r>
      <w:r>
        <w:rPr>
          <w:rFonts w:ascii="IRNazanin" w:hAnsi="IRNazanin" w:eastAsia="IRNazanin"/>
          <w:color w:val="111111"/>
          <w:sz w:val="28"/>
          <w:sz w:val="28"/>
          <w:szCs w:val="28"/>
          <w:rtl w:val="true"/>
          <w:lang w:bidi="fa-IR"/>
        </w:rPr>
        <w:t>، و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تکفّنه فی کتّان و لا ثوب إبریسم</w:t>
      </w:r>
      <w:r>
        <w:rPr>
          <w:rFonts w:eastAsia="IRNazanin" w:cs="IRNazanin"/>
          <w:color w:val="111111"/>
          <w:sz w:val="28"/>
          <w:szCs w:val="28"/>
          <w:rtl w:val="true"/>
          <w:lang w:bidi="fa-IR"/>
        </w:rPr>
        <w:t xml:space="preserve">» </w:t>
      </w:r>
      <w:r>
        <w:rPr>
          <w:rStyle w:val="FootnoteAnchor"/>
          <w:rtl w:val="true"/>
        </w:rPr>
        <w:footnoteReference w:id="2284"/>
      </w:r>
      <w:r>
        <w:rPr>
          <w:rFonts w:ascii="IRNazanin" w:hAnsi="IRNazanin" w:eastAsia="IRNazanin"/>
          <w:color w:val="111111"/>
          <w:sz w:val="28"/>
          <w:sz w:val="28"/>
          <w:szCs w:val="28"/>
          <w:rtl w:val="true"/>
          <w:lang w:bidi="fa-IR"/>
        </w:rPr>
        <w:t>لا یخلو عن قوّة، مضافاً إلی الاحتیاط اللازم فی أمثال المقام؛ بناءً علی لزومه فیه، و عدم ثبوت إطلاق فی أدلّة التکفین</w:t>
      </w:r>
      <w:r>
        <w:rPr>
          <w:rFonts w:eastAsia="IRNazanin" w:cs="IRNazanin"/>
          <w:color w:val="111111"/>
          <w:sz w:val="28"/>
          <w:szCs w:val="28"/>
          <w:rtl w:val="true"/>
          <w:lang w:bidi="fa-IR"/>
        </w:rPr>
        <w:t>.</w:t>
      </w:r>
    </w:p>
    <w:p>
      <w:pPr>
        <w:pStyle w:val="Heading6"/>
        <w:numPr>
          <w:ilvl w:val="5"/>
          <w:numId w:val="1"/>
        </w:numPr>
        <w:rPr/>
      </w:pPr>
      <w:bookmarkStart w:id="336" w:name="__RefHeading___Toc6530316_3224264995"/>
      <w:bookmarkStart w:id="337" w:name="_Toc130"/>
      <w:bookmarkEnd w:id="336"/>
      <w:r>
        <w:rPr>
          <w:rtl w:val="true"/>
        </w:rPr>
        <w:t>[</w:t>
      </w:r>
      <w:r>
        <w:rPr/>
        <w:t>2</w:t>
      </w:r>
      <w:r>
        <w:rPr>
          <w:rtl w:val="true"/>
        </w:rPr>
        <w:t xml:space="preserve">- </w:t>
      </w:r>
      <w:r>
        <w:rPr>
          <w:rtl w:val="true"/>
        </w:rPr>
        <w:t>کراهة جعل الأکمام المبتدأة للقمیص</w:t>
      </w:r>
      <w:r>
        <w:rPr>
          <w:rtl w:val="true"/>
        </w:rPr>
        <w:t>]</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الأکمام 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للقمیص علی المعروف بین الأصحاب، و عن جماعة </w:t>
      </w:r>
      <w:r>
        <w:rPr>
          <w:rStyle w:val="FootnoteAnchor"/>
          <w:rtl w:val="true"/>
        </w:rPr>
        <w:footnoteReference w:id="2285"/>
      </w:r>
      <w:r>
        <w:rPr>
          <w:rFonts w:ascii="IRNazanin" w:hAnsi="IRNazanin" w:eastAsia="IRNazanin"/>
          <w:color w:val="111111"/>
          <w:sz w:val="28"/>
          <w:sz w:val="28"/>
          <w:szCs w:val="28"/>
          <w:rtl w:val="true"/>
          <w:lang w:bidi="fa-IR"/>
        </w:rPr>
        <w:t>نسبة الحکم إلیهم مشعرة بالإجماع؛ لمرسلة محمّد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القمیص، أ یکفّن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أزراره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ذاک إذا قطع له و هو جدید لم یجعل له کمّاً، فأمّا إذا کان ثوباً لبیساً فلا یقطع منه إلّا الأزرار</w:t>
      </w:r>
      <w:r>
        <w:rPr>
          <w:rFonts w:eastAsia="IRNazanin" w:cs="IRNazanin"/>
          <w:color w:val="111111"/>
          <w:sz w:val="28"/>
          <w:szCs w:val="28"/>
          <w:rtl w:val="true"/>
          <w:lang w:bidi="fa-IR"/>
        </w:rPr>
        <w:t xml:space="preserve">»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یجوز </w:t>
      </w:r>
      <w:r>
        <w:rPr>
          <w:rStyle w:val="FootnoteAnchor"/>
          <w:rtl w:val="true"/>
        </w:rPr>
        <w:footnoteReference w:id="2287"/>
      </w:r>
      <w:r>
        <w:rPr>
          <w:rFonts w:ascii="IRNazanin" w:hAnsi="IRNazanin" w:eastAsia="IRNazanin"/>
          <w:color w:val="111111"/>
          <w:sz w:val="28"/>
          <w:sz w:val="28"/>
          <w:szCs w:val="28"/>
          <w:rtl w:val="true"/>
          <w:lang w:bidi="fa-IR"/>
        </w:rPr>
        <w:t>، و هو ضعیف إن أراد الحرمة؛ لضعف السند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 من ذیل الروایة وجه التقیید بالمبتدئة فی کلام المصنّف و غیره، بل الظاهر أنّه ممّا لا خلاف فیه کما عن التذکرة </w:t>
      </w:r>
      <w:r>
        <w:rPr>
          <w:rStyle w:val="FootnoteAnchor"/>
          <w:rtl w:val="true"/>
        </w:rPr>
        <w:footnoteReference w:id="2288"/>
      </w:r>
      <w:r>
        <w:rPr>
          <w:rFonts w:ascii="IRNazanin" w:hAnsi="IRNazanin" w:eastAsia="IRNazanin"/>
          <w:color w:val="111111"/>
          <w:sz w:val="28"/>
          <w:sz w:val="28"/>
          <w:szCs w:val="28"/>
          <w:rtl w:val="true"/>
          <w:lang w:bidi="fa-IR"/>
        </w:rPr>
        <w:t xml:space="preserve">و المنتهی </w:t>
      </w:r>
      <w:r>
        <w:rPr>
          <w:rStyle w:val="FootnoteAnchor"/>
          <w:rtl w:val="true"/>
        </w:rPr>
        <w:footnoteReference w:id="2289"/>
      </w:r>
      <w:bookmarkStart w:id="338" w:name="pg13042_127258"/>
    </w:p>
    <w:p>
      <w:pPr>
        <w:pStyle w:val="BookText"/>
        <w:rPr/>
      </w:pPr>
      <w:bookmarkEnd w:id="338"/>
      <w:r>
        <w:rPr>
          <w:rFonts w:ascii="IRNazanin" w:hAnsi="IRNazanin" w:eastAsia="IRNazanin"/>
          <w:color w:val="111111"/>
          <w:sz w:val="28"/>
          <w:sz w:val="28"/>
          <w:szCs w:val="28"/>
          <w:rtl w:val="true"/>
          <w:lang w:bidi="fa-IR"/>
        </w:rPr>
        <w:t xml:space="preserve">و ظاهر کشف اللثام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ظاهر الروایة کروایات أُخر وجوب قطع الأزرار، ففی مصحّحة ابن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أن یأمر لی بقمیص أعدّه لکفنی، فبعث به إلیّ،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أزراره</w:t>
      </w:r>
      <w:r>
        <w:rPr>
          <w:rFonts w:eastAsia="IRNazanin" w:cs="IRNazanin"/>
          <w:color w:val="111111"/>
          <w:sz w:val="28"/>
          <w:szCs w:val="28"/>
          <w:rtl w:val="true"/>
          <w:lang w:bidi="fa-IR"/>
        </w:rPr>
        <w:t xml:space="preserve">» </w:t>
      </w:r>
      <w:r>
        <w:rPr>
          <w:rStyle w:val="FootnoteAnchor"/>
          <w:rtl w:val="true"/>
        </w:rPr>
        <w:footnoteReference w:id="2291"/>
      </w:r>
      <w:r>
        <w:rPr>
          <w:rFonts w:ascii="IRNazanin" w:hAnsi="IRNazanin" w:eastAsia="IRNazanin"/>
          <w:color w:val="111111"/>
          <w:sz w:val="28"/>
          <w:sz w:val="28"/>
          <w:szCs w:val="28"/>
          <w:rtl w:val="true"/>
          <w:lang w:bidi="fa-IR"/>
        </w:rPr>
        <w:t>، و فی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الکفن قمیص غیر مزرور و لا مکفوف</w:t>
      </w:r>
      <w:r>
        <w:rPr>
          <w:rFonts w:eastAsia="IRNazanin" w:cs="IRNazanin"/>
          <w:color w:val="111111"/>
          <w:sz w:val="28"/>
          <w:szCs w:val="28"/>
          <w:rtl w:val="true"/>
          <w:lang w:bidi="fa-IR"/>
        </w:rPr>
        <w:t xml:space="preserve">» </w:t>
      </w:r>
      <w:r>
        <w:rPr>
          <w:rStyle w:val="FootnoteAnchor"/>
          <w:rtl w:val="true"/>
        </w:rPr>
        <w:footnoteReference w:id="2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المیّت فی خمسة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لا یزرّ علیه</w:t>
      </w:r>
      <w:r>
        <w:rPr>
          <w:rFonts w:eastAsia="IRNazanin" w:cs="IRNazanin"/>
          <w:color w:val="111111"/>
          <w:sz w:val="28"/>
          <w:szCs w:val="28"/>
          <w:rtl w:val="true"/>
          <w:lang w:bidi="fa-IR"/>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یعارضها إطلاق ما دلّ علی استحباب تکفین المیّت فی ثوب کان یصلّی </w:t>
      </w:r>
      <w:r>
        <w:rPr>
          <w:rStyle w:val="FootnoteAnchor"/>
          <w:rtl w:val="true"/>
        </w:rPr>
        <w:footnoteReference w:id="2294"/>
      </w:r>
      <w:r>
        <w:rPr>
          <w:rFonts w:ascii="IRNazanin" w:hAnsi="IRNazanin" w:eastAsia="IRNazanin"/>
          <w:color w:val="111111"/>
          <w:sz w:val="28"/>
          <w:sz w:val="28"/>
          <w:szCs w:val="28"/>
          <w:rtl w:val="true"/>
          <w:lang w:bidi="fa-IR"/>
        </w:rPr>
        <w:t xml:space="preserve">و یحرم فیه </w:t>
      </w:r>
      <w:r>
        <w:rPr>
          <w:rStyle w:val="FootnoteAnchor"/>
          <w:rtl w:val="true"/>
        </w:rPr>
        <w:footnoteReference w:id="2295"/>
      </w:r>
      <w:r>
        <w:rPr>
          <w:rFonts w:ascii="IRNazanin" w:hAnsi="IRNazanin" w:eastAsia="IRNazanin"/>
          <w:color w:val="111111"/>
          <w:sz w:val="28"/>
          <w:sz w:val="28"/>
          <w:szCs w:val="28"/>
          <w:rtl w:val="true"/>
          <w:lang w:bidi="fa-IR"/>
        </w:rPr>
        <w:t xml:space="preserve">، و ما دلّ علی تکفین فاطمة بنت أسد رضوان اللّٰه علیهما بقمیص النبیّ صلّی اللّٰه علیه و آله </w:t>
      </w:r>
      <w:r>
        <w:rPr>
          <w:rStyle w:val="FootnoteAnchor"/>
          <w:rtl w:val="true"/>
        </w:rPr>
        <w:footnoteReference w:id="2296"/>
      </w:r>
      <w:r>
        <w:rPr>
          <w:rFonts w:ascii="IRNazanin" w:hAnsi="IRNazanin" w:eastAsia="IRNazanin"/>
          <w:color w:val="111111"/>
          <w:sz w:val="28"/>
          <w:sz w:val="28"/>
          <w:szCs w:val="28"/>
          <w:rtl w:val="true"/>
          <w:lang w:bidi="fa-IR"/>
        </w:rPr>
        <w:t>لأنّها مسوقة لبیان أصل التکفین، فالقول بوجوب قطع الأزرار متّجه، لو لم یکن إجماع علی عدمه</w:t>
      </w:r>
      <w:r>
        <w:rPr>
          <w:rFonts w:eastAsia="IRNazanin" w:cs="IRNazanin"/>
          <w:color w:val="111111"/>
          <w:sz w:val="28"/>
          <w:szCs w:val="28"/>
          <w:rtl w:val="true"/>
          <w:lang w:bidi="fa-IR"/>
        </w:rPr>
        <w:t>.</w:t>
      </w:r>
    </w:p>
    <w:p>
      <w:pPr>
        <w:pStyle w:val="Heading6"/>
        <w:numPr>
          <w:ilvl w:val="5"/>
          <w:numId w:val="1"/>
        </w:numPr>
        <w:rPr/>
      </w:pPr>
      <w:bookmarkStart w:id="339" w:name="__RefHeading___Toc6530318_3224264995"/>
      <w:bookmarkStart w:id="340" w:name="_Toc131"/>
      <w:bookmarkEnd w:id="339"/>
      <w:r>
        <w:rPr>
          <w:rtl w:val="true"/>
        </w:rPr>
        <w:t>[</w:t>
      </w:r>
      <w:r>
        <w:rPr/>
        <w:t>3</w:t>
      </w:r>
      <w:r>
        <w:rPr>
          <w:rtl w:val="true"/>
        </w:rPr>
        <w:t xml:space="preserve">- </w:t>
      </w:r>
      <w:r>
        <w:rPr>
          <w:rtl w:val="true"/>
        </w:rPr>
        <w:t>کراهة الکِتابة علی الکفن بالسواد</w:t>
      </w:r>
      <w:r>
        <w:rPr>
          <w:rtl w:val="true"/>
        </w:rPr>
        <w:t>]</w:t>
      </w:r>
      <w:bookmarkEnd w:id="34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بعضهم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Style w:val="FootnoteAnchor"/>
          <w:rtl w:val="true"/>
        </w:rPr>
        <w:footnoteReference w:id="2297"/>
      </w:r>
      <w:r>
        <w:rPr>
          <w:rFonts w:ascii="IRNazanin" w:hAnsi="IRNazanin" w:eastAsia="IRNazanin"/>
          <w:color w:val="111111"/>
          <w:sz w:val="28"/>
          <w:sz w:val="28"/>
          <w:szCs w:val="28"/>
          <w:rtl w:val="true"/>
          <w:lang w:bidi="fa-IR"/>
        </w:rPr>
        <w:t xml:space="preserve">، و مستند الکراهة غیر واضح، فضلًا عن التحریم؛ و علّله کاشف اللثام </w:t>
      </w:r>
      <w:r>
        <w:rPr>
          <w:rStyle w:val="FootnoteAnchor"/>
          <w:rtl w:val="true"/>
        </w:rPr>
        <w:footnoteReference w:id="2298"/>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2299"/>
      </w:r>
      <w:r>
        <w:rPr>
          <w:rFonts w:ascii="IRNazanin" w:hAnsi="IRNazanin" w:eastAsia="IRNazanin"/>
          <w:color w:val="111111"/>
          <w:sz w:val="28"/>
          <w:sz w:val="28"/>
          <w:szCs w:val="28"/>
          <w:rtl w:val="true"/>
          <w:lang w:bidi="fa-IR"/>
        </w:rPr>
        <w:t>بکراهة التکفین بالسواد</w:t>
      </w:r>
      <w:bookmarkStart w:id="341" w:name="pg13042_127259"/>
    </w:p>
    <w:p>
      <w:pPr>
        <w:pStyle w:val="BookText"/>
        <w:rPr/>
      </w:pPr>
      <w:bookmarkEnd w:id="341"/>
      <w:r>
        <w:rPr>
          <w:rFonts w:ascii="IRNazanin" w:hAnsi="IRNazanin" w:eastAsia="IRNazanin"/>
          <w:color w:val="111111"/>
          <w:sz w:val="28"/>
          <w:sz w:val="28"/>
          <w:szCs w:val="28"/>
          <w:rtl w:val="true"/>
          <w:lang w:bidi="fa-IR"/>
        </w:rPr>
        <w:t>و استحبابه بالبیاض، 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جماعة منهم الثانیان </w:t>
      </w:r>
      <w:r>
        <w:rPr>
          <w:rStyle w:val="FootnoteAnchor"/>
          <w:rtl w:val="true"/>
        </w:rPr>
        <w:footnoteReference w:id="2300"/>
      </w:r>
      <w:r>
        <w:rPr>
          <w:rFonts w:ascii="Amiri" w:hAnsi="Amiri" w:eastAsia="Amiri" w:cs="Amiri"/>
          <w:color w:val="111111"/>
          <w:sz w:val="28"/>
          <w:sz w:val="28"/>
          <w:szCs w:val="28"/>
          <w:rtl w:val="true"/>
          <w:lang w:bidi="ar-SA"/>
        </w:rPr>
        <w:t xml:space="preserve">تبعاً للمحکیّ عن المفید </w:t>
      </w:r>
      <w:r>
        <w:rPr>
          <w:rStyle w:val="FootnoteAnchor"/>
          <w:rtl w:val="true"/>
        </w:rPr>
        <w:footnoteReference w:id="2301"/>
      </w:r>
      <w:r>
        <w:rPr>
          <w:rFonts w:ascii="IRNazanin" w:hAnsi="IRNazanin" w:eastAsia="IRNazanin"/>
          <w:color w:val="111111"/>
          <w:sz w:val="28"/>
          <w:sz w:val="28"/>
          <w:szCs w:val="28"/>
          <w:rtl w:val="true"/>
          <w:lang w:bidi="fa-IR"/>
        </w:rPr>
        <w:t xml:space="preserve">و غیره </w:t>
      </w:r>
      <w:r>
        <w:rPr>
          <w:rStyle w:val="FootnoteAnchor"/>
          <w:rtl w:val="true"/>
        </w:rPr>
        <w:footnoteReference w:id="2302"/>
      </w:r>
      <w:r>
        <w:rPr>
          <w:rFonts w:ascii="IRNazanin" w:hAnsi="IRNazanin" w:eastAsia="IRNazanin"/>
          <w:color w:val="111111"/>
          <w:sz w:val="28"/>
          <w:sz w:val="28"/>
          <w:szCs w:val="28"/>
          <w:rtl w:val="true"/>
          <w:lang w:bidi="fa-IR"/>
        </w:rPr>
        <w:t>کراهة الکِتبة بغیر السواد أیضاً من الأصباغ، و لا بأس بجمیع ذلک من باب التسامح</w:t>
      </w:r>
      <w:r>
        <w:rPr>
          <w:rFonts w:eastAsia="IRNazanin" w:cs="IRNazanin"/>
          <w:color w:val="111111"/>
          <w:sz w:val="28"/>
          <w:szCs w:val="28"/>
          <w:rtl w:val="true"/>
          <w:lang w:bidi="fa-IR"/>
        </w:rPr>
        <w:t>.</w:t>
      </w:r>
    </w:p>
    <w:p>
      <w:pPr>
        <w:pStyle w:val="Heading6"/>
        <w:numPr>
          <w:ilvl w:val="5"/>
          <w:numId w:val="1"/>
        </w:numPr>
        <w:rPr/>
      </w:pPr>
      <w:bookmarkStart w:id="342" w:name="__RefHeading___Toc6530320_3224264995"/>
      <w:bookmarkStart w:id="343" w:name="_Toc132"/>
      <w:bookmarkEnd w:id="342"/>
      <w:r>
        <w:rPr>
          <w:rtl w:val="true"/>
        </w:rPr>
        <w:t>[</w:t>
      </w:r>
      <w:r>
        <w:rPr/>
        <w:t>4</w:t>
      </w:r>
      <w:r>
        <w:rPr>
          <w:rtl w:val="true"/>
        </w:rPr>
        <w:t xml:space="preserve">- </w:t>
      </w:r>
      <w:r>
        <w:rPr>
          <w:rtl w:val="true"/>
        </w:rPr>
        <w:t>کراهة جعل الکافور فی سمعه و بصره</w:t>
      </w:r>
      <w:r>
        <w:rPr>
          <w:rtl w:val="true"/>
        </w:rPr>
        <w:t>]</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الکافور </w:t>
      </w:r>
      <w:r>
        <w:rPr>
          <w:rStyle w:val="FootnoteAnchor"/>
          <w:rtl w:val="true"/>
        </w:rPr>
        <w:footnoteReference w:id="2303"/>
      </w:r>
      <w:r>
        <w:rPr>
          <w:rFonts w:ascii="IRNazanin" w:hAnsi="IRNazanin" w:eastAsia="IRNazanin"/>
          <w:color w:val="111111"/>
          <w:sz w:val="28"/>
          <w:sz w:val="28"/>
          <w:szCs w:val="28"/>
          <w:rtl w:val="true"/>
          <w:lang w:bidi="fa-IR"/>
        </w:rPr>
        <w:t>فی سمعه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الصدوق </w:t>
      </w:r>
      <w:r>
        <w:rPr>
          <w:rStyle w:val="FootnoteAnchor"/>
          <w:rtl w:val="true"/>
        </w:rPr>
        <w:footnoteReference w:id="2304"/>
      </w:r>
      <w:r>
        <w:rPr>
          <w:rFonts w:ascii="IRNazanin" w:hAnsi="IRNazanin" w:eastAsia="IRNazanin"/>
          <w:color w:val="111111"/>
          <w:sz w:val="28"/>
          <w:sz w:val="28"/>
          <w:szCs w:val="28"/>
          <w:rtl w:val="true"/>
          <w:lang w:bidi="fa-IR"/>
        </w:rPr>
        <w:t xml:space="preserve">، فاستحبّه للروایة المعارضة بروایات، و قد تقدّم الکلّ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4" w:name="__RefHeading___Toc6530322_3224264995"/>
      <w:bookmarkStart w:id="345" w:name="_Toc133"/>
      <w:bookmarkEnd w:id="344"/>
      <w:r>
        <w:rPr>
          <w:rtl w:val="true"/>
        </w:rPr>
        <w:t>[</w:t>
      </w:r>
      <w:r>
        <w:rPr>
          <w:rtl w:val="true"/>
        </w:rPr>
        <w:t>کراهة تجمیر الأکفان</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تجمیر الأکفان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بالجَمْرة، و هی ما یدخن به الثیاب بإجماع علمائنا کما عن المعتبر </w:t>
      </w:r>
      <w:r>
        <w:rPr>
          <w:rStyle w:val="FootnoteAnchor"/>
          <w:rtl w:val="true"/>
        </w:rPr>
        <w:footnoteReference w:id="2306"/>
      </w:r>
      <w:r>
        <w:rPr>
          <w:rFonts w:ascii="IRNazanin" w:hAnsi="IRNazanin" w:eastAsia="IRNazanin"/>
          <w:color w:val="111111"/>
          <w:sz w:val="28"/>
          <w:sz w:val="28"/>
          <w:szCs w:val="28"/>
          <w:rtl w:val="true"/>
          <w:lang w:bidi="fa-IR"/>
        </w:rPr>
        <w:t>، و لما تقدّم من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تجمّروا الأکفان، و لا تمسّوا موتاکم بالطیب إلّا الکافور فإنّ المیّت بمنزلة المحرم</w:t>
      </w:r>
      <w:r>
        <w:rPr>
          <w:rFonts w:eastAsia="IRNazanin" w:cs="IRNazanin"/>
          <w:color w:val="111111"/>
          <w:sz w:val="28"/>
          <w:szCs w:val="28"/>
          <w:rtl w:val="true"/>
          <w:lang w:bidi="fa-IR"/>
        </w:rPr>
        <w:t xml:space="preserve">»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الکفن بالحدید کما عن الشیخین </w:t>
      </w:r>
      <w:r>
        <w:rPr>
          <w:rStyle w:val="FootnoteAnchor"/>
          <w:rtl w:val="true"/>
        </w:rPr>
        <w:footnoteReference w:id="2308"/>
      </w:r>
      <w:r>
        <w:rPr>
          <w:rFonts w:ascii="IRNazanin" w:hAnsi="IRNazanin" w:eastAsia="IRNazanin"/>
          <w:color w:val="111111"/>
          <w:sz w:val="28"/>
          <w:sz w:val="28"/>
          <w:szCs w:val="28"/>
          <w:rtl w:val="true"/>
          <w:lang w:bidi="fa-IR"/>
        </w:rPr>
        <w:t>، و 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سمعناه مذاکرة عن الشیوخ و علیه کان عملهم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bookmarkStart w:id="346" w:name="pg13042_127260"/>
    </w:p>
    <w:p>
      <w:pPr>
        <w:pStyle w:val="BookText"/>
        <w:rPr/>
      </w:pPr>
      <w:bookmarkEnd w:id="346"/>
      <w:r>
        <w:rPr>
          <w:rFonts w:ascii="IRNazanin" w:hAnsi="IRNazanin" w:eastAsia="IRNazanin"/>
          <w:color w:val="111111"/>
          <w:sz w:val="28"/>
          <w:sz w:val="28"/>
          <w:szCs w:val="28"/>
          <w:rtl w:val="true"/>
          <w:lang w:bidi="fa-IR"/>
        </w:rPr>
        <w:t>قال فی محکیّ المعتبر بعد حکایة ذلک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متابعتهم؛ تخلّصاً من الوقوع فی المکروه </w:t>
      </w:r>
      <w:r>
        <w:rPr>
          <w:rStyle w:val="FootnoteAnchor"/>
          <w:rtl w:val="true"/>
        </w:rPr>
        <w:footnoteReference w:id="2310"/>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w:t>
      </w:r>
    </w:p>
    <w:p>
      <w:pPr>
        <w:pStyle w:val="Heading6"/>
        <w:numPr>
          <w:ilvl w:val="5"/>
          <w:numId w:val="1"/>
        </w:numPr>
        <w:rPr/>
      </w:pPr>
      <w:bookmarkStart w:id="347" w:name="__RefHeading___Toc6530324_3224264995"/>
      <w:bookmarkStart w:id="348" w:name="_Toc134"/>
      <w:bookmarkEnd w:id="347"/>
      <w:r>
        <w:rPr>
          <w:rtl w:val="true"/>
        </w:rPr>
        <w:t>[</w:t>
      </w:r>
      <w:r>
        <w:rPr>
          <w:rtl w:val="true"/>
        </w:rPr>
        <w:t>فروع</w:t>
      </w:r>
      <w:r>
        <w:rPr>
          <w:rtl w:val="true"/>
        </w:rPr>
        <w:t>]</w:t>
      </w:r>
      <w:bookmarkEnd w:id="348"/>
    </w:p>
    <w:p>
      <w:pPr>
        <w:pStyle w:val="Heading6"/>
        <w:numPr>
          <w:ilvl w:val="5"/>
          <w:numId w:val="1"/>
        </w:numPr>
        <w:rPr/>
      </w:pPr>
      <w:bookmarkStart w:id="349" w:name="__RefHeading___Toc6530326_3224264995"/>
      <w:bookmarkStart w:id="350" w:name="_Toc135"/>
      <w:bookmarkEnd w:id="349"/>
      <w:r>
        <w:rPr>
          <w:rtl w:val="true"/>
        </w:rPr>
        <w:t>[</w:t>
      </w:r>
      <w:r>
        <w:rPr>
          <w:rtl w:val="true"/>
        </w:rPr>
        <w:t>کفن المرأة واجب علی زوجها</w:t>
      </w:r>
      <w:r>
        <w:rPr>
          <w:rtl w:val="true"/>
        </w:rPr>
        <w:t>]</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 المرأة واجب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محقّقاً فی الجملة، و محکیّاً عن الخلاف </w:t>
      </w:r>
      <w:r>
        <w:rPr>
          <w:rStyle w:val="FootnoteAnchor"/>
          <w:rtl w:val="true"/>
        </w:rPr>
        <w:footnoteReference w:id="2311"/>
      </w:r>
      <w:r>
        <w:rPr>
          <w:rFonts w:ascii="IRNazanin" w:hAnsi="IRNazanin" w:eastAsia="IRNazanin"/>
          <w:color w:val="111111"/>
          <w:sz w:val="28"/>
          <w:sz w:val="28"/>
          <w:szCs w:val="28"/>
          <w:rtl w:val="true"/>
          <w:lang w:bidi="fa-IR"/>
        </w:rPr>
        <w:t xml:space="preserve">و المفاتیح </w:t>
      </w:r>
      <w:r>
        <w:rPr>
          <w:rStyle w:val="FootnoteAnchor"/>
          <w:rtl w:val="true"/>
        </w:rPr>
        <w:footnoteReference w:id="2312"/>
      </w:r>
      <w:r>
        <w:rPr>
          <w:rFonts w:ascii="IRNazanin" w:hAnsi="IRNazanin" w:eastAsia="IRNazanin"/>
          <w:color w:val="111111"/>
          <w:sz w:val="28"/>
          <w:sz w:val="28"/>
          <w:szCs w:val="28"/>
          <w:rtl w:val="true"/>
          <w:lang w:bidi="fa-IR"/>
        </w:rPr>
        <w:t xml:space="preserve">و نهایة الإحکام </w:t>
      </w:r>
      <w:r>
        <w:rPr>
          <w:rStyle w:val="FootnoteAnchor"/>
          <w:rtl w:val="true"/>
        </w:rPr>
        <w:footnoteReference w:id="2313"/>
      </w:r>
      <w:r>
        <w:rPr>
          <w:rFonts w:ascii="IRNazanin" w:hAnsi="IRNazanin" w:eastAsia="IRNazanin"/>
          <w:color w:val="111111"/>
          <w:sz w:val="28"/>
          <w:sz w:val="28"/>
          <w:szCs w:val="28"/>
          <w:rtl w:val="true"/>
          <w:lang w:bidi="fa-IR"/>
        </w:rPr>
        <w:t xml:space="preserve">و الروض </w:t>
      </w:r>
      <w:r>
        <w:rPr>
          <w:rStyle w:val="FootnoteAnchor"/>
          <w:rtl w:val="true"/>
        </w:rPr>
        <w:footnoteReference w:id="2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موسرة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المعتبر </w:t>
      </w:r>
      <w:r>
        <w:rPr>
          <w:rStyle w:val="FootnoteAnchor"/>
          <w:rtl w:val="true"/>
        </w:rPr>
        <w:footnoteReference w:id="2315"/>
      </w:r>
      <w:r>
        <w:rPr>
          <w:rFonts w:ascii="IRNazanin" w:hAnsi="IRNazanin" w:eastAsia="IRNazanin"/>
          <w:color w:val="111111"/>
          <w:sz w:val="28"/>
          <w:sz w:val="28"/>
          <w:szCs w:val="28"/>
          <w:rtl w:val="true"/>
          <w:lang w:bidi="fa-IR"/>
        </w:rPr>
        <w:t xml:space="preserve">و الذکری </w:t>
      </w:r>
      <w:r>
        <w:rPr>
          <w:rStyle w:val="FootnoteAnchor"/>
          <w:rtl w:val="true"/>
        </w:rPr>
        <w:footnoteReference w:id="2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فتوی الأصحاب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عن جعفر عن أبیه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الزوج کفن المرأة إذا ماتت</w:t>
      </w:r>
      <w:r>
        <w:rPr>
          <w:rFonts w:eastAsia="IRNazanin" w:cs="IRNazanin"/>
          <w:color w:val="111111"/>
          <w:sz w:val="28"/>
          <w:szCs w:val="28"/>
          <w:rtl w:val="true"/>
          <w:lang w:bidi="fa-IR"/>
        </w:rPr>
        <w:t xml:space="preserve">» </w:t>
      </w:r>
      <w:r>
        <w:rPr>
          <w:rStyle w:val="FootnoteAnchor"/>
          <w:rtl w:val="true"/>
        </w:rPr>
        <w:footnoteReference w:id="2317"/>
      </w:r>
      <w:r>
        <w:rPr>
          <w:rFonts w:ascii="IRNazanin" w:hAnsi="IRNazanin" w:eastAsia="IRNazanin"/>
          <w:color w:val="111111"/>
          <w:sz w:val="28"/>
          <w:sz w:val="28"/>
          <w:szCs w:val="28"/>
          <w:rtl w:val="true"/>
          <w:lang w:bidi="fa-IR"/>
        </w:rPr>
        <w:t>و فی مرسلة الفقیه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 المرأة علی زوجها</w:t>
      </w:r>
      <w:r>
        <w:rPr>
          <w:rFonts w:eastAsia="IRNazanin" w:cs="IRNazanin"/>
          <w:color w:val="111111"/>
          <w:sz w:val="28"/>
          <w:szCs w:val="28"/>
          <w:rtl w:val="true"/>
          <w:lang w:bidi="fa-IR"/>
        </w:rPr>
        <w:t xml:space="preserve">» </w:t>
      </w:r>
      <w:r>
        <w:rPr>
          <w:rStyle w:val="FootnoteAnchor"/>
          <w:rtl w:val="true"/>
        </w:rPr>
        <w:footnoteReference w:id="2318"/>
      </w:r>
      <w:r>
        <w:rPr>
          <w:rFonts w:ascii="Amiri" w:hAnsi="Amiri" w:eastAsia="Amiri" w:cs="Amiri"/>
          <w:color w:val="111111"/>
          <w:sz w:val="28"/>
          <w:sz w:val="28"/>
          <w:szCs w:val="28"/>
          <w:rtl w:val="true"/>
          <w:lang w:bidi="ar-SA"/>
        </w:rPr>
        <w:t xml:space="preserve">و ربما جعله جماعة </w:t>
      </w:r>
      <w:r>
        <w:rPr>
          <w:rStyle w:val="FootnoteAnchor"/>
          <w:rtl w:val="true"/>
        </w:rPr>
        <w:footnoteReference w:id="2319"/>
      </w:r>
      <w:r>
        <w:rPr>
          <w:rFonts w:ascii="IRNazanin" w:hAnsi="IRNazanin" w:eastAsia="IRNazanin"/>
          <w:color w:val="111111"/>
          <w:sz w:val="28"/>
          <w:sz w:val="28"/>
          <w:szCs w:val="28"/>
          <w:rtl w:val="true"/>
          <w:lang w:bidi="fa-IR"/>
        </w:rPr>
        <w:t xml:space="preserve">تبعاً لصاحب المدارک </w:t>
      </w:r>
      <w:r>
        <w:rPr>
          <w:rStyle w:val="FootnoteAnchor"/>
          <w:rtl w:val="true"/>
        </w:rPr>
        <w:footnoteReference w:id="2320"/>
      </w:r>
      <w:r>
        <w:rPr>
          <w:rFonts w:ascii="IRNazanin" w:hAnsi="IRNazanin" w:eastAsia="IRNazanin"/>
          <w:color w:val="111111"/>
          <w:sz w:val="28"/>
          <w:sz w:val="28"/>
          <w:szCs w:val="28"/>
          <w:rtl w:val="true"/>
          <w:lang w:bidi="fa-IR"/>
        </w:rPr>
        <w:t>من تتمّة صحیح ابن سنان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الکفن من جمیع المال،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المرأة علی زوجها</w:t>
      </w:r>
      <w:r>
        <w:rPr>
          <w:rFonts w:eastAsia="IRNazanin" w:cs="IRNazanin"/>
          <w:color w:val="111111"/>
          <w:sz w:val="28"/>
          <w:szCs w:val="28"/>
          <w:rtl w:val="true"/>
          <w:lang w:bidi="fa-IR"/>
        </w:rPr>
        <w:t xml:space="preserve">» </w:t>
      </w:r>
      <w:r>
        <w:rPr>
          <w:rStyle w:val="FootnoteAnchor"/>
          <w:rtl w:val="true"/>
        </w:rPr>
        <w:footnoteReference w:id="2321"/>
      </w:r>
      <w:r>
        <w:rPr>
          <w:rFonts w:ascii="IRNazanin" w:hAnsi="IRNazanin" w:eastAsia="IRNazanin"/>
          <w:color w:val="111111"/>
          <w:sz w:val="28"/>
          <w:sz w:val="28"/>
          <w:szCs w:val="28"/>
          <w:rtl w:val="true"/>
          <w:lang w:bidi="fa-IR"/>
        </w:rPr>
        <w:t xml:space="preserve">، و الأظهر ما عن الذخیرة </w:t>
      </w:r>
      <w:r>
        <w:rPr>
          <w:rStyle w:val="FootnoteAnchor"/>
          <w:rtl w:val="true"/>
        </w:rPr>
        <w:footnoteReference w:id="2322"/>
      </w:r>
      <w:r>
        <w:rPr>
          <w:rFonts w:ascii="IRNazanin" w:hAnsi="IRNazanin" w:eastAsia="IRNazanin"/>
          <w:color w:val="111111"/>
          <w:sz w:val="28"/>
          <w:sz w:val="28"/>
          <w:szCs w:val="28"/>
          <w:rtl w:val="true"/>
          <w:lang w:bidi="fa-IR"/>
        </w:rPr>
        <w:t xml:space="preserve">و الحدائق </w:t>
      </w:r>
      <w:r>
        <w:rPr>
          <w:rStyle w:val="FootnoteAnchor"/>
          <w:rtl w:val="true"/>
        </w:rPr>
        <w:footnoteReference w:id="2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روایة مرسلة مستقلّة، 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 الصحیحة فی الکافی </w:t>
      </w:r>
      <w:r>
        <w:rPr>
          <w:rStyle w:val="FootnoteAnchor"/>
          <w:rtl w:val="true"/>
        </w:rPr>
        <w:footnoteReference w:id="2324"/>
      </w:r>
      <w:r>
        <w:rPr>
          <w:rFonts w:ascii="IRNazanin" w:hAnsi="IRNazanin" w:eastAsia="IRNazanin"/>
          <w:color w:val="111111"/>
          <w:sz w:val="28"/>
          <w:sz w:val="28"/>
          <w:szCs w:val="28"/>
          <w:rtl w:val="true"/>
          <w:lang w:bidi="fa-IR"/>
        </w:rPr>
        <w:t xml:space="preserve">و التهذیب </w:t>
      </w:r>
      <w:r>
        <w:rPr>
          <w:rStyle w:val="FootnoteAnchor"/>
          <w:rtl w:val="true"/>
        </w:rPr>
        <w:footnoteReference w:id="2325"/>
      </w:r>
      <w:r>
        <w:rPr>
          <w:rFonts w:ascii="Amiri" w:hAnsi="Amiri" w:eastAsia="Amiri" w:cs="Amiri"/>
          <w:color w:val="111111"/>
          <w:sz w:val="28"/>
          <w:sz w:val="28"/>
          <w:szCs w:val="28"/>
          <w:rtl w:val="true"/>
          <w:lang w:bidi="ar-SA"/>
        </w:rPr>
        <w:t>عن هذه التتمّة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کیف کان، فیکفی الروایتان و إن کانتا ضعیفتین؛ لانجبارهما بما عرفت، المعتضد بإطلاق بعض معاقد الإجماع؛ لأنّ الظاهر أنّهما مستند الأصحاب قدیماً و حدیثاً، فوجب </w:t>
      </w:r>
      <w:r>
        <w:rPr>
          <w:rStyle w:val="FootnoteAnchor"/>
          <w:rtl w:val="true"/>
        </w:rPr>
        <w:footnoteReference w:id="2326"/>
      </w:r>
      <w:r>
        <w:rPr>
          <w:rFonts w:ascii="IRNazanin" w:hAnsi="IRNazanin" w:eastAsia="IRNazanin"/>
          <w:color w:val="111111"/>
          <w:sz w:val="28"/>
          <w:sz w:val="28"/>
          <w:szCs w:val="28"/>
          <w:rtl w:val="true"/>
          <w:lang w:bidi="fa-IR"/>
        </w:rPr>
        <w:t>ذلک انجبار صدورهما، فهما فی قوّة الخبر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یصحّ التمسّک بإطلاقهما، من دون فرق بین الصغیرة و الکبیرة، المدخول بها و غیرها، الدائمة و المتمتّع بها، و المطیعة و الناشزة؛ لشمول الحکم لجمیع أقسام الزوجة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یقدح عدم وجوب الإنفاق فی بعضها؛ لأنّ الحکم لیس منوطاً بوجوب الإنفاق و إن علّله به ما فی محکیّ المعتبر </w:t>
      </w:r>
      <w:r>
        <w:rPr>
          <w:rStyle w:val="FootnoteAnchor"/>
          <w:rtl w:val="true"/>
        </w:rPr>
        <w:footnoteReference w:id="2327"/>
      </w:r>
      <w:r>
        <w:rPr>
          <w:rFonts w:ascii="IRNazanin" w:hAnsi="IRNazanin" w:eastAsia="IRNazanin"/>
          <w:color w:val="111111"/>
          <w:sz w:val="28"/>
          <w:sz w:val="28"/>
          <w:szCs w:val="28"/>
          <w:rtl w:val="true"/>
          <w:lang w:bidi="fa-IR"/>
        </w:rPr>
        <w:t xml:space="preserve">و غیره </w:t>
      </w:r>
      <w:r>
        <w:rPr>
          <w:rStyle w:val="FootnoteAnchor"/>
          <w:rtl w:val="true"/>
        </w:rPr>
        <w:footnoteReference w:id="2328"/>
      </w:r>
      <w:r>
        <w:rPr>
          <w:rFonts w:ascii="IRNazanin" w:hAnsi="IRNazanin" w:eastAsia="IRNazanin"/>
          <w:color w:val="111111"/>
          <w:sz w:val="28"/>
          <w:sz w:val="28"/>
          <w:szCs w:val="28"/>
          <w:rtl w:val="true"/>
          <w:lang w:bidi="fa-IR"/>
        </w:rPr>
        <w:t xml:space="preserve">، فإنّما ذکروا ذلک ردّاً علی من أنکر الحکم من العامّة، کأبی حنیفة </w:t>
      </w:r>
      <w:r>
        <w:rPr>
          <w:rStyle w:val="FootnoteAnchor"/>
          <w:rtl w:val="true"/>
        </w:rPr>
        <w:footnoteReference w:id="2329"/>
      </w:r>
      <w:r>
        <w:rPr>
          <w:rFonts w:ascii="IRNazanin" w:hAnsi="IRNazanin" w:eastAsia="IRNazanin"/>
          <w:color w:val="111111"/>
          <w:sz w:val="28"/>
          <w:sz w:val="28"/>
          <w:szCs w:val="28"/>
          <w:rtl w:val="true"/>
          <w:lang w:bidi="fa-IR"/>
        </w:rPr>
        <w:t xml:space="preserve">و مالک </w:t>
      </w:r>
      <w:r>
        <w:rPr>
          <w:rStyle w:val="FootnoteAnchor"/>
          <w:rtl w:val="true"/>
        </w:rPr>
        <w:footnoteReference w:id="2330"/>
      </w:r>
      <w:r>
        <w:rPr>
          <w:rFonts w:ascii="IRNazanin" w:hAnsi="IRNazanin" w:eastAsia="IRNazanin"/>
          <w:color w:val="111111"/>
          <w:sz w:val="28"/>
          <w:sz w:val="28"/>
          <w:szCs w:val="28"/>
          <w:rtl w:val="true"/>
          <w:lang w:bidi="fa-IR"/>
        </w:rPr>
        <w:t xml:space="preserve">و أحمد </w:t>
      </w:r>
      <w:r>
        <w:rPr>
          <w:rStyle w:val="FootnoteAnchor"/>
          <w:rtl w:val="true"/>
        </w:rPr>
        <w:footnoteReference w:id="2331"/>
      </w:r>
    </w:p>
    <w:p>
      <w:pPr>
        <w:pStyle w:val="BookText"/>
        <w:rPr/>
      </w:pPr>
      <w:r>
        <w:rPr>
          <w:rFonts w:ascii="IRNazanin" w:hAnsi="IRNazanin" w:eastAsia="IRNazanin"/>
          <w:color w:val="111111"/>
          <w:sz w:val="28"/>
          <w:sz w:val="28"/>
          <w:szCs w:val="28"/>
          <w:rtl w:val="true"/>
          <w:lang w:bidi="fa-IR"/>
        </w:rPr>
        <w:t xml:space="preserve">و الشافعی فی أحد قولیه </w:t>
      </w:r>
      <w:r>
        <w:rPr>
          <w:rStyle w:val="FootnoteAnchor"/>
          <w:rtl w:val="true"/>
        </w:rPr>
        <w:footnoteReference w:id="2332"/>
      </w:r>
      <w:r>
        <w:rPr>
          <w:rFonts w:ascii="IRNazanin" w:hAnsi="IRNazanin" w:eastAsia="IRNazanin"/>
          <w:color w:val="111111"/>
          <w:sz w:val="28"/>
          <w:sz w:val="28"/>
          <w:szCs w:val="28"/>
          <w:rtl w:val="true"/>
          <w:lang w:bidi="fa-IR"/>
        </w:rPr>
        <w:t>تمسّکاً بانقطاع العلقة و زوال ما یوجب الإنفاق، فما عن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التعلیل بالإنفاق ینفی وجوب الکفن فی الناشزة و إطلاق الخبر یشمله، و کذا المتمتّع بها </w:t>
      </w:r>
      <w:r>
        <w:rPr>
          <w:rStyle w:val="FootnoteAnchor"/>
          <w:rtl w:val="true"/>
        </w:rPr>
        <w:footnoteReference w:id="2333"/>
      </w:r>
      <w:r>
        <w:rPr>
          <w:rFonts w:ascii="IRNazanin" w:hAnsi="IRNazanin" w:eastAsia="IRNazanin"/>
          <w:color w:val="111111"/>
          <w:sz w:val="28"/>
          <w:sz w:val="28"/>
          <w:szCs w:val="28"/>
          <w:rtl w:val="true"/>
          <w:lang w:bidi="fa-IR"/>
        </w:rPr>
        <w:t>ضعیف إن أراد کون ذلک منشأً للتوقّف؛ فإنّ العبرة بإطلاق الخبر دون اختصاص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 ما عن جامع المقاصد، حیث إنّه بعد تعلیل أصل الحکم بما یرجع إلی وجوب الإنفاق،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ذلک یقتضی قصر الحکم علی الزوجة الدائمة المتمکّنة، فلا یجب للمتمتّع بها و لا للناشزة، ثمّ نقل ما تقدّم عن الذکری و استظهر منه التوقّف،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تعلّق وجوب الإنفاق لها بالزوج حال الحیاة لعدم صلاحیّة الزوجیّة فی المتمتّع بها لذلک، و لثبوت المانع منه فی الناشز و هو النشوز یقتضی عدم تعلّق الحکم بوجوب الکفن بعد الموت بطریق أولی؛ لأنّ الزوجیّة تزول حینئذٍ أو تضعف، و لهذا یحلّ له أُختها و الخامسة، فیقیّد بذلک إطلاق الخبر مع ضعفه، و لعلّ عدم الوجوب أظهر </w:t>
      </w:r>
      <w:r>
        <w:rPr>
          <w:rStyle w:val="FootnoteAnchor"/>
          <w:rtl w:val="true"/>
        </w:rPr>
        <w:footnoteReference w:id="233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ما فیه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المرأة إلی غیر المتمتّع بها و الناشزة؛ فإنّها ممنوعة جدّاً فی کثیر من أفراد الاولی و جمیع إفراد الثانیة، کما لا یخفی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رجعیّة؛ لعموم المنزلة الواردة فی بعض الأخبار </w:t>
      </w:r>
      <w:r>
        <w:rPr>
          <w:rStyle w:val="FootnoteAnchor"/>
          <w:rtl w:val="true"/>
        </w:rPr>
        <w:footnoteReference w:id="2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أیضاً بین الحرّة و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أیضاً بین أفراد</w:t>
      </w:r>
    </w:p>
    <w:p>
      <w:pPr>
        <w:pStyle w:val="BookText"/>
        <w:rPr/>
      </w:pPr>
      <w:r>
        <w:rPr>
          <w:rFonts w:ascii="IRNazanin" w:hAnsi="IRNazanin" w:eastAsia="IRNazanin"/>
          <w:color w:val="111111"/>
          <w:sz w:val="28"/>
          <w:sz w:val="28"/>
          <w:szCs w:val="28"/>
          <w:rtl w:val="true"/>
          <w:lang w:bidi="fa-IR"/>
        </w:rPr>
        <w:t>الزوج الکبیر و الصغیر و العاقل و المجنون، و المخاطب حینئذٍ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بالکفن جماعة من الأصحاب کالشیخ </w:t>
      </w:r>
      <w:r>
        <w:rPr>
          <w:rStyle w:val="FootnoteAnchor"/>
          <w:rtl w:val="true"/>
        </w:rPr>
        <w:footnoteReference w:id="2336"/>
      </w:r>
      <w:r>
        <w:rPr>
          <w:rFonts w:ascii="Amiri" w:hAnsi="Amiri" w:eastAsia="Amiri" w:cs="Amiri"/>
          <w:color w:val="111111"/>
          <w:sz w:val="28"/>
          <w:sz w:val="28"/>
          <w:szCs w:val="28"/>
          <w:rtl w:val="true"/>
          <w:lang w:bidi="ar-SA"/>
        </w:rPr>
        <w:t xml:space="preserve">و الحلیّ </w:t>
      </w:r>
      <w:r>
        <w:rPr>
          <w:rStyle w:val="FootnoteAnchor"/>
          <w:rtl w:val="true"/>
        </w:rPr>
        <w:footnoteReference w:id="2337"/>
      </w:r>
      <w:r>
        <w:rPr>
          <w:rFonts w:ascii="IRNazanin" w:hAnsi="IRNazanin" w:eastAsia="IRNazanin"/>
          <w:color w:val="111111"/>
          <w:sz w:val="28"/>
          <w:sz w:val="28"/>
          <w:szCs w:val="28"/>
          <w:rtl w:val="true"/>
          <w:lang w:bidi="fa-IR"/>
        </w:rPr>
        <w:t xml:space="preserve">و المصنّف فی النهایة </w:t>
      </w:r>
      <w:r>
        <w:rPr>
          <w:rStyle w:val="FootnoteAnchor"/>
          <w:rtl w:val="true"/>
        </w:rPr>
        <w:footnoteReference w:id="2338"/>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33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340"/>
      </w:r>
      <w:r>
        <w:rPr>
          <w:rFonts w:ascii="IRNazanin" w:hAnsi="IRNazanin" w:eastAsia="IRNazanin"/>
          <w:color w:val="111111"/>
          <w:sz w:val="28"/>
          <w:sz w:val="28"/>
          <w:szCs w:val="28"/>
          <w:rtl w:val="true"/>
          <w:lang w:bidi="fa-IR"/>
        </w:rPr>
        <w:t xml:space="preserve">و الفاضل المقداد </w:t>
      </w:r>
      <w:r>
        <w:rPr>
          <w:rStyle w:val="FootnoteAnchor"/>
          <w:rtl w:val="true"/>
        </w:rPr>
        <w:footnoteReference w:id="2341"/>
      </w:r>
      <w:r>
        <w:rPr>
          <w:rFonts w:ascii="IRNazanin" w:hAnsi="IRNazanin" w:eastAsia="IRNazanin"/>
          <w:color w:val="111111"/>
          <w:sz w:val="28"/>
          <w:sz w:val="28"/>
          <w:szCs w:val="28"/>
          <w:rtl w:val="true"/>
          <w:lang w:bidi="fa-IR"/>
        </w:rPr>
        <w:t xml:space="preserve">و غیرهم </w:t>
      </w:r>
      <w:r>
        <w:rPr>
          <w:rStyle w:val="FootnoteAnchor"/>
          <w:rtl w:val="true"/>
        </w:rPr>
        <w:footnoteReference w:id="2342"/>
      </w:r>
      <w:r>
        <w:rPr>
          <w:rFonts w:ascii="IRNazanin" w:hAnsi="IRNazanin" w:eastAsia="IRNazanin"/>
          <w:color w:val="111111"/>
          <w:sz w:val="28"/>
          <w:sz w:val="28"/>
          <w:szCs w:val="28"/>
          <w:rtl w:val="true"/>
          <w:lang w:bidi="fa-IR"/>
        </w:rPr>
        <w:t>مئونة التجهیز،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خلافاً فیه </w:t>
      </w:r>
      <w:r>
        <w:rPr>
          <w:rStyle w:val="FootnoteAnchor"/>
          <w:rtl w:val="true"/>
        </w:rPr>
        <w:footnoteReference w:id="2343"/>
      </w:r>
      <w:r>
        <w:rPr>
          <w:rFonts w:ascii="IRNazanin" w:hAnsi="IRNazanin" w:eastAsia="IRNazanin"/>
          <w:color w:val="111111"/>
          <w:sz w:val="28"/>
          <w:sz w:val="28"/>
          <w:szCs w:val="28"/>
          <w:rtl w:val="true"/>
          <w:lang w:bidi="fa-IR"/>
        </w:rPr>
        <w:t xml:space="preserve">و لعلّه لفحوی وجوب الکفن علیه أو لما مرّ من التعلیل </w:t>
      </w:r>
      <w:r>
        <w:rPr>
          <w:rStyle w:val="FootnoteAnchor"/>
          <w:rtl w:val="true"/>
        </w:rPr>
        <w:footnoteReference w:id="2344"/>
      </w:r>
      <w:r>
        <w:rPr>
          <w:rFonts w:ascii="IRNazanin" w:hAnsi="IRNazanin" w:eastAsia="IRNazanin"/>
          <w:color w:val="111111"/>
          <w:sz w:val="28"/>
          <w:sz w:val="28"/>
          <w:szCs w:val="28"/>
          <w:rtl w:val="true"/>
          <w:lang w:bidi="fa-IR"/>
        </w:rPr>
        <w:t xml:space="preserve">، و فیه إشکال؛ و لأجله توقّف جماعة من متأخّری المتأخّرین </w:t>
      </w:r>
      <w:r>
        <w:rPr>
          <w:rStyle w:val="FootnoteAnchor"/>
          <w:rtl w:val="true"/>
        </w:rPr>
        <w:footnoteReference w:id="2345"/>
      </w:r>
      <w:r>
        <w:rPr>
          <w:rFonts w:ascii="IRNazanin" w:hAnsi="IRNazanin" w:eastAsia="IRNazanin"/>
          <w:color w:val="111111"/>
          <w:sz w:val="28"/>
          <w:sz w:val="28"/>
          <w:szCs w:val="28"/>
          <w:rtl w:val="true"/>
          <w:lang w:bidi="fa-IR"/>
        </w:rPr>
        <w:t xml:space="preserve">تبعاً للمحقّق الأردبیلی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الزوج معسراً لا یملک حتّی بملاحظة ما انتقل منها إلیه ما یفضل عمّا استثنی للمعسر فظاهر الأصحاب کما عن المدارک </w:t>
      </w:r>
      <w:r>
        <w:rPr>
          <w:rStyle w:val="FootnoteAnchor"/>
          <w:rtl w:val="true"/>
        </w:rPr>
        <w:footnoteReference w:id="2347"/>
      </w:r>
      <w:r>
        <w:rPr>
          <w:rFonts w:ascii="IRNazanin" w:hAnsi="IRNazanin" w:eastAsia="IRNazanin"/>
          <w:color w:val="111111"/>
          <w:sz w:val="28"/>
          <w:sz w:val="28"/>
          <w:szCs w:val="28"/>
          <w:rtl w:val="true"/>
          <w:lang w:bidi="fa-IR"/>
        </w:rPr>
        <w:t xml:space="preserve">و الذخیرة </w:t>
      </w:r>
      <w:r>
        <w:rPr>
          <w:rStyle w:val="FootnoteAnchor"/>
          <w:rtl w:val="true"/>
        </w:rPr>
        <w:footnoteReference w:id="2348"/>
      </w:r>
      <w:r>
        <w:rPr>
          <w:rFonts w:ascii="IRNazanin" w:hAnsi="IRNazanin" w:eastAsia="IRNazanin"/>
          <w:color w:val="111111"/>
          <w:sz w:val="28"/>
          <w:sz w:val="28"/>
          <w:szCs w:val="28"/>
          <w:rtl w:val="true"/>
          <w:lang w:bidi="fa-IR"/>
        </w:rPr>
        <w:t xml:space="preserve">و غیرهما </w:t>
      </w:r>
      <w:r>
        <w:rPr>
          <w:rStyle w:val="FootnoteAnchor"/>
          <w:rtl w:val="true"/>
        </w:rPr>
        <w:footnoteReference w:id="2349"/>
      </w:r>
      <w:r>
        <w:rPr>
          <w:rFonts w:ascii="IRNazanin" w:hAnsi="IRNazanin" w:eastAsia="IRNazanin"/>
          <w:color w:val="111111"/>
          <w:sz w:val="28"/>
          <w:sz w:val="28"/>
          <w:szCs w:val="28"/>
          <w:rtl w:val="true"/>
          <w:lang w:bidi="fa-IR"/>
        </w:rPr>
        <w:t>عدم وجوبه علیه، بل تکفّن حینئذٍ من ترکتها؛</w:t>
      </w:r>
    </w:p>
    <w:p>
      <w:pPr>
        <w:pStyle w:val="BookText"/>
        <w:rPr/>
      </w:pPr>
      <w:r>
        <w:rPr>
          <w:rFonts w:ascii="IRNazanin" w:hAnsi="IRNazanin" w:eastAsia="IRNazanin"/>
          <w:color w:val="111111"/>
          <w:sz w:val="28"/>
          <w:sz w:val="28"/>
          <w:szCs w:val="28"/>
          <w:rtl w:val="true"/>
          <w:lang w:bidi="fa-IR"/>
        </w:rPr>
        <w:t xml:space="preserve">لعموم ما دلّ علی إخراج الکفن من صلب الترکة </w:t>
      </w:r>
      <w:r>
        <w:rPr>
          <w:rStyle w:val="FootnoteAnchor"/>
          <w:rtl w:val="true"/>
        </w:rPr>
        <w:footnoteReference w:id="2350"/>
      </w:r>
      <w:r>
        <w:rPr>
          <w:rFonts w:ascii="IRNazanin" w:hAnsi="IRNazanin" w:eastAsia="IRNazanin"/>
          <w:color w:val="111111"/>
          <w:sz w:val="28"/>
          <w:sz w:val="28"/>
          <w:szCs w:val="28"/>
          <w:rtl w:val="true"/>
          <w:lang w:bidi="fa-IR"/>
        </w:rPr>
        <w:t xml:space="preserve">، خرج منه ما دلّ علیه الروایتان المتقدّمتان </w:t>
      </w:r>
      <w:r>
        <w:rPr>
          <w:rStyle w:val="FootnoteAnchor"/>
          <w:rtl w:val="true"/>
        </w:rPr>
        <w:footnoteReference w:id="2351"/>
      </w:r>
      <w:r>
        <w:rPr>
          <w:rFonts w:ascii="IRNazanin" w:hAnsi="IRNazanin" w:eastAsia="IRNazanin"/>
          <w:color w:val="111111"/>
          <w:sz w:val="28"/>
          <w:sz w:val="28"/>
          <w:szCs w:val="28"/>
          <w:rtl w:val="true"/>
          <w:lang w:bidi="fa-IR"/>
        </w:rPr>
        <w:t xml:space="preserve">المخصّصتان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فی حقّه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الزوج الموسر؛ لما دلّ علی أنّ المعسر لا یطالب بشی‌ء </w:t>
      </w:r>
      <w:r>
        <w:rPr>
          <w:rStyle w:val="FootnoteAnchor"/>
          <w:rtl w:val="true"/>
        </w:rPr>
        <w:footnoteReference w:id="2352"/>
      </w:r>
      <w:r>
        <w:rPr>
          <w:rFonts w:ascii="IRNazanin" w:hAnsi="IRNazanin" w:eastAsia="IRNazanin"/>
          <w:color w:val="111111"/>
          <w:sz w:val="28"/>
          <w:sz w:val="28"/>
          <w:szCs w:val="28"/>
          <w:rtl w:val="true"/>
          <w:lang w:bidi="fa-IR"/>
        </w:rPr>
        <w:t>،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سوق الروایات فی مقام بیان استقرار ذلک فی ذمّته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دین، و لذا لم یفرّق فی الزوج بین الصبیّ و المجنون و غیرهما، و قد احتمل فی محکیّ المدارک </w:t>
      </w:r>
      <w:r>
        <w:rPr>
          <w:rStyle w:val="FootnoteAnchor"/>
          <w:rtl w:val="true"/>
        </w:rPr>
        <w:footnoteReference w:id="2353"/>
      </w:r>
      <w:r>
        <w:rPr>
          <w:rFonts w:ascii="IRNazanin" w:hAnsi="IRNazanin" w:eastAsia="IRNazanin"/>
          <w:color w:val="111111"/>
          <w:sz w:val="28"/>
          <w:sz w:val="28"/>
          <w:szCs w:val="28"/>
          <w:rtl w:val="true"/>
          <w:lang w:bidi="fa-IR"/>
        </w:rPr>
        <w:t xml:space="preserve">و الذخیرة </w:t>
      </w:r>
      <w:r>
        <w:rPr>
          <w:rStyle w:val="FootnoteAnchor"/>
          <w:rtl w:val="true"/>
        </w:rPr>
        <w:footnoteReference w:id="2354"/>
      </w:r>
      <w:r>
        <w:rPr>
          <w:rFonts w:ascii="IRNazanin" w:hAnsi="IRNazanin" w:eastAsia="IRNazanin"/>
          <w:color w:val="111111"/>
          <w:sz w:val="28"/>
          <w:sz w:val="28"/>
          <w:szCs w:val="28"/>
          <w:rtl w:val="true"/>
          <w:lang w:bidi="fa-IR"/>
        </w:rPr>
        <w:t>شمول الحکم للزوج المعسر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بعض المعاصرین </w:t>
      </w:r>
      <w:r>
        <w:rPr>
          <w:rStyle w:val="FootnoteAnchor"/>
          <w:rtl w:val="true"/>
        </w:rPr>
        <w:footnoteReference w:id="2355"/>
      </w:r>
      <w:r>
        <w:rPr>
          <w:rFonts w:ascii="IRNazanin" w:hAnsi="IRNazanin" w:eastAsia="IRNazanin"/>
          <w:color w:val="111111"/>
          <w:sz w:val="28"/>
          <w:sz w:val="28"/>
          <w:szCs w:val="28"/>
          <w:rtl w:val="true"/>
          <w:lang w:bidi="fa-IR"/>
        </w:rPr>
        <w:t>بناءً علی عدم خطاب الزوج المعسر به دفنها بلا کفن؛ لأنّ أدلّة ثبوت الکفن فی المال لا تشمل الزوجة، و المفروض عدم خطاب الزوج أیضاً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فیما ذکره فی المدارک و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من ذلک صیرورة الکفن مزاحماً لما یجب علی المعسر بذله من نفقة واجبی النفقة و یجب له بقاؤه من داره و ثیابه و نحو ذلک، فلا دلیل علیه، بل ما دلّ علی استثنائها فی وجوب وفاء الدین یدلّ علی استثنائها فی وجوب کفن المرأة، لأنّه أیضاً</w:t>
      </w:r>
    </w:p>
    <w:p>
      <w:pPr>
        <w:pStyle w:val="BookText"/>
        <w:rPr/>
      </w:pPr>
      <w:r>
        <w:rPr>
          <w:rFonts w:ascii="IRNazanin" w:hAnsi="IRNazanin" w:eastAsia="IRNazanin"/>
          <w:color w:val="111111"/>
          <w:sz w:val="28"/>
          <w:sz w:val="28"/>
          <w:szCs w:val="28"/>
          <w:rtl w:val="true"/>
          <w:lang w:bidi="fa-IR"/>
        </w:rPr>
        <w:t>دین من الدیون؛ و لذا یقدّم کفن الزوج علیه إذا مات بعدها کما سیجی‌ء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 الواردة فی مستثنیات الدین کصحیحة الحلبی أو حسنته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تباع الدار فی الدین و لا الخادم و ذلک لأنّه لا بدّ للرجل من ظلّ یسکنه و خادم</w:t>
      </w:r>
      <w:r>
        <w:rPr>
          <w:rFonts w:eastAsia="IRNazanin" w:cs="IRNazanin"/>
          <w:color w:val="111111"/>
          <w:sz w:val="28"/>
          <w:szCs w:val="28"/>
          <w:rtl w:val="true"/>
          <w:lang w:bidi="fa-IR"/>
        </w:rPr>
        <w:t xml:space="preserve">» </w:t>
      </w:r>
      <w:r>
        <w:rPr>
          <w:rStyle w:val="FootnoteAnchor"/>
          <w:rtl w:val="true"/>
        </w:rPr>
        <w:footnoteReference w:id="2356"/>
      </w:r>
      <w:r>
        <w:rPr>
          <w:rFonts w:ascii="IRNazanin" w:hAnsi="IRNazanin" w:eastAsia="IRNazanin"/>
          <w:color w:val="111111"/>
          <w:sz w:val="28"/>
          <w:sz w:val="28"/>
          <w:szCs w:val="28"/>
          <w:rtl w:val="true"/>
          <w:lang w:bidi="fa-IR"/>
        </w:rPr>
        <w:t>دلالة علی أنّ ضروریّات معاش الرجل لا یزاحمها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جعل التکفین من باب الإنفاق و تحمّل المئونة أمکن القول بالمزاحمة؛ لکنّه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ضعف </w:t>
      </w:r>
      <w:r>
        <w:rPr>
          <w:rStyle w:val="FootnoteAnchor"/>
          <w:rtl w:val="true"/>
        </w:rPr>
        <w:footnoteReference w:id="2357"/>
      </w:r>
      <w:r>
        <w:rPr>
          <w:rFonts w:ascii="IRNazanin" w:hAnsi="IRNazanin" w:eastAsia="IRNazanin"/>
          <w:color w:val="111111"/>
          <w:sz w:val="28"/>
          <w:sz w:val="28"/>
          <w:szCs w:val="28"/>
          <w:rtl w:val="true"/>
          <w:lang w:bidi="fa-IR"/>
        </w:rPr>
        <w:t>تعلیل أصل الحکم بوجوب الإنفاق؛ و لذا لا یستقرّ فی ذمّة الزوج بعد تکفینها من مالها و دفنها، مع أنّ نفقة الزوجة تبقی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بذلک استقراره علیه و عدم سقوطه عنه بالإعسار، بحیث لو اتّفق غناؤه قبل التکفین بکفن آخر، بل قبل الدفن، و إن کان بعد التکفین بمالها، عاد الوجوب علیه، و عادت کفنها إلی ورثتها، و کذا لو اتّفق موته معسراً قبل تکفینها وجب إخراج الکفن من ترکته، فهو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صار غنیّاً بعد دفنها لم یکن لورثتها مطالبة؛ لأنّ الواجب کسوتها بالکفن، لا بذل المال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دفنها بلا کفن و إن کانت موسرة؛ لما تقدّم من خروج الزوجة عن عموم ما دلّ علی أخذ الکفن من الترکة و عدم وجوبه علی الزوج المعسر </w:t>
      </w:r>
      <w:r>
        <w:rPr>
          <w:rStyle w:val="FootnoteAnchor"/>
          <w:rtl w:val="true"/>
        </w:rPr>
        <w:footnoteReference w:id="2358"/>
      </w:r>
      <w:r>
        <w:rPr>
          <w:rFonts w:ascii="IRNazanin" w:hAnsi="IRNazanin" w:eastAsia="IRNazanin"/>
          <w:color w:val="111111"/>
          <w:sz w:val="28"/>
          <w:sz w:val="28"/>
          <w:szCs w:val="28"/>
          <w:rtl w:val="true"/>
          <w:lang w:bidi="fa-IR"/>
        </w:rPr>
        <w:t>فهو ضعیف جدّاً؛ أمّا علی القول بعدم استقراره فی ذمّة المعسر، فالضعف واضح؛ لأنّ عموم وجوب الکفن فی</w:t>
      </w:r>
    </w:p>
    <w:p>
      <w:pPr>
        <w:pStyle w:val="BookText"/>
        <w:rPr/>
      </w:pPr>
      <w:r>
        <w:rPr>
          <w:rFonts w:ascii="IRNazanin" w:hAnsi="IRNazanin" w:eastAsia="IRNazanin"/>
          <w:color w:val="111111"/>
          <w:sz w:val="28"/>
          <w:sz w:val="28"/>
          <w:szCs w:val="28"/>
          <w:rtl w:val="true"/>
          <w:lang w:bidi="fa-IR"/>
        </w:rPr>
        <w:t>الترکة بالنسبة إلی زوجة المعسر باق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القول باستقراره علیه مع عدم خطابه به لأجل الإعسار کسائر الدیون؛ فللقطع بأنّ المراد من أدلّة وجوب أخذ الکفن من الترکة بیان مأخذ الکفن بالذات، و إنّما دلّ النصّ و الإجماع علی تحمّل الزوج إیّاه عن زوجته، فحیث لا تحمّل وجب فی مالها علی ما هو 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بین عدم مال للزوج أو وجود مال تعلّق به حقّ الدیان أو بعضهم بحجر أو رهن أو غیرهما، و قد نبّه علی المرهون فی جامع المقاصد </w:t>
      </w:r>
      <w:r>
        <w:rPr>
          <w:rStyle w:val="FootnoteAnchor"/>
          <w:rtl w:val="true"/>
        </w:rPr>
        <w:footnoteReference w:id="2359"/>
      </w:r>
      <w:r>
        <w:rPr>
          <w:rFonts w:ascii="IRNazanin" w:hAnsi="IRNazanin" w:eastAsia="IRNazanin"/>
          <w:color w:val="111111"/>
          <w:sz w:val="28"/>
          <w:sz w:val="28"/>
          <w:szCs w:val="28"/>
          <w:rtl w:val="true"/>
          <w:lang w:bidi="fa-IR"/>
        </w:rPr>
        <w:t xml:space="preserve">و الروض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ماتا معاً فالظاهر سقوط کفنها عنه، وفاقاً للذکری </w:t>
      </w:r>
      <w:r>
        <w:rPr>
          <w:rStyle w:val="FootnoteAnchor"/>
          <w:rtl w:val="true"/>
        </w:rPr>
        <w:footnoteReference w:id="2361"/>
      </w:r>
      <w:r>
        <w:rPr>
          <w:rFonts w:ascii="IRNazanin" w:hAnsi="IRNazanin" w:eastAsia="IRNazanin"/>
          <w:color w:val="111111"/>
          <w:sz w:val="28"/>
          <w:sz w:val="28"/>
          <w:szCs w:val="28"/>
          <w:rtl w:val="true"/>
          <w:lang w:bidi="fa-IR"/>
        </w:rPr>
        <w:t xml:space="preserve">و جماعة ممّن تأخّر عنه، کالمقداد </w:t>
      </w:r>
      <w:r>
        <w:rPr>
          <w:rStyle w:val="FootnoteAnchor"/>
          <w:rtl w:val="true"/>
        </w:rPr>
        <w:footnoteReference w:id="2362"/>
      </w:r>
      <w:r>
        <w:rPr>
          <w:rFonts w:ascii="IRNazanin" w:hAnsi="IRNazanin" w:eastAsia="IRNazanin"/>
          <w:color w:val="111111"/>
          <w:sz w:val="28"/>
          <w:sz w:val="28"/>
          <w:szCs w:val="28"/>
          <w:rtl w:val="true"/>
          <w:lang w:bidi="fa-IR"/>
        </w:rPr>
        <w:t xml:space="preserve">و الشهید </w:t>
      </w:r>
      <w:r>
        <w:rPr>
          <w:rStyle w:val="FootnoteAnchor"/>
          <w:rtl w:val="true"/>
        </w:rPr>
        <w:footnoteReference w:id="2363"/>
      </w:r>
      <w:r>
        <w:rPr>
          <w:rFonts w:ascii="Amiri" w:hAnsi="Amiri" w:eastAsia="Amiri" w:cs="Amiri"/>
          <w:color w:val="111111"/>
          <w:sz w:val="28"/>
          <w:sz w:val="28"/>
          <w:szCs w:val="28"/>
          <w:rtl w:val="true"/>
          <w:lang w:bidi="ar-SA"/>
        </w:rPr>
        <w:t xml:space="preserve">و المحقّق </w:t>
      </w:r>
      <w:r>
        <w:rPr>
          <w:rStyle w:val="FootnoteAnchor"/>
          <w:rtl w:val="true"/>
        </w:rPr>
        <w:footnoteReference w:id="2364"/>
      </w:r>
      <w:r>
        <w:rPr>
          <w:rFonts w:ascii="IRNazanin" w:hAnsi="IRNazanin" w:eastAsia="IRNazanin"/>
          <w:color w:val="111111"/>
          <w:sz w:val="28"/>
          <w:sz w:val="28"/>
          <w:szCs w:val="28"/>
          <w:rtl w:val="true"/>
          <w:lang w:bidi="fa-IR"/>
        </w:rPr>
        <w:t>الثانیین؛ لعدم انصراف النصّ و الفتوی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مات الزوج بعدها لم یسقط عن ماله کفنها، و لو لم یخلّف إلّا مقدار کفن واحد، کفّن به، وفاقاً للجماعة المتقدّمة؛ لتقدّم کفنه علی سائر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 تعلّق حقّها به مدفوع بعدم تعلّق حقّها بالعین، بل لو تعلّق</w:t>
      </w:r>
    </w:p>
    <w:p>
      <w:pPr>
        <w:pStyle w:val="BookText"/>
        <w:rPr/>
      </w:pPr>
      <w:r>
        <w:rPr>
          <w:rFonts w:ascii="IRNazanin" w:hAnsi="IRNazanin" w:eastAsia="IRNazanin"/>
          <w:color w:val="111111"/>
          <w:sz w:val="28"/>
          <w:sz w:val="28"/>
          <w:szCs w:val="28"/>
          <w:rtl w:val="true"/>
          <w:lang w:bidi="fa-IR"/>
        </w:rPr>
        <w:t>حقّها بها أیضاً کان کفنه مقدّماً علی الحقوق المتعلّقة بالعین أیضاً،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ظاهراً بین ما لو مات بعد وضع الکفن علیها أو قبله، و لا بین دفنها و عدمه؛ لما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بعد وضعه علیها فالأقوی أیضاً وجوب نزعه؛ لعدم القطع بخروجه بذلک عن ملک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فی الروض اختصاصها،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الدفن فلا إشکال فی الاختصاص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إشکال إذا اتّفق إخراجه و تلبّسه؛ بعدم القطع بالخروج عن ملک الزوج،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یخلّف شیئاً و خلّفت المرأة کفناً، ففی اختصاصها أو اختصاصه، وجهان مبنیّان علی أنّ الکفن المذکور انتقل إلی الزوج إلّا أنّه وجب علیه تکفینها به، أو لم ینتقل إلیه؛ لأنّه معسر، فلا ینتقل الکفن عنها؛ لأنّ الکفن مقدّم علی الإرث</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یلزمه ظاهراً أنّها لو خلّفت زائداً علی الکفن فلا ینتقل إلی الزوج و لا إلی غیره شی‌ءٌ ممّا یقابل الکفن؛ لأنّ الإرث بعد الکفن حیث وجب فی مالها، إلّا أنّ المذکور فی حاشیة الإرشاد للمحقّق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الزوج معسراً فالکفن فی مالها، و فی احتسابه علیه من حصّة إرثها وجهان، أقواهما الاحتساب </w:t>
      </w:r>
      <w:r>
        <w:rPr>
          <w:rStyle w:val="FootnoteAnchor"/>
          <w:rtl w:val="true"/>
        </w:rPr>
        <w:footnoteReference w:id="236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بین ما لو لم تخلّف سوی الکفن فلا ینتقل، و بین ما لو خلّفت غیره فینتقل الکلّ،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الکفن علی ملک الزوج حتّی لو أعرض عنه بمجرّد بذله للزوجة، و حینئذٍ فلو وجد الکفن و یئس عن المیّت بأن أکله السبع، فالظاهر بقاء الکفن علی ملک الزوج، و لا دلیل علی انتقاله إلی ورثة الزوجة، و لا علی کونه فی حکم مال المیّت الذی لا ینتقل إلی الورثة کأرش الجنایة علی المیّت بعد الموت و لا علی کونه کالمباحات؛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الزوجة إنّما استحقّت الکسوة بالکفن، نظیر کسوتها فی حال حیاتها؛ بناءً علی القول بأنّها إمتاع لا تملیک، و لا فرق فی ذلک بین ما قبل وضعه علیها، و بین ما بعده، حتّی بعد الدفن إذا فرض إخراجها ثمّ الیأس منها مع بقاء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وجه النظر فیما ذکره فی الروض </w:t>
      </w:r>
      <w:r>
        <w:rPr>
          <w:rStyle w:val="FootnoteAnchor"/>
          <w:rtl w:val="true"/>
        </w:rPr>
        <w:footnoteReference w:id="2367"/>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2368"/>
      </w:r>
      <w:r>
        <w:rPr>
          <w:rFonts w:ascii="IRNazanin" w:hAnsi="IRNazanin" w:eastAsia="IRNazanin"/>
          <w:color w:val="111111"/>
          <w:sz w:val="28"/>
          <w:sz w:val="28"/>
          <w:szCs w:val="28"/>
          <w:rtl w:val="true"/>
          <w:lang w:bidi="fa-IR"/>
        </w:rPr>
        <w:t>، حیث تردّدا فیما لو وجد الکفن و یئس عن المیّت، فاحتملا کونه لورثتها؛ لاستحقاقها له، و عودها إلی الزوج؛ لعدم القطع بخروجه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فی الروض فیما تقدّم من فرض موت الزوج بعد الزوجة و لم یخلف إلّا کفناً واحداً من أنّه لو کان موت الزوج بعد وضع الکفن علی الزوجة أمکن اختصاصها به، أمّا بعد الدفن فلا إشکال فی الاختصاص</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خلاف ظاهراً فی عدم وجوب کفن سائر واجبی النفقة</w:t>
      </w:r>
      <w:bookmarkStart w:id="351" w:name="pg13042_127269"/>
    </w:p>
    <w:p>
      <w:pPr>
        <w:pStyle w:val="BookText"/>
        <w:rPr/>
      </w:pPr>
      <w:bookmarkEnd w:id="351"/>
      <w:r>
        <w:rPr>
          <w:rFonts w:ascii="IRNazanin" w:hAnsi="IRNazanin" w:eastAsia="IRNazanin"/>
          <w:color w:val="111111"/>
          <w:sz w:val="28"/>
          <w:sz w:val="28"/>
          <w:szCs w:val="28"/>
          <w:rtl w:val="true"/>
          <w:lang w:bidi="fa-IR"/>
        </w:rPr>
        <w:t xml:space="preserve">علی الشخص؛ للأصل و عدم الدلیل، بل یظهر من الروض أنّه من المسلّمات، حیث نقض الاستدلال علی وجوب کفن المرأة بوجوب إنفاقها بغیرها ممّن یجب الإنفاق علیه </w:t>
      </w:r>
      <w:r>
        <w:rPr>
          <w:rStyle w:val="FootnoteAnchor"/>
          <w:rtl w:val="true"/>
        </w:rPr>
        <w:footnoteReference w:id="2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استظهر عدم الخلاف أیضاً بعض المعاصرین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کفن المملوک علی مولاه إجماعاً، کما فی الذکری </w:t>
      </w:r>
      <w:r>
        <w:rPr>
          <w:rStyle w:val="FootnoteAnchor"/>
          <w:rtl w:val="true"/>
        </w:rPr>
        <w:footnoteReference w:id="2371"/>
      </w:r>
      <w:r>
        <w:rPr>
          <w:rFonts w:ascii="IRNazanin" w:hAnsi="IRNazanin" w:eastAsia="IRNazanin"/>
          <w:color w:val="111111"/>
          <w:sz w:val="28"/>
          <w:sz w:val="28"/>
          <w:szCs w:val="28"/>
          <w:rtl w:val="true"/>
          <w:lang w:bidi="fa-IR"/>
        </w:rPr>
        <w:t xml:space="preserve">و الروض </w:t>
      </w:r>
      <w:r>
        <w:rPr>
          <w:rStyle w:val="FootnoteAnchor"/>
          <w:rtl w:val="true"/>
        </w:rPr>
        <w:footnoteReference w:id="2372"/>
      </w:r>
      <w:r>
        <w:rPr>
          <w:rFonts w:ascii="IRNazanin" w:hAnsi="IRNazanin" w:eastAsia="IRNazanin"/>
          <w:color w:val="111111"/>
          <w:sz w:val="28"/>
          <w:sz w:val="28"/>
          <w:szCs w:val="28"/>
          <w:rtl w:val="true"/>
          <w:lang w:bidi="fa-IR"/>
        </w:rPr>
        <w:t xml:space="preserve">و غیرهما </w:t>
      </w:r>
      <w:r>
        <w:rPr>
          <w:rStyle w:val="FootnoteAnchor"/>
          <w:rtl w:val="true"/>
        </w:rPr>
        <w:footnoteReference w:id="2373"/>
      </w:r>
      <w:r>
        <w:rPr>
          <w:rFonts w:ascii="IRNazanin" w:hAnsi="IRNazanin" w:eastAsia="IRNazanin"/>
          <w:color w:val="111111"/>
          <w:sz w:val="28"/>
          <w:sz w:val="28"/>
          <w:szCs w:val="28"/>
          <w:rtl w:val="true"/>
          <w:lang w:bidi="fa-IR"/>
        </w:rPr>
        <w:t>، و لا فرق بین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تحرّر عن المکاتب وجب علیه و علی المولی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تحصل من جزء الرقّیة ما تستر العورة، و لم یحصل لجزء الحریّة شی‌ء یتمّ به ذلک، أمکن سقوطه عن المولی؛ لعدم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مال المولی ممّا یمنع التصرّف فیه؛ لرهن و نحوه، فکما تقدّم فی مال الزوج</w:t>
      </w:r>
      <w:r>
        <w:rPr>
          <w:rFonts w:eastAsia="IRNazanin" w:cs="IRNazanin"/>
          <w:color w:val="111111"/>
          <w:sz w:val="28"/>
          <w:szCs w:val="28"/>
          <w:rtl w:val="true"/>
          <w:lang w:bidi="fa-IR"/>
        </w:rPr>
        <w:t>.</w:t>
      </w:r>
    </w:p>
    <w:p>
      <w:pPr>
        <w:pStyle w:val="Heading6"/>
        <w:numPr>
          <w:ilvl w:val="5"/>
          <w:numId w:val="1"/>
        </w:numPr>
        <w:rPr/>
      </w:pPr>
      <w:bookmarkStart w:id="352" w:name="__RefHeading___Toc6530328_3224264995"/>
      <w:bookmarkStart w:id="353" w:name="_Toc136"/>
      <w:bookmarkEnd w:id="352"/>
      <w:r>
        <w:rPr>
          <w:rtl w:val="true"/>
        </w:rPr>
        <w:t>[</w:t>
      </w:r>
      <w:r>
        <w:rPr>
          <w:rtl w:val="true"/>
        </w:rPr>
        <w:t>یقدّم الکفن الواجب ثم الدیون ثم الوصایا ثم المیراث</w:t>
      </w:r>
      <w:r>
        <w:rPr>
          <w:rtl w:val="true"/>
        </w:rPr>
        <w:t>]</w:t>
      </w:r>
      <w:bookmarkEnd w:id="35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لا خلاف بین المسلمین إلّا من شذّ من الجمهور </w:t>
      </w:r>
      <w:r>
        <w:rPr>
          <w:rStyle w:val="FootnoteAnchor"/>
          <w:rtl w:val="true"/>
        </w:rPr>
        <w:footnoteReference w:id="2374"/>
      </w:r>
      <w:r>
        <w:rPr>
          <w:rFonts w:ascii="IRNazanin" w:hAnsi="IRNazanin" w:eastAsia="IRNazanin"/>
          <w:color w:val="111111"/>
          <w:sz w:val="28"/>
          <w:sz w:val="28"/>
          <w:szCs w:val="28"/>
          <w:rtl w:val="true"/>
          <w:lang w:bidi="fa-IR"/>
        </w:rPr>
        <w:t xml:space="preserve">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علی الدیون و الوصایا و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المندوب، و إن کان ثیاب التجمّل مقدّمة علی الدین فی الحیّ؛ للفرق بأنّ الحیّ یحتاج إلی التجمّل و المیّت إلی براءة الذمّة أحوج، و لا فرق بین تعلّق الندبیّة بموجود مستقلّ کالقِطَع المندوبة أم تعلّقت بخصوصیّة من</w:t>
      </w:r>
    </w:p>
    <w:p>
      <w:pPr>
        <w:pStyle w:val="BookText"/>
        <w:rPr/>
      </w:pPr>
      <w:r>
        <w:rPr>
          <w:rFonts w:ascii="IRNazanin" w:hAnsi="IRNazanin" w:eastAsia="IRNazanin"/>
          <w:color w:val="111111"/>
          <w:sz w:val="28"/>
          <w:sz w:val="28"/>
          <w:szCs w:val="28"/>
          <w:rtl w:val="true"/>
          <w:lang w:bidi="fa-IR"/>
        </w:rPr>
        <w:t>خصوصیّات الکفن الواجب، کإجادة الکفن و کون الإزار الواجب برداً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 القسم الثانی؛ بناءً علی أنّ المندوب أحد أفراد القدر المشترک الواجب، فللولیّ المخاطب بالمباشرة اختیاره،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لیس فی اختیار الولیّ، بل الکلام فی المتعلّق بالترکة، فإذا فرض أنّ المتعلّق بها هو القدر المشترک فلا تسلّط للولیّ علی مزاحمة الوارث بعد بذل الوارث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فی أصل المسألة قبل الإجماع المحقّق و المستفیض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 فی من وقصت </w:t>
      </w:r>
      <w:r>
        <w:rPr>
          <w:rStyle w:val="FootnoteAnchor"/>
          <w:rtl w:val="true"/>
        </w:rPr>
        <w:footnoteReference w:id="2375"/>
      </w:r>
      <w:r>
        <w:rPr>
          <w:rFonts w:ascii="IRNazanin" w:hAnsi="IRNazanin" w:eastAsia="IRNazanin"/>
          <w:color w:val="111111"/>
          <w:sz w:val="28"/>
          <w:sz w:val="28"/>
          <w:szCs w:val="28"/>
          <w:rtl w:val="true"/>
          <w:lang w:bidi="fa-IR"/>
        </w:rPr>
        <w:t>به راحلته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کفِّنوه فی ثوبیه</w:t>
      </w:r>
      <w:r>
        <w:rPr>
          <w:rFonts w:eastAsia="IRNazanin" w:cs="IRNazanin"/>
          <w:color w:val="111111"/>
          <w:sz w:val="28"/>
          <w:szCs w:val="28"/>
          <w:rtl w:val="true"/>
          <w:lang w:bidi="fa-IR"/>
        </w:rPr>
        <w:t xml:space="preserve">» </w:t>
      </w:r>
      <w:r>
        <w:rPr>
          <w:rStyle w:val="FootnoteAnchor"/>
          <w:rtl w:val="true"/>
        </w:rPr>
        <w:footnoteReference w:id="2376"/>
      </w:r>
      <w:r>
        <w:rPr>
          <w:rFonts w:ascii="IRNazanin" w:hAnsi="IRNazanin" w:eastAsia="IRNazanin"/>
          <w:color w:val="111111"/>
          <w:sz w:val="28"/>
          <w:sz w:val="28"/>
          <w:szCs w:val="28"/>
          <w:rtl w:val="true"/>
          <w:lang w:bidi="fa-IR"/>
        </w:rPr>
        <w:t>و لم یسأل عن ثلثه، و فی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الکفن من جمیع المال</w:t>
      </w:r>
      <w:r>
        <w:rPr>
          <w:rFonts w:eastAsia="IRNazanin" w:cs="IRNazanin"/>
          <w:color w:val="111111"/>
          <w:sz w:val="28"/>
          <w:szCs w:val="28"/>
          <w:rtl w:val="true"/>
          <w:lang w:bidi="fa-IR"/>
        </w:rPr>
        <w:t xml:space="preserve">» </w:t>
      </w:r>
      <w:r>
        <w:rPr>
          <w:rStyle w:val="FootnoteAnchor"/>
          <w:rtl w:val="true"/>
        </w:rPr>
        <w:footnoteReference w:id="2377"/>
      </w:r>
      <w:r>
        <w:rPr>
          <w:rFonts w:ascii="IRNazanin" w:hAnsi="IRNazanin" w:eastAsia="IRNazanin"/>
          <w:color w:val="111111"/>
          <w:sz w:val="28"/>
          <w:sz w:val="28"/>
          <w:szCs w:val="28"/>
          <w:rtl w:val="true"/>
          <w:lang w:bidi="fa-IR"/>
        </w:rPr>
        <w:t>و روایة السکونی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شی‌ء یبدأ به من المال الکفن، ثمّ الدین، ثمّ المیراث</w:t>
      </w:r>
      <w:r>
        <w:rPr>
          <w:rFonts w:eastAsia="IRNazanin" w:cs="IRNazanin"/>
          <w:color w:val="111111"/>
          <w:sz w:val="28"/>
          <w:szCs w:val="28"/>
          <w:rtl w:val="true"/>
          <w:lang w:bidi="fa-IR"/>
        </w:rPr>
        <w:t xml:space="preserve">» </w:t>
      </w:r>
      <w:r>
        <w:rPr>
          <w:rStyle w:val="FootnoteAnchor"/>
          <w:rtl w:val="true"/>
        </w:rPr>
        <w:footnoteReference w:id="2378"/>
      </w:r>
      <w:r>
        <w:rPr>
          <w:rFonts w:ascii="IRNazanin" w:hAnsi="IRNazanin" w:eastAsia="IRNazanin"/>
          <w:color w:val="111111"/>
          <w:sz w:val="28"/>
          <w:sz w:val="28"/>
          <w:szCs w:val="28"/>
          <w:rtl w:val="true"/>
          <w:lang w:bidi="fa-IR"/>
        </w:rPr>
        <w:t>و فی مصحّحة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 علیه دین، و خلّف قدر ثمن کفنه؟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ما ترک فی ثمن کفنه إلّا أن یتّجر علیه إنسان فیکفّنه و یقضی دینه بما ترک</w:t>
      </w:r>
      <w:r>
        <w:rPr>
          <w:rFonts w:eastAsia="IRNazanin" w:cs="IRNazanin"/>
          <w:color w:val="111111"/>
          <w:sz w:val="28"/>
          <w:szCs w:val="28"/>
          <w:rtl w:val="true"/>
          <w:lang w:bidi="fa-IR"/>
        </w:rPr>
        <w:t xml:space="preserve">»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إطلاق الأخبار و کلام الأصحاب کما اعترف به فی جامع المقاصد </w:t>
      </w:r>
      <w:r>
        <w:rPr>
          <w:rStyle w:val="FootnoteAnchor"/>
          <w:rtl w:val="true"/>
        </w:rPr>
        <w:footnoteReference w:id="2380"/>
      </w:r>
    </w:p>
    <w:p>
      <w:pPr>
        <w:pStyle w:val="BookText"/>
        <w:rPr/>
      </w:pPr>
      <w:r>
        <w:rPr>
          <w:rFonts w:ascii="IRNazanin" w:hAnsi="IRNazanin" w:eastAsia="IRNazanin"/>
          <w:color w:val="111111"/>
          <w:sz w:val="28"/>
          <w:sz w:val="28"/>
          <w:szCs w:val="28"/>
          <w:rtl w:val="true"/>
          <w:lang w:bidi="fa-IR"/>
        </w:rPr>
        <w:t xml:space="preserve">و الروض </w:t>
      </w:r>
      <w:r>
        <w:rPr>
          <w:rStyle w:val="FootnoteAnchor"/>
          <w:rtl w:val="true"/>
        </w:rPr>
        <w:footnoteReference w:id="2381"/>
      </w:r>
      <w:r>
        <w:rPr>
          <w:rFonts w:ascii="IRNazanin" w:hAnsi="IRNazanin" w:eastAsia="IRNazanin"/>
          <w:color w:val="111111"/>
          <w:sz w:val="28"/>
          <w:sz w:val="28"/>
          <w:szCs w:val="28"/>
          <w:rtl w:val="true"/>
          <w:lang w:bidi="fa-IR"/>
        </w:rPr>
        <w:t xml:space="preserve">و المدارک </w:t>
      </w:r>
      <w:r>
        <w:rPr>
          <w:rStyle w:val="FootnoteAnchor"/>
          <w:rtl w:val="true"/>
        </w:rPr>
        <w:footnoteReference w:id="2382"/>
      </w:r>
      <w:r>
        <w:rPr>
          <w:rFonts w:ascii="IRNazanin" w:hAnsi="IRNazanin" w:eastAsia="IRNazanin"/>
          <w:color w:val="111111"/>
          <w:sz w:val="28"/>
          <w:sz w:val="28"/>
          <w:szCs w:val="28"/>
          <w:rtl w:val="true"/>
          <w:lang w:bidi="fa-IR"/>
        </w:rPr>
        <w:t xml:space="preserve">و الذخیرة </w:t>
      </w:r>
      <w:r>
        <w:rPr>
          <w:rStyle w:val="FootnoteAnchor"/>
          <w:rtl w:val="true"/>
        </w:rPr>
        <w:footnoteReference w:id="2383"/>
      </w:r>
      <w:r>
        <w:rPr>
          <w:rFonts w:ascii="IRNazanin" w:hAnsi="IRNazanin" w:eastAsia="IRNazanin"/>
          <w:color w:val="111111"/>
          <w:sz w:val="28"/>
          <w:sz w:val="28"/>
          <w:szCs w:val="28"/>
          <w:rtl w:val="true"/>
          <w:lang w:bidi="fa-IR"/>
        </w:rPr>
        <w:t xml:space="preserve">و الریاض </w:t>
      </w:r>
      <w:r>
        <w:rPr>
          <w:rStyle w:val="FootnoteAnchor"/>
          <w:rtl w:val="true"/>
        </w:rPr>
        <w:footnoteReference w:id="2384"/>
      </w:r>
      <w:r>
        <w:rPr>
          <w:rFonts w:ascii="IRNazanin" w:hAnsi="IRNazanin" w:eastAsia="IRNazanin"/>
          <w:color w:val="111111"/>
          <w:sz w:val="28"/>
          <w:sz w:val="28"/>
          <w:szCs w:val="28"/>
          <w:rtl w:val="true"/>
          <w:lang w:bidi="fa-IR"/>
        </w:rPr>
        <w:t xml:space="preserve">یقضی بوجوب تقدّم الکفن علی حقّ المرتهن، و هو کذلک، وفاقاً للمحکیّ عن البیان </w:t>
      </w:r>
      <w:r>
        <w:rPr>
          <w:rStyle w:val="FootnoteAnchor"/>
          <w:rtl w:val="true"/>
        </w:rPr>
        <w:footnoteReference w:id="2385"/>
      </w:r>
      <w:r>
        <w:rPr>
          <w:rFonts w:ascii="IRNazanin" w:hAnsi="IRNazanin" w:eastAsia="IRNazanin"/>
          <w:color w:val="111111"/>
          <w:sz w:val="28"/>
          <w:sz w:val="28"/>
          <w:szCs w:val="28"/>
          <w:rtl w:val="true"/>
          <w:lang w:bidi="fa-IR"/>
        </w:rPr>
        <w:t>لأنّه مقتضی روایة السکونی و صحیحة زرارة المتقدّمتین الحاکمتین علی مقتضی أدلّة تعلّق حقّ المرتهن و الغرماء؛ لأنّ حقّهم إنّما یتعلّق بالشی‌ء إذا وجب إیفاء دیونهم، و نمنع هنا وجوب الإیفاء بأدلّة تقدّم الکفن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للذکری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المرتهن مقدّم، بخلاف غرماء المفلس </w:t>
      </w:r>
      <w:r>
        <w:rPr>
          <w:rStyle w:val="FootnoteAnchor"/>
          <w:rtl w:val="true"/>
        </w:rPr>
        <w:footnoteReference w:id="23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عرفت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تردّد فی ذلک و فی تقدّمه علی حقّ المجنیّ علیه المحقّق </w:t>
      </w:r>
      <w:r>
        <w:rPr>
          <w:rStyle w:val="FootnoteAnchor"/>
          <w:rtl w:val="true"/>
        </w:rPr>
        <w:footnoteReference w:id="2387"/>
      </w:r>
      <w:r>
        <w:rPr>
          <w:rFonts w:ascii="IRNazanin" w:hAnsi="IRNazanin" w:eastAsia="IRNazanin"/>
          <w:color w:val="111111"/>
          <w:sz w:val="28"/>
          <w:sz w:val="28"/>
          <w:szCs w:val="28"/>
          <w:rtl w:val="true"/>
          <w:lang w:bidi="fa-IR"/>
        </w:rPr>
        <w:t xml:space="preserve">و الشهید </w:t>
      </w:r>
      <w:r>
        <w:rPr>
          <w:rStyle w:val="FootnoteAnchor"/>
          <w:rtl w:val="true"/>
        </w:rPr>
        <w:footnoteReference w:id="2388"/>
      </w:r>
      <w:r>
        <w:rPr>
          <w:rFonts w:ascii="IRNazanin" w:hAnsi="IRNazanin" w:eastAsia="IRNazanin"/>
          <w:color w:val="111111"/>
          <w:sz w:val="28"/>
          <w:sz w:val="28"/>
          <w:szCs w:val="28"/>
          <w:rtl w:val="true"/>
          <w:lang w:bidi="fa-IR"/>
        </w:rPr>
        <w:t>الثانیان؛ ممّا ذکر من إطلاق النصّ و الفتوی، و من اقتضاء الرهن و الجنایة الاختصاص، ثمّ احتملا الفرق بین الجنایة و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الدین فی الرهن یتعلّق بالقیمة و لا یستقلّ الآخذ بالأخذ، بخلاف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الجنایة عمداً و خطأً،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موضع تردّد و إن کنت لا أستبعد تقدیم الکفن فی المرتهن </w:t>
      </w:r>
      <w:r>
        <w:rPr>
          <w:rStyle w:val="FootnoteAnchor"/>
          <w:rtl w:val="true"/>
        </w:rPr>
        <w:footnoteReference w:id="23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ینبغی الإشکال فی تقدیم الکفن علی الرهن؛ لأنّه مقتضی تقدّمه علی جمیع الدیون فی النصّ و الفتوی، و یشکل فی الجنایة خطأً، و أمّا الجنایة عمداً فالأقوی تقدیمها علی الکفن؛ لأنّ الخیار للمجنیّ علیه، بل الأقوی تقدیم الجنایة مطلقاً وفاقاً للمحکیّ عن البیان </w:t>
      </w:r>
      <w:r>
        <w:rPr>
          <w:rStyle w:val="FootnoteAnchor"/>
          <w:rtl w:val="true"/>
        </w:rPr>
        <w:footnoteReference w:id="2390"/>
      </w:r>
      <w:r>
        <w:rPr>
          <w:rFonts w:ascii="IRNazanin" w:hAnsi="IRNazanin" w:eastAsia="IRNazanin"/>
          <w:color w:val="111111"/>
          <w:sz w:val="28"/>
          <w:sz w:val="28"/>
          <w:szCs w:val="28"/>
          <w:rtl w:val="true"/>
          <w:lang w:bidi="fa-IR"/>
        </w:rPr>
        <w:t>لأصالة بقاء الحقّ و منع الصرف، خرج عنهما فی الرهن للنصّ بتأخّر الدین عن الکفن، و فی صدقه علی المجنیّ علیه أو انصرافه إلیه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لو تقدّم الرهن و الجنایة، و لو تأخّرا عن الموت، فقطع فی الروض </w:t>
      </w:r>
      <w:r>
        <w:rPr>
          <w:rStyle w:val="FootnoteAnchor"/>
          <w:rtl w:val="true"/>
        </w:rPr>
        <w:footnoteReference w:id="2391"/>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2392"/>
      </w:r>
      <w:r>
        <w:rPr>
          <w:rFonts w:ascii="IRNazanin" w:hAnsi="IRNazanin" w:eastAsia="IRNazanin"/>
          <w:color w:val="111111"/>
          <w:sz w:val="28"/>
          <w:sz w:val="28"/>
          <w:szCs w:val="28"/>
          <w:rtl w:val="true"/>
          <w:lang w:bidi="fa-IR"/>
        </w:rPr>
        <w:t>بتقدیم الکفن؛ و لعلّه لسبق استحقاق المیّت له، و فی محکیّ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جنی بعد الموت تعارض سبق تعلّق الکفن بعینه، و لحوق تعلّق الجنایة </w:t>
      </w:r>
      <w:r>
        <w:rPr>
          <w:rStyle w:val="FootnoteAnchor"/>
          <w:rtl w:val="true"/>
        </w:rPr>
        <w:footnoteReference w:id="2393"/>
      </w:r>
      <w:r>
        <w:rPr>
          <w:rFonts w:ascii="IRNazanin" w:hAnsi="IRNazanin" w:eastAsia="IRNazanin"/>
          <w:color w:val="111111"/>
          <w:sz w:val="28"/>
          <w:sz w:val="28"/>
          <w:szCs w:val="28"/>
          <w:rtl w:val="true"/>
          <w:lang w:bidi="fa-IR"/>
        </w:rPr>
        <w:t>، 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بالکفن فی جمیع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مؤن التجهیز التی یتوقّف علیها، کعوض الأعیان المصروفة فی التجهیز، کالماء و الخلیطین و عوض المدفن و کأُجرة الغاسل و الحفّار و الحمّال إذا لم یقدر علیها إلّا من یأخذ الأُجرة عصیاناً أو استحقاقاً، 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أنّ الکفن و مئونة المیّت من أصل الترکة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الإجماع لأمکن الخدشة فی إخراج مقدّمات الأفعال کالحفر</w:t>
      </w:r>
    </w:p>
    <w:p>
      <w:pPr>
        <w:pStyle w:val="BookText"/>
        <w:rPr/>
      </w:pPr>
      <w:r>
        <w:rPr>
          <w:rFonts w:ascii="IRNazanin" w:hAnsi="IRNazanin" w:eastAsia="IRNazanin"/>
          <w:color w:val="111111"/>
          <w:sz w:val="28"/>
          <w:sz w:val="28"/>
          <w:szCs w:val="28"/>
          <w:rtl w:val="true"/>
          <w:lang w:bidi="fa-IR"/>
        </w:rPr>
        <w:t>و الحمل و الغسل و نحوها؛ فإنّ المتیقّن خروج الأعیان المصروفة فی التجهیز کالماء و الخلیطین و الکفن و أُجرة المدفن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توقّف مباشرة الفعل علی بذل مالٍ لظالم یمنع من الغسل و الدفن فی الأرض المباحة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بعد الکفن و مئونة التجهیز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و الخمس و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دخول ردّ المظالم المتعلّقة بالذمّة وجهان، بل قولان؛ من کونهما کسائر الدیون أموالًا متعلّقةً بالذمّة، و من عدم شمول أدلّة تقدیم الدین لها، مضافاً إلی استمرار السیرة بعدم الاجتناب عمّا انتقل من الظلمة المشتغلین بأخذ الأموال قهراً إلی أولادهم بعد وفاتهم و المعاملة معها معاملة باقی أموالهم، و فیه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بعد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الوصیّة </w:t>
      </w:r>
      <w:r>
        <w:rPr>
          <w:rStyle w:val="FootnoteAnchor"/>
          <w:rtl w:val="true"/>
        </w:rPr>
        <w:footnoteReference w:id="2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المتبرّع بها، و منه الوصیّة بقضاء الصلاة و الصیام عنه و لو علم اشتغال ذمّته بها؛ لعدم تعلّقها بالمال لولا الوصیّة، بل الأصل وجوبها علی الولیّ إن قلنا بتحمّله جمیع ما فات، و إن اقتصرنا فی تحمّله علی ما فات لمرض أو لم یکن هناک ولیّ، فالأصل عدم وجوبها علی أحد و عدم وجوب الاستنابة فیها، علی ما سیجی‌ء فی باب الوصیّة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جمیع ذلک من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ضاقت الترکة عن تمام الکفن فالممکن، و لو أمکن ثوبان فاللفافة لا بدّ منها، و یبقی کلّ من الآخرین محتملًا</w:t>
      </w:r>
      <w:bookmarkStart w:id="354" w:name="pg13042_127274"/>
    </w:p>
    <w:p>
      <w:pPr>
        <w:pStyle w:val="BookText"/>
        <w:rPr/>
      </w:pPr>
      <w:bookmarkEnd w:id="354"/>
      <w:r>
        <w:rPr>
          <w:rFonts w:ascii="IRNazanin" w:hAnsi="IRNazanin" w:eastAsia="IRNazanin"/>
          <w:color w:val="111111"/>
          <w:sz w:val="28"/>
          <w:sz w:val="28"/>
          <w:szCs w:val="28"/>
          <w:rtl w:val="true"/>
          <w:lang w:bidi="fa-IR"/>
        </w:rPr>
        <w:t xml:space="preserve">المئزر لسبقه، و القمیص لأنّه مئزر و زیادة </w:t>
      </w:r>
      <w:r>
        <w:rPr>
          <w:rStyle w:val="FootnoteAnchor"/>
          <w:rtl w:val="true"/>
        </w:rPr>
        <w:footnoteReference w:id="239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تقدیم القمیص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قصر عمّا یواری فیه غطی رأسه و جعل علی رجلیه حشیش و نحوه، کما عن المعتبر </w:t>
      </w:r>
      <w:r>
        <w:rPr>
          <w:rStyle w:val="FootnoteAnchor"/>
          <w:rtl w:val="true"/>
        </w:rPr>
        <w:footnoteReference w:id="2397"/>
      </w:r>
      <w:r>
        <w:rPr>
          <w:rFonts w:ascii="IRNazanin" w:hAnsi="IRNazanin" w:eastAsia="IRNazanin"/>
          <w:color w:val="111111"/>
          <w:sz w:val="28"/>
          <w:sz w:val="28"/>
          <w:szCs w:val="28"/>
          <w:rtl w:val="true"/>
          <w:lang w:bidi="fa-IR"/>
        </w:rPr>
        <w:t xml:space="preserve">و الذکری </w:t>
      </w:r>
      <w:r>
        <w:rPr>
          <w:rStyle w:val="FootnoteAnchor"/>
          <w:rtl w:val="true"/>
        </w:rPr>
        <w:footnoteReference w:id="2398"/>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399"/>
      </w:r>
      <w:r>
        <w:rPr>
          <w:rFonts w:ascii="IRNazanin" w:hAnsi="IRNazanin" w:eastAsia="IRNazanin"/>
          <w:color w:val="111111"/>
          <w:sz w:val="28"/>
          <w:sz w:val="28"/>
          <w:szCs w:val="28"/>
          <w:rtl w:val="true"/>
          <w:lang w:bidi="fa-IR"/>
        </w:rPr>
        <w:t>حاکین فعل النبیّ صلّی اللّٰه علیه و آله ذلک ببعض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أنّه أستر للمیّت و أنسب باحترامه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کثرت الموتی و قلّت الأکفان، فعن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الرجلین و الثلاثة فی الثوب الواحد؛ لخبر أنس </w:t>
      </w:r>
      <w:r>
        <w:rPr>
          <w:rStyle w:val="FootnoteAnchor"/>
          <w:rtl w:val="true"/>
        </w:rPr>
        <w:footnoteReference w:id="2400"/>
      </w:r>
      <w:r>
        <w:rPr>
          <w:rFonts w:ascii="IRNazanin" w:hAnsi="IRNazanin" w:eastAsia="IRNazanin"/>
          <w:color w:val="111111"/>
          <w:sz w:val="28"/>
          <w:sz w:val="28"/>
          <w:szCs w:val="28"/>
          <w:rtl w:val="true"/>
          <w:lang w:bidi="fa-IR"/>
        </w:rPr>
        <w:t xml:space="preserve">، و لا بأس به </w:t>
      </w:r>
      <w:r>
        <w:rPr>
          <w:rStyle w:val="FootnoteAnchor"/>
          <w:rtl w:val="true"/>
        </w:rPr>
        <w:footnoteReference w:id="240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حکاه فی الذکری عن بعض طرق العامّة إلی جابر </w:t>
      </w:r>
      <w:r>
        <w:rPr>
          <w:rStyle w:val="FootnoteAnchor"/>
          <w:rtl w:val="true"/>
        </w:rPr>
        <w:footnoteReference w:id="2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البأس فی المعتبر، لمراعاة أصالة الجواز عند الضرورة</w:t>
      </w:r>
      <w:r>
        <w:rPr>
          <w:rFonts w:eastAsia="IRNazanin" w:cs="IRNazanin"/>
          <w:color w:val="111111"/>
          <w:sz w:val="28"/>
          <w:szCs w:val="28"/>
          <w:rtl w:val="true"/>
          <w:lang w:bidi="fa-IR"/>
        </w:rPr>
        <w:t>.</w:t>
      </w:r>
    </w:p>
    <w:p>
      <w:pPr>
        <w:pStyle w:val="Heading6"/>
        <w:numPr>
          <w:ilvl w:val="5"/>
          <w:numId w:val="1"/>
        </w:numPr>
        <w:rPr/>
      </w:pPr>
      <w:bookmarkStart w:id="355" w:name="__RefHeading___Toc6530330_3224264995"/>
      <w:bookmarkStart w:id="356" w:name="_Toc137"/>
      <w:bookmarkEnd w:id="355"/>
      <w:r>
        <w:rPr>
          <w:rtl w:val="true"/>
        </w:rPr>
        <w:t>[</w:t>
      </w:r>
      <w:r>
        <w:rPr>
          <w:rtl w:val="true"/>
        </w:rPr>
        <w:t>یستحبّ للمسلمین بذل الکفن للمیّت لو فقد</w:t>
      </w:r>
      <w:r>
        <w:rPr>
          <w:rtl w:val="true"/>
        </w:rPr>
        <w:t>]</w:t>
      </w:r>
      <w:bookmarkEnd w:id="35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للمسلمین بذل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الکفن، ففی روایة سعید بن طریف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کفّن مؤمناً فکأنما ضمن کسوته إلی یوم القیامة</w:t>
      </w:r>
      <w:r>
        <w:rPr>
          <w:rFonts w:eastAsia="IRNazanin" w:cs="IRNazanin"/>
          <w:color w:val="111111"/>
          <w:sz w:val="28"/>
          <w:szCs w:val="28"/>
          <w:rtl w:val="true"/>
          <w:lang w:bidi="fa-IR"/>
        </w:rPr>
        <w:t xml:space="preserve">»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لیس واجباً بلا خلاف، کما عن المدارک </w:t>
      </w:r>
      <w:r>
        <w:rPr>
          <w:rStyle w:val="FootnoteAnchor"/>
          <w:rtl w:val="true"/>
        </w:rPr>
        <w:footnoteReference w:id="2404"/>
      </w:r>
      <w:r>
        <w:rPr>
          <w:rFonts w:ascii="IRNazanin" w:hAnsi="IRNazanin" w:eastAsia="IRNazanin"/>
          <w:color w:val="111111"/>
          <w:sz w:val="28"/>
          <w:sz w:val="28"/>
          <w:szCs w:val="28"/>
          <w:rtl w:val="true"/>
          <w:lang w:bidi="fa-IR"/>
        </w:rPr>
        <w:t xml:space="preserve">و الذخیرة </w:t>
      </w:r>
      <w:r>
        <w:rPr>
          <w:rStyle w:val="FootnoteAnchor"/>
          <w:rtl w:val="true"/>
        </w:rPr>
        <w:footnoteReference w:id="2405"/>
      </w:r>
      <w:r>
        <w:rPr>
          <w:rFonts w:ascii="IRNazanin" w:hAnsi="IRNazanin" w:eastAsia="IRNazanin"/>
          <w:color w:val="111111"/>
          <w:sz w:val="28"/>
          <w:sz w:val="28"/>
          <w:szCs w:val="28"/>
          <w:rtl w:val="true"/>
          <w:lang w:bidi="fa-IR"/>
        </w:rPr>
        <w:t xml:space="preserve">و محکیّ النهایة </w:t>
      </w:r>
      <w:r>
        <w:rPr>
          <w:rStyle w:val="FootnoteAnchor"/>
          <w:rtl w:val="true"/>
        </w:rPr>
        <w:footnoteReference w:id="2406"/>
      </w:r>
      <w:r>
        <w:rPr>
          <w:rFonts w:ascii="IRNazanin" w:hAnsi="IRNazanin" w:eastAsia="IRNazanin"/>
          <w:color w:val="111111"/>
          <w:sz w:val="28"/>
          <w:sz w:val="28"/>
          <w:szCs w:val="28"/>
          <w:rtl w:val="true"/>
          <w:lang w:bidi="fa-IR"/>
        </w:rPr>
        <w:t xml:space="preserve">، بل فی الریاض </w:t>
      </w:r>
      <w:r>
        <w:rPr>
          <w:rStyle w:val="FootnoteAnchor"/>
          <w:rtl w:val="true"/>
        </w:rPr>
        <w:footnoteReference w:id="2407"/>
      </w:r>
      <w:r>
        <w:rPr>
          <w:rFonts w:ascii="IRNazanin" w:hAnsi="IRNazanin" w:eastAsia="IRNazanin"/>
          <w:color w:val="111111"/>
          <w:sz w:val="28"/>
          <w:sz w:val="28"/>
          <w:szCs w:val="28"/>
          <w:rtl w:val="true"/>
          <w:lang w:bidi="fa-IR"/>
        </w:rPr>
        <w:t xml:space="preserve">و شرح الوسائل </w:t>
      </w:r>
      <w:r>
        <w:rPr>
          <w:rStyle w:val="FootnoteAnchor"/>
          <w:rtl w:val="true"/>
        </w:rPr>
        <w:footnoteReference w:id="2408"/>
      </w:r>
      <w:r>
        <w:rPr>
          <w:rFonts w:ascii="IRNazanin" w:hAnsi="IRNazanin" w:eastAsia="IRNazanin"/>
          <w:color w:val="111111"/>
          <w:sz w:val="28"/>
          <w:sz w:val="28"/>
          <w:szCs w:val="28"/>
          <w:rtl w:val="true"/>
          <w:lang w:bidi="fa-IR"/>
        </w:rPr>
        <w:t xml:space="preserve">کما عن اللوامع </w:t>
      </w:r>
      <w:r>
        <w:rPr>
          <w:rStyle w:val="FootnoteAnchor"/>
          <w:rtl w:val="true"/>
        </w:rPr>
        <w:footnoteReference w:id="2409"/>
      </w:r>
      <w:r>
        <w:rPr>
          <w:rFonts w:ascii="IRNazanin" w:hAnsi="IRNazanin" w:eastAsia="IRNazanin"/>
          <w:color w:val="111111"/>
          <w:sz w:val="28"/>
          <w:sz w:val="28"/>
          <w:szCs w:val="28"/>
          <w:rtl w:val="true"/>
          <w:lang w:bidi="fa-IR"/>
        </w:rPr>
        <w:t>الإجماع علی عدم الوجوب، و یدلّ علیه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کما لا یجب کسوة الحیّ إلّا إذا توقّف علیه بقاء حیاته، و منه یظهر أنّ قوله علیه السلام فی الروایات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حرمة بدن المیّت میّتاً کحرمته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سیأتی</w:t>
      </w:r>
      <w:r>
        <w:rPr>
          <w:rFonts w:eastAsia="IRNazanin" w:cs="IRNazanin"/>
          <w:color w:val="111111"/>
          <w:sz w:val="28"/>
          <w:szCs w:val="28"/>
          <w:rtl w:val="true"/>
          <w:lang w:bidi="fa-IR"/>
        </w:rPr>
        <w:t xml:space="preserve">» </w:t>
      </w:r>
      <w:r>
        <w:rPr>
          <w:rStyle w:val="FootnoteAnchor"/>
          <w:rtl w:val="true"/>
        </w:rPr>
        <w:footnoteReference w:id="2410"/>
      </w:r>
      <w:r>
        <w:rPr>
          <w:rFonts w:ascii="IRNazanin" w:hAnsi="IRNazanin" w:eastAsia="IRNazanin"/>
          <w:color w:val="111111"/>
          <w:sz w:val="28"/>
          <w:sz w:val="28"/>
          <w:szCs w:val="28"/>
          <w:rtl w:val="true"/>
          <w:lang w:bidi="fa-IR"/>
        </w:rPr>
        <w:t>لا یدلّ علی وجوب بذل الکفن، کما لا یجب بذل الکسوة للحیّ، و لا بذل ماء طهارته، فدلالته حینئذٍ علی عدم الوجوب أوضح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إطلاقات وجوب التکفین فهی و إن کان یتراءی من إطلاق الوجوب فیها وجوب تحصیل مقدّماته التی من جملتها بذل الکفن، و کذلک إطلاق وجوب تغسیل المیّت یدلّ علی وجوب تحصیل الماء و لو بالشراء، کما أنّ الأمر بغسل الثوب و البدن و غسل مواضع الوضوء و الغسل یقتضی ذلک، إلّا أنّ الإنصاف یقتضی الاعتراف بعدم الظفر علی دلیل مطلق یدلّ علی إیجاب تکفین المیّت بحیث یفهم وجوب تحصیل الکفن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یستدلّ له بعض مشایخنا </w:t>
      </w:r>
      <w:r>
        <w:rPr>
          <w:rStyle w:val="FootnoteAnchor"/>
          <w:rtl w:val="true"/>
        </w:rPr>
        <w:footnoteReference w:id="2411"/>
      </w:r>
      <w:r>
        <w:rPr>
          <w:rFonts w:ascii="IRNazanin" w:hAnsi="IRNazanin" w:eastAsia="IRNazanin"/>
          <w:color w:val="111111"/>
          <w:sz w:val="28"/>
          <w:sz w:val="28"/>
          <w:szCs w:val="28"/>
          <w:rtl w:val="true"/>
          <w:lang w:bidi="fa-IR"/>
        </w:rPr>
        <w:t>بإطلاق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الکفن فریضة، للرجال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412"/>
      </w:r>
      <w:r>
        <w:rPr>
          <w:rFonts w:ascii="IRNazanin" w:hAnsi="IRNazanin" w:eastAsia="IRNazanin"/>
          <w:color w:val="111111"/>
          <w:sz w:val="28"/>
          <w:sz w:val="28"/>
          <w:szCs w:val="28"/>
          <w:rtl w:val="true"/>
          <w:lang w:bidi="fa-IR"/>
        </w:rPr>
        <w:t>و فیه ما لا یخفی؛ من کونه مسوقاً لبیان مقدار الواجب من دون تعرّض لمحلّ الوجوب، بل ربما یخطر بالبال أن یقال علی تقدیر تسلیم وجود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بعد ملاحظة أدلّة وجوب الکفن فی المال و ثبوت کفن المرأة علی زوجها أنّ تلک الإطلاقات لا تفید، إلّا أنّه یجب علی الناس کفایةً ستر المیّت فی کفنه الواجب فی ماله أو علی الزوج، لا وجوب ستره فی کفن مطلق، و إلّا لکان وجوب بذل الکفن الذی هو من مقدّمات التکفین واجباً علی الناس کفایة، و علی الزوج عیناً، فوجوبه عیناً علی بعض الناس کاشف عن عدم وجوبه کفایة علی جمیعهم، و هو کاشف عن أنّ المراد من تلک الإطلاقات ستره فی کفن مبذول له من ماله أو من زوجه أو من 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 عدم وجوب تکفینه من الزکاة و نحوها؛ لعدم الدلیل؛ فإنّ الزکاة لیست مختصّة به، بل مقتضی ظاهر إطلاق أدلّة مصارفها من الفقراء و المساکین عدم جواز صرفها فیه؛ من جهة أنّ الظاهر منهم الأحیاء، بل هو صریح إیجاب حکمة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بصرفه فیه من جهة سبیل اللّٰه؛ بناءً علی أنّ المراد به کلّ خیر، لکنّه یختصّ بالزکاة فلا یجری فی الخمس</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لولا ما رواه ابن محبوب عن الفضل بن یونس الکاتب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من أصحابنا یموت و لم یترک</w:t>
      </w:r>
    </w:p>
    <w:p>
      <w:pPr>
        <w:pStyle w:val="BookText"/>
        <w:rPr/>
      </w:pPr>
      <w:r>
        <w:rPr>
          <w:rFonts w:ascii="IRNazanin" w:hAnsi="IRNazanin" w:eastAsia="IRNazanin"/>
          <w:color w:val="111111"/>
          <w:sz w:val="28"/>
          <w:sz w:val="28"/>
          <w:szCs w:val="28"/>
          <w:rtl w:val="true"/>
          <w:lang w:bidi="fa-IR"/>
        </w:rPr>
        <w:t>ما یکفّن به، أشتری له کفنه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عیاله من الزکاة قدر ما یجهّزونه، فیکونون هم الذین یجهّزونه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ولد و لا أحد یقوم بأمره، فأُجهّزه أنا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علیه السلام کان یقول حرمة بدن المیّت میّتاً کحرمته حیّاً، فوارِ بدنه و عورته و جهّزه و کفّنه و حنّطه، و احتسب بذلک من الزکاة، و شیّع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اتّجر علیه بعض إخوانه بکفن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علیه دین، </w:t>
      </w:r>
      <w:r>
        <w:rPr>
          <w:rStyle w:val="FootnoteAnchor"/>
          <w:rtl w:val="true"/>
        </w:rPr>
        <w:footnoteReference w:id="2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یکفّن بواحد و یقضی دینه بالآخر؟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هذا میراثاً ترکه إنّما هذا شی‌ءٌ صار إلیه بعد وفاته، فلیکفّنوه بالذی اتّجر علیه، و یکون الآخر لهم یصلحون به شأنهم</w:t>
      </w:r>
      <w:r>
        <w:rPr>
          <w:rFonts w:eastAsia="IRNazanin" w:cs="IRNazanin"/>
          <w:color w:val="111111"/>
          <w:sz w:val="28"/>
          <w:szCs w:val="28"/>
          <w:rtl w:val="true"/>
          <w:lang w:bidi="fa-IR"/>
        </w:rPr>
        <w:t xml:space="preserve">» </w:t>
      </w:r>
      <w:r>
        <w:rPr>
          <w:rStyle w:val="FootnoteAnchor"/>
          <w:rtl w:val="true"/>
        </w:rPr>
        <w:footnoteReference w:id="2414"/>
      </w:r>
      <w:r>
        <w:rPr>
          <w:rFonts w:ascii="IRNazanin" w:hAnsi="IRNazanin" w:eastAsia="IRNazanin"/>
          <w:color w:val="111111"/>
          <w:sz w:val="28"/>
          <w:sz w:val="28"/>
          <w:szCs w:val="28"/>
          <w:rtl w:val="true"/>
          <w:lang w:bidi="fa-IR"/>
        </w:rPr>
        <w:t xml:space="preserve">و لیس فی السند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عن النجاشی </w:t>
      </w:r>
      <w:r>
        <w:rPr>
          <w:rStyle w:val="FootnoteAnchor"/>
          <w:rtl w:val="true"/>
        </w:rPr>
        <w:footnoteReference w:id="2415"/>
      </w:r>
      <w:r>
        <w:rPr>
          <w:rFonts w:ascii="Amiri" w:hAnsi="Amiri" w:eastAsia="Amiri" w:cs="Amiri"/>
          <w:color w:val="111111"/>
          <w:sz w:val="28"/>
          <w:sz w:val="28"/>
          <w:szCs w:val="28"/>
          <w:rtl w:val="true"/>
          <w:lang w:bidi="ar-SA"/>
        </w:rPr>
        <w:t xml:space="preserve">، و إن حکی عن الشیخ أنّه کان واقفیّاً </w:t>
      </w:r>
      <w:r>
        <w:rPr>
          <w:rStyle w:val="FootnoteAnchor"/>
          <w:rtl w:val="true"/>
        </w:rPr>
        <w:footnoteReference w:id="2416"/>
      </w:r>
      <w:r>
        <w:rPr>
          <w:rFonts w:ascii="IRNazanin" w:hAnsi="IRNazanin" w:eastAsia="IRNazanin"/>
          <w:color w:val="111111"/>
          <w:sz w:val="28"/>
          <w:sz w:val="28"/>
          <w:szCs w:val="28"/>
          <w:rtl w:val="true"/>
          <w:lang w:bidi="fa-IR"/>
        </w:rPr>
        <w:t>، مع أنّ ابن محبوب ممّن أجمع علی تصحیح ما یصحّ عنه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منع اختصاص الزکاة بالفقراء و المساکین؛ و لذا یؤدّی دین الغارم من الزکاة و إن کان میّتاً، بل جوازه یوجب الجواز فیما نحن فیه بطریق أولی کما عن المدارک </w:t>
      </w:r>
      <w:r>
        <w:rPr>
          <w:rStyle w:val="FootnoteAnchor"/>
          <w:rtl w:val="true"/>
        </w:rPr>
        <w:footnoteReference w:id="2417"/>
      </w:r>
      <w:r>
        <w:rPr>
          <w:rFonts w:ascii="IRNazanin" w:hAnsi="IRNazanin" w:eastAsia="IRNazanin"/>
          <w:color w:val="111111"/>
          <w:sz w:val="28"/>
          <w:sz w:val="28"/>
          <w:szCs w:val="28"/>
          <w:rtl w:val="true"/>
          <w:lang w:bidi="fa-IR"/>
        </w:rPr>
        <w:t>، و إن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ما فیه، لکن فیه ما فیه بعد ما علمنا من حکم الشارع بتقدیم الکفن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ستره أهمّ فی نظر الشارع من إبراء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فیکفی فی المسألة ما ذکرنا من الروایة، إلّا أنّ فی استفادة الوجوب منها کما فی الذکری </w:t>
      </w:r>
      <w:r>
        <w:rPr>
          <w:rStyle w:val="FootnoteAnchor"/>
          <w:rtl w:val="true"/>
        </w:rPr>
        <w:footnoteReference w:id="2418"/>
      </w:r>
      <w:r>
        <w:rPr>
          <w:rFonts w:ascii="IRNazanin" w:hAnsi="IRNazanin" w:eastAsia="IRNazanin"/>
          <w:color w:val="111111"/>
          <w:sz w:val="28"/>
          <w:sz w:val="28"/>
          <w:szCs w:val="28"/>
          <w:rtl w:val="true"/>
          <w:lang w:bidi="fa-IR"/>
        </w:rPr>
        <w:t xml:space="preserve">و الروض </w:t>
      </w:r>
      <w:r>
        <w:rPr>
          <w:rStyle w:val="FootnoteAnchor"/>
          <w:rtl w:val="true"/>
        </w:rPr>
        <w:footnoteReference w:id="2419"/>
      </w:r>
      <w:r>
        <w:rPr>
          <w:rFonts w:ascii="IRNazanin" w:hAnsi="IRNazanin" w:eastAsia="IRNazanin"/>
          <w:color w:val="111111"/>
          <w:sz w:val="28"/>
          <w:sz w:val="28"/>
          <w:szCs w:val="28"/>
          <w:rtl w:val="true"/>
          <w:lang w:bidi="fa-IR"/>
        </w:rPr>
        <w:t xml:space="preserve">و عن المنتهی </w:t>
      </w:r>
      <w:r>
        <w:rPr>
          <w:rStyle w:val="FootnoteAnchor"/>
          <w:rtl w:val="true"/>
        </w:rPr>
        <w:footnoteReference w:id="2420"/>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421"/>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2422"/>
      </w:r>
      <w:r>
        <w:rPr>
          <w:rFonts w:ascii="IRNazanin" w:hAnsi="IRNazanin" w:eastAsia="IRNazanin"/>
          <w:color w:val="111111"/>
          <w:sz w:val="28"/>
          <w:sz w:val="28"/>
          <w:szCs w:val="28"/>
          <w:rtl w:val="true"/>
          <w:lang w:bidi="fa-IR"/>
        </w:rPr>
        <w:t xml:space="preserve">و الذخیرة </w:t>
      </w:r>
      <w:r>
        <w:rPr>
          <w:rStyle w:val="FootnoteAnchor"/>
          <w:rtl w:val="true"/>
        </w:rPr>
        <w:footnoteReference w:id="2423"/>
      </w:r>
      <w:r>
        <w:rPr>
          <w:rFonts w:ascii="IRNazanin" w:hAnsi="IRNazanin" w:eastAsia="IRNazanin"/>
          <w:color w:val="111111"/>
          <w:sz w:val="28"/>
          <w:sz w:val="28"/>
          <w:szCs w:val="28"/>
          <w:rtl w:val="true"/>
          <w:lang w:bidi="fa-IR"/>
        </w:rPr>
        <w:t>نظراً إلی أنّ ظاهر کلام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الرجحان، و جعل حرمة بدنه میّتاً کحرمته حیّاً، مع أنّه لا یجب إکساء الحیّ العاری من الزکاة، بل یتخیّر بینه و بین صرفها فی مصرف آخر، فیوجب سوق الأمر بالمواراة و التکفین و التحنیط من الزکاة مساق أمره علیه السلام بتشییع جنازته، و کأنّه لذلک کلّه احتمل کاشف اللثام استحباب ذلک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هناک بیت مال و المراد به کما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التی تستفاد من خراج الأرضین المفتوح عنوة و سهم سبیل اللّٰه من الزکاة </w:t>
      </w:r>
      <w:r>
        <w:rPr>
          <w:rStyle w:val="FootnoteAnchor"/>
          <w:rtl w:val="true"/>
        </w:rPr>
        <w:footnoteReference w:id="2425"/>
      </w:r>
      <w:r>
        <w:rPr>
          <w:rFonts w:ascii="IRNazanin" w:hAnsi="IRNazanin" w:eastAsia="IRNazanin"/>
          <w:color w:val="111111"/>
          <w:sz w:val="28"/>
          <w:sz w:val="28"/>
          <w:szCs w:val="28"/>
          <w:rtl w:val="true"/>
          <w:lang w:bidi="fa-IR"/>
        </w:rPr>
        <w:t>وجب ذلک؛ لأنّ بیت المال معدّ لمصالح المسلمین، و هذا من أهمّها إذا لم یزاحمه ما هو أهمّ أو مساوٍ</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تضمّنته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إعطاء عیاله لیجهّزوه، محمول علی</w:t>
      </w:r>
    </w:p>
    <w:p>
      <w:pPr>
        <w:pStyle w:val="BookText"/>
        <w:rPr/>
      </w:pPr>
      <w:r>
        <w:rPr>
          <w:rFonts w:ascii="IRNazanin" w:hAnsi="IRNazanin" w:eastAsia="IRNazanin"/>
          <w:color w:val="111111"/>
          <w:sz w:val="28"/>
          <w:sz w:val="28"/>
          <w:szCs w:val="28"/>
          <w:rtl w:val="true"/>
          <w:lang w:bidi="fa-IR"/>
        </w:rPr>
        <w:t xml:space="preserve">الاستحباب؛ إذ لم یقل أحد بوجوبه کما فی الروض </w:t>
      </w:r>
      <w:r>
        <w:rPr>
          <w:rStyle w:val="FootnoteAnchor"/>
          <w:rtl w:val="true"/>
        </w:rPr>
        <w:footnoteReference w:id="2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الحکمة فیه ما ذکر فی الروایة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لیکونوا هم الذین یجهّزونه</w:t>
      </w:r>
      <w:r>
        <w:rPr>
          <w:rFonts w:eastAsia="IRNazanin" w:cs="IRNazanin"/>
          <w:color w:val="111111"/>
          <w:sz w:val="28"/>
          <w:szCs w:val="28"/>
          <w:rtl w:val="true"/>
          <w:lang w:bidi="fa-IR"/>
        </w:rPr>
        <w:t xml:space="preserve">» </w:t>
      </w:r>
      <w:r>
        <w:rPr>
          <w:rStyle w:val="FootnoteAnchor"/>
          <w:rtl w:val="true"/>
        </w:rPr>
        <w:footnoteReference w:id="2427"/>
      </w:r>
      <w:r>
        <w:rPr>
          <w:rFonts w:ascii="IRNazanin" w:hAnsi="IRNazanin" w:eastAsia="IRNazanin"/>
          <w:color w:val="111111"/>
          <w:sz w:val="28"/>
          <w:sz w:val="28"/>
          <w:szCs w:val="28"/>
          <w:rtl w:val="true"/>
          <w:lang w:bidi="fa-IR"/>
        </w:rPr>
        <w:t>حتّی لا یدخل علیهم شی‌ء بتکفین الأجنبیّ، و یقال له بالفارسیّة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یحمل علی الاستحباب ما تضمّنته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اتّجر علیه أحد بکفن کفن بالکفن المتّجر علیه، و ترک الکفن المبذول لعیاله، یصلحون به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فیمکن استرداده منهم و جعله فی دین المیّت أو صرفه فی مصرف آخر من مصارف الزکاة، إلّا أن یکون إعطاؤهم علی وجه التملّک لهم إذا کانوا علی صفة الاستحقاق، لکنّه یخالف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شی‌ء صار له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یحکم بمقتضی الروایة علی صیرورة الکفن ملکاً للمیّت بمجرّد إعطائه للصرف فیه، لکن ینتقل منه إلی وارثه لا علی وجه الإرث، بل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دلالة فی الروایة علی ما استشهد له به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خلّف کفناً، فتبرّع علیه بآخر، کفّن بالمتبرّع علیه، و ترک الآخر للورثة لا یقضی منه الدین؛ لأنّه شی‌ء صار إلیه بعد وفاته فلا یعدّ ترکة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فالمتعیّن فی الفرض المذکور صرف ما خلّفه فی دیونه، کما صرّح به فی صحیحة زرارة المتقدّمة فی صدر المسألة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bookmarkStart w:id="357" w:name="pg13042_127280"/>
    </w:p>
    <w:p>
      <w:pPr>
        <w:pStyle w:val="Heading6"/>
        <w:numPr>
          <w:ilvl w:val="5"/>
          <w:numId w:val="1"/>
        </w:numPr>
        <w:rPr/>
      </w:pPr>
      <w:bookmarkStart w:id="358" w:name="__RefHeading___Toc6530332_3224264995"/>
      <w:bookmarkStart w:id="359" w:name="_Toc138"/>
      <w:bookmarkEnd w:id="357"/>
      <w:bookmarkEnd w:id="358"/>
      <w:r>
        <w:rPr>
          <w:rtl w:val="true"/>
        </w:rPr>
        <w:t>[</w:t>
      </w:r>
      <w:r>
        <w:rPr>
          <w:rtl w:val="true"/>
        </w:rPr>
        <w:t>لو خرج من المیت نجاسة</w:t>
      </w:r>
      <w:r>
        <w:rPr>
          <w:rtl w:val="true"/>
        </w:rPr>
        <w:t>]</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منه </w:t>
      </w:r>
      <w:r>
        <w:rPr>
          <w:rStyle w:val="FootnoteAnchor"/>
          <w:rtl w:val="true"/>
        </w:rPr>
        <w:footnoteReference w:id="2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قبل التغسیل وجب إزالتها مطلقاً قبل الشروع فی أصل الغسل، أو فی غسل العضو المتنجّس علی الخلاف المتقدّم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لو خرجت منه فی أثناء الأغسال أو الغسلات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نجاسة حدثیّة، فالمشهور وجوب غسلها أیضاً خاصّة و عدم وجوب استئناف الغسل؛ لاستصحاب الصحّة، و أصالة عدم الإفساد، و إطلاق الأدلّة، و خصوص مرسلة یونس المتقدّمة الآمرة بمسح بطنه فی کلٍّ من الغسلتین الأُولیین،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شی‌ءٌ فأنقِهِ ثمّ اغسل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2432"/>
      </w:r>
      <w:r>
        <w:rPr>
          <w:rFonts w:ascii="IRNazanin" w:hAnsi="IRNazanin" w:eastAsia="IRNazanin"/>
          <w:color w:val="111111"/>
          <w:sz w:val="28"/>
          <w:sz w:val="28"/>
          <w:szCs w:val="28"/>
          <w:rtl w:val="true"/>
          <w:lang w:bidi="fa-IR"/>
        </w:rPr>
        <w:t>لکنّها مختصّة بما إذا خرجت بین الأغسال، لکن الظاهر عدم القائل بالفرق بین الأغسال و الغسلات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الرافع للحدث هو الغسل بالقراح و الأوّلین للتنظیف و لذا احتمل جوازهما بالمضاف کما تقدّم </w:t>
      </w:r>
      <w:r>
        <w:rPr>
          <w:rStyle w:val="FootnoteAnchor"/>
          <w:rtl w:val="true"/>
        </w:rPr>
        <w:footnoteReference w:id="2433"/>
      </w:r>
      <w:r>
        <w:rPr>
          <w:rFonts w:ascii="IRNazanin" w:hAnsi="IRNazanin" w:eastAsia="IRNazanin"/>
          <w:color w:val="111111"/>
          <w:sz w:val="28"/>
          <w:sz w:val="28"/>
          <w:szCs w:val="28"/>
          <w:rtl w:val="true"/>
          <w:lang w:bidi="fa-IR"/>
        </w:rPr>
        <w:t>سقط الاستدلال رأساً، لکنّه خلاف التحقیق</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کلّه، مضافاً إلی ما تقدّم </w:t>
      </w:r>
      <w:r>
        <w:rPr>
          <w:rStyle w:val="FootnoteAnchor"/>
          <w:rtl w:val="true"/>
        </w:rPr>
        <w:footnoteReference w:id="2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الأقوی عدم استئناف الغسل إذا أحدث فی أثنائه بما یوجب الوضوء؛ فإنّ هذا الغسل کغسل الجنابة أو</w:t>
      </w:r>
    </w:p>
    <w:p>
      <w:pPr>
        <w:pStyle w:val="BookText"/>
        <w:rPr/>
      </w:pPr>
      <w:r>
        <w:rPr>
          <w:rFonts w:ascii="IRNazanin" w:hAnsi="IRNazanin" w:eastAsia="IRNazanin"/>
          <w:color w:val="111111"/>
          <w:sz w:val="28"/>
          <w:sz w:val="28"/>
          <w:szCs w:val="28"/>
          <w:rtl w:val="true"/>
          <w:lang w:bidi="fa-IR"/>
        </w:rPr>
        <w:t xml:space="preserve">عینه، و لو سلّم وجوب الاستئناف فی غسل الجنابة لما ذکر ثمّة من روایة عرض المجالس </w:t>
      </w:r>
      <w:r>
        <w:rPr>
          <w:rStyle w:val="FootnoteAnchor"/>
          <w:rtl w:val="true"/>
        </w:rPr>
        <w:footnoteReference w:id="2435"/>
      </w:r>
      <w:r>
        <w:rPr>
          <w:rFonts w:ascii="IRNazanin" w:hAnsi="IRNazanin" w:eastAsia="IRNazanin"/>
          <w:color w:val="111111"/>
          <w:sz w:val="28"/>
          <w:sz w:val="28"/>
          <w:szCs w:val="28"/>
          <w:rtl w:val="true"/>
          <w:lang w:bidi="fa-IR"/>
        </w:rPr>
        <w:t>فلا ریب أنّه مختصّ بالحدث الصادر من الحیّ، و یمنع تأثیر الصادر من المیّت بالنسبة إلی وضوئه فضلًا عن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اتضح فساد التمسّک لوجوب الاستقبال کما عن العمانی بما دلّ علی أنّ هذا الغسل غسل الجنابة أو مثله </w:t>
      </w:r>
      <w:r>
        <w:rPr>
          <w:rStyle w:val="FootnoteAnchor"/>
          <w:rtl w:val="true"/>
        </w:rPr>
        <w:footnoteReference w:id="2436"/>
      </w:r>
      <w:r>
        <w:rPr>
          <w:rFonts w:ascii="IRNazanin" w:hAnsi="IRNazanin" w:eastAsia="IRNazanin"/>
          <w:color w:val="111111"/>
          <w:sz w:val="28"/>
          <w:sz w:val="28"/>
          <w:szCs w:val="28"/>
          <w:rtl w:val="true"/>
          <w:lang w:bidi="fa-IR"/>
        </w:rPr>
        <w:t>فإنّ کونه کذلک یقتضی انتقاضه بحدث یفرض وقوعه فی أثنائه، و نحن نمنع کون الصادر من المیّت حدثاً یوجب طهارة صغریً أو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عرض المجالس قد دلّت علی کون نفس البول و الریح و المنیّ موجبات لاستئناف الغسل، لا علی أنّ الحدث کذلک، حتّی یمنع کون هذه من المیّت إحداثاً،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المسلّم هو أنّ هذه الأُمور الصادرة من الحیّ موجبة لأحکامها علی أن یکون لحیاة الشخص مدخلیّة فی ذلک؛ فإنّ المذکور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أحدثتَ حدَثاً من ریحٍ أو بولٍ أو منیٍّ فأعِد غَسل رأسک</w:t>
      </w:r>
      <w:r>
        <w:rPr>
          <w:rFonts w:eastAsia="IRNazanin" w:cs="IRNazanin"/>
          <w:color w:val="111111"/>
          <w:sz w:val="28"/>
          <w:szCs w:val="28"/>
          <w:rtl w:val="true"/>
          <w:lang w:bidi="fa-IR"/>
        </w:rPr>
        <w:t xml:space="preserve">» </w:t>
      </w:r>
      <w:r>
        <w:rPr>
          <w:rStyle w:val="FootnoteAnchor"/>
          <w:rtl w:val="true"/>
        </w:rPr>
        <w:footnoteReference w:id="2437"/>
      </w:r>
      <w:r>
        <w:rPr>
          <w:rFonts w:ascii="IRNazanin" w:hAnsi="IRNazanin" w:eastAsia="IRNazanin"/>
          <w:color w:val="111111"/>
          <w:sz w:val="28"/>
          <w:sz w:val="28"/>
          <w:szCs w:val="28"/>
          <w:rtl w:val="true"/>
          <w:lang w:bidi="fa-IR"/>
        </w:rPr>
        <w:t>و من هنا یعلم عدم وجوب الاستئناف و لو کان الخارج هو المنیّ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یدفع عموم ذلک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المماثلة فی کیفیّة الفعل،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المستفیضة دالّة علی أنّ المیّت جنب لا بدّ من تغسیله لیرتفع جنابته </w:t>
      </w:r>
      <w:r>
        <w:rPr>
          <w:rStyle w:val="FootnoteAnchor"/>
          <w:rtl w:val="true"/>
        </w:rPr>
        <w:footnoteReference w:id="2438"/>
      </w:r>
      <w:r>
        <w:rPr>
          <w:rFonts w:ascii="IRNazanin" w:hAnsi="IRNazanin" w:eastAsia="IRNazanin"/>
          <w:color w:val="111111"/>
          <w:sz w:val="28"/>
          <w:sz w:val="28"/>
          <w:szCs w:val="28"/>
          <w:rtl w:val="true"/>
          <w:lang w:bidi="fa-IR"/>
        </w:rPr>
        <w:t>، فبعد تسلیم کون الخارج من المیّت حدثاً لا مجال لمنع کونه موجباً</w:t>
      </w:r>
    </w:p>
    <w:p>
      <w:pPr>
        <w:pStyle w:val="BookText"/>
        <w:rPr/>
      </w:pPr>
      <w:r>
        <w:rPr>
          <w:rFonts w:ascii="IRNazanin" w:hAnsi="IRNazanin" w:eastAsia="IRNazanin"/>
          <w:color w:val="111111"/>
          <w:sz w:val="28"/>
          <w:sz w:val="28"/>
          <w:szCs w:val="28"/>
          <w:rtl w:val="true"/>
          <w:lang w:bidi="fa-IR"/>
        </w:rPr>
        <w:t>لإعادة الغسل بعد فرض أنّ الجنابة لا یرتفع إلّا بغسل لم یتخلّل فی أثنائه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عموم التشبیه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بمفهوم القید فی مرفوعة سهل المرسلة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 المیّت ثمّ أحدث بعد الغسل فإنّه یغسل الحدث و لا یعاد الغسل</w:t>
      </w:r>
      <w:r>
        <w:rPr>
          <w:rFonts w:eastAsia="IRNazanin" w:cs="IRNazanin"/>
          <w:color w:val="111111"/>
          <w:sz w:val="28"/>
          <w:szCs w:val="28"/>
          <w:rtl w:val="true"/>
          <w:lang w:bidi="fa-IR"/>
        </w:rPr>
        <w:t xml:space="preserve">» </w:t>
      </w:r>
      <w:r>
        <w:rPr>
          <w:rStyle w:val="FootnoteAnchor"/>
          <w:rtl w:val="true"/>
        </w:rPr>
        <w:footnoteReference w:id="2439"/>
      </w:r>
      <w:r>
        <w:rPr>
          <w:rFonts w:ascii="IRNazanin" w:hAnsi="IRNazanin" w:eastAsia="IRNazanin"/>
          <w:color w:val="111111"/>
          <w:sz w:val="28"/>
          <w:sz w:val="28"/>
          <w:szCs w:val="28"/>
          <w:rtl w:val="true"/>
          <w:lang w:bidi="fa-IR"/>
        </w:rPr>
        <w:t xml:space="preserve">و نحوها روایة روح عن أبی عبد اللّٰه علیه السلام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کان خروج النجاسة بعد تمام الغسل قبل التکفین، فالظاهر أنّه لا خلاف فی وجوب إزالتها، و نسبه کاشف اللثام إلی ظاهر الأخبار و الفتاوی </w:t>
      </w:r>
      <w:r>
        <w:rPr>
          <w:rStyle w:val="FootnoteAnchor"/>
          <w:rtl w:val="true"/>
        </w:rPr>
        <w:footnoteReference w:id="2441"/>
      </w:r>
      <w:r>
        <w:rPr>
          <w:rFonts w:ascii="IRNazanin" w:hAnsi="IRNazanin" w:eastAsia="IRNazanin"/>
          <w:color w:val="111111"/>
          <w:sz w:val="28"/>
          <w:sz w:val="28"/>
          <w:szCs w:val="28"/>
          <w:rtl w:val="true"/>
          <w:lang w:bidi="fa-IR"/>
        </w:rPr>
        <w:t xml:space="preserve">، و یومی إلیه ظاهر المحکیّ عن عبارة المعتبر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مضافاً إلی نقل عدم الخلاف </w:t>
      </w:r>
      <w:r>
        <w:rPr>
          <w:rStyle w:val="FootnoteAnchor"/>
          <w:rtl w:val="true"/>
        </w:rPr>
        <w:footnoteReference w:id="2443"/>
      </w:r>
      <w:r>
        <w:rPr>
          <w:rFonts w:ascii="IRNazanin" w:hAnsi="IRNazanin" w:eastAsia="IRNazanin"/>
          <w:color w:val="111111"/>
          <w:sz w:val="28"/>
          <w:sz w:val="28"/>
          <w:szCs w:val="28"/>
          <w:rtl w:val="true"/>
          <w:lang w:bidi="fa-IR"/>
        </w:rPr>
        <w:t>المعتضد بالشهرة، و إلی فحوی ما سیجی‌ء من وجوب تطهیر الکفن، و إلی تعلیل تغسیله فی الأخبار بقولهم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لتلاقیه الملائکة و هو طاهر</w:t>
      </w:r>
      <w:r>
        <w:rPr>
          <w:rFonts w:eastAsia="IRNazanin" w:cs="IRNazanin"/>
          <w:color w:val="111111"/>
          <w:sz w:val="28"/>
          <w:szCs w:val="28"/>
          <w:rtl w:val="true"/>
          <w:lang w:bidi="fa-IR"/>
        </w:rPr>
        <w:t xml:space="preserve">» </w:t>
      </w:r>
      <w:r>
        <w:rPr>
          <w:rStyle w:val="FootnoteAnchor"/>
          <w:rtl w:val="true"/>
        </w:rPr>
        <w:footnoteReference w:id="2444"/>
      </w:r>
      <w:r>
        <w:rPr>
          <w:rFonts w:ascii="IRNazanin" w:hAnsi="IRNazanin" w:eastAsia="IRNazanin"/>
          <w:color w:val="111111"/>
          <w:sz w:val="28"/>
          <w:sz w:val="28"/>
          <w:szCs w:val="28"/>
          <w:rtl w:val="true"/>
          <w:lang w:bidi="fa-IR"/>
        </w:rPr>
        <w:t xml:space="preserve">، و لأنه إذا مات کان الغالب علیه النجاسة و الآفة و الأذی فأُحبّ أن یکون طاهراً إذا باشر أهل الطهارة </w:t>
      </w:r>
      <w:r>
        <w:rPr>
          <w:rStyle w:val="FootnoteAnchor"/>
          <w:rtl w:val="true"/>
        </w:rPr>
        <w:footnoteReference w:id="2445"/>
      </w:r>
      <w:r>
        <w:rPr>
          <w:rFonts w:ascii="IRNazanin" w:hAnsi="IRNazanin" w:eastAsia="IRNazanin"/>
          <w:color w:val="111111"/>
          <w:sz w:val="28"/>
          <w:sz w:val="28"/>
          <w:szCs w:val="28"/>
          <w:rtl w:val="true"/>
          <w:lang w:bidi="fa-IR"/>
        </w:rPr>
        <w:t xml:space="preserve">و </w:t>
      </w:r>
      <w:r>
        <w:rPr>
          <w:rStyle w:val="FootnoteAnchor"/>
          <w:rtl w:val="true"/>
        </w:rPr>
        <w:footnoteReference w:id="2446"/>
      </w:r>
      <w:r>
        <w:rPr>
          <w:rFonts w:ascii="IRNazanin" w:hAnsi="IRNazanin" w:eastAsia="IRNazanin"/>
          <w:color w:val="111111"/>
          <w:sz w:val="28"/>
          <w:sz w:val="28"/>
          <w:szCs w:val="28"/>
          <w:rtl w:val="true"/>
          <w:lang w:bidi="fa-IR"/>
        </w:rPr>
        <w:t>الأخبار المستفیضة، کمرفوعة سهل المتقدّمة، و روایة روح</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بدا شی‌ء من المیّت بعد غسله، فاغسل الذی بدا و لا تعد الغسل</w:t>
      </w:r>
      <w:r>
        <w:rPr>
          <w:rFonts w:eastAsia="IRNazanin" w:cs="IRNazanin"/>
          <w:color w:val="111111"/>
          <w:sz w:val="28"/>
          <w:szCs w:val="28"/>
          <w:rtl w:val="true"/>
          <w:lang w:bidi="fa-IR"/>
        </w:rPr>
        <w:t xml:space="preserve">» </w:t>
      </w:r>
      <w:r>
        <w:rPr>
          <w:rStyle w:val="FootnoteAnchor"/>
          <w:rtl w:val="true"/>
        </w:rPr>
        <w:footnoteReference w:id="2447"/>
      </w:r>
      <w:r>
        <w:rPr>
          <w:rFonts w:ascii="IRNazanin" w:hAnsi="IRNazanin" w:eastAsia="IRNazanin"/>
          <w:color w:val="111111"/>
          <w:sz w:val="28"/>
          <w:sz w:val="28"/>
          <w:szCs w:val="28"/>
          <w:rtl w:val="true"/>
          <w:lang w:bidi="fa-IR"/>
        </w:rPr>
        <w:t>و فی روایة الحسین بن 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ذلک و لا یعاد علیه الغسل</w:t>
      </w:r>
      <w:r>
        <w:rPr>
          <w:rFonts w:eastAsia="IRNazanin" w:cs="IRNazanin"/>
          <w:color w:val="111111"/>
          <w:sz w:val="28"/>
          <w:szCs w:val="28"/>
          <w:rtl w:val="true"/>
          <w:lang w:bidi="fa-IR"/>
        </w:rPr>
        <w:t xml:space="preserve">»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هذه الأخبار مضافاً إلی الأصل یعلم عدم وجوب إعادة الغسل و لو کان الخارج منیّاً، خلافاً لما عن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الإعادة بمطلق الحدث </w:t>
      </w:r>
      <w:r>
        <w:rPr>
          <w:rStyle w:val="FootnoteAnchor"/>
          <w:rtl w:val="true"/>
        </w:rPr>
        <w:footnoteReference w:id="2449"/>
      </w:r>
      <w:r>
        <w:rPr>
          <w:rFonts w:ascii="IRNazanin" w:hAnsi="IRNazanin" w:eastAsia="IRNazanin"/>
          <w:color w:val="111111"/>
          <w:sz w:val="28"/>
          <w:sz w:val="28"/>
          <w:szCs w:val="28"/>
          <w:rtl w:val="true"/>
          <w:lang w:bidi="fa-IR"/>
        </w:rPr>
        <w:t>، و هو شاذّ لم نجد له مستنداً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أصابت الکفن، فإن کان قبل وضعه فی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 من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مرّ من الأدلّة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یجب إزالة النجاسة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ظاهراً إلّا من المحکیّ عن الوسیلة، حیث جعل من المستحبّ قرض الکفن لو أصابه نجاسة </w:t>
      </w:r>
      <w:r>
        <w:rPr>
          <w:rStyle w:val="FootnoteAnchor"/>
          <w:rtl w:val="true"/>
        </w:rPr>
        <w:footnoteReference w:id="2450"/>
      </w:r>
      <w:r>
        <w:rPr>
          <w:rFonts w:ascii="IRNazanin" w:hAnsi="IRNazanin" w:eastAsia="IRNazanin"/>
          <w:color w:val="111111"/>
          <w:sz w:val="28"/>
          <w:sz w:val="28"/>
          <w:szCs w:val="28"/>
          <w:rtl w:val="true"/>
          <w:lang w:bidi="fa-IR"/>
        </w:rPr>
        <w:t>، علی تقدیر عدم احتماله لاستحباب خصوص القرض دون أصل الإزالة، و هو شاذّ، بل ظاهر الأردبیلی الإجماع علی خلافه،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إزالة النجاسة عن البدن و الکفن لو خرجت نجاسة قبل الدفن و القرض لو خرجت بعده، فکأنه لوجوب إزالة النجاسة بالإجماع و نحوه </w:t>
      </w:r>
      <w:r>
        <w:rPr>
          <w:rStyle w:val="FootnoteAnchor"/>
          <w:rtl w:val="true"/>
        </w:rPr>
        <w:footnoteReference w:id="24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الأخبار الآتیة الآمرة بقرض</w:t>
      </w:r>
      <w:bookmarkStart w:id="360" w:name="pg13042_127284"/>
    </w:p>
    <w:p>
      <w:pPr>
        <w:pStyle w:val="BookText"/>
        <w:rPr/>
      </w:pPr>
      <w:bookmarkEnd w:id="360"/>
      <w:r>
        <w:rPr>
          <w:rFonts w:ascii="IRNazanin" w:hAnsi="IRNazanin" w:eastAsia="IRNazanin"/>
          <w:color w:val="111111"/>
          <w:sz w:val="28"/>
          <w:sz w:val="28"/>
          <w:szCs w:val="28"/>
          <w:rtl w:val="true"/>
          <w:lang w:bidi="fa-IR"/>
        </w:rPr>
        <w:t xml:space="preserve">الکفن </w:t>
      </w:r>
      <w:r>
        <w:rPr>
          <w:rStyle w:val="FootnoteAnchor"/>
          <w:rtl w:val="true"/>
        </w:rPr>
        <w:footnoteReference w:id="2452"/>
      </w:r>
      <w:r>
        <w:rPr>
          <w:rFonts w:ascii="IRNazanin" w:hAnsi="IRNazanin" w:eastAsia="IRNazanin"/>
          <w:color w:val="111111"/>
          <w:sz w:val="28"/>
          <w:sz w:val="28"/>
          <w:szCs w:val="28"/>
          <w:rtl w:val="true"/>
          <w:lang w:bidi="fa-IR"/>
        </w:rPr>
        <w:t xml:space="preserve">، و الأخبار المتقدّمة الآمرة بغسل النجاسة الخارجة عن المیّت و إزالتها </w:t>
      </w:r>
      <w:r>
        <w:rPr>
          <w:rStyle w:val="FootnoteAnchor"/>
          <w:rtl w:val="true"/>
        </w:rPr>
        <w:footnoteReference w:id="2453"/>
      </w:r>
      <w:r>
        <w:rPr>
          <w:rFonts w:ascii="Amiri" w:hAnsi="Amiri" w:eastAsia="Amiri" w:cs="Amiri"/>
          <w:color w:val="111111"/>
          <w:sz w:val="28"/>
          <w:sz w:val="28"/>
          <w:szCs w:val="28"/>
          <w:rtl w:val="true"/>
          <w:lang w:bidi="ar-SA"/>
        </w:rPr>
        <w:t>الشاملة للثوب و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الإجماعات علی عدم جواز التکفین فی مطلق ما لا یجوز الصلاة فیه </w:t>
      </w:r>
      <w:r>
        <w:rPr>
          <w:rStyle w:val="FootnoteAnchor"/>
          <w:rtl w:val="true"/>
        </w:rPr>
        <w:footnoteReference w:id="2454"/>
      </w:r>
      <w:r>
        <w:rPr>
          <w:rFonts w:ascii="IRNazanin" w:hAnsi="IRNazanin" w:eastAsia="IRNazanin"/>
          <w:color w:val="111111"/>
          <w:sz w:val="28"/>
          <w:sz w:val="28"/>
          <w:szCs w:val="28"/>
          <w:rtl w:val="true"/>
          <w:lang w:bidi="fa-IR"/>
        </w:rPr>
        <w:t>، و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المیّت بمنزلة المحرم </w:t>
      </w:r>
      <w:r>
        <w:rPr>
          <w:rStyle w:val="FootnoteAnchor"/>
          <w:rtl w:val="true"/>
        </w:rPr>
        <w:footnoteReference w:id="2455"/>
      </w:r>
      <w:r>
        <w:rPr>
          <w:rFonts w:ascii="IRNazanin" w:hAnsi="IRNazanin" w:eastAsia="IRNazanin"/>
          <w:color w:val="111111"/>
          <w:sz w:val="28"/>
          <w:sz w:val="28"/>
          <w:szCs w:val="28"/>
          <w:rtl w:val="true"/>
          <w:lang w:bidi="fa-IR"/>
        </w:rPr>
        <w:t>بناءً علی وجوب إزالة المحرم النجاسة عن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خلاف فی وجوب أصل الإزالة، إنّما الخلاف فی أنّه یغسل مطلقاً مع الإمکان و لو وضع فی القبر، کما عن ظاهر البیان </w:t>
      </w:r>
      <w:r>
        <w:rPr>
          <w:rStyle w:val="FootnoteAnchor"/>
          <w:rtl w:val="true"/>
        </w:rPr>
        <w:footnoteReference w:id="2456"/>
      </w:r>
      <w:r>
        <w:rPr>
          <w:rFonts w:ascii="IRNazanin" w:hAnsi="IRNazanin" w:eastAsia="IRNazanin"/>
          <w:color w:val="111111"/>
          <w:sz w:val="28"/>
          <w:sz w:val="28"/>
          <w:szCs w:val="28"/>
          <w:rtl w:val="true"/>
          <w:lang w:bidi="fa-IR"/>
        </w:rPr>
        <w:t xml:space="preserve">و صریح جامع المقاصد </w:t>
      </w:r>
      <w:r>
        <w:rPr>
          <w:rStyle w:val="FootnoteAnchor"/>
          <w:rtl w:val="true"/>
        </w:rPr>
        <w:footnoteReference w:id="2457"/>
      </w:r>
      <w:r>
        <w:rPr>
          <w:rFonts w:ascii="IRNazanin" w:hAnsi="IRNazanin" w:eastAsia="IRNazanin"/>
          <w:color w:val="111111"/>
          <w:sz w:val="28"/>
          <w:sz w:val="28"/>
          <w:szCs w:val="28"/>
          <w:rtl w:val="true"/>
          <w:lang w:bidi="fa-IR"/>
        </w:rPr>
        <w:t xml:space="preserve">و حاشیة الشرائع </w:t>
      </w:r>
      <w:r>
        <w:rPr>
          <w:rStyle w:val="FootnoteAnchor"/>
          <w:rtl w:val="true"/>
        </w:rPr>
        <w:footnoteReference w:id="2458"/>
      </w:r>
      <w:r>
        <w:rPr>
          <w:rFonts w:ascii="IRNazanin" w:hAnsi="IRNazanin" w:eastAsia="IRNazanin"/>
          <w:color w:val="111111"/>
          <w:sz w:val="28"/>
          <w:sz w:val="28"/>
          <w:szCs w:val="28"/>
          <w:rtl w:val="true"/>
          <w:lang w:bidi="fa-IR"/>
        </w:rPr>
        <w:t>، و یمکن حمل کلام کلِّ من أطلق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تعذّر الغسل أو تعسّره بعد الوضع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یقرض مطلقاً، کما عن ظاهر الشیخ </w:t>
      </w:r>
      <w:r>
        <w:rPr>
          <w:rStyle w:val="FootnoteAnchor"/>
          <w:rtl w:val="true"/>
        </w:rPr>
        <w:footnoteReference w:id="2459"/>
      </w:r>
      <w:r>
        <w:rPr>
          <w:rFonts w:ascii="Amiri" w:hAnsi="Amiri" w:eastAsia="Amiri" w:cs="Amiri"/>
          <w:color w:val="111111"/>
          <w:sz w:val="28"/>
          <w:sz w:val="28"/>
          <w:szCs w:val="28"/>
          <w:rtl w:val="true"/>
          <w:lang w:bidi="ar-SA"/>
        </w:rPr>
        <w:t xml:space="preserve">و ابن حمزة </w:t>
      </w:r>
      <w:r>
        <w:rPr>
          <w:rStyle w:val="FootnoteAnchor"/>
          <w:rtl w:val="true"/>
        </w:rPr>
        <w:footnoteReference w:id="2460"/>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2461"/>
      </w:r>
      <w:r>
        <w:rPr>
          <w:rFonts w:ascii="IRNazanin" w:hAnsi="IRNazanin" w:eastAsia="IRNazanin"/>
          <w:color w:val="111111"/>
          <w:sz w:val="28"/>
          <w:sz w:val="28"/>
          <w:szCs w:val="28"/>
          <w:rtl w:val="true"/>
          <w:lang w:bidi="fa-IR"/>
        </w:rPr>
        <w:t>لظاهر الروایتین الآتیتین</w:t>
      </w:r>
      <w:r>
        <w:rPr>
          <w:rFonts w:eastAsia="IRNazanin" w:cs="IRNazanin"/>
          <w:color w:val="111111"/>
          <w:sz w:val="28"/>
          <w:szCs w:val="28"/>
          <w:rtl w:val="true"/>
          <w:lang w:bidi="fa-IR"/>
        </w:rPr>
        <w:t>.</w:t>
      </w:r>
    </w:p>
    <w:p>
      <w:pPr>
        <w:pStyle w:val="Heading6"/>
        <w:numPr>
          <w:ilvl w:val="5"/>
          <w:numId w:val="1"/>
        </w:numPr>
        <w:rPr/>
      </w:pPr>
      <w:bookmarkStart w:id="361" w:name="__RefHeading___Toc6530334_3224264995"/>
      <w:bookmarkStart w:id="362" w:name="_Toc139"/>
      <w:bookmarkEnd w:id="361"/>
      <w:r>
        <w:rPr>
          <w:rtl w:val="true"/>
        </w:rPr>
        <w:t>[</w:t>
      </w:r>
      <w:r>
        <w:rPr>
          <w:rtl w:val="true"/>
        </w:rPr>
        <w:t>لو أصابت النجاسة الکفن بعد وضعه فی القبر</w:t>
      </w:r>
      <w:r>
        <w:rPr>
          <w:rtl w:val="true"/>
        </w:rPr>
        <w:t>]</w:t>
      </w:r>
      <w:bookmarkEnd w:id="36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Style w:val="FootnoteAnchor"/>
          <w:rtl w:val="true"/>
        </w:rPr>
        <w:footnoteReference w:id="2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أصابت الکفن بعد وضعه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ما لو أصابته بعده </w:t>
      </w:r>
      <w:r>
        <w:rPr>
          <w:rStyle w:val="FootnoteAnchor"/>
          <w:rtl w:val="true"/>
        </w:rPr>
        <w:footnoteReference w:id="2463"/>
      </w:r>
      <w:r>
        <w:rPr>
          <w:rFonts w:ascii="IRNazanin" w:hAnsi="IRNazanin" w:eastAsia="IRNazanin"/>
          <w:color w:val="111111"/>
          <w:sz w:val="28"/>
          <w:sz w:val="28"/>
          <w:szCs w:val="28"/>
          <w:rtl w:val="true"/>
          <w:lang w:bidi="fa-IR"/>
        </w:rPr>
        <w:t xml:space="preserve">یغسل، کما عن ظاهر الصدوقین و أکثر الأصحاب </w:t>
      </w:r>
      <w:r>
        <w:rPr>
          <w:rStyle w:val="FootnoteAnchor"/>
          <w:rtl w:val="true"/>
        </w:rPr>
        <w:footnoteReference w:id="2464"/>
      </w:r>
      <w:r>
        <w:rPr>
          <w:rFonts w:ascii="IRNazanin" w:hAnsi="IRNazanin" w:eastAsia="IRNazanin"/>
          <w:color w:val="111111"/>
          <w:sz w:val="28"/>
          <w:sz w:val="28"/>
          <w:szCs w:val="28"/>
          <w:rtl w:val="true"/>
          <w:lang w:bidi="fa-IR"/>
        </w:rPr>
        <w:t xml:space="preserve">، منهم الحلیّ </w:t>
      </w:r>
      <w:r>
        <w:rPr>
          <w:rStyle w:val="FootnoteAnchor"/>
          <w:rtl w:val="true"/>
        </w:rPr>
        <w:footnoteReference w:id="2465"/>
      </w:r>
      <w:r>
        <w:rPr>
          <w:rFonts w:ascii="Amiri" w:hAnsi="Amiri" w:eastAsia="Amiri" w:cs="Amiri"/>
          <w:color w:val="111111"/>
          <w:sz w:val="28"/>
          <w:sz w:val="28"/>
          <w:szCs w:val="28"/>
          <w:rtl w:val="true"/>
          <w:lang w:bidi="ar-SA"/>
        </w:rPr>
        <w:t xml:space="preserve">و المحقّق </w:t>
      </w:r>
      <w:r>
        <w:rPr>
          <w:rStyle w:val="FootnoteAnchor"/>
          <w:rtl w:val="true"/>
        </w:rPr>
        <w:footnoteReference w:id="2466"/>
      </w:r>
      <w:r>
        <w:rPr>
          <w:rFonts w:ascii="Amiri" w:hAnsi="Amiri" w:eastAsia="Amiri" w:cs="Amiri"/>
          <w:color w:val="111111"/>
          <w:sz w:val="28"/>
          <w:sz w:val="28"/>
          <w:szCs w:val="28"/>
          <w:rtl w:val="true"/>
          <w:lang w:bidi="ar-SA"/>
        </w:rPr>
        <w:t xml:space="preserve">و المصنّف </w:t>
      </w:r>
      <w:r>
        <w:rPr>
          <w:rStyle w:val="FootnoteAnchor"/>
          <w:rtl w:val="true"/>
        </w:rPr>
        <w:footnoteReference w:id="2467"/>
      </w:r>
      <w:r>
        <w:rPr>
          <w:rFonts w:ascii="IRNazanin" w:hAnsi="IRNazanin" w:eastAsia="IRNazanin"/>
          <w:color w:val="111111"/>
          <w:sz w:val="28"/>
          <w:sz w:val="28"/>
          <w:szCs w:val="28"/>
          <w:rtl w:val="true"/>
          <w:lang w:bidi="fa-IR"/>
        </w:rPr>
        <w:t xml:space="preserve">للرضوی </w:t>
      </w:r>
      <w:r>
        <w:rPr>
          <w:rStyle w:val="FootnoteAnchor"/>
          <w:rtl w:val="true"/>
        </w:rPr>
        <w:footnoteReference w:id="2468"/>
      </w:r>
      <w:r>
        <w:rPr>
          <w:rFonts w:ascii="IRNazanin" w:hAnsi="IRNazanin" w:eastAsia="IRNazanin"/>
          <w:color w:val="111111"/>
          <w:sz w:val="28"/>
          <w:sz w:val="28"/>
          <w:szCs w:val="28"/>
          <w:rtl w:val="true"/>
          <w:lang w:bidi="fa-IR"/>
        </w:rPr>
        <w:t>، و لأنّ إزالة النجاسة عن الکفن واجب اتفاقاً، و قرضه إتلاف للمال من غیر داع إلیه، و لا دلیل علیه قبل الوضع فی اللحد عدا إطلاق مرسلة ابن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من المیّت شی‌ء بعد ما یکفّن فأصاب الکفن قرض منه</w:t>
      </w:r>
      <w:r>
        <w:rPr>
          <w:rFonts w:eastAsia="IRNazanin" w:cs="IRNazanin"/>
          <w:color w:val="111111"/>
          <w:sz w:val="28"/>
          <w:szCs w:val="28"/>
          <w:rtl w:val="true"/>
          <w:lang w:bidi="fa-IR"/>
        </w:rPr>
        <w:t xml:space="preserve">» </w:t>
      </w:r>
      <w:r>
        <w:rPr>
          <w:rStyle w:val="FootnoteAnchor"/>
          <w:rtl w:val="true"/>
        </w:rPr>
        <w:footnoteReference w:id="2469"/>
      </w:r>
      <w:r>
        <w:rPr>
          <w:rFonts w:ascii="IRNazanin" w:hAnsi="IRNazanin" w:eastAsia="IRNazanin"/>
          <w:color w:val="111111"/>
          <w:sz w:val="28"/>
          <w:sz w:val="28"/>
          <w:szCs w:val="28"/>
          <w:rtl w:val="true"/>
          <w:lang w:bidi="fa-IR"/>
        </w:rPr>
        <w:t>و روایة الکاهلی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من منخر المیّت الدم أو الشی‌ء بعد الغسل فأصاب العمامة أو الکفن قرض بالمقراض</w:t>
      </w:r>
      <w:r>
        <w:rPr>
          <w:rFonts w:eastAsia="IRNazanin" w:cs="IRNazanin"/>
          <w:color w:val="111111"/>
          <w:sz w:val="28"/>
          <w:szCs w:val="28"/>
          <w:rtl w:val="true"/>
          <w:lang w:bidi="fa-IR"/>
        </w:rPr>
        <w:t xml:space="preserve">» </w:t>
      </w:r>
      <w:r>
        <w:rPr>
          <w:rStyle w:val="FootnoteAnchor"/>
          <w:rtl w:val="true"/>
        </w:rPr>
        <w:footnoteReference w:id="2470"/>
      </w:r>
      <w:r>
        <w:rPr>
          <w:rFonts w:ascii="IRNazanin" w:hAnsi="IRNazanin" w:eastAsia="IRNazanin"/>
          <w:color w:val="111111"/>
          <w:sz w:val="28"/>
          <w:sz w:val="28"/>
          <w:szCs w:val="28"/>
          <w:rtl w:val="true"/>
          <w:lang w:bidi="fa-IR"/>
        </w:rPr>
        <w:t xml:space="preserve">لکنّهما محمولان علی صورة </w:t>
      </w:r>
      <w:r>
        <w:rPr>
          <w:rStyle w:val="FootnoteAnchor"/>
          <w:rtl w:val="true"/>
        </w:rPr>
        <w:footnoteReference w:id="2471"/>
      </w:r>
      <w:r>
        <w:rPr>
          <w:rFonts w:ascii="IRNazanin" w:hAnsi="IRNazanin" w:eastAsia="IRNazanin"/>
          <w:color w:val="111111"/>
          <w:sz w:val="28"/>
          <w:sz w:val="28"/>
          <w:szCs w:val="28"/>
          <w:rtl w:val="true"/>
          <w:lang w:bidi="fa-IR"/>
        </w:rPr>
        <w:t>تعذّر الغسل بقرینة خلوّهما من الأمر بغسل البدن مع اقتضاء المقام لبیانه، فلا یصلحان لتخصیص أدلّة إتلاف المال و لا لمعارضة الأخبار المتقدّمة الآمرة بغسل النجاسة و إزالتها بقول مطلق</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فساد ما 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إمکان تخصیص أدلّة</w:t>
      </w:r>
    </w:p>
    <w:p>
      <w:pPr>
        <w:pStyle w:val="BookText"/>
        <w:rPr/>
      </w:pPr>
      <w:r>
        <w:rPr>
          <w:rFonts w:ascii="IRNazanin" w:hAnsi="IRNazanin" w:eastAsia="IRNazanin"/>
          <w:color w:val="111111"/>
          <w:sz w:val="28"/>
          <w:sz w:val="28"/>
          <w:szCs w:val="28"/>
          <w:rtl w:val="true"/>
          <w:lang w:bidi="fa-IR"/>
        </w:rPr>
        <w:t xml:space="preserve">إتلاف المال بهاتین الروایتین، أو تخصیص الأخبار المتقدّمة بما إذا لم یصب النجاسة الکفن، أو الجمع بینها و بین هذین الخبرین بالتخییر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یعلم أنّ التحقیق هو القول بوجوب الإزالة؛ لأدلّة وجوبها من غیر تعیین للغسل و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أخبار تعیین الغسل المتقدّمة، فهی علی تقدیر شمولها لغسل الکفن محمولة علی الغالب مع </w:t>
      </w:r>
      <w:r>
        <w:rPr>
          <w:rStyle w:val="FootnoteAnchor"/>
          <w:rtl w:val="true"/>
        </w:rPr>
        <w:footnoteReference w:id="2473"/>
      </w:r>
      <w:r>
        <w:rPr>
          <w:rFonts w:ascii="IRNazanin" w:hAnsi="IRNazanin" w:eastAsia="IRNazanin"/>
          <w:color w:val="111111"/>
          <w:sz w:val="28"/>
          <w:sz w:val="28"/>
          <w:szCs w:val="28"/>
          <w:rtl w:val="true"/>
          <w:lang w:bidi="fa-IR"/>
        </w:rPr>
        <w:t>إمکان إزالتها بالقرض، مع أنّ التعبیر فیها بالغسل فیما نحن فیه لأجل شمولها للإزالة عن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 القرض، فقد عرفت أنّها ظاهرة فی أنفسها و بملاحظة عدم التعرّض فیها للإزالة عن البدن علی صورة عدم تیسّر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عدم کون القرض تضییعاً للمال، و إلّا حرم، و إن سقط به وجوب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إمکان الأمرین، و لو تعذّر القرض تعیّن الغسل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الغسل تعیّن القرض و إن کان إتلافاً للمال؛ لأنّ الإتلاف الواجب لا یسمّی تضییعاً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تعذّر الغسل و استلزم القرض إفساد الکفن فالمحکیّ عن الذکری </w:t>
      </w:r>
      <w:r>
        <w:rPr>
          <w:rStyle w:val="FootnoteAnchor"/>
          <w:rtl w:val="true"/>
        </w:rPr>
        <w:footnoteReference w:id="2474"/>
      </w:r>
      <w:r>
        <w:rPr>
          <w:rFonts w:ascii="IRNazanin" w:hAnsi="IRNazanin" w:eastAsia="IRNazanin"/>
          <w:color w:val="111111"/>
          <w:sz w:val="28"/>
          <w:sz w:val="28"/>
          <w:szCs w:val="28"/>
          <w:rtl w:val="true"/>
          <w:lang w:bidi="fa-IR"/>
        </w:rPr>
        <w:t xml:space="preserve">و الروض </w:t>
      </w:r>
      <w:r>
        <w:rPr>
          <w:rStyle w:val="FootnoteAnchor"/>
          <w:rtl w:val="true"/>
        </w:rPr>
        <w:footnoteReference w:id="2475"/>
      </w:r>
      <w:r>
        <w:rPr>
          <w:rFonts w:ascii="IRNazanin" w:hAnsi="IRNazanin" w:eastAsia="IRNazanin"/>
          <w:color w:val="111111"/>
          <w:sz w:val="28"/>
          <w:sz w:val="28"/>
          <w:szCs w:val="28"/>
          <w:rtl w:val="true"/>
          <w:lang w:bidi="fa-IR"/>
        </w:rPr>
        <w:t xml:space="preserve">و حاشیة الشرائع </w:t>
      </w:r>
      <w:r>
        <w:rPr>
          <w:rStyle w:val="FootnoteAnchor"/>
          <w:rtl w:val="true"/>
        </w:rPr>
        <w:footnoteReference w:id="2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یترک الکفن بحاله؛ و لعلّه لأنّ الواجب</w:t>
      </w:r>
      <w:bookmarkStart w:id="363" w:name="pg13042_127287"/>
    </w:p>
    <w:p>
      <w:pPr>
        <w:pStyle w:val="BookText"/>
        <w:rPr/>
      </w:pPr>
      <w:bookmarkEnd w:id="363"/>
      <w:r>
        <w:rPr>
          <w:rFonts w:ascii="IRNazanin" w:hAnsi="IRNazanin" w:eastAsia="IRNazanin"/>
          <w:color w:val="111111"/>
          <w:sz w:val="28"/>
          <w:sz w:val="28"/>
          <w:szCs w:val="28"/>
          <w:rtl w:val="true"/>
          <w:lang w:bidi="fa-IR"/>
        </w:rPr>
        <w:t>و هی الإزالة غیر ممکنة، و وجوب التبدیل یحتاج إلی دلیل و لیس، عدا ما ربما یستفاد من أدلّة وجوب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صلاحیّة الکفن المتنجّس لکونه کفناً، سواء کان نجساً ابتداءً أو تنجّس بعد التکفین به، و حینئذٍ فیجب علی الولیّ الإبدال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تنجّس الکفن بعد التکفین به لا یوجب عدم صلاحیّته لبقائه کفناً کالنجاسة الابتدائیّة المخرجة عن صلاحیّة التکفین به، غایة الأمر أنّه یجب تطهیر المیّت ثوبه و بدنه عند الإمکان، و حیثما فرض عدم الإمکان فیسقط الوجوب</w:t>
      </w:r>
      <w:r>
        <w:rPr>
          <w:rFonts w:eastAsia="IRNazanin" w:cs="IRNazanin"/>
          <w:color w:val="111111"/>
          <w:sz w:val="28"/>
          <w:szCs w:val="28"/>
          <w:rtl w:val="true"/>
          <w:lang w:bidi="fa-IR"/>
        </w:rPr>
        <w:t>.</w:t>
      </w:r>
    </w:p>
    <w:p>
      <w:pPr>
        <w:pStyle w:val="Heading6"/>
        <w:numPr>
          <w:ilvl w:val="5"/>
          <w:numId w:val="1"/>
        </w:numPr>
        <w:rPr/>
      </w:pPr>
      <w:bookmarkStart w:id="364" w:name="__RefHeading___Toc6530336_3224264995"/>
      <w:bookmarkStart w:id="365" w:name="_Toc140"/>
      <w:bookmarkEnd w:id="364"/>
      <w:r>
        <w:rPr>
          <w:rtl w:val="true"/>
        </w:rPr>
        <w:t>[</w:t>
      </w:r>
      <w:r>
        <w:rPr>
          <w:rtl w:val="true"/>
        </w:rPr>
        <w:t>یجب أن یطرح مع المیت فی الکفن کلّ ما سقط من شعره و جسمه و ظفره و جلده</w:t>
      </w:r>
      <w:r>
        <w:rPr>
          <w:rtl w:val="true"/>
        </w:rPr>
        <w:t>]</w:t>
      </w:r>
      <w:bookmarkEnd w:id="36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یطرح معه فی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سقط </w:t>
      </w:r>
      <w:r>
        <w:rPr>
          <w:rStyle w:val="FootnoteAnchor"/>
          <w:rtl w:val="true"/>
        </w:rPr>
        <w:footnoteReference w:id="2477"/>
      </w:r>
      <w:r>
        <w:rPr>
          <w:rFonts w:ascii="IRNazanin" w:hAnsi="IRNazanin" w:eastAsia="IRNazanin"/>
          <w:color w:val="111111"/>
          <w:sz w:val="28"/>
          <w:sz w:val="28"/>
          <w:szCs w:val="28"/>
          <w:rtl w:val="true"/>
          <w:lang w:bidi="fa-IR"/>
        </w:rPr>
        <w:t>من شعره و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ظفره و جلده بلا خلاف کما عن ظاهر الذخیرة </w:t>
      </w:r>
      <w:r>
        <w:rPr>
          <w:rStyle w:val="FootnoteAnchor"/>
          <w:rtl w:val="true"/>
        </w:rPr>
        <w:footnoteReference w:id="2478"/>
      </w:r>
      <w:r>
        <w:rPr>
          <w:rFonts w:ascii="IRNazanin" w:hAnsi="IRNazanin" w:eastAsia="IRNazanin"/>
          <w:color w:val="111111"/>
          <w:sz w:val="28"/>
          <w:sz w:val="28"/>
          <w:szCs w:val="28"/>
          <w:rtl w:val="true"/>
          <w:lang w:bidi="fa-IR"/>
        </w:rPr>
        <w:t xml:space="preserve">، بل إجماعاً کما عن نهایة الإحکام </w:t>
      </w:r>
      <w:r>
        <w:rPr>
          <w:rStyle w:val="FootnoteAnchor"/>
          <w:rtl w:val="true"/>
        </w:rPr>
        <w:footnoteReference w:id="2479"/>
      </w:r>
      <w:r>
        <w:rPr>
          <w:rFonts w:ascii="IRNazanin" w:hAnsi="IRNazanin" w:eastAsia="IRNazanin"/>
          <w:color w:val="111111"/>
          <w:sz w:val="28"/>
          <w:sz w:val="28"/>
          <w:szCs w:val="28"/>
          <w:rtl w:val="true"/>
          <w:lang w:bidi="fa-IR"/>
        </w:rPr>
        <w:t xml:space="preserve">و ظاهر التذکرة </w:t>
      </w:r>
      <w:r>
        <w:rPr>
          <w:rStyle w:val="FootnoteAnchor"/>
          <w:rtl w:val="true"/>
        </w:rPr>
        <w:footnoteReference w:id="2480"/>
      </w:r>
      <w:r>
        <w:rPr>
          <w:rFonts w:ascii="Amiri" w:hAnsi="Amiri" w:eastAsia="Amiri" w:cs="Amiri"/>
          <w:color w:val="111111"/>
          <w:sz w:val="28"/>
          <w:sz w:val="28"/>
          <w:szCs w:val="28"/>
          <w:rtl w:val="true"/>
          <w:lang w:bidi="ar-SA"/>
        </w:rPr>
        <w:t xml:space="preserve">، إلّا أنّ المحکیّ عن الجامع النصّ علی الاستحباب </w:t>
      </w:r>
      <w:r>
        <w:rPr>
          <w:rStyle w:val="FootnoteAnchor"/>
          <w:rtl w:val="true"/>
        </w:rPr>
        <w:footnoteReference w:id="2481"/>
      </w:r>
      <w:r>
        <w:rPr>
          <w:rFonts w:ascii="IRNazanin" w:hAnsi="IRNazanin" w:eastAsia="IRNazanin"/>
          <w:color w:val="111111"/>
          <w:sz w:val="28"/>
          <w:sz w:val="28"/>
          <w:szCs w:val="28"/>
          <w:rtl w:val="true"/>
          <w:lang w:bidi="fa-IR"/>
        </w:rPr>
        <w:t xml:space="preserve">، و قد تقدّم ذلک مع الأخبار الظاهرة فی وجوب غسله فی مسألة کراهة تسریح شعر المیّت و قصّ أظفاره </w:t>
      </w:r>
      <w:r>
        <w:rPr>
          <w:rStyle w:val="FootnoteAnchor"/>
          <w:rtl w:val="true"/>
        </w:rPr>
        <w:footnoteReference w:id="2482"/>
      </w:r>
      <w:r>
        <w:rPr>
          <w:rFonts w:ascii="IRNazanin" w:hAnsi="IRNazanin" w:eastAsia="IRNazanin"/>
          <w:color w:val="111111"/>
          <w:sz w:val="28"/>
          <w:sz w:val="28"/>
          <w:szCs w:val="28"/>
          <w:rtl w:val="true"/>
          <w:lang w:bidi="fa-IR"/>
        </w:rPr>
        <w:t>، و تأمّل فیه المحقّق الأردبیلی علی ما حکی عنه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طرح ما سقط منه معه فی</w:t>
      </w:r>
      <w:bookmarkStart w:id="366" w:name="pg13042_127288"/>
    </w:p>
    <w:p>
      <w:pPr>
        <w:pStyle w:val="BookText"/>
        <w:rPr/>
      </w:pPr>
      <w:bookmarkEnd w:id="366"/>
      <w:r>
        <w:rPr>
          <w:rFonts w:ascii="IRNazanin" w:hAnsi="IRNazanin" w:eastAsia="IRNazanin"/>
          <w:color w:val="111111"/>
          <w:sz w:val="28"/>
          <w:sz w:val="28"/>
          <w:szCs w:val="28"/>
          <w:rtl w:val="true"/>
          <w:lang w:bidi="fa-IR"/>
        </w:rPr>
        <w:t>الکفن،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المذکور فی التذکرة، و أمّا وجوب غسله الذی کان ذلک علی أصله الذی سقط منه، فکأنه للاستصحاب، و فیه تأمّل </w:t>
      </w:r>
      <w:r>
        <w:rPr>
          <w:rStyle w:val="FootnoteAnchor"/>
          <w:rtl w:val="true"/>
        </w:rPr>
        <w:footnoteReference w:id="24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أصل غسله فقد تقدّم فی موثّقة عبد الرحمن بن أبی عبد اللّٰه </w:t>
      </w:r>
      <w:r>
        <w:rPr>
          <w:rStyle w:val="FootnoteAnchor"/>
          <w:rtl w:val="true"/>
        </w:rPr>
        <w:footnoteReference w:id="2484"/>
      </w:r>
      <w:r>
        <w:rPr>
          <w:rFonts w:ascii="IRNazanin" w:hAnsi="IRNazanin" w:eastAsia="IRNazanin"/>
          <w:color w:val="111111"/>
          <w:sz w:val="28"/>
          <w:sz w:val="28"/>
          <w:szCs w:val="28"/>
          <w:rtl w:val="true"/>
          <w:lang w:bidi="fa-IR"/>
        </w:rPr>
        <w:t>فلا حاجة إلی الاستصحاب، و أمّا وجوب تغسیله الأغسال الثلاثة، فلعلّه لانصراف الغسل فی الموثّقة إلی الأغسال المعهودة، و أمّا التأمّل فی الاستصحاب، فلعلّه من جهة أنّ وجوب تغسیل الأجزاء إنّما کان عند الاتصال، کما لو انفصل مثل ذلک عن بدن الجنب، و فیه نظر، إلّا أنّ المسألة لا تخلو من إشکال، فالاحتیاط ممّا لا ینبغی أن یترک</w:t>
      </w:r>
      <w:r>
        <w:rPr>
          <w:rFonts w:eastAsia="IRNazanin" w:cs="IRNazanin"/>
          <w:color w:val="111111"/>
          <w:sz w:val="28"/>
          <w:szCs w:val="28"/>
          <w:rtl w:val="true"/>
          <w:lang w:bidi="fa-IR"/>
        </w:rPr>
        <w:t>.</w:t>
      </w:r>
    </w:p>
    <w:p>
      <w:pPr>
        <w:pStyle w:val="Heading6"/>
        <w:numPr>
          <w:ilvl w:val="5"/>
          <w:numId w:val="1"/>
        </w:numPr>
        <w:rPr/>
      </w:pPr>
      <w:bookmarkStart w:id="367" w:name="__RefHeading___Toc6530338_3224264995"/>
      <w:bookmarkStart w:id="368" w:name="_Toc141"/>
      <w:bookmarkEnd w:id="367"/>
      <w:r>
        <w:rPr>
          <w:rtl w:val="true"/>
        </w:rPr>
        <w:t>[</w:t>
      </w:r>
      <w:r>
        <w:rPr>
          <w:rtl w:val="true"/>
        </w:rPr>
        <w:t>الشهید فی المعرکة یصلّی علیه من غیر غسل و لا کفن</w:t>
      </w:r>
      <w:r>
        <w:rPr>
          <w:rtl w:val="true"/>
        </w:rPr>
        <w:t>]</w:t>
      </w:r>
      <w:bookmarkEnd w:id="36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فی المعرکة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علیه من غیر غسل و لا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بإجماعنا، کما عن الخلاف </w:t>
      </w:r>
      <w:r>
        <w:rPr>
          <w:rStyle w:val="FootnoteAnchor"/>
          <w:rtl w:val="true"/>
        </w:rPr>
        <w:footnoteReference w:id="2485"/>
      </w:r>
      <w:r>
        <w:rPr>
          <w:rFonts w:ascii="IRNazanin" w:hAnsi="IRNazanin" w:eastAsia="IRNazanin"/>
          <w:color w:val="111111"/>
          <w:sz w:val="28"/>
          <w:sz w:val="28"/>
          <w:szCs w:val="28"/>
          <w:rtl w:val="true"/>
          <w:lang w:bidi="fa-IR"/>
        </w:rPr>
        <w:t xml:space="preserve">و الغنیة </w:t>
      </w:r>
      <w:r>
        <w:rPr>
          <w:rStyle w:val="FootnoteAnchor"/>
          <w:rtl w:val="true"/>
        </w:rPr>
        <w:footnoteReference w:id="2486"/>
      </w:r>
      <w:r>
        <w:rPr>
          <w:rFonts w:ascii="IRNazanin" w:hAnsi="IRNazanin" w:eastAsia="IRNazanin"/>
          <w:color w:val="111111"/>
          <w:sz w:val="28"/>
          <w:sz w:val="28"/>
          <w:szCs w:val="28"/>
          <w:rtl w:val="true"/>
          <w:lang w:bidi="fa-IR"/>
        </w:rPr>
        <w:t xml:space="preserve">و الذکری </w:t>
      </w:r>
      <w:r>
        <w:rPr>
          <w:rStyle w:val="FootnoteAnchor"/>
          <w:rtl w:val="true"/>
        </w:rPr>
        <w:footnoteReference w:id="2487"/>
      </w:r>
      <w:r>
        <w:rPr>
          <w:rFonts w:ascii="IRNazanin" w:hAnsi="IRNazanin" w:eastAsia="IRNazanin"/>
          <w:color w:val="111111"/>
          <w:sz w:val="28"/>
          <w:sz w:val="28"/>
          <w:szCs w:val="28"/>
          <w:rtl w:val="true"/>
          <w:lang w:bidi="fa-IR"/>
        </w:rPr>
        <w:t xml:space="preserve">و المدارک </w:t>
      </w:r>
      <w:r>
        <w:rPr>
          <w:rStyle w:val="FootnoteAnchor"/>
          <w:rtl w:val="true"/>
        </w:rPr>
        <w:footnoteReference w:id="2488"/>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2489"/>
      </w:r>
      <w:r>
        <w:rPr>
          <w:rFonts w:ascii="IRNazanin" w:hAnsi="IRNazanin" w:eastAsia="IRNazanin"/>
          <w:color w:val="111111"/>
          <w:sz w:val="28"/>
          <w:sz w:val="28"/>
          <w:szCs w:val="28"/>
          <w:rtl w:val="true"/>
          <w:lang w:bidi="fa-IR"/>
        </w:rPr>
        <w:t xml:space="preserve">، بل بإجماع أهل العلم خلا سعید بن المسیّب و الحسن، کما عن المعتبر </w:t>
      </w:r>
      <w:r>
        <w:rPr>
          <w:rStyle w:val="FootnoteAnchor"/>
          <w:rtl w:val="true"/>
        </w:rPr>
        <w:footnoteReference w:id="2490"/>
      </w:r>
      <w:r>
        <w:rPr>
          <w:rFonts w:ascii="IRNazanin" w:hAnsi="IRNazanin" w:eastAsia="IRNazanin"/>
          <w:color w:val="111111"/>
          <w:sz w:val="28"/>
          <w:sz w:val="28"/>
          <w:szCs w:val="28"/>
          <w:rtl w:val="true"/>
          <w:lang w:bidi="fa-IR"/>
        </w:rPr>
        <w:t xml:space="preserve">و التذکرة </w:t>
      </w:r>
      <w:r>
        <w:rPr>
          <w:rStyle w:val="FootnoteAnchor"/>
          <w:rtl w:val="true"/>
        </w:rPr>
        <w:footnoteReference w:id="2491"/>
      </w:r>
      <w:r>
        <w:rPr>
          <w:rFonts w:ascii="IRNazanin" w:hAnsi="IRNazanin" w:eastAsia="IRNazanin"/>
          <w:color w:val="111111"/>
          <w:sz w:val="28"/>
          <w:sz w:val="28"/>
          <w:szCs w:val="28"/>
          <w:rtl w:val="true"/>
          <w:lang w:bidi="fa-IR"/>
        </w:rPr>
        <w:t>لحسنة أبان بن تغلب بابن هاشم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یقتل فی سبیل اللّٰه یدفن بثیابه و لا یغسّل، إلّا أن یدرکه</w:t>
      </w:r>
    </w:p>
    <w:p>
      <w:pPr>
        <w:pStyle w:val="BookText"/>
        <w:rPr/>
      </w:pPr>
      <w:r>
        <w:rPr>
          <w:rFonts w:ascii="Amiri" w:hAnsi="Amiri" w:eastAsia="Amiri" w:cs="Amiri"/>
          <w:color w:val="111111"/>
          <w:sz w:val="28"/>
          <w:sz w:val="28"/>
          <w:szCs w:val="28"/>
          <w:rtl w:val="true"/>
          <w:lang w:bidi="ar-SA"/>
        </w:rPr>
        <w:t>المسلمون و به رمق ثمّ یموت، فإنّه یغسّل و یحنّط و یکفّن؛ إنّ رسول اللّٰه صلّی اللّٰه علیه و آله کفّن حمزة فی ثیابه و لم یغسّله، و لکن صلّی علیه</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مضمرة أبی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کلّ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الغریق و أکیل السبع و کلّ شی‌ءٍ، إلّا ما قتل بین الصفّین</w:t>
      </w:r>
      <w:r>
        <w:rPr>
          <w:rFonts w:eastAsia="IRNazanin" w:cs="IRNazanin"/>
          <w:color w:val="111111"/>
          <w:sz w:val="28"/>
          <w:szCs w:val="28"/>
          <w:rtl w:val="true"/>
          <w:lang w:bidi="fa-IR"/>
        </w:rPr>
        <w:t xml:space="preserve">»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مصحّحة زرارة و إسماعیل بن جابر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الشهید، یدفن بدمائه؟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ثیابه بدمائه، و لا یحنّط و لا یغسّل و یدفن کما هو</w:t>
      </w:r>
      <w:r>
        <w:rPr>
          <w:rFonts w:eastAsia="IRNazanin" w:cs="IRNazanin"/>
          <w:color w:val="111111"/>
          <w:sz w:val="28"/>
          <w:szCs w:val="28"/>
          <w:rtl w:val="true"/>
          <w:lang w:bidi="fa-IR"/>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المیّت قتیل المعرکة فی طاعة اللّٰه عزّ اسمه لم یغسل و دفن فی ثیابه</w:t>
      </w:r>
      <w:r>
        <w:rPr>
          <w:rFonts w:eastAsia="IRNazanin" w:cs="IRNazanin"/>
          <w:color w:val="111111"/>
          <w:sz w:val="28"/>
          <w:szCs w:val="28"/>
          <w:rtl w:val="true"/>
          <w:lang w:bidi="fa-IR"/>
        </w:rPr>
        <w:t xml:space="preserve">» </w:t>
      </w:r>
      <w:r>
        <w:rPr>
          <w:rStyle w:val="FootnoteAnchor"/>
          <w:rtl w:val="true"/>
        </w:rPr>
        <w:footnoteReference w:id="2495"/>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الجمیع عدا الرضوی خالٍ من التقیید بالموت فی المعرکة، و لیس فیها أیضاً ما یدلّ علی اختصاص الحکم بما یستشهد بین یدی الإمام، بل هی معنونة إمّا بالشهید، و إمّا بمن یقتل فی سبیل اللّٰه، و إمّا بمن قتل بین الصفّین، مع أنّ المحکیّ فی کلام جماعة عن المشهور </w:t>
      </w:r>
      <w:r>
        <w:rPr>
          <w:rStyle w:val="FootnoteAnchor"/>
          <w:rtl w:val="true"/>
        </w:rPr>
        <w:footnoteReference w:id="2496"/>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المقتول فی المعرکة بین یدی النبیّ صلّی اللّٰه علیه و آله أو الإمام علیه السلام، بل ظاهر المحکیّ عن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ظاهر الأصحاب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 کلّ من قتل فی جهاد حقّ، وفاقاً للمحکیّ عن الغنیة </w:t>
      </w:r>
      <w:r>
        <w:rPr>
          <w:rStyle w:val="FootnoteAnchor"/>
          <w:rtl w:val="true"/>
        </w:rPr>
        <w:footnoteReference w:id="2498"/>
      </w:r>
      <w:r>
        <w:rPr>
          <w:rFonts w:ascii="IRNazanin" w:hAnsi="IRNazanin" w:eastAsia="IRNazanin"/>
          <w:color w:val="111111"/>
          <w:sz w:val="28"/>
          <w:sz w:val="28"/>
          <w:szCs w:val="28"/>
          <w:rtl w:val="true"/>
          <w:lang w:bidi="fa-IR"/>
        </w:rPr>
        <w:t xml:space="preserve">و الکافی </w:t>
      </w:r>
      <w:r>
        <w:rPr>
          <w:rStyle w:val="FootnoteAnchor"/>
          <w:rtl w:val="true"/>
        </w:rPr>
        <w:footnoteReference w:id="2499"/>
      </w:r>
      <w:r>
        <w:rPr>
          <w:rFonts w:ascii="Amiri" w:hAnsi="Amiri" w:eastAsia="Amiri" w:cs="Amiri"/>
          <w:color w:val="111111"/>
          <w:sz w:val="28"/>
          <w:sz w:val="28"/>
          <w:szCs w:val="28"/>
          <w:rtl w:val="true"/>
          <w:lang w:bidi="ar-SA"/>
        </w:rPr>
        <w:t xml:space="preserve">و المحقّق </w:t>
      </w:r>
      <w:r>
        <w:rPr>
          <w:rStyle w:val="FootnoteAnchor"/>
          <w:rtl w:val="true"/>
        </w:rPr>
        <w:footnoteReference w:id="2500"/>
      </w:r>
      <w:r>
        <w:rPr>
          <w:rFonts w:ascii="IRNazanin" w:hAnsi="IRNazanin" w:eastAsia="IRNazanin"/>
          <w:color w:val="111111"/>
          <w:sz w:val="28"/>
          <w:sz w:val="28"/>
          <w:szCs w:val="28"/>
          <w:rtl w:val="true"/>
          <w:lang w:bidi="fa-IR"/>
        </w:rPr>
        <w:t xml:space="preserve">و المصنّف فی محتمل التذکرة </w:t>
      </w:r>
      <w:r>
        <w:rPr>
          <w:rStyle w:val="FootnoteAnchor"/>
          <w:rtl w:val="true"/>
        </w:rPr>
        <w:footnoteReference w:id="2501"/>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502"/>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503"/>
      </w:r>
      <w:r>
        <w:rPr>
          <w:rFonts w:ascii="IRNazanin" w:hAnsi="IRNazanin" w:eastAsia="IRNazanin"/>
          <w:color w:val="111111"/>
          <w:sz w:val="28"/>
          <w:sz w:val="28"/>
          <w:szCs w:val="28"/>
          <w:rtl w:val="true"/>
          <w:lang w:bidi="fa-IR"/>
        </w:rPr>
        <w:t xml:space="preserve">و صاحبی المدارک </w:t>
      </w:r>
      <w:r>
        <w:rPr>
          <w:rStyle w:val="FootnoteAnchor"/>
          <w:rtl w:val="true"/>
        </w:rPr>
        <w:footnoteReference w:id="2504"/>
      </w:r>
      <w:r>
        <w:rPr>
          <w:rFonts w:ascii="IRNazanin" w:hAnsi="IRNazanin" w:eastAsia="IRNazanin"/>
          <w:color w:val="111111"/>
          <w:sz w:val="28"/>
          <w:sz w:val="28"/>
          <w:szCs w:val="28"/>
          <w:rtl w:val="true"/>
          <w:lang w:bidi="fa-IR"/>
        </w:rPr>
        <w:t xml:space="preserve">و الذخیرة </w:t>
      </w:r>
      <w:r>
        <w:rPr>
          <w:rStyle w:val="FootnoteAnchor"/>
          <w:rtl w:val="true"/>
        </w:rPr>
        <w:footnoteReference w:id="2505"/>
      </w:r>
      <w:r>
        <w:rPr>
          <w:rFonts w:ascii="IRNazanin" w:hAnsi="IRNazanin" w:eastAsia="IRNazanin"/>
          <w:color w:val="111111"/>
          <w:sz w:val="28"/>
          <w:sz w:val="28"/>
          <w:szCs w:val="28"/>
          <w:rtl w:val="true"/>
          <w:lang w:bidi="fa-IR"/>
        </w:rPr>
        <w:t xml:space="preserve">و جمع من متأخّری المتأخّرین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 کثرة وقوع السؤال من الروایات لفرض لا یحتاجون إلیه أبداً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الأقوی اعتبار الموت فی المعرکة، و المراد بها المحلّ المتلبّس بالعراک، و یتفرّع علیه کما فی کشف اللثام </w:t>
      </w:r>
      <w:r>
        <w:rPr>
          <w:rStyle w:val="FootnoteAnchor"/>
          <w:rtl w:val="true"/>
        </w:rPr>
        <w:footnoteReference w:id="2508"/>
      </w:r>
      <w:r>
        <w:rPr>
          <w:rFonts w:ascii="IRNazanin" w:hAnsi="IRNazanin" w:eastAsia="IRNazanin"/>
          <w:color w:val="111111"/>
          <w:sz w:val="28"/>
          <w:sz w:val="28"/>
          <w:szCs w:val="28"/>
          <w:rtl w:val="true"/>
          <w:lang w:bidi="fa-IR"/>
        </w:rPr>
        <w:t xml:space="preserve">و غیره </w:t>
      </w:r>
      <w:r>
        <w:rPr>
          <w:rStyle w:val="FootnoteAnchor"/>
          <w:rtl w:val="true"/>
        </w:rPr>
        <w:footnoteReference w:id="2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انقضی الحرب و به رمق أو نقل و به رمق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جرح بالمعرکة ثمّ</w:t>
      </w:r>
    </w:p>
    <w:p>
      <w:pPr>
        <w:pStyle w:val="BookText"/>
        <w:rPr/>
      </w:pPr>
      <w:r>
        <w:rPr>
          <w:rFonts w:ascii="IRNazanin" w:hAnsi="IRNazanin" w:eastAsia="IRNazanin"/>
          <w:color w:val="111111"/>
          <w:sz w:val="28"/>
          <w:sz w:val="28"/>
          <w:szCs w:val="28"/>
          <w:rtl w:val="true"/>
          <w:lang w:bidi="fa-IR"/>
        </w:rPr>
        <w:t xml:space="preserve">مات قبل أن ینقضی الحرب و ینقل عنها فهو شهید </w:t>
      </w:r>
      <w:r>
        <w:rPr>
          <w:rStyle w:val="FootnoteAnchor"/>
          <w:rtl w:val="true"/>
        </w:rPr>
        <w:footnoteReference w:id="251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علیه مضافاً إلی ظاهر معاقد الإجماعات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هو الظاهر من مضمرة أبی خالد المتقدّمة </w:t>
      </w:r>
      <w:r>
        <w:rPr>
          <w:rStyle w:val="FootnoteAnchor"/>
          <w:rtl w:val="true"/>
        </w:rPr>
        <w:footnoteReference w:id="2511"/>
      </w:r>
      <w:r>
        <w:rPr>
          <w:rFonts w:ascii="IRNazanin" w:hAnsi="IRNazanin" w:eastAsia="IRNazanin"/>
          <w:color w:val="111111"/>
          <w:sz w:val="28"/>
          <w:sz w:val="28"/>
          <w:szCs w:val="28"/>
          <w:rtl w:val="true"/>
          <w:lang w:bidi="fa-IR"/>
        </w:rPr>
        <w:t xml:space="preserve">، و ضعفها منجبر بما عرفت من الشهرة، بل حکایة الاتّفاق علی هذا التقیید صریحاً عن الذخیرة </w:t>
      </w:r>
      <w:r>
        <w:rPr>
          <w:rStyle w:val="FootnoteAnchor"/>
          <w:rtl w:val="true"/>
        </w:rPr>
        <w:footnoteReference w:id="2512"/>
      </w:r>
      <w:r>
        <w:rPr>
          <w:rFonts w:ascii="IRNazanin" w:hAnsi="IRNazanin" w:eastAsia="IRNazanin"/>
          <w:color w:val="111111"/>
          <w:sz w:val="28"/>
          <w:sz w:val="28"/>
          <w:szCs w:val="28"/>
          <w:rtl w:val="true"/>
          <w:lang w:bidi="fa-IR"/>
        </w:rPr>
        <w:t xml:space="preserve">، و استظهار الإجماع عن مجمع البرهان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فرق فی ذلک بین أن یدرکه المسلمون و به رمق أم لا، علی ما استظهره فی محکیّ جامع المقاصد من إطلاق الأصحاب و إجماع التذکرة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الإجماع المحکیّ عن المعتبر </w:t>
      </w:r>
      <w:r>
        <w:rPr>
          <w:rStyle w:val="FootnoteAnchor"/>
          <w:rtl w:val="true"/>
        </w:rPr>
        <w:footnoteReference w:id="2515"/>
      </w:r>
      <w:r>
        <w:rPr>
          <w:rFonts w:ascii="IRNazanin" w:hAnsi="IRNazanin" w:eastAsia="IRNazanin"/>
          <w:color w:val="111111"/>
          <w:sz w:val="28"/>
          <w:sz w:val="28"/>
          <w:szCs w:val="28"/>
          <w:rtl w:val="true"/>
          <w:lang w:bidi="fa-IR"/>
        </w:rPr>
        <w:t xml:space="preserve">و الذکری </w:t>
      </w:r>
      <w:r>
        <w:rPr>
          <w:rStyle w:val="FootnoteAnchor"/>
          <w:rtl w:val="true"/>
        </w:rPr>
        <w:footnoteReference w:id="2516"/>
      </w:r>
      <w:r>
        <w:rPr>
          <w:rFonts w:ascii="IRNazanin" w:hAnsi="IRNazanin" w:eastAsia="IRNazanin"/>
          <w:color w:val="111111"/>
          <w:sz w:val="28"/>
          <w:sz w:val="28"/>
          <w:szCs w:val="28"/>
          <w:rtl w:val="true"/>
          <w:lang w:bidi="fa-IR"/>
        </w:rPr>
        <w:t xml:space="preserve">و غیرهما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علیه السلام فی حسنة أبان </w:t>
      </w:r>
      <w:r>
        <w:rPr>
          <w:rStyle w:val="FootnoteAnchor"/>
          <w:rtl w:val="true"/>
        </w:rPr>
        <w:footnoteReference w:id="2518"/>
      </w:r>
      <w:r>
        <w:rPr>
          <w:rFonts w:ascii="IRNazanin" w:hAnsi="IRNazanin" w:eastAsia="IRNazanin"/>
          <w:color w:val="111111"/>
          <w:sz w:val="28"/>
          <w:sz w:val="28"/>
          <w:szCs w:val="28"/>
          <w:rtl w:val="true"/>
          <w:lang w:bidi="fa-IR"/>
        </w:rPr>
        <w:t xml:space="preserve">و غیرها </w:t>
      </w:r>
      <w:r>
        <w:rPr>
          <w:rStyle w:val="FootnoteAnchor"/>
          <w:rtl w:val="true"/>
        </w:rPr>
        <w:footnoteReference w:id="25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یدرکه المسلمون و به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فیها علی کفایة عثور مسلم علیه حیّاً فی</w:t>
      </w:r>
    </w:p>
    <w:p>
      <w:pPr>
        <w:pStyle w:val="BookText"/>
        <w:rPr/>
      </w:pPr>
      <w:r>
        <w:rPr>
          <w:rFonts w:ascii="IRNazanin" w:hAnsi="IRNazanin" w:eastAsia="IRNazanin"/>
          <w:color w:val="111111"/>
          <w:sz w:val="28"/>
          <w:sz w:val="28"/>
          <w:szCs w:val="28"/>
          <w:rtl w:val="true"/>
          <w:lang w:bidi="fa-IR"/>
        </w:rPr>
        <w:t>التغسیل، و إن لم ینقض الحرب و لم ینقل من المعرکة، فلعلّ المراد هو الإدراک الکامل إمّا بإدراکهم إیّاه حیّاً بعد تقضی الحرب، و إمّا بنقلهم إیّاه من المعرکة إلی معسکرهم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النصّ و کلام الأصحاب کما عن جماعة </w:t>
      </w:r>
      <w:r>
        <w:rPr>
          <w:rStyle w:val="FootnoteAnchor"/>
          <w:rtl w:val="true"/>
        </w:rPr>
        <w:footnoteReference w:id="2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هذا الحکم بین الصغیر و الکبیر، و الرجل و المرأة، و الحرّ و العبد، و لا بین من عاد سلاحه إلیه فقتله و غیره، و لا بین من قتل بالجرح أو بغیره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ظاهر کشف اللثام الاتفاق فی خصوص الصغیر و المجنون </w:t>
      </w:r>
      <w:r>
        <w:rPr>
          <w:rStyle w:val="FootnoteAnchor"/>
          <w:rtl w:val="true"/>
        </w:rPr>
        <w:footnoteReference w:id="2521"/>
      </w:r>
      <w:r>
        <w:rPr>
          <w:rFonts w:ascii="IRNazanin" w:hAnsi="IRNazanin" w:eastAsia="IRNazanin"/>
          <w:color w:val="111111"/>
          <w:sz w:val="28"/>
          <w:sz w:val="28"/>
          <w:szCs w:val="28"/>
          <w:rtl w:val="true"/>
          <w:lang w:bidi="fa-IR"/>
        </w:rPr>
        <w:t xml:space="preserve">، و عن المعتبر نسبة الخلاف فی الصغیر إلی أبی حنیفة </w:t>
      </w:r>
      <w:r>
        <w:rPr>
          <w:rStyle w:val="FootnoteAnchor"/>
          <w:rtl w:val="true"/>
        </w:rPr>
        <w:footnoteReference w:id="2522"/>
      </w:r>
      <w:r>
        <w:rPr>
          <w:rFonts w:ascii="IRNazanin" w:hAnsi="IRNazanin" w:eastAsia="IRNazanin"/>
          <w:color w:val="111111"/>
          <w:sz w:val="28"/>
          <w:sz w:val="28"/>
          <w:szCs w:val="28"/>
          <w:rtl w:val="true"/>
          <w:lang w:bidi="fa-IR"/>
        </w:rPr>
        <w:t>، و ردّه بالإطلاق</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کان فی قتلی بدر و أُحد بعض الصغار </w:t>
      </w:r>
      <w:r>
        <w:rPr>
          <w:rStyle w:val="FootnoteAnchor"/>
          <w:rtl w:val="true"/>
        </w:rPr>
        <w:footnoteReference w:id="2523"/>
      </w:r>
      <w:r>
        <w:rPr>
          <w:rFonts w:ascii="IRNazanin" w:hAnsi="IRNazanin" w:eastAsia="IRNazanin"/>
          <w:color w:val="111111"/>
          <w:sz w:val="28"/>
          <w:sz w:val="28"/>
          <w:szCs w:val="28"/>
          <w:rtl w:val="true"/>
          <w:lang w:bidi="fa-IR"/>
        </w:rPr>
        <w:t xml:space="preserve">، و قضیّة رضیع مولانا سیّد الشهداء علیه السلام معروفة </w:t>
      </w:r>
      <w:r>
        <w:rPr>
          <w:rStyle w:val="FootnoteAnchor"/>
          <w:rtl w:val="true"/>
        </w:rPr>
        <w:footnoteReference w:id="2524"/>
      </w:r>
      <w:r>
        <w:rPr>
          <w:rFonts w:ascii="IRNazanin" w:hAnsi="IRNazanin" w:eastAsia="IRNazanin"/>
          <w:color w:val="111111"/>
          <w:sz w:val="28"/>
          <w:sz w:val="28"/>
          <w:szCs w:val="28"/>
          <w:rtl w:val="true"/>
          <w:lang w:bidi="fa-IR"/>
        </w:rPr>
        <w:t>، و لم ینقل تیمّمه روحی له الفداء، و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الظاهر من حسنة أبان </w:t>
      </w:r>
      <w:r>
        <w:rPr>
          <w:rStyle w:val="FootnoteAnchor"/>
          <w:rtl w:val="true"/>
        </w:rPr>
        <w:footnoteReference w:id="2525"/>
      </w:r>
      <w:r>
        <w:rPr>
          <w:rFonts w:ascii="IRNazanin" w:hAnsi="IRNazanin" w:eastAsia="IRNazanin"/>
          <w:color w:val="111111"/>
          <w:sz w:val="28"/>
          <w:sz w:val="28"/>
          <w:szCs w:val="28"/>
          <w:rtl w:val="true"/>
          <w:lang w:bidi="fa-IR"/>
        </w:rPr>
        <w:t xml:space="preserve">و صحیحته </w:t>
      </w:r>
      <w:r>
        <w:rPr>
          <w:rStyle w:val="FootnoteAnchor"/>
          <w:rtl w:val="true"/>
        </w:rPr>
        <w:footnoteReference w:id="25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فیخصّ بمن کان الجهاد راجحاً فی حقّه، أو جوهد</w:t>
      </w:r>
    </w:p>
    <w:p>
      <w:pPr>
        <w:pStyle w:val="BookText"/>
        <w:rPr/>
      </w:pPr>
      <w:r>
        <w:rPr>
          <w:rFonts w:ascii="IRNazanin" w:hAnsi="IRNazanin" w:eastAsia="IRNazanin"/>
          <w:color w:val="111111"/>
          <w:sz w:val="28"/>
          <w:sz w:val="28"/>
          <w:szCs w:val="28"/>
          <w:rtl w:val="true"/>
          <w:lang w:bidi="fa-IR"/>
        </w:rPr>
        <w:t>به، کما إذا توقّف دفع العدوّ علی الاستعانة بالأطفال و المجانین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أنّه لا خلاف فی وجوب تغسیل المقتول ظلماً بغیر الجهاد، کما لو قتل دون نفسه أو ماله أو عرضه، و إن ورد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مظلمته فهو شهید</w:t>
      </w:r>
      <w:r>
        <w:rPr>
          <w:rFonts w:eastAsia="IRNazanin" w:cs="IRNazanin"/>
          <w:color w:val="111111"/>
          <w:sz w:val="28"/>
          <w:szCs w:val="28"/>
          <w:rtl w:val="true"/>
          <w:lang w:bidi="fa-IR"/>
        </w:rPr>
        <w:t xml:space="preserve">» </w:t>
      </w:r>
      <w:r>
        <w:rPr>
          <w:rStyle w:val="FootnoteAnchor"/>
          <w:rtl w:val="true"/>
        </w:rPr>
        <w:footnoteReference w:id="2527"/>
      </w:r>
      <w:r>
        <w:rPr>
          <w:rFonts w:ascii="IRNazanin" w:hAnsi="IRNazanin" w:eastAsia="IRNazanin"/>
          <w:color w:val="111111"/>
          <w:sz w:val="28"/>
          <w:sz w:val="28"/>
          <w:szCs w:val="28"/>
          <w:rtl w:val="true"/>
          <w:lang w:bidi="fa-IR"/>
        </w:rPr>
        <w:t xml:space="preserve">و لا الأموات التی ورد أنّهم بمنزلة الشهید </w:t>
      </w:r>
      <w:r>
        <w:rPr>
          <w:rStyle w:val="FootnoteAnchor"/>
          <w:rtl w:val="true"/>
        </w:rPr>
        <w:footnoteReference w:id="2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المعتبر </w:t>
      </w:r>
      <w:r>
        <w:rPr>
          <w:rStyle w:val="FootnoteAnchor"/>
          <w:rtl w:val="true"/>
        </w:rPr>
        <w:footnoteReference w:id="2529"/>
      </w:r>
      <w:r>
        <w:rPr>
          <w:rFonts w:ascii="IRNazanin" w:hAnsi="IRNazanin" w:eastAsia="IRNazanin"/>
          <w:color w:val="111111"/>
          <w:sz w:val="28"/>
          <w:sz w:val="28"/>
          <w:szCs w:val="28"/>
          <w:rtl w:val="true"/>
          <w:lang w:bidi="fa-IR"/>
        </w:rPr>
        <w:t xml:space="preserve">و التذکرة </w:t>
      </w:r>
      <w:r>
        <w:rPr>
          <w:rStyle w:val="FootnoteAnchor"/>
          <w:rtl w:val="true"/>
        </w:rPr>
        <w:footnoteReference w:id="2530"/>
      </w:r>
      <w:r>
        <w:rPr>
          <w:rFonts w:ascii="IRNazanin" w:hAnsi="IRNazanin" w:eastAsia="IRNazanin"/>
          <w:color w:val="111111"/>
          <w:sz w:val="28"/>
          <w:sz w:val="28"/>
          <w:szCs w:val="28"/>
          <w:rtl w:val="true"/>
          <w:lang w:bidi="fa-IR"/>
        </w:rPr>
        <w:t xml:space="preserve">و غیرهما </w:t>
      </w:r>
      <w:r>
        <w:rPr>
          <w:rStyle w:val="FootnoteAnchor"/>
          <w:rtl w:val="true"/>
        </w:rPr>
        <w:footnoteReference w:id="2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مضافاً إلی مضمرة أبی خالد المتقدّمة </w:t>
      </w:r>
      <w:r>
        <w:rPr>
          <w:rStyle w:val="FootnoteAnchor"/>
          <w:rtl w:val="true"/>
        </w:rPr>
        <w:footnoteReference w:id="2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القطعیّة الدالّة علی وجوب تغسیل کلّ مسلم </w:t>
      </w:r>
      <w:r>
        <w:rPr>
          <w:rStyle w:val="FootnoteAnchor"/>
          <w:rtl w:val="true"/>
        </w:rPr>
        <w:footnoteReference w:id="2533"/>
      </w:r>
      <w:r>
        <w:rPr>
          <w:rFonts w:ascii="IRNazanin" w:hAnsi="IRNazanin" w:eastAsia="IRNazanin"/>
          <w:color w:val="111111"/>
          <w:sz w:val="28"/>
          <w:sz w:val="28"/>
          <w:szCs w:val="28"/>
          <w:rtl w:val="true"/>
          <w:lang w:bidi="fa-IR"/>
        </w:rPr>
        <w:t>، مع أنّ إطلاق الشهید علی هؤلاء مجاز من باب التنزیل؛ لکثرة الثواب و سهولة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العلاء بن سیابة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قتل و قطع رأسه فی معصیة اللّٰه، أ یغسل أم یفعل به ما یفعل بالشهید؟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فی معصیة اللّٰه یغسل أوّلًا منه الدم، ثمّ یصبّ علیه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سقوط الغسل عن الشهید بین الجنب و غیره، و کذا الحائض و النفساء؛ لعدم وجوب الغسل علی المیّت، و لا یجب تغسیله غسلها</w:t>
      </w:r>
    </w:p>
    <w:p>
      <w:pPr>
        <w:pStyle w:val="BookText"/>
        <w:rPr/>
      </w:pPr>
      <w:r>
        <w:rPr>
          <w:rFonts w:ascii="IRNazanin" w:hAnsi="IRNazanin" w:eastAsia="IRNazanin"/>
          <w:color w:val="111111"/>
          <w:sz w:val="28"/>
          <w:sz w:val="28"/>
          <w:szCs w:val="28"/>
          <w:rtl w:val="true"/>
          <w:lang w:bidi="fa-IR"/>
        </w:rPr>
        <w:t xml:space="preserve">علی الحیّ سیّما علی المختار من کون وجوب الغسل مطلقاً غیریّاً خلافاً للمحکیّ عن السیّد فی شرح الرسالة </w:t>
      </w:r>
      <w:r>
        <w:rPr>
          <w:rStyle w:val="FootnoteAnchor"/>
          <w:rtl w:val="true"/>
        </w:rPr>
        <w:footnoteReference w:id="2535"/>
      </w:r>
      <w:r>
        <w:rPr>
          <w:rFonts w:ascii="IRNazanin" w:hAnsi="IRNazanin" w:eastAsia="IRNazanin"/>
          <w:color w:val="111111"/>
          <w:sz w:val="28"/>
          <w:sz w:val="28"/>
          <w:szCs w:val="28"/>
          <w:rtl w:val="true"/>
          <w:lang w:bidi="fa-IR"/>
        </w:rPr>
        <w:t xml:space="preserve">و الإسکافی </w:t>
      </w:r>
      <w:r>
        <w:rPr>
          <w:rStyle w:val="FootnoteAnchor"/>
          <w:rtl w:val="true"/>
        </w:rPr>
        <w:footnoteReference w:id="2536"/>
      </w:r>
      <w:r>
        <w:rPr>
          <w:rFonts w:ascii="IRNazanin" w:hAnsi="IRNazanin" w:eastAsia="IRNazanin"/>
          <w:color w:val="111111"/>
          <w:sz w:val="28"/>
          <w:sz w:val="28"/>
          <w:szCs w:val="28"/>
          <w:rtl w:val="true"/>
          <w:lang w:bidi="fa-IR"/>
        </w:rPr>
        <w:t xml:space="preserve">فأوجبا غسل الجنابة؛ لما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 الجنب یغسل غسلین</w:t>
      </w:r>
      <w:r>
        <w:rPr>
          <w:rFonts w:eastAsia="IRNazanin" w:cs="IRNazanin"/>
          <w:color w:val="111111"/>
          <w:sz w:val="28"/>
          <w:szCs w:val="28"/>
          <w:rtl w:val="true"/>
          <w:lang w:bidi="fa-IR"/>
        </w:rPr>
        <w:t xml:space="preserve">» </w:t>
      </w:r>
      <w:r>
        <w:rPr>
          <w:rStyle w:val="FootnoteAnchor"/>
          <w:rtl w:val="true"/>
        </w:rPr>
        <w:footnoteReference w:id="2537"/>
      </w:r>
      <w:r>
        <w:rPr>
          <w:rFonts w:ascii="IRNazanin" w:hAnsi="IRNazanin" w:eastAsia="IRNazanin"/>
          <w:color w:val="111111"/>
          <w:sz w:val="28"/>
          <w:sz w:val="28"/>
          <w:szCs w:val="28"/>
          <w:rtl w:val="true"/>
          <w:lang w:bidi="fa-IR"/>
        </w:rPr>
        <w:t>و لما روی من تغسیل الملائکة حنظلة بن الراهب، حیث اتّفق خروجه إلی الجهاد جنباً، و الظاهر أنّه لم یعلم به المؤمنون حتّی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حنظلة رأیت الملائکة یغسّلونه؟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فسمع الهیعة فخرج إلی الجهاد</w:t>
      </w:r>
      <w:r>
        <w:rPr>
          <w:rFonts w:eastAsia="IRNazanin" w:cs="IRNazanin"/>
          <w:color w:val="111111"/>
          <w:sz w:val="28"/>
          <w:szCs w:val="28"/>
          <w:rtl w:val="true"/>
          <w:lang w:bidi="fa-IR"/>
        </w:rPr>
        <w:t xml:space="preserve">»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وجد فی المعرکة میّت و علیه أثر القتل فلا خلاف ظاهراً فی سقوط تغسیله؛ و لعلّه لمراعاة الظاهر، فلا یجری أصالة عدم القتل، فیرجع إلی أصل البراءة؛ بناءً علی أنّ الاشتباه فی مصداق العنوان المخرج من العامّ یوجب عدم جواز التمسّک فیه بالعموم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یوجد فیه أثر القتل، ففیه قولان للشیخ </w:t>
      </w:r>
      <w:r>
        <w:rPr>
          <w:rStyle w:val="FootnoteAnchor"/>
          <w:rtl w:val="true"/>
        </w:rPr>
        <w:footnoteReference w:id="2539"/>
      </w:r>
      <w:r>
        <w:rPr>
          <w:rFonts w:ascii="IRNazanin" w:hAnsi="IRNazanin" w:eastAsia="IRNazanin"/>
          <w:color w:val="111111"/>
          <w:sz w:val="28"/>
          <w:sz w:val="28"/>
          <w:szCs w:val="28"/>
          <w:rtl w:val="true"/>
          <w:lang w:bidi="fa-IR"/>
        </w:rPr>
        <w:t xml:space="preserve">و الإسکافی </w:t>
      </w:r>
      <w:r>
        <w:rPr>
          <w:rStyle w:val="FootnoteAnchor"/>
          <w:rtl w:val="true"/>
        </w:rPr>
        <w:footnoteReference w:id="2540"/>
      </w:r>
      <w:r>
        <w:rPr>
          <w:rFonts w:ascii="IRNazanin" w:hAnsi="IRNazanin" w:eastAsia="IRNazanin"/>
          <w:color w:val="111111"/>
          <w:sz w:val="28"/>
          <w:sz w:val="28"/>
          <w:szCs w:val="28"/>
          <w:rtl w:val="true"/>
          <w:lang w:bidi="fa-IR"/>
        </w:rPr>
        <w:t>، و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الأوّل هو المشهور </w:t>
      </w:r>
      <w:r>
        <w:rPr>
          <w:rStyle w:val="FootnoteAnchor"/>
          <w:rtl w:val="true"/>
        </w:rPr>
        <w:footnoteReference w:id="2541"/>
      </w:r>
      <w:r>
        <w:rPr>
          <w:rFonts w:ascii="Amiri" w:hAnsi="Amiri" w:eastAsia="Amiri" w:cs="Amiri"/>
          <w:color w:val="111111"/>
          <w:sz w:val="28"/>
          <w:sz w:val="28"/>
          <w:szCs w:val="28"/>
          <w:rtl w:val="true"/>
          <w:lang w:bidi="ar-SA"/>
        </w:rPr>
        <w:t xml:space="preserve">، و به صرّح المحقّق </w:t>
      </w:r>
      <w:r>
        <w:rPr>
          <w:rStyle w:val="FootnoteAnchor"/>
          <w:rtl w:val="true"/>
        </w:rPr>
        <w:footnoteReference w:id="2542"/>
      </w:r>
      <w:r>
        <w:rPr>
          <w:rFonts w:ascii="Amiri" w:hAnsi="Amiri" w:eastAsia="Amiri" w:cs="Amiri"/>
          <w:color w:val="111111"/>
          <w:sz w:val="28"/>
          <w:sz w:val="28"/>
          <w:szCs w:val="28"/>
          <w:rtl w:val="true"/>
          <w:lang w:bidi="ar-SA"/>
        </w:rPr>
        <w:t xml:space="preserve">و المصنّف </w:t>
      </w:r>
      <w:r>
        <w:rPr>
          <w:rStyle w:val="FootnoteAnchor"/>
          <w:rtl w:val="true"/>
        </w:rPr>
        <w:footnoteReference w:id="2543"/>
      </w:r>
      <w:r>
        <w:rPr>
          <w:rFonts w:ascii="IRNazanin" w:hAnsi="IRNazanin" w:eastAsia="IRNazanin"/>
          <w:color w:val="111111"/>
          <w:sz w:val="28"/>
          <w:sz w:val="28"/>
          <w:szCs w:val="28"/>
          <w:rtl w:val="true"/>
          <w:lang w:bidi="fa-IR"/>
        </w:rPr>
        <w:t>و لعلّه لأصالة البراءة، بناءً علی ما عرفت، 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تحقّق</w:t>
      </w:r>
    </w:p>
    <w:p>
      <w:pPr>
        <w:pStyle w:val="BookText"/>
        <w:rPr/>
      </w:pPr>
      <w:r>
        <w:rPr>
          <w:rFonts w:ascii="IRNazanin" w:hAnsi="IRNazanin" w:eastAsia="IRNazanin"/>
          <w:color w:val="111111"/>
          <w:sz w:val="28"/>
          <w:sz w:val="28"/>
          <w:szCs w:val="28"/>
          <w:rtl w:val="true"/>
          <w:lang w:bidi="fa-IR"/>
        </w:rPr>
        <w:t>الشهادة؛ بناءً علی أنّها مانعة من وجوب التغسیل کما هو الظاهر لا أنّ الموت حتف الأنف شرط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لا یغسّل الشهید کذلک لا یکفّن إذا کان علیه 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یدفن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محقّقاً و مستفیضاً </w:t>
      </w:r>
      <w:r>
        <w:rPr>
          <w:rStyle w:val="FootnoteAnchor"/>
          <w:rtl w:val="true"/>
        </w:rPr>
        <w:footnoteReference w:id="2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حکی عن المفید </w:t>
      </w:r>
      <w:r>
        <w:rPr>
          <w:rStyle w:val="FootnoteAnchor"/>
          <w:rtl w:val="true"/>
        </w:rPr>
        <w:footnoteReference w:id="2545"/>
      </w:r>
      <w:r>
        <w:rPr>
          <w:rFonts w:ascii="IRNazanin" w:hAnsi="IRNazanin" w:eastAsia="IRNazanin"/>
          <w:color w:val="111111"/>
          <w:sz w:val="28"/>
          <w:sz w:val="28"/>
          <w:szCs w:val="28"/>
          <w:rtl w:val="true"/>
          <w:lang w:bidi="fa-IR"/>
        </w:rPr>
        <w:t xml:space="preserve">و الإسکافی </w:t>
      </w:r>
      <w:r>
        <w:rPr>
          <w:rStyle w:val="FootnoteAnchor"/>
          <w:rtl w:val="true"/>
        </w:rPr>
        <w:footnoteReference w:id="2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نزع السراویل، و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تقییده بما إذا لم یصبها الدم، و الروایات حجّة علیهما؛ لصدق الثوب علیه کما صرّح به جماعة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أن ینزع ما لیس بثوب کالأسلحة و إن أصابه الدم؛ إذ لم یؤمر بإبقائه، فهو تضییع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أنّ الفرو و الجلود کالخفّین ینزع عنه؛ لعدم کونها من الثیاب، و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للقدماء هنا أقوال لم نعثر لشی‌ء منها علی مستند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وجوب دفنه بثیابه عینیّ؛ لظاهر الأمر، فلا یتخیّر بینه و بین الکفن، و یظهر من الروض أنّه متّفق علیه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لم یبق علی الشهید ثیابه، فالمحکیّ عن جملة من الأصحاب </w:t>
      </w:r>
      <w:r>
        <w:rPr>
          <w:rStyle w:val="FootnoteAnchor"/>
          <w:rtl w:val="true"/>
        </w:rPr>
        <w:footnoteReference w:id="2549"/>
      </w:r>
      <w:bookmarkStart w:id="369" w:name="pg13042_127296"/>
    </w:p>
    <w:p>
      <w:pPr>
        <w:pStyle w:val="BookText"/>
        <w:rPr/>
      </w:pPr>
      <w:bookmarkEnd w:id="369"/>
      <w:r>
        <w:rPr>
          <w:rFonts w:ascii="IRNazanin" w:hAnsi="IRNazanin" w:eastAsia="IRNazanin"/>
          <w:color w:val="111111"/>
          <w:sz w:val="28"/>
          <w:sz w:val="28"/>
          <w:szCs w:val="28"/>
          <w:rtl w:val="true"/>
          <w:lang w:bidi="fa-IR"/>
        </w:rPr>
        <w:t xml:space="preserve">وجوب تکفینه؛ لعموم أدلّة التکفین، خرج منه من له ثیاب، و لصحیحة أبان ابن تغلب الدالّة علی أنّ النبیّ صلّی اللّٰه علیه و آله کفّن حمزة لأنّه جرّد </w:t>
      </w:r>
      <w:r>
        <w:rPr>
          <w:rStyle w:val="FootnoteAnchor"/>
          <w:rtl w:val="true"/>
        </w:rPr>
        <w:footnoteReference w:id="2550"/>
      </w:r>
      <w:r>
        <w:rPr>
          <w:rFonts w:ascii="IRNazanin" w:hAnsi="IRNazanin" w:eastAsia="IRNazanin"/>
          <w:color w:val="111111"/>
          <w:sz w:val="28"/>
          <w:sz w:val="28"/>
          <w:szCs w:val="28"/>
          <w:rtl w:val="true"/>
          <w:lang w:bidi="fa-IR"/>
        </w:rPr>
        <w:t>، لکنّها معارضة بصحیحة زرارة و إسماعیل المتقدّمة،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الهّٰل علیه و آله دفن حمزة فی ثیابه </w:t>
      </w:r>
      <w:r>
        <w:rPr>
          <w:rStyle w:val="FootnoteAnchor"/>
          <w:rtl w:val="true"/>
        </w:rPr>
        <w:footnoteReference w:id="2551"/>
      </w:r>
      <w:r>
        <w:rPr>
          <w:rFonts w:ascii="Amiri" w:hAnsi="Amiri" w:eastAsia="Amiri" w:cs="Amiri"/>
          <w:color w:val="111111"/>
          <w:sz w:val="28"/>
          <w:sz w:val="28"/>
          <w:szCs w:val="28"/>
          <w:rtl w:val="true"/>
          <w:lang w:bidi="ar-SA"/>
        </w:rPr>
        <w:t xml:space="preserve">و نحوها حسنة أبان المتقدّمة </w:t>
      </w:r>
      <w:r>
        <w:rPr>
          <w:rStyle w:val="FootnoteAnchor"/>
          <w:rtl w:val="true"/>
        </w:rPr>
        <w:footnoteReference w:id="2552"/>
      </w:r>
      <w:r>
        <w:rPr>
          <w:rFonts w:ascii="Amiri" w:hAnsi="Amiri" w:eastAsia="Amiri" w:cs="Amiri"/>
          <w:color w:val="111111"/>
          <w:sz w:val="28"/>
          <w:sz w:val="28"/>
          <w:szCs w:val="28"/>
          <w:rtl w:val="true"/>
          <w:lang w:bidi="ar-SA"/>
        </w:rPr>
        <w:t xml:space="preserve">، فالعمدة العمومات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0" w:name="__RefHeading___Toc6530340_3224264995"/>
      <w:bookmarkStart w:id="371" w:name="_Toc142"/>
      <w:bookmarkEnd w:id="370"/>
      <w:r>
        <w:rPr>
          <w:rtl w:val="true"/>
        </w:rPr>
        <w:t>[</w:t>
      </w:r>
      <w:r>
        <w:rPr>
          <w:rtl w:val="true"/>
        </w:rPr>
        <w:t>صدر المیّت کالمیّت فی جمیع أحکامه</w:t>
      </w:r>
      <w:r>
        <w:rPr>
          <w:rtl w:val="true"/>
        </w:rPr>
        <w:t>]</w:t>
      </w:r>
      <w:bookmarkEnd w:id="37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أصحابنا کما عن المختلف </w:t>
      </w:r>
      <w:r>
        <w:rPr>
          <w:rStyle w:val="FootnoteAnchor"/>
          <w:rtl w:val="true"/>
        </w:rPr>
        <w:footnoteReference w:id="2554"/>
      </w:r>
      <w:r>
        <w:rPr>
          <w:rFonts w:ascii="IRNazanin" w:hAnsi="IRNazanin" w:eastAsia="IRNazanin"/>
          <w:color w:val="111111"/>
          <w:sz w:val="28"/>
          <w:sz w:val="28"/>
          <w:szCs w:val="28"/>
          <w:rtl w:val="true"/>
          <w:lang w:bidi="fa-IR"/>
        </w:rPr>
        <w:t xml:space="preserve">و الذکری </w:t>
      </w:r>
      <w:r>
        <w:rPr>
          <w:rStyle w:val="FootnoteAnchor"/>
          <w:rtl w:val="true"/>
        </w:rPr>
        <w:footnoteReference w:id="2555"/>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المیّت کالمیّت فی جمیع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و یحنّط و یکفّن و یصلّی علیه و یدفن، بل عن ظاهر مجمع الفائدة </w:t>
      </w:r>
      <w:r>
        <w:rPr>
          <w:rStyle w:val="FootnoteAnchor"/>
          <w:rtl w:val="true"/>
        </w:rPr>
        <w:footnoteReference w:id="2556"/>
      </w:r>
      <w:r>
        <w:rPr>
          <w:rFonts w:ascii="IRNazanin" w:hAnsi="IRNazanin" w:eastAsia="IRNazanin"/>
          <w:color w:val="111111"/>
          <w:sz w:val="28"/>
          <w:sz w:val="28"/>
          <w:szCs w:val="28"/>
          <w:rtl w:val="true"/>
          <w:lang w:bidi="fa-IR"/>
        </w:rPr>
        <w:t xml:space="preserve">و الحدائق </w:t>
      </w:r>
      <w:r>
        <w:rPr>
          <w:rStyle w:val="FootnoteAnchor"/>
          <w:rtl w:val="true"/>
        </w:rPr>
        <w:footnoteReference w:id="2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علیه، و عن الخلاف </w:t>
      </w:r>
      <w:r>
        <w:rPr>
          <w:rStyle w:val="FootnoteAnchor"/>
          <w:rtl w:val="true"/>
        </w:rPr>
        <w:footnoteReference w:id="2558"/>
      </w:r>
      <w:r>
        <w:rPr>
          <w:rFonts w:ascii="IRNazanin" w:hAnsi="IRNazanin" w:eastAsia="IRNazanin"/>
          <w:color w:val="111111"/>
          <w:sz w:val="28"/>
          <w:sz w:val="28"/>
          <w:szCs w:val="28"/>
          <w:rtl w:val="true"/>
          <w:lang w:bidi="fa-IR"/>
        </w:rPr>
        <w:t xml:space="preserve">و التذکرة </w:t>
      </w:r>
      <w:r>
        <w:rPr>
          <w:rStyle w:val="FootnoteAnchor"/>
          <w:rtl w:val="true"/>
        </w:rPr>
        <w:footnoteReference w:id="2559"/>
      </w:r>
      <w:r>
        <w:rPr>
          <w:rFonts w:ascii="IRNazanin" w:hAnsi="IRNazanin" w:eastAsia="IRNazanin"/>
          <w:color w:val="111111"/>
          <w:sz w:val="28"/>
          <w:sz w:val="28"/>
          <w:szCs w:val="28"/>
          <w:rtl w:val="true"/>
          <w:lang w:bidi="fa-IR"/>
        </w:rPr>
        <w:t xml:space="preserve">و النهایة </w:t>
      </w:r>
      <w:r>
        <w:rPr>
          <w:rStyle w:val="FootnoteAnchor"/>
          <w:rtl w:val="true"/>
        </w:rPr>
        <w:footnoteReference w:id="2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وجوب الصلاة، و الظاهر أنّه مستلزم لسائر الأحکام إمّا بالأولویّة أو لعدم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الحکم مضافاً إلی ما ذکر، و إلی القاعدة المعمول بها فی المقام، ککثیر من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سقوط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المرفوعة المحکیّة عن جامع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إذا قطع بعض أعضائه، یصلّی علی العضو الذی فیه القلب</w:t>
      </w:r>
      <w:r>
        <w:rPr>
          <w:rFonts w:eastAsia="IRNazanin" w:cs="IRNazanin"/>
          <w:color w:val="111111"/>
          <w:sz w:val="28"/>
          <w:szCs w:val="28"/>
          <w:rtl w:val="true"/>
          <w:lang w:bidi="fa-IR"/>
        </w:rPr>
        <w:t xml:space="preserve">» </w:t>
      </w:r>
      <w:r>
        <w:rPr>
          <w:rStyle w:val="FootnoteAnchor"/>
          <w:rtl w:val="true"/>
        </w:rPr>
        <w:footnoteReference w:id="2561"/>
      </w:r>
      <w:r>
        <w:rPr>
          <w:rFonts w:ascii="IRNazanin" w:hAnsi="IRNazanin" w:eastAsia="IRNazanin"/>
          <w:color w:val="111111"/>
          <w:sz w:val="28"/>
          <w:sz w:val="28"/>
          <w:szCs w:val="28"/>
          <w:rtl w:val="true"/>
          <w:lang w:bidi="fa-IR"/>
        </w:rPr>
        <w:t xml:space="preserve">، و قریب منها مرسلة الصدوق </w:t>
      </w:r>
      <w:r>
        <w:rPr>
          <w:rStyle w:val="FootnoteAnchor"/>
          <w:rtl w:val="true"/>
        </w:rPr>
        <w:footnoteReference w:id="2562"/>
      </w:r>
      <w:r>
        <w:rPr>
          <w:rFonts w:ascii="IRNazanin" w:hAnsi="IRNazanin" w:eastAsia="IRNazanin"/>
          <w:color w:val="111111"/>
          <w:sz w:val="28"/>
          <w:sz w:val="28"/>
          <w:szCs w:val="28"/>
          <w:rtl w:val="true"/>
          <w:lang w:bidi="fa-IR"/>
        </w:rPr>
        <w:t>بناءً علی أنّ المتبادر من العضو الذی فیه القلب و هو المستقرّ له هو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الإنصاف ظهورها فی اعتبار فعلیّة وجود القلب فی العضو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یستدلّ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بروایة الفضیل </w:t>
      </w:r>
      <w:r>
        <w:rPr>
          <w:rStyle w:val="FootnoteAnchor"/>
          <w:rtl w:val="true"/>
        </w:rPr>
        <w:footnoteReference w:id="2563"/>
      </w:r>
      <w:r>
        <w:rPr>
          <w:rFonts w:ascii="IRNazanin" w:hAnsi="IRNazanin" w:eastAsia="IRNazanin"/>
          <w:color w:val="111111"/>
          <w:sz w:val="28"/>
          <w:sz w:val="28"/>
          <w:szCs w:val="28"/>
          <w:rtl w:val="true"/>
          <w:lang w:bidi="fa-IR"/>
        </w:rPr>
        <w:t>بن عثمان الأعور عن الصادق علیه السلام عن أبیه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یقتل فیوجد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قبیلة، و وسطه </w:t>
      </w:r>
      <w:r>
        <w:rPr>
          <w:rStyle w:val="FootnoteAnchor"/>
          <w:rtl w:val="true"/>
        </w:rPr>
        <w:footnoteReference w:id="2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صدره و یداه فی قبیلة، و الباقی منه فی قبیلة،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علی من وجد فی قبیلته صدره و یداه، و الصلاة علیه</w:t>
      </w:r>
      <w:r>
        <w:rPr>
          <w:rFonts w:eastAsia="IRNazanin" w:cs="IRNazanin"/>
          <w:color w:val="111111"/>
          <w:sz w:val="28"/>
          <w:szCs w:val="28"/>
          <w:rtl w:val="true"/>
          <w:lang w:bidi="fa-IR"/>
        </w:rPr>
        <w:t xml:space="preserve">» </w:t>
      </w:r>
      <w:r>
        <w:rPr>
          <w:rStyle w:val="FootnoteAnchor"/>
          <w:rtl w:val="true"/>
        </w:rPr>
        <w:footnoteReference w:id="2565"/>
      </w:r>
      <w:r>
        <w:rPr>
          <w:rFonts w:ascii="IRNazanin" w:hAnsi="IRNazanin" w:eastAsia="IRNazanin"/>
          <w:color w:val="111111"/>
          <w:sz w:val="28"/>
          <w:sz w:val="28"/>
          <w:szCs w:val="28"/>
          <w:rtl w:val="true"/>
          <w:lang w:bidi="fa-IR"/>
        </w:rPr>
        <w:t>بناءً علی أنّه لا اعتبار بوجود الیدین، و إنّما ذکره الإمام لأنّه مورد السؤال، فیکون الروایة حینئذٍ باعتبار إطلاقها قرینة علی أنّه لا اعتبار بوجود القلب فعلًا و إنّما العبرة بمستقرّه،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محمول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القلب فعلًا فی القطعة المشتملة علی الصدر و الیدین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سلّمنا إطلاق الروایة منعنا کون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اشتمال</w:t>
      </w:r>
    </w:p>
    <w:p>
      <w:pPr>
        <w:pStyle w:val="BookText"/>
        <w:rPr/>
      </w:pPr>
      <w:r>
        <w:rPr>
          <w:rFonts w:ascii="IRNazanin" w:hAnsi="IRNazanin" w:eastAsia="IRNazanin"/>
          <w:color w:val="111111"/>
          <w:sz w:val="28"/>
          <w:sz w:val="28"/>
          <w:szCs w:val="28"/>
          <w:rtl w:val="true"/>
          <w:lang w:bidi="fa-IR"/>
        </w:rPr>
        <w:t xml:space="preserve">السؤال علیه، فلعلّ له مدخلیّة، و حینئذٍ فلا تعارض بین الروایة و المرفوعة حتّی تکون الروایة قرینة للمرفوعة، بل یحکم بجعل الحکم منوطاً بالصدر مع وجود القلب فیه فعلًا أو به منضمّاً إلی الیدین، و من ذلک یظهر أنّه قد أجاد المحقّق فی المعتبر </w:t>
      </w:r>
      <w:r>
        <w:rPr>
          <w:rStyle w:val="FootnoteAnchor"/>
          <w:rtl w:val="true"/>
        </w:rPr>
        <w:footnoteReference w:id="2566"/>
      </w:r>
      <w:r>
        <w:rPr>
          <w:rFonts w:ascii="IRNazanin" w:hAnsi="IRNazanin" w:eastAsia="IRNazanin"/>
          <w:color w:val="111111"/>
          <w:sz w:val="28"/>
          <w:sz w:val="28"/>
          <w:szCs w:val="28"/>
          <w:rtl w:val="true"/>
          <w:lang w:bidi="fa-IR"/>
        </w:rPr>
        <w:t xml:space="preserve">حیث جعل الأحکام منوطة بالعضو الذی فیه القلب أو بالصدر مع الیدین أو بمجموع عظام المیّت عملًا بظاهر المرفوعة </w:t>
      </w:r>
      <w:r>
        <w:rPr>
          <w:rStyle w:val="FootnoteAnchor"/>
          <w:rtl w:val="true"/>
        </w:rPr>
        <w:footnoteReference w:id="2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w:t>
      </w:r>
      <w:r>
        <w:rPr>
          <w:rStyle w:val="FootnoteAnchor"/>
          <w:rtl w:val="true"/>
        </w:rPr>
        <w:footnoteReference w:id="2568"/>
      </w:r>
      <w:r>
        <w:rPr>
          <w:rFonts w:ascii="IRNazanin" w:hAnsi="IRNazanin" w:eastAsia="IRNazanin"/>
          <w:color w:val="111111"/>
          <w:sz w:val="28"/>
          <w:sz w:val="28"/>
          <w:szCs w:val="28"/>
          <w:rtl w:val="true"/>
          <w:lang w:bidi="fa-IR"/>
        </w:rPr>
        <w:t xml:space="preserve">و روایة الفضیل </w:t>
      </w:r>
      <w:r>
        <w:rPr>
          <w:rStyle w:val="FootnoteAnchor"/>
          <w:rtl w:val="true"/>
        </w:rPr>
        <w:footnoteReference w:id="2569"/>
      </w:r>
      <w:r>
        <w:rPr>
          <w:rFonts w:ascii="IRNazanin" w:hAnsi="IRNazanin" w:eastAsia="IRNazanin"/>
          <w:color w:val="111111"/>
          <w:sz w:val="28"/>
          <w:sz w:val="28"/>
          <w:szCs w:val="28"/>
          <w:rtl w:val="true"/>
          <w:lang w:bidi="fa-IR"/>
        </w:rPr>
        <w:t xml:space="preserve">و روایتی علیّ بن جعفر </w:t>
      </w:r>
      <w:r>
        <w:rPr>
          <w:rStyle w:val="FootnoteAnchor"/>
          <w:rtl w:val="true"/>
        </w:rPr>
        <w:footnoteReference w:id="2570"/>
      </w:r>
      <w:r>
        <w:rPr>
          <w:rFonts w:ascii="IRNazanin" w:hAnsi="IRNazanin" w:eastAsia="IRNazanin"/>
          <w:color w:val="111111"/>
          <w:sz w:val="28"/>
          <w:sz w:val="28"/>
          <w:szCs w:val="28"/>
          <w:rtl w:val="true"/>
          <w:lang w:bidi="fa-IR"/>
        </w:rPr>
        <w:t xml:space="preserve">و القلانسی </w:t>
      </w:r>
      <w:r>
        <w:rPr>
          <w:rStyle w:val="FootnoteAnchor"/>
          <w:rtl w:val="true"/>
        </w:rPr>
        <w:footnoteReference w:id="2571"/>
      </w:r>
      <w:r>
        <w:rPr>
          <w:rFonts w:ascii="IRNazanin" w:hAnsi="IRNazanin" w:eastAsia="IRNazanin"/>
          <w:color w:val="111111"/>
          <w:sz w:val="28"/>
          <w:sz w:val="28"/>
          <w:szCs w:val="28"/>
          <w:rtl w:val="true"/>
          <w:lang w:bidi="fa-IR"/>
        </w:rPr>
        <w:t>فی من أکله السبع أو الطیر فتبقی عظامه بلا 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الأجود من ذلک اعتبار وجود القلب فعلًا فی الصدر و الیدین؛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الغالب المنصرف إلیه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بقی منه ما یصدق معه إنسان مقطوع الرأس و الرجلین فلا اعتبار بوجود القلب فعلًا، کما لا اعتبار به مع وجود مجموع عظام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الأخبار هو الصدر مع القلب أو ما یصدق معه أنّه إنسان و لو بقید کونه مقطوع الأطراف أو یصدق أنّها عظام إنسان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فی الأخیرین موافق للمشهور، فإن کان مرادهم الفرد الغالب</w:t>
      </w:r>
    </w:p>
    <w:p>
      <w:pPr>
        <w:pStyle w:val="BookText"/>
        <w:rPr/>
      </w:pPr>
      <w:r>
        <w:rPr>
          <w:rFonts w:ascii="IRNazanin" w:hAnsi="IRNazanin" w:eastAsia="IRNazanin"/>
          <w:color w:val="111111"/>
          <w:sz w:val="28"/>
          <w:sz w:val="28"/>
          <w:szCs w:val="28"/>
          <w:rtl w:val="true"/>
          <w:lang w:bidi="fa-IR"/>
        </w:rPr>
        <w:t>من وجود القلب فی الصدر فلیس فیه مخالفة لما ذکرنا، و إن أرادوا به ثبوت الحکم للصدر و لو خلی عن القلب فالحکم بوجوبه لا یخلو من إشکال؛ لعدم الدلیل، إلّا أن یتمسّک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القاعدة المنجبرة من حیث ضعف مدرکها سنداً و دلالة بالشهرة و حکایة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بذلک کلّه ینجبر دلالة المرفوعة، و یکفی فی سندها وجودها فی جامع البزنطی، و کون الروایة من ابن عیسی الذی کان یُخرج من قم من یروی عن الضعفاء و یعتمد المراسیل </w:t>
      </w:r>
      <w:r>
        <w:rPr>
          <w:rStyle w:val="FootnoteAnchor"/>
          <w:rtl w:val="true"/>
        </w:rPr>
        <w:footnoteReference w:id="2572"/>
      </w:r>
      <w:r>
        <w:rPr>
          <w:rFonts w:ascii="IRNazanin" w:hAnsi="IRNazanin" w:eastAsia="IRNazanin"/>
          <w:color w:val="111111"/>
          <w:sz w:val="28"/>
          <w:sz w:val="28"/>
          <w:szCs w:val="28"/>
          <w:rtl w:val="true"/>
          <w:lang w:bidi="fa-IR"/>
        </w:rPr>
        <w:t xml:space="preserve">، مع اعتضادها بالأخبار الموجبة للصلاة علی النصف الذی فیه القلب، و لخصوص مرسلة الصدوق المتقدّمة </w:t>
      </w:r>
      <w:r>
        <w:rPr>
          <w:rStyle w:val="FootnoteAnchor"/>
          <w:rtl w:val="true"/>
        </w:rPr>
        <w:footnoteReference w:id="2573"/>
      </w:r>
      <w:r>
        <w:rPr>
          <w:rFonts w:ascii="IRNazanin" w:hAnsi="IRNazanin" w:eastAsia="IRNazanin"/>
          <w:color w:val="111111"/>
          <w:sz w:val="28"/>
          <w:sz w:val="28"/>
          <w:szCs w:val="28"/>
          <w:rtl w:val="true"/>
          <w:lang w:bidi="fa-IR"/>
        </w:rPr>
        <w:t>، و مع ذلک فهو أحوط</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أحوط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إجراء الأحکام علی کلّ عضو تمام </w:t>
      </w:r>
      <w:r>
        <w:rPr>
          <w:rStyle w:val="FootnoteAnchor"/>
          <w:rtl w:val="true"/>
        </w:rPr>
        <w:footnoteReference w:id="2574"/>
      </w:r>
      <w:r>
        <w:rPr>
          <w:rFonts w:ascii="IRNazanin" w:hAnsi="IRNazanin" w:eastAsia="IRNazanin"/>
          <w:color w:val="111111"/>
          <w:sz w:val="28"/>
          <w:sz w:val="28"/>
          <w:szCs w:val="28"/>
          <w:rtl w:val="true"/>
          <w:lang w:bidi="fa-IR"/>
        </w:rPr>
        <w:t>، کما فی مرسلة محمّد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له عضو من أعضائه تامّ صلّی علی ذلک العضو، و إن لم یوجد له عضو تامّ لم یصلّ علیه و دفن</w:t>
      </w:r>
      <w:r>
        <w:rPr>
          <w:rFonts w:eastAsia="IRNazanin" w:cs="IRNazanin"/>
          <w:color w:val="111111"/>
          <w:sz w:val="28"/>
          <w:szCs w:val="28"/>
          <w:rtl w:val="true"/>
          <w:lang w:bidi="fa-IR"/>
        </w:rPr>
        <w:t xml:space="preserve">» </w:t>
      </w:r>
      <w:r>
        <w:rPr>
          <w:rStyle w:val="FootnoteAnchor"/>
          <w:rtl w:val="true"/>
        </w:rPr>
        <w:footnoteReference w:id="2575"/>
      </w:r>
      <w:r>
        <w:rPr>
          <w:rFonts w:ascii="IRNazanin" w:hAnsi="IRNazanin" w:eastAsia="IRNazanin"/>
          <w:color w:val="111111"/>
          <w:sz w:val="28"/>
          <w:sz w:val="28"/>
          <w:szCs w:val="28"/>
          <w:rtl w:val="true"/>
          <w:lang w:bidi="fa-IR"/>
        </w:rPr>
        <w:t>و نحوها ما عن جامع البزنطی عن ابن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بلغنی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یصلّی علی کلّ عضو رِجْلًا کان أو یداً و الرأس فما زاد، فإذا نقص عن ید أو رجل أو رأس فلا صلاة علیه</w:t>
      </w:r>
      <w:r>
        <w:rPr>
          <w:rFonts w:eastAsia="IRNazanin" w:cs="IRNazanin"/>
          <w:color w:val="111111"/>
          <w:sz w:val="28"/>
          <w:szCs w:val="28"/>
          <w:rtl w:val="true"/>
          <w:lang w:bidi="fa-IR"/>
        </w:rPr>
        <w:t xml:space="preserve">» </w:t>
      </w:r>
      <w:r>
        <w:rPr>
          <w:rStyle w:val="FootnoteAnchor"/>
          <w:rtl w:val="true"/>
        </w:rPr>
        <w:footnoteReference w:id="2576"/>
      </w:r>
      <w:r>
        <w:rPr>
          <w:rFonts w:ascii="IRNazanin" w:hAnsi="IRNazanin" w:eastAsia="IRNazanin"/>
          <w:color w:val="111111"/>
          <w:sz w:val="28"/>
          <w:sz w:val="28"/>
          <w:szCs w:val="28"/>
          <w:rtl w:val="true"/>
          <w:lang w:bidi="fa-IR"/>
        </w:rPr>
        <w:t>لکنّهما لا تقاومان الأخبار الکثیرة النافیة لوجوب الغسل فی ما لیس فیه القلب و فی الرأس</w:t>
      </w:r>
      <w:bookmarkStart w:id="372" w:name="pg13042_127300"/>
    </w:p>
    <w:p>
      <w:pPr>
        <w:pStyle w:val="BookText"/>
        <w:rPr/>
      </w:pPr>
      <w:bookmarkEnd w:id="372"/>
      <w:r>
        <w:rPr>
          <w:rFonts w:ascii="IRNazanin" w:hAnsi="IRNazanin" w:eastAsia="IRNazanin"/>
          <w:color w:val="111111"/>
          <w:sz w:val="28"/>
          <w:sz w:val="28"/>
          <w:szCs w:val="28"/>
          <w:rtl w:val="true"/>
          <w:lang w:bidi="fa-IR"/>
        </w:rPr>
        <w:t xml:space="preserve">بالخصوص، کما فی مرسلة الصدوق </w:t>
      </w:r>
      <w:r>
        <w:rPr>
          <w:rStyle w:val="FootnoteAnchor"/>
          <w:rtl w:val="true"/>
        </w:rPr>
        <w:footnoteReference w:id="2577"/>
      </w:r>
      <w:r>
        <w:rPr>
          <w:rFonts w:ascii="IRNazanin" w:hAnsi="IRNazanin" w:eastAsia="IRNazanin"/>
          <w:color w:val="111111"/>
          <w:sz w:val="28"/>
          <w:sz w:val="28"/>
          <w:szCs w:val="28"/>
          <w:rtl w:val="true"/>
          <w:lang w:bidi="fa-IR"/>
        </w:rPr>
        <w:t>، فیحملان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یجب التحنیط فی الصدر أو المشتمل علیه، کما عن الشیخ </w:t>
      </w:r>
      <w:r>
        <w:rPr>
          <w:rStyle w:val="FootnoteAnchor"/>
          <w:rtl w:val="true"/>
        </w:rPr>
        <w:footnoteReference w:id="2578"/>
      </w:r>
      <w:r>
        <w:rPr>
          <w:rFonts w:ascii="Amiri" w:hAnsi="Amiri" w:eastAsia="Amiri" w:cs="Amiri"/>
          <w:color w:val="111111"/>
          <w:sz w:val="28"/>
          <w:sz w:val="28"/>
          <w:szCs w:val="28"/>
          <w:rtl w:val="true"/>
          <w:lang w:bidi="ar-SA"/>
        </w:rPr>
        <w:t xml:space="preserve">و سلّار </w:t>
      </w:r>
      <w:r>
        <w:rPr>
          <w:rStyle w:val="FootnoteAnchor"/>
          <w:rtl w:val="true"/>
        </w:rPr>
        <w:footnoteReference w:id="2579"/>
      </w:r>
      <w:r>
        <w:rPr>
          <w:rFonts w:ascii="IRNazanin" w:hAnsi="IRNazanin" w:eastAsia="IRNazanin"/>
          <w:color w:val="111111"/>
          <w:sz w:val="28"/>
          <w:sz w:val="28"/>
          <w:szCs w:val="28"/>
          <w:rtl w:val="true"/>
          <w:lang w:bidi="fa-IR"/>
        </w:rPr>
        <w:t xml:space="preserve">بل المشهور؟ الأقوی نعم، مع وجود موضع التحنیط؛ لعموم القاعدة المتقدّمة المنجبرة بالشهرة و عدم الخلاف المقدّمین، و إن لم یوجد فلا یجب وفاقاً للشهیدین </w:t>
      </w:r>
      <w:r>
        <w:rPr>
          <w:rStyle w:val="FootnoteAnchor"/>
          <w:rtl w:val="true"/>
        </w:rPr>
        <w:footnoteReference w:id="2580"/>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581"/>
      </w:r>
      <w:r>
        <w:rPr>
          <w:rFonts w:ascii="Amiri" w:hAnsi="Amiri" w:eastAsia="Amiri" w:cs="Amiri"/>
          <w:color w:val="111111"/>
          <w:sz w:val="28"/>
          <w:sz w:val="28"/>
          <w:szCs w:val="28"/>
          <w:rtl w:val="true"/>
          <w:lang w:bidi="ar-SA"/>
        </w:rPr>
        <w:t xml:space="preserve">و جماعة </w:t>
      </w:r>
      <w:r>
        <w:rPr>
          <w:rStyle w:val="FootnoteAnchor"/>
          <w:rtl w:val="true"/>
        </w:rPr>
        <w:footnoteReference w:id="2582"/>
      </w:r>
      <w:r>
        <w:rPr>
          <w:rFonts w:ascii="IRNazanin" w:hAnsi="IRNazanin" w:eastAsia="IRNazanin"/>
          <w:color w:val="111111"/>
          <w:sz w:val="28"/>
          <w:sz w:val="28"/>
          <w:szCs w:val="28"/>
          <w:rtl w:val="true"/>
          <w:lang w:bidi="fa-IR"/>
        </w:rPr>
        <w:t>للأصل، لوضوح عدم جریان القاعدة المتقدّمة هنا، و المرفوعة لا تثبت إلّا وجوب الصلاة التی لا یستلزم بحکم الأولویّة و الإجماع إلّا وجوب التغسیل و التکفین، و أمّا إطلاق الفتاوی بکونه کالمیّت فلا یقضی أزید من وجوب تحنیطه فی موضع الحنوط، فیختصّ بما إذا وجد محلّ الحنوط، بل تحنیطه فی غیر مواضع الحنوط حکم مخالف لحکم المیّت، و منه یظهر عدم وجوب تکفینه فی ثلاث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الصدر أو المشتمل علیه،</w:t>
      </w:r>
    </w:p>
    <w:p>
      <w:pPr>
        <w:pStyle w:val="Heading6"/>
        <w:numPr>
          <w:ilvl w:val="5"/>
          <w:numId w:val="1"/>
        </w:numPr>
        <w:rPr/>
      </w:pPr>
      <w:bookmarkStart w:id="373" w:name="__RefHeading___Toc6530342_3224264995"/>
      <w:bookmarkStart w:id="374" w:name="_Toc143"/>
      <w:bookmarkEnd w:id="373"/>
      <w:r>
        <w:rPr>
          <w:rtl w:val="true"/>
        </w:rPr>
        <w:t>[</w:t>
      </w:r>
      <w:r>
        <w:rPr>
          <w:rtl w:val="true"/>
        </w:rPr>
        <w:t>ذات العظم و السقط لأربعة أشهر حکمها کالصدر إلّا فی الصلاة</w:t>
      </w:r>
      <w:r>
        <w:rPr>
          <w:rtl w:val="true"/>
        </w:rPr>
        <w:t>]</w:t>
      </w:r>
      <w:bookmarkEnd w:id="37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غیره، فالقطعة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العظم و السقط لأربعة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الحکم فی الأوّل فهو المشهور کما عن جماعة </w:t>
      </w:r>
      <w:r>
        <w:rPr>
          <w:rStyle w:val="FootnoteAnchor"/>
          <w:rtl w:val="true"/>
        </w:rPr>
        <w:footnoteReference w:id="2583"/>
      </w:r>
      <w:r>
        <w:rPr>
          <w:rFonts w:ascii="IRNazanin" w:hAnsi="IRNazanin" w:eastAsia="IRNazanin"/>
          <w:color w:val="111111"/>
          <w:sz w:val="28"/>
          <w:sz w:val="28"/>
          <w:szCs w:val="28"/>
          <w:rtl w:val="true"/>
          <w:lang w:bidi="fa-IR"/>
        </w:rPr>
        <w:t xml:space="preserve">، بل عن الخلاف </w:t>
      </w:r>
      <w:r>
        <w:rPr>
          <w:rStyle w:val="FootnoteAnchor"/>
          <w:rtl w:val="true"/>
        </w:rPr>
        <w:footnoteReference w:id="2584"/>
      </w:r>
      <w:r>
        <w:rPr>
          <w:rFonts w:ascii="IRNazanin" w:hAnsi="IRNazanin" w:eastAsia="IRNazanin"/>
          <w:color w:val="111111"/>
          <w:sz w:val="28"/>
          <w:sz w:val="28"/>
          <w:szCs w:val="28"/>
          <w:rtl w:val="true"/>
          <w:lang w:bidi="fa-IR"/>
        </w:rPr>
        <w:t xml:space="preserve">و الغنیة </w:t>
      </w:r>
      <w:r>
        <w:rPr>
          <w:rStyle w:val="FootnoteAnchor"/>
          <w:rtl w:val="true"/>
        </w:rPr>
        <w:footnoteReference w:id="2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و الأخبار علیه، 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عدم الخلاف فیه </w:t>
      </w:r>
      <w:r>
        <w:rPr>
          <w:rStyle w:val="FootnoteAnchor"/>
          <w:rtl w:val="true"/>
        </w:rPr>
        <w:footnoteReference w:id="2586"/>
      </w:r>
      <w:r>
        <w:rPr>
          <w:rFonts w:ascii="IRNazanin" w:hAnsi="IRNazanin" w:eastAsia="IRNazanin"/>
          <w:color w:val="111111"/>
          <w:sz w:val="28"/>
          <w:sz w:val="28"/>
          <w:szCs w:val="28"/>
          <w:rtl w:val="true"/>
          <w:lang w:bidi="fa-IR"/>
        </w:rPr>
        <w:t xml:space="preserve">، و نسبه فی جامع المقاصد إلی الأصحاب </w:t>
      </w:r>
      <w:r>
        <w:rPr>
          <w:rStyle w:val="FootnoteAnchor"/>
          <w:rtl w:val="true"/>
        </w:rPr>
        <w:footnoteReference w:id="2587"/>
      </w:r>
      <w:r>
        <w:rPr>
          <w:rFonts w:ascii="IRNazanin" w:hAnsi="IRNazanin" w:eastAsia="IRNazanin"/>
          <w:color w:val="111111"/>
          <w:sz w:val="28"/>
          <w:sz w:val="28"/>
          <w:szCs w:val="28"/>
          <w:rtl w:val="true"/>
          <w:lang w:bidi="fa-IR"/>
        </w:rPr>
        <w:t>، و لعلّ ذلک یکفی فی انجبار القاعدة المتقدّمة المستفادة من مثل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Style w:val="FootnoteAnchor"/>
          <w:rtl w:val="true"/>
        </w:rPr>
        <w:footnoteReference w:id="2588"/>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ذلک الصلاة و بقی الباقی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الإخراج؛ لأنّ الصلاة علی العضو لیس بعضاً من الصلاة علی الکلّ کما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ورد فی علّة تغسیل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الغرض تنظیف المیّت لتماسّ الملائکة و یماسّونه </w:t>
      </w:r>
      <w:r>
        <w:rPr>
          <w:rStyle w:val="FootnoteAnchor"/>
          <w:rtl w:val="true"/>
        </w:rPr>
        <w:footnoteReference w:id="2590"/>
      </w:r>
      <w:r>
        <w:rPr>
          <w:rFonts w:ascii="IRNazanin" w:hAnsi="IRNazanin" w:eastAsia="IRNazanin"/>
          <w:color w:val="111111"/>
          <w:sz w:val="28"/>
          <w:sz w:val="28"/>
          <w:szCs w:val="28"/>
          <w:rtl w:val="true"/>
          <w:lang w:bidi="fa-IR"/>
        </w:rPr>
        <w:t>فإنّ الظاهر من ذلک مطلوبیّة التغسیل بالقدر الممکن أو القدر الباقی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الاستدلال علیه بمرسلة أیّوب بن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من الرجل</w:t>
      </w:r>
    </w:p>
    <w:p>
      <w:pPr>
        <w:pStyle w:val="BookText"/>
        <w:rPr/>
      </w:pPr>
      <w:r>
        <w:rPr>
          <w:rFonts w:ascii="IRNazanin" w:hAnsi="IRNazanin" w:eastAsia="IRNazanin"/>
          <w:color w:val="111111"/>
          <w:sz w:val="28"/>
          <w:sz w:val="28"/>
          <w:szCs w:val="28"/>
          <w:rtl w:val="true"/>
          <w:lang w:bidi="fa-IR"/>
        </w:rPr>
        <w:t>قطعة فهی میتة، فإذا مسّه إنسان بکلّ ما کان فیه عظم فقد وجب علی من مسّه الغسل، و إن لم یکن فیه عظم فلا غسل علیه</w:t>
      </w:r>
      <w:r>
        <w:rPr>
          <w:rFonts w:eastAsia="IRNazanin" w:cs="IRNazanin"/>
          <w:color w:val="111111"/>
          <w:sz w:val="28"/>
          <w:szCs w:val="28"/>
          <w:rtl w:val="true"/>
          <w:lang w:bidi="fa-IR"/>
        </w:rPr>
        <w:t xml:space="preserve">» </w:t>
      </w:r>
      <w:r>
        <w:rPr>
          <w:rStyle w:val="FootnoteAnchor"/>
          <w:rtl w:val="true"/>
        </w:rPr>
        <w:footnoteReference w:id="2591"/>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ثبوت غسل المسّ یستلزم ثبوت التغسیل، کما استظهر الملازمة فی الذکری </w:t>
      </w:r>
      <w:r>
        <w:rPr>
          <w:rStyle w:val="FootnoteAnchor"/>
          <w:rtl w:val="true"/>
        </w:rPr>
        <w:footnoteReference w:id="2592"/>
      </w:r>
      <w:r>
        <w:rPr>
          <w:rFonts w:ascii="IRNazanin" w:hAnsi="IRNazanin" w:eastAsia="IRNazanin"/>
          <w:color w:val="111111"/>
          <w:sz w:val="28"/>
          <w:sz w:val="28"/>
          <w:szCs w:val="28"/>
          <w:rtl w:val="true"/>
          <w:lang w:bidi="fa-IR"/>
        </w:rPr>
        <w:t xml:space="preserve">، و یظهر من الروض </w:t>
      </w:r>
      <w:r>
        <w:rPr>
          <w:rStyle w:val="FootnoteAnchor"/>
          <w:rtl w:val="true"/>
        </w:rPr>
        <w:footnoteReference w:id="2593"/>
      </w:r>
      <w:r>
        <w:rPr>
          <w:rFonts w:ascii="IRNazanin" w:hAnsi="IRNazanin" w:eastAsia="IRNazanin"/>
          <w:color w:val="111111"/>
          <w:sz w:val="28"/>
          <w:sz w:val="28"/>
          <w:szCs w:val="28"/>
          <w:rtl w:val="true"/>
          <w:lang w:bidi="fa-IR"/>
        </w:rPr>
        <w:t xml:space="preserve">، و نسبه فی الحدائق إلی ظاهر الأخبار و الأصحاب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جعله میّتاً یقتضی إجراء جمیع أحکام میتة الإنسان علیه، و لیس المراد خصوص النجاسة قطعاً؛ بقرینة تفریع وجوب غسل المسّ علیه، و لا خصوص وجوب غسل المسّ؛ لعدم التخصیص، و تفریعه علیه لا یدلّ علی اختصاص التنزیل به لو لم یدلّ علی کونه أعمّ؛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التفریع إشکال آخر غیر قادح فی الاستدلال،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فی الممسوس بین ذی العظم و غیره لیس من أحکام المیّت، فکیف یتفرّع علیه؟</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مسّ المیّت لعلّه بجملته إنّما یوجب الغسل باعتبار کون الممسوس ذا عظم، فتأمّل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مقتضی المرسلة ثبوت الحکم فی العضو المقطوع من الحیّ أیضاً، وفاقاً للمحکیّ عن المشهور </w:t>
      </w:r>
      <w:r>
        <w:rPr>
          <w:rStyle w:val="FootnoteAnchor"/>
          <w:rtl w:val="true"/>
        </w:rPr>
        <w:footnoteReference w:id="2595"/>
      </w:r>
      <w:r>
        <w:rPr>
          <w:rFonts w:ascii="IRNazanin" w:hAnsi="IRNazanin" w:eastAsia="IRNazanin"/>
          <w:color w:val="111111"/>
          <w:sz w:val="28"/>
          <w:sz w:val="28"/>
          <w:szCs w:val="28"/>
          <w:rtl w:val="true"/>
          <w:lang w:bidi="fa-IR"/>
        </w:rPr>
        <w:t>،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w:t>
      </w:r>
    </w:p>
    <w:p>
      <w:pPr>
        <w:pStyle w:val="BookText"/>
        <w:rPr/>
      </w:pPr>
      <w:r>
        <w:rPr>
          <w:rFonts w:ascii="IRNazanin" w:hAnsi="IRNazanin" w:eastAsia="IRNazanin"/>
          <w:color w:val="111111"/>
          <w:sz w:val="28"/>
          <w:sz w:val="28"/>
          <w:szCs w:val="28"/>
          <w:rtl w:val="true"/>
          <w:lang w:bidi="fa-IR"/>
        </w:rPr>
        <w:t>إلّا أنّ المحکیّ عن الخلاف لا یدلّ علی ذلک؛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 میّتاً بعد برده بالموت و قبل تطهیره بالغسل وجب علیه الغسل، و کذا إن مسّ قطعة من میّت أو قطعة قطعت من حیّ و کان فیها عظم وجب فیه الغسل، و خالف جمیع الفقهاء فی ذلک، ثمّ ادّعی الإجماع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فهو حسن مع ثبوت دلالة المرسلة علی المطلب بأحد الوجهین المتقدّمین </w:t>
      </w:r>
      <w:r>
        <w:rPr>
          <w:rStyle w:val="FootnoteAnchor"/>
          <w:rtl w:val="true"/>
        </w:rPr>
        <w:footnoteReference w:id="2597"/>
      </w:r>
      <w:r>
        <w:rPr>
          <w:rFonts w:ascii="IRNazanin" w:hAnsi="IRNazanin" w:eastAsia="IRNazanin"/>
          <w:color w:val="111111"/>
          <w:sz w:val="28"/>
          <w:sz w:val="28"/>
          <w:szCs w:val="28"/>
          <w:rtl w:val="true"/>
          <w:lang w:bidi="fa-IR"/>
        </w:rPr>
        <w:t>، لکن الشأن فی ثبوتها علی وجه تسکن إلیه النفس، 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قصورها بالشهرة،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الأصحاب لم یستدلّوا بها حتّی یکشف ذلک عن فهمهم المطلب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فالمسألة محلّ إشکال؛ و لذا توقّف فیه فی جامع المقاصد </w:t>
      </w:r>
      <w:r>
        <w:rPr>
          <w:rStyle w:val="FootnoteAnchor"/>
          <w:rtl w:val="true"/>
        </w:rPr>
        <w:footnoteReference w:id="2598"/>
      </w:r>
      <w:r>
        <w:rPr>
          <w:rFonts w:ascii="IRNazanin" w:hAnsi="IRNazanin" w:eastAsia="IRNazanin"/>
          <w:color w:val="111111"/>
          <w:sz w:val="28"/>
          <w:sz w:val="28"/>
          <w:szCs w:val="28"/>
          <w:rtl w:val="true"/>
          <w:lang w:bidi="fa-IR"/>
        </w:rPr>
        <w:t xml:space="preserve">، بل قوّی فی المعتبر عدم وجوب التغسیل </w:t>
      </w:r>
      <w:r>
        <w:rPr>
          <w:rStyle w:val="FootnoteAnchor"/>
          <w:rtl w:val="true"/>
        </w:rPr>
        <w:footnoteReference w:id="2599"/>
      </w:r>
      <w:r>
        <w:rPr>
          <w:rFonts w:ascii="Amiri" w:hAnsi="Amiri" w:eastAsia="Amiri" w:cs="Amiri"/>
          <w:color w:val="111111"/>
          <w:sz w:val="28"/>
          <w:sz w:val="28"/>
          <w:szCs w:val="28"/>
          <w:rtl w:val="true"/>
          <w:lang w:bidi="ar-SA"/>
        </w:rPr>
        <w:t xml:space="preserve">و تبعه جماعة </w:t>
      </w:r>
      <w:r>
        <w:rPr>
          <w:rStyle w:val="FootnoteAnchor"/>
          <w:rtl w:val="true"/>
        </w:rPr>
        <w:footnoteReference w:id="2600"/>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جملة لا یجب تغسیلها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منعه فی الذکری </w:t>
      </w:r>
      <w:r>
        <w:rPr>
          <w:rStyle w:val="FootnoteAnchor"/>
          <w:rtl w:val="true"/>
        </w:rPr>
        <w:footnoteReference w:id="2601"/>
      </w:r>
      <w:r>
        <w:rPr>
          <w:rFonts w:ascii="IRNazanin" w:hAnsi="IRNazanin" w:eastAsia="IRNazanin"/>
          <w:color w:val="111111"/>
          <w:sz w:val="28"/>
          <w:sz w:val="28"/>
          <w:szCs w:val="28"/>
          <w:rtl w:val="true"/>
          <w:lang w:bidi="fa-IR"/>
        </w:rPr>
        <w:t xml:space="preserve">تبعاً للمحکیّ عن التذکرة </w:t>
      </w:r>
      <w:r>
        <w:rPr>
          <w:rStyle w:val="FootnoteAnchor"/>
          <w:rtl w:val="true"/>
        </w:rPr>
        <w:footnoteReference w:id="2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الجملة لم یحصل فیها الموت بخلاف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أنّ حصول الموت فی الجزء یوجب تغسیله، و هو عین المدّعی، و معنی قول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جملة لا تغسل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غسل الجزء تابع لثبوت التغسیل فی الکلّ؛ فإن ثبت ثبت التغسیل فی الأجزاء إمّا تبعاً للأمر بالکلّ، و إمّا من جهة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الکلّ محلّا للتغسیل فإثبات الحکم للجزء یحتاج إلی دلیل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مقتضی العبارة وجوب التکفین و إن عبّر بعضهم باللفّ </w:t>
      </w:r>
      <w:r>
        <w:rPr>
          <w:rStyle w:val="FootnoteAnchor"/>
          <w:rtl w:val="true"/>
        </w:rPr>
        <w:footnoteReference w:id="2603"/>
      </w:r>
      <w:r>
        <w:rPr>
          <w:rFonts w:ascii="IRNazanin" w:hAnsi="IRNazanin" w:eastAsia="IRNazanin"/>
          <w:color w:val="111111"/>
          <w:sz w:val="28"/>
          <w:sz w:val="28"/>
          <w:szCs w:val="28"/>
          <w:rtl w:val="true"/>
          <w:lang w:bidi="fa-IR"/>
        </w:rPr>
        <w:t>، لکن الظاهر التکفین المعهود بلا خلافٍ ظاهراً، و یعتبر أن یکون بالقطع الثلاث؛ لأنّه المعهود، و یحتمل أن یقیّد ذلک بما لو کان محلّها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التحنیط لو بقی بعض مواضعه، بل ظاهرها وجوب مراعاة جمیع شرائط الغسل حتّی الترتیب لو کان الموجود أکثر من عضو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اشتبه الیمین و الیسار احتمل وجوب غسل أحدهما مرّتین؛ تحصیلًا للترتیب، و یحتمل سقوطه هنا، و حتّی مماثلة الغاسل أو محرمیّته، مع احتمال سقوطه </w:t>
      </w:r>
      <w:r>
        <w:rPr>
          <w:rStyle w:val="FootnoteAnchor"/>
          <w:rtl w:val="true"/>
        </w:rPr>
        <w:footnoteReference w:id="2604"/>
      </w:r>
      <w:r>
        <w:rPr>
          <w:rFonts w:ascii="IRNazanin" w:hAnsi="IRNazanin" w:eastAsia="IRNazanin"/>
          <w:color w:val="111111"/>
          <w:sz w:val="28"/>
          <w:sz w:val="28"/>
          <w:szCs w:val="28"/>
          <w:rtl w:val="true"/>
          <w:lang w:bidi="fa-IR"/>
        </w:rPr>
        <w:t>بناءً علی عدم حرمة النظر إلی العضو المبان، و علی تقدیر الاعتبار فیشکل الحکم مع عدم العلم بذکوریّته و لا أُنوثیّته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جعلنا جواز التغسیل تابعاً لحِلِّ النظر أمکن جواز تغسیله لکلٍّ من الرجل و المرأة من جهة أصالة إباحة النظر، من غیر فرق بین وجود المحارم و عدمها، أمّا لو جعلنا المماثلة أو المحرمیّة شرطاً، کما هو الظاهر من الأخبار و فتاوی الأصحاب و إن کان ظاهر بعضها یوهم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تعیّن غسل المحارم له مع وجودها، و مع عدمهم فیحتمل سقوط الغسل؛ لأصالة عدم تحقّق المماثلة، و وجوبه علی الرجال و النساء؛ لأنّ إطلاق أدلّة اعتبار المماثلة منصرف إلی المغسول المعلوم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تغسیل الرجل له تارة و تغسیل المرأة له اخری و إن کان لا یجب ذلک علیهما؛ لأنّهما بالنسبة إلیه کواجدی المنیّ فی الثوب المشترک، و کذا الکلام فی الخنثی المشکل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الحکم فی الثانی و هو السقط إذا کان له أربعة أشهر فتدلّ علی وجوب تغسیله مضافاً إلی الإجماع المحکیّ عن الخلاف </w:t>
      </w:r>
      <w:r>
        <w:rPr>
          <w:rStyle w:val="FootnoteAnchor"/>
          <w:rtl w:val="true"/>
        </w:rPr>
        <w:footnoteReference w:id="2605"/>
      </w:r>
      <w:r>
        <w:rPr>
          <w:rFonts w:ascii="IRNazanin" w:hAnsi="IRNazanin" w:eastAsia="IRNazanin"/>
          <w:color w:val="111111"/>
          <w:sz w:val="28"/>
          <w:sz w:val="28"/>
          <w:szCs w:val="28"/>
          <w:rtl w:val="true"/>
          <w:lang w:bidi="fa-IR"/>
        </w:rPr>
        <w:t>المعتضد بما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نسبته إلی علمائنا </w:t>
      </w:r>
      <w:r>
        <w:rPr>
          <w:rStyle w:val="FootnoteAnchor"/>
          <w:rtl w:val="true"/>
        </w:rPr>
        <w:footnoteReference w:id="2606"/>
      </w:r>
      <w:r>
        <w:rPr>
          <w:rFonts w:ascii="IRNazanin" w:hAnsi="IRNazanin" w:eastAsia="IRNazanin"/>
          <w:color w:val="111111"/>
          <w:sz w:val="28"/>
          <w:sz w:val="28"/>
          <w:szCs w:val="28"/>
          <w:rtl w:val="true"/>
          <w:lang w:bidi="fa-IR"/>
        </w:rPr>
        <w:t>، 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أکثر أهل العلم </w:t>
      </w:r>
      <w:r>
        <w:rPr>
          <w:rStyle w:val="FootnoteAnchor"/>
          <w:rtl w:val="true"/>
        </w:rPr>
        <w:footnoteReference w:id="2607"/>
      </w:r>
      <w:r>
        <w:rPr>
          <w:rFonts w:ascii="IRNazanin" w:hAnsi="IRNazanin" w:eastAsia="IRNazanin"/>
          <w:color w:val="111111"/>
          <w:sz w:val="28"/>
          <w:sz w:val="28"/>
          <w:szCs w:val="28"/>
          <w:rtl w:val="true"/>
          <w:lang w:bidi="fa-IR"/>
        </w:rPr>
        <w:t xml:space="preserve">، و عن الذکری </w:t>
      </w:r>
      <w:r>
        <w:rPr>
          <w:rStyle w:val="FootnoteAnchor"/>
          <w:rtl w:val="true"/>
        </w:rPr>
        <w:footnoteReference w:id="2608"/>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609"/>
      </w:r>
      <w:r>
        <w:rPr>
          <w:rFonts w:ascii="IRNazanin" w:hAnsi="IRNazanin" w:eastAsia="IRNazanin"/>
          <w:color w:val="111111"/>
          <w:sz w:val="28"/>
          <w:sz w:val="28"/>
          <w:szCs w:val="28"/>
          <w:rtl w:val="true"/>
          <w:lang w:bidi="fa-IR"/>
        </w:rPr>
        <w:t xml:space="preserve">و الروض </w:t>
      </w:r>
      <w:r>
        <w:rPr>
          <w:rStyle w:val="FootnoteAnchor"/>
          <w:rtl w:val="true"/>
        </w:rPr>
        <w:footnoteReference w:id="2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نسبته إلی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إذا تمّ له أربعة أشهر غسّل</w:t>
      </w:r>
      <w:r>
        <w:rPr>
          <w:rFonts w:eastAsia="IRNazanin" w:cs="IRNazanin"/>
          <w:color w:val="111111"/>
          <w:sz w:val="28"/>
          <w:szCs w:val="28"/>
          <w:rtl w:val="true"/>
          <w:lang w:bidi="fa-IR"/>
        </w:rPr>
        <w:t xml:space="preserve">» </w:t>
      </w:r>
      <w:r>
        <w:rPr>
          <w:rStyle w:val="FootnoteAnchor"/>
          <w:rtl w:val="true"/>
        </w:rPr>
        <w:footnoteReference w:id="2611"/>
      </w:r>
      <w:r>
        <w:rPr>
          <w:rFonts w:ascii="Amiri" w:hAnsi="Amiri" w:eastAsia="Amiri" w:cs="Amiri"/>
          <w:color w:val="111111"/>
          <w:sz w:val="28"/>
          <w:sz w:val="28"/>
          <w:szCs w:val="28"/>
          <w:rtl w:val="true"/>
          <w:lang w:bidi="ar-SA"/>
        </w:rPr>
        <w:t>و مرفوعة 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أتمّ السقط أربعة أشهر غسّل،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له ستّة أشهر فهو تامّ</w:t>
      </w:r>
      <w:r>
        <w:rPr>
          <w:rFonts w:eastAsia="Amiri" w:cs="Amiri" w:ascii="Amiri" w:hAnsi="Amiri"/>
          <w:color w:val="111111"/>
          <w:sz w:val="28"/>
          <w:szCs w:val="28"/>
          <w:rtl w:val="true"/>
          <w:lang w:bidi="ar-SA"/>
        </w:rPr>
        <w:t xml:space="preserve">» </w:t>
      </w:r>
      <w:r>
        <w:rPr>
          <w:rStyle w:val="FootnoteAnchor"/>
          <w:rtl w:val="true"/>
        </w:rPr>
        <w:footnoteReference w:id="2612"/>
      </w:r>
      <w:r>
        <w:rPr>
          <w:rFonts w:ascii="IRNazanin" w:hAnsi="IRNazanin" w:eastAsia="IRNazanin"/>
          <w:color w:val="111111"/>
          <w:sz w:val="28"/>
          <w:sz w:val="28"/>
          <w:szCs w:val="28"/>
          <w:rtl w:val="true"/>
          <w:lang w:bidi="fa-IR"/>
        </w:rPr>
        <w:t>و لا یعارضها بالمفهوم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أبا عبد اللّٰه علیه السلام عن السقط إذا استوت خلقته، یجب الغسل و اللحد و الکفن؟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استوت</w:t>
      </w:r>
      <w:r>
        <w:rPr>
          <w:rFonts w:eastAsia="IRNazanin" w:cs="IRNazanin"/>
          <w:color w:val="111111"/>
          <w:sz w:val="28"/>
          <w:szCs w:val="28"/>
          <w:rtl w:val="true"/>
          <w:lang w:bidi="fa-IR"/>
        </w:rPr>
        <w:t xml:space="preserve">» </w:t>
      </w:r>
      <w:r>
        <w:rPr>
          <w:rStyle w:val="FootnoteAnchor"/>
          <w:rtl w:val="true"/>
        </w:rPr>
        <w:footnoteReference w:id="2613"/>
      </w:r>
      <w:r>
        <w:rPr>
          <w:rFonts w:ascii="IRNazanin" w:hAnsi="IRNazanin" w:eastAsia="IRNazanin"/>
          <w:color w:val="111111"/>
          <w:sz w:val="28"/>
          <w:sz w:val="28"/>
          <w:szCs w:val="28"/>
          <w:rtl w:val="true"/>
          <w:lang w:bidi="fa-IR"/>
        </w:rPr>
        <w:t xml:space="preserve">لتحقّق الاستواء فی الأربعة، کما یدلّ علیه کثیر من الأخبار التی ذکر بعضها فی الحدائق </w:t>
      </w:r>
      <w:r>
        <w:rPr>
          <w:rStyle w:val="FootnoteAnchor"/>
          <w:rtl w:val="true"/>
        </w:rPr>
        <w:footnoteReference w:id="2614"/>
      </w:r>
      <w:r>
        <w:rPr>
          <w:rFonts w:ascii="IRNazanin" w:hAnsi="IRNazanin" w:eastAsia="IRNazanin"/>
          <w:color w:val="111111"/>
          <w:sz w:val="28"/>
          <w:sz w:val="28"/>
          <w:szCs w:val="28"/>
          <w:rtl w:val="true"/>
          <w:lang w:bidi="fa-IR"/>
        </w:rPr>
        <w:t>، و لو منع عن التلازم فلا أقلّ من المقارنة فی الأغلب، و هی کافیة فی انصراف إطلاق الموثّقة، إلّا أنّه یمکن العکس بحمل أخبار الأربعة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 الاستواء بإکمالها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ذیل مرفوعة أحمد بن محمّد و غیرها ممّا دلّ علی أنّ التمام لستّة أشهر، علی عدم التلازم المذکور، و مع ذلک قد صرّح فی المرفوعة بوجوب التغسیل للأربعة، فیعلم أنّ المدار علیها لا علی الاستواء، فهو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المرفوعة و نحوها هو تمام الإنسان من حیث الاستعداد و استحکام الحیاة بحیث یکون قابلًا لأن یعیش، لا استواء الخلقة، و یشهد له الاستشهاد فی هذه الأخبار بأنّ مولانا الحسین علیه السلام ولد لستّة أشهر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 هذا فساد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الجواب فی روایة الکلینی غیر مشتمل علی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استوت</w:t>
      </w:r>
      <w:r>
        <w:rPr>
          <w:rFonts w:eastAsia="IRNazanin" w:cs="IRNazanin"/>
          <w:color w:val="111111"/>
          <w:sz w:val="28"/>
          <w:szCs w:val="28"/>
          <w:rtl w:val="true"/>
          <w:lang w:bidi="fa-IR"/>
        </w:rPr>
        <w:t xml:space="preserve">» </w:t>
      </w:r>
      <w:r>
        <w:rPr>
          <w:rStyle w:val="FootnoteAnchor"/>
          <w:rtl w:val="true"/>
        </w:rPr>
        <w:footnoteReference w:id="2616"/>
      </w:r>
      <w:r>
        <w:rPr>
          <w:rFonts w:ascii="IRNazanin" w:hAnsi="IRNazanin" w:eastAsia="IRNazanin"/>
          <w:color w:val="111111"/>
          <w:sz w:val="28"/>
          <w:sz w:val="28"/>
          <w:szCs w:val="28"/>
          <w:rtl w:val="true"/>
          <w:lang w:bidi="fa-IR"/>
        </w:rPr>
        <w:t xml:space="preserve">و ذلک؛ لأنّ ما ذکره الشیخ روایة أُخری مستندة إلی سماعة عن أبی عبد اللّٰه علیه السلام </w:t>
      </w:r>
      <w:r>
        <w:rPr>
          <w:rStyle w:val="FootnoteAnchor"/>
          <w:rtl w:val="true"/>
        </w:rPr>
        <w:footnoteReference w:id="2617"/>
      </w:r>
      <w:r>
        <w:rPr>
          <w:rFonts w:ascii="IRNazanin" w:hAnsi="IRNazanin" w:eastAsia="IRNazanin"/>
          <w:color w:val="111111"/>
          <w:sz w:val="28"/>
          <w:sz w:val="28"/>
          <w:szCs w:val="28"/>
          <w:rtl w:val="true"/>
          <w:lang w:bidi="fa-IR"/>
        </w:rPr>
        <w:t>، و ما رواه الکلینی</w:t>
      </w:r>
    </w:p>
    <w:p>
      <w:pPr>
        <w:pStyle w:val="BookText"/>
        <w:rPr/>
      </w:pPr>
      <w:r>
        <w:rPr>
          <w:rFonts w:ascii="IRNazanin" w:hAnsi="IRNazanin" w:eastAsia="IRNazanin"/>
          <w:color w:val="111111"/>
          <w:sz w:val="28"/>
          <w:sz w:val="28"/>
          <w:szCs w:val="28"/>
          <w:rtl w:val="true"/>
          <w:lang w:bidi="fa-IR"/>
        </w:rPr>
        <w:t xml:space="preserve">مستندة إلی أبی الحسن علیه السلام </w:t>
      </w:r>
      <w:r>
        <w:rPr>
          <w:rStyle w:val="FootnoteAnchor"/>
          <w:rtl w:val="true"/>
        </w:rPr>
        <w:footnoteReference w:id="2618"/>
      </w:r>
      <w:r>
        <w:rPr>
          <w:rFonts w:ascii="IRNazanin" w:hAnsi="IRNazanin" w:eastAsia="IRNazanin"/>
          <w:color w:val="111111"/>
          <w:sz w:val="28"/>
          <w:sz w:val="28"/>
          <w:szCs w:val="28"/>
          <w:rtl w:val="true"/>
          <w:lang w:bidi="fa-IR"/>
        </w:rPr>
        <w:t>، و یکفی فی التقیید اشتمال إحدی الروایتین علیه و اکتفاء الأُخری بوقوعه مأخوذاً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بعدُ، منع التلازم المذکور المقتضی لضعف دلالة المفهوم، فلا یقوی علی تقیید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وجوب تکفینه و دفنه موثّقة سماعة </w:t>
      </w:r>
      <w:r>
        <w:rPr>
          <w:rStyle w:val="FootnoteAnchor"/>
          <w:rtl w:val="true"/>
        </w:rPr>
        <w:footnoteReference w:id="2619"/>
      </w:r>
      <w:r>
        <w:rPr>
          <w:rFonts w:ascii="IRNazanin" w:hAnsi="IRNazanin" w:eastAsia="IRNazanin"/>
          <w:color w:val="111111"/>
          <w:sz w:val="28"/>
          <w:sz w:val="28"/>
          <w:szCs w:val="28"/>
          <w:rtl w:val="true"/>
          <w:lang w:bidi="fa-IR"/>
        </w:rPr>
        <w:t xml:space="preserve">المنجبرة بقبول الأصحاب لها کما عن المعتبر </w:t>
      </w:r>
      <w:r>
        <w:rPr>
          <w:rStyle w:val="FootnoteAnchor"/>
          <w:rtl w:val="true"/>
        </w:rPr>
        <w:footnoteReference w:id="2620"/>
      </w:r>
      <w:r>
        <w:rPr>
          <w:rFonts w:ascii="IRNazanin" w:hAnsi="IRNazanin" w:eastAsia="IRNazanin"/>
          <w:color w:val="111111"/>
          <w:sz w:val="28"/>
          <w:sz w:val="28"/>
          <w:szCs w:val="28"/>
          <w:rtl w:val="true"/>
          <w:lang w:bidi="fa-IR"/>
        </w:rPr>
        <w:t xml:space="preserve">و الروض </w:t>
      </w:r>
      <w:r>
        <w:rPr>
          <w:rStyle w:val="FootnoteAnchor"/>
          <w:rtl w:val="true"/>
        </w:rPr>
        <w:footnoteReference w:id="2621"/>
      </w:r>
      <w:r>
        <w:rPr>
          <w:rFonts w:ascii="IRNazanin" w:hAnsi="IRNazanin" w:eastAsia="IRNazanin"/>
          <w:color w:val="111111"/>
          <w:sz w:val="28"/>
          <w:sz w:val="28"/>
          <w:szCs w:val="28"/>
          <w:rtl w:val="true"/>
          <w:lang w:bidi="fa-IR"/>
        </w:rPr>
        <w:t xml:space="preserve">و إن عبّر بعضهم باللفّ فی خرقة کالمحقّق فی الشرائع </w:t>
      </w:r>
      <w:r>
        <w:rPr>
          <w:rStyle w:val="FootnoteAnchor"/>
          <w:rtl w:val="true"/>
        </w:rPr>
        <w:footnoteReference w:id="2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حمل التکفین فی النصّ و الفتوی علیه، و هو ضعیف، و منه یظهر وجوب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التحنیط، ففیه إشکال، و إن حکی عن جماعة </w:t>
      </w:r>
      <w:r>
        <w:rPr>
          <w:rStyle w:val="FootnoteAnchor"/>
          <w:rtl w:val="true"/>
        </w:rPr>
        <w:footnoteReference w:id="2623"/>
      </w:r>
      <w:r>
        <w:rPr>
          <w:rFonts w:ascii="IRNazanin" w:hAnsi="IRNazanin" w:eastAsia="IRNazanin"/>
          <w:color w:val="111111"/>
          <w:sz w:val="28"/>
          <w:sz w:val="28"/>
          <w:szCs w:val="28"/>
          <w:rtl w:val="true"/>
          <w:lang w:bidi="fa-IR"/>
        </w:rPr>
        <w:t>إیجابه کالمصنّف؛ لعدم الدلیل علیه إلّا أن یثبت حلول الحیاة فیه بحیث یصدق علیه المیّت، فیدخل فی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لا یترک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یلحق بالقطعة ذات العظم العظم المجرّد؟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العدم؛ لعدم الدلیل، وفاقاً للمحکیّ عن ظاهر جماعة </w:t>
      </w:r>
      <w:r>
        <w:rPr>
          <w:rStyle w:val="FootnoteAnchor"/>
          <w:rtl w:val="true"/>
        </w:rPr>
        <w:footnoteReference w:id="2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w:t>
      </w:r>
      <w:bookmarkStart w:id="375" w:name="pg13042_127308"/>
    </w:p>
    <w:p>
      <w:pPr>
        <w:pStyle w:val="BookText"/>
        <w:rPr/>
      </w:pPr>
      <w:bookmarkEnd w:id="375"/>
      <w:r>
        <w:rPr>
          <w:rFonts w:ascii="Amiri" w:hAnsi="Amiri" w:eastAsia="Amiri" w:cs="Amiri"/>
          <w:color w:val="111111"/>
          <w:sz w:val="28"/>
          <w:sz w:val="28"/>
          <w:szCs w:val="28"/>
          <w:rtl w:val="true"/>
          <w:lang w:bidi="ar-SA"/>
        </w:rPr>
        <w:t xml:space="preserve">أنّ علّة الغسل التنظیف </w:t>
      </w:r>
      <w:r>
        <w:rPr>
          <w:rStyle w:val="FootnoteAnchor"/>
          <w:rtl w:val="true"/>
        </w:rPr>
        <w:footnoteReference w:id="2625"/>
      </w:r>
      <w:r>
        <w:rPr>
          <w:rFonts w:ascii="IRNazanin" w:hAnsi="IRNazanin" w:eastAsia="IRNazanin"/>
          <w:color w:val="111111"/>
          <w:sz w:val="28"/>
          <w:sz w:val="28"/>
          <w:szCs w:val="28"/>
          <w:rtl w:val="true"/>
          <w:lang w:bidi="fa-IR"/>
        </w:rPr>
        <w:t>إذ لا ریب أنّ تنظیف العظم المجرّد یحصل بغسله لا بتغسیله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الإسکافی </w:t>
      </w:r>
      <w:r>
        <w:rPr>
          <w:rStyle w:val="FootnoteAnchor"/>
          <w:rtl w:val="true"/>
        </w:rPr>
        <w:footnoteReference w:id="2626"/>
      </w:r>
      <w:r>
        <w:rPr>
          <w:rFonts w:ascii="IRNazanin" w:hAnsi="IRNazanin" w:eastAsia="IRNazanin"/>
          <w:color w:val="111111"/>
          <w:sz w:val="28"/>
          <w:sz w:val="28"/>
          <w:szCs w:val="28"/>
          <w:rtl w:val="true"/>
          <w:lang w:bidi="fa-IR"/>
        </w:rPr>
        <w:t xml:space="preserve">و الشهید </w:t>
      </w:r>
      <w:r>
        <w:rPr>
          <w:rStyle w:val="FootnoteAnchor"/>
          <w:rtl w:val="true"/>
        </w:rPr>
        <w:footnoteReference w:id="2627"/>
      </w:r>
      <w:r>
        <w:rPr>
          <w:rFonts w:ascii="IRNazanin" w:hAnsi="IRNazanin" w:eastAsia="IRNazanin"/>
          <w:color w:val="111111"/>
          <w:sz w:val="28"/>
          <w:sz w:val="28"/>
          <w:szCs w:val="28"/>
          <w:rtl w:val="true"/>
          <w:lang w:bidi="fa-IR"/>
        </w:rPr>
        <w:t xml:space="preserve">و المحقّق الثانی فی حاشیة الشرائع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الاستدلال لهم بالقاعدة المتقدّمة، بعد ما ثبت بروایتی علیّ بن جعفر </w:t>
      </w:r>
      <w:r>
        <w:rPr>
          <w:rStyle w:val="FootnoteAnchor"/>
          <w:rtl w:val="true"/>
        </w:rPr>
        <w:footnoteReference w:id="2629"/>
      </w:r>
      <w:r>
        <w:rPr>
          <w:rFonts w:ascii="IRNazanin" w:hAnsi="IRNazanin" w:eastAsia="IRNazanin"/>
          <w:color w:val="111111"/>
          <w:sz w:val="28"/>
          <w:sz w:val="28"/>
          <w:szCs w:val="28"/>
          <w:rtl w:val="true"/>
          <w:lang w:bidi="fa-IR"/>
        </w:rPr>
        <w:t xml:space="preserve">و القلانسی </w:t>
      </w:r>
      <w:r>
        <w:rPr>
          <w:rStyle w:val="FootnoteAnchor"/>
          <w:rtl w:val="true"/>
        </w:rPr>
        <w:footnoteReference w:id="2630"/>
      </w:r>
      <w:r>
        <w:rPr>
          <w:rFonts w:ascii="IRNazanin" w:hAnsi="IRNazanin" w:eastAsia="IRNazanin"/>
          <w:color w:val="111111"/>
          <w:sz w:val="28"/>
          <w:sz w:val="28"/>
          <w:szCs w:val="28"/>
          <w:rtl w:val="true"/>
          <w:lang w:bidi="fa-IR"/>
        </w:rPr>
        <w:t>وجوب إجراء أحکام المیّت علی من أکله السبع أو الطیر فتبقی عظامه بلا لحم؛ لأنّ وجوب تغسیل العظام المجرّدة مع الإمکان یستلزم وجوب تغسیل بعضها مع تعذّر تغسیل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الروایتین محمولتان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حضور شی‌ء من اللحم فی العظام و إن صرّح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تبقی العظام من غیر لحم إلّا أنّه مبالغة تنزیلًا للیسیر منزلة المعدوم، مع أنّ القاعدة غیر منجبرة فی المقام</w:t>
      </w:r>
      <w:r>
        <w:rPr>
          <w:rFonts w:eastAsia="IRNazanin" w:cs="IRNazanin"/>
          <w:color w:val="111111"/>
          <w:sz w:val="28"/>
          <w:szCs w:val="28"/>
          <w:rtl w:val="true"/>
          <w:lang w:bidi="fa-IR"/>
        </w:rPr>
        <w:t>.</w:t>
      </w:r>
    </w:p>
    <w:p>
      <w:pPr>
        <w:pStyle w:val="Heading6"/>
        <w:numPr>
          <w:ilvl w:val="5"/>
          <w:numId w:val="1"/>
        </w:numPr>
        <w:rPr/>
      </w:pPr>
      <w:bookmarkStart w:id="376" w:name="__RefHeading___Toc6530344_3224264995"/>
      <w:bookmarkStart w:id="377" w:name="_Toc144"/>
      <w:bookmarkEnd w:id="376"/>
      <w:r>
        <w:rPr>
          <w:rtl w:val="true"/>
        </w:rPr>
        <w:t>[</w:t>
      </w:r>
      <w:r>
        <w:rPr>
          <w:rtl w:val="true"/>
        </w:rPr>
        <w:t>و القطعة الخالیة عن العظم تلفّ فی خرقة و تدفن</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العظم سواء أُبینت من حیّ أو کانت من میّت فإنّها لا تغسل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فی خرقة و تدفن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عدم وجوب التغسیل فقد حکی علیه الإجماع عن الخلاف </w:t>
      </w:r>
      <w:r>
        <w:rPr>
          <w:rStyle w:val="FootnoteAnchor"/>
          <w:rtl w:val="true"/>
        </w:rPr>
        <w:footnoteReference w:id="2631"/>
      </w:r>
      <w:bookmarkStart w:id="378" w:name="pg13042_127309"/>
    </w:p>
    <w:p>
      <w:pPr>
        <w:pStyle w:val="BookText"/>
        <w:rPr/>
      </w:pPr>
      <w:bookmarkEnd w:id="378"/>
      <w:r>
        <w:rPr>
          <w:rFonts w:ascii="IRNazanin" w:hAnsi="IRNazanin" w:eastAsia="IRNazanin"/>
          <w:color w:val="111111"/>
          <w:sz w:val="28"/>
          <w:sz w:val="28"/>
          <w:szCs w:val="28"/>
          <w:rtl w:val="true"/>
          <w:lang w:bidi="fa-IR"/>
        </w:rPr>
        <w:t xml:space="preserve">و الغنیة </w:t>
      </w:r>
      <w:r>
        <w:rPr>
          <w:rStyle w:val="FootnoteAnchor"/>
          <w:rtl w:val="true"/>
        </w:rPr>
        <w:footnoteReference w:id="2632"/>
      </w:r>
      <w:r>
        <w:rPr>
          <w:rFonts w:ascii="IRNazanin" w:hAnsi="IRNazanin" w:eastAsia="IRNazanin"/>
          <w:color w:val="111111"/>
          <w:sz w:val="28"/>
          <w:sz w:val="28"/>
          <w:szCs w:val="28"/>
          <w:rtl w:val="true"/>
          <w:lang w:bidi="fa-IR"/>
        </w:rPr>
        <w:t>، و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علیه و علی عدم التکفین المعهود و الصلاة </w:t>
      </w:r>
      <w:r>
        <w:rPr>
          <w:rStyle w:val="FootnoteAnchor"/>
          <w:rtl w:val="true"/>
        </w:rPr>
        <w:footnoteReference w:id="2633"/>
      </w:r>
      <w:r>
        <w:rPr>
          <w:rFonts w:ascii="IRNazanin" w:hAnsi="IRNazanin" w:eastAsia="IRNazanin"/>
          <w:color w:val="111111"/>
          <w:sz w:val="28"/>
          <w:sz w:val="28"/>
          <w:szCs w:val="28"/>
          <w:rtl w:val="true"/>
          <w:lang w:bidi="fa-IR"/>
        </w:rPr>
        <w:t xml:space="preserve">، و یدلّ علیه مضافاً إلی أصالة البراءة و أصالة عدم الصحّة و ترتّب الآثار؛ لفقد الجابر هنا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سقوط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الغسل بمسّه فی مرسلة أیّوب بن نوح </w:t>
      </w:r>
      <w:r>
        <w:rPr>
          <w:rStyle w:val="FootnoteAnchor"/>
          <w:rtl w:val="true"/>
        </w:rPr>
        <w:footnoteReference w:id="263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اللفّ فی خرقة فظاهر المصنّف کالمحقّق فی النافع </w:t>
      </w:r>
      <w:r>
        <w:rPr>
          <w:rStyle w:val="FootnoteAnchor"/>
          <w:rtl w:val="true"/>
        </w:rPr>
        <w:footnoteReference w:id="2635"/>
      </w:r>
      <w:r>
        <w:rPr>
          <w:rFonts w:ascii="IRNazanin" w:hAnsi="IRNazanin" w:eastAsia="IRNazanin"/>
          <w:color w:val="111111"/>
          <w:sz w:val="28"/>
          <w:sz w:val="28"/>
          <w:szCs w:val="28"/>
          <w:rtl w:val="true"/>
          <w:lang w:bidi="fa-IR"/>
        </w:rPr>
        <w:t>، و لا دلیل علیه عدا ما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مراعاة القاعدة المتقدّمة، خرج وجوب التکفین بالقطع الثلاث فی قطعة واحدة و بقی الباقی </w:t>
      </w:r>
      <w:r>
        <w:rPr>
          <w:rStyle w:val="FootnoteAnchor"/>
          <w:rtl w:val="true"/>
        </w:rPr>
        <w:footnoteReference w:id="2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حسن و </w:t>
      </w:r>
      <w:r>
        <w:rPr>
          <w:rStyle w:val="FootnoteAnchor"/>
          <w:rtl w:val="true"/>
        </w:rPr>
        <w:footnoteReference w:id="2637"/>
      </w:r>
      <w:r>
        <w:rPr>
          <w:rFonts w:ascii="IRNazanin" w:hAnsi="IRNazanin" w:eastAsia="IRNazanin"/>
          <w:color w:val="111111"/>
          <w:sz w:val="28"/>
          <w:sz w:val="28"/>
          <w:szCs w:val="28"/>
          <w:rtl w:val="true"/>
          <w:lang w:bidi="fa-IR"/>
        </w:rPr>
        <w:t>لو وجد الجابر فی المقام للقاعدة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 فی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التکفین فی قطعة واحدة بحیث یراعی فی ذلک جمیع شروط الکفن، أمّا لو کان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 بخرقة من غیر تقیید بشرائط الکفن، فلا وجه لإجراء تلک القاعدة</w:t>
      </w:r>
      <w:r>
        <w:rPr>
          <w:rFonts w:eastAsia="IRNazanin" w:cs="IRNazanin"/>
          <w:color w:val="111111"/>
          <w:sz w:val="28"/>
          <w:szCs w:val="28"/>
          <w:rtl w:val="true"/>
          <w:lang w:bidi="fa-IR"/>
        </w:rPr>
        <w:t>.</w:t>
      </w:r>
    </w:p>
    <w:p>
      <w:pPr>
        <w:pStyle w:val="Heading6"/>
        <w:numPr>
          <w:ilvl w:val="5"/>
          <w:numId w:val="1"/>
        </w:numPr>
        <w:rPr/>
      </w:pPr>
      <w:bookmarkStart w:id="379" w:name="__RefHeading___Toc6530346_3224264995"/>
      <w:bookmarkStart w:id="380" w:name="_Toc145"/>
      <w:bookmarkEnd w:id="379"/>
      <w:r>
        <w:rPr>
          <w:rtl w:val="true"/>
        </w:rPr>
        <w:t>[</w:t>
      </w:r>
      <w:r>
        <w:rPr>
          <w:rtl w:val="true"/>
        </w:rPr>
        <w:t>و کذا السقط لأقلّ من أربعة</w:t>
      </w:r>
      <w:r>
        <w:rPr>
          <w:rtl w:val="true"/>
        </w:rPr>
        <w:t>]</w:t>
      </w:r>
      <w:bookmarkEnd w:id="38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السقط لأقلّ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لا یجب غسله إجماعاً ظاهراً کما عن الغنیة </w:t>
      </w:r>
      <w:r>
        <w:rPr>
          <w:rStyle w:val="FootnoteAnchor"/>
          <w:rtl w:val="true"/>
        </w:rPr>
        <w:footnoteReference w:id="2638"/>
      </w:r>
      <w:r>
        <w:rPr>
          <w:rFonts w:ascii="IRNazanin" w:hAnsi="IRNazanin" w:eastAsia="IRNazanin"/>
          <w:color w:val="111111"/>
          <w:sz w:val="28"/>
          <w:sz w:val="28"/>
          <w:szCs w:val="28"/>
          <w:rtl w:val="true"/>
          <w:lang w:bidi="fa-IR"/>
        </w:rPr>
        <w:t xml:space="preserve">و الخلاف </w:t>
      </w:r>
      <w:r>
        <w:rPr>
          <w:rStyle w:val="FootnoteAnchor"/>
          <w:rtl w:val="true"/>
        </w:rPr>
        <w:footnoteReference w:id="2639"/>
      </w:r>
      <w:r>
        <w:rPr>
          <w:rFonts w:ascii="IRNazanin" w:hAnsi="IRNazanin" w:eastAsia="IRNazanin"/>
          <w:color w:val="111111"/>
          <w:sz w:val="28"/>
          <w:sz w:val="28"/>
          <w:szCs w:val="28"/>
          <w:rtl w:val="true"/>
          <w:lang w:bidi="fa-IR"/>
        </w:rPr>
        <w:t xml:space="preserve">، و نسبه فی محکیّ المعتبر </w:t>
      </w:r>
      <w:r>
        <w:rPr>
          <w:rStyle w:val="FootnoteAnchor"/>
          <w:rtl w:val="true"/>
        </w:rPr>
        <w:footnoteReference w:id="2640"/>
      </w:r>
      <w:r>
        <w:rPr>
          <w:rFonts w:ascii="IRNazanin" w:hAnsi="IRNazanin" w:eastAsia="IRNazanin"/>
          <w:color w:val="111111"/>
          <w:sz w:val="28"/>
          <w:sz w:val="28"/>
          <w:szCs w:val="28"/>
          <w:rtl w:val="true"/>
          <w:lang w:bidi="fa-IR"/>
        </w:rPr>
        <w:t xml:space="preserve">و التذکرة </w:t>
      </w:r>
      <w:r>
        <w:rPr>
          <w:rStyle w:val="FootnoteAnchor"/>
          <w:rtl w:val="true"/>
        </w:rPr>
        <w:footnoteReference w:id="2641"/>
      </w:r>
    </w:p>
    <w:p>
      <w:pPr>
        <w:pStyle w:val="BookText"/>
        <w:rPr/>
      </w:pPr>
      <w:r>
        <w:rPr>
          <w:rFonts w:ascii="IRNazanin" w:hAnsi="IRNazanin" w:eastAsia="IRNazanin"/>
          <w:color w:val="111111"/>
          <w:sz w:val="28"/>
          <w:sz w:val="28"/>
          <w:szCs w:val="28"/>
          <w:rtl w:val="true"/>
          <w:lang w:bidi="fa-IR"/>
        </w:rPr>
        <w:t xml:space="preserve">إلی جمیع العلماء؛ لعموم روایة زرارة </w:t>
      </w:r>
      <w:r>
        <w:rPr>
          <w:rStyle w:val="FootnoteAnchor"/>
          <w:rtl w:val="true"/>
        </w:rPr>
        <w:footnoteReference w:id="2642"/>
      </w:r>
      <w:r>
        <w:rPr>
          <w:rFonts w:ascii="Amiri" w:hAnsi="Amiri" w:eastAsia="Amiri" w:cs="Amiri"/>
          <w:color w:val="111111"/>
          <w:sz w:val="28"/>
          <w:sz w:val="28"/>
          <w:szCs w:val="28"/>
          <w:rtl w:val="true"/>
          <w:lang w:bidi="ar-SA"/>
        </w:rPr>
        <w:t xml:space="preserve">و مرفوعة أحمد بن محمّد المتقدّمة </w:t>
      </w:r>
      <w:r>
        <w:rPr>
          <w:rStyle w:val="FootnoteAnchor"/>
          <w:rtl w:val="true"/>
        </w:rPr>
        <w:footnoteReference w:id="2643"/>
      </w:r>
      <w:r>
        <w:rPr>
          <w:rFonts w:ascii="IRNazanin" w:hAnsi="IRNazanin" w:eastAsia="IRNazanin"/>
          <w:color w:val="111111"/>
          <w:sz w:val="28"/>
          <w:sz w:val="28"/>
          <w:szCs w:val="28"/>
          <w:rtl w:val="true"/>
          <w:lang w:bidi="fa-IR"/>
        </w:rPr>
        <w:t xml:space="preserve">، بل روایة سماعة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مکاتبة محمّد بن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یدفن بدمه فی موضعه</w:t>
      </w:r>
      <w:r>
        <w:rPr>
          <w:rFonts w:eastAsia="IRNazanin" w:cs="IRNazanin"/>
          <w:color w:val="111111"/>
          <w:sz w:val="28"/>
          <w:szCs w:val="28"/>
          <w:rtl w:val="true"/>
          <w:lang w:bidi="fa-IR"/>
        </w:rPr>
        <w:t xml:space="preserve">» </w:t>
      </w:r>
      <w:r>
        <w:rPr>
          <w:rStyle w:val="FootnoteAnchor"/>
          <w:rtl w:val="true"/>
        </w:rPr>
        <w:footnoteReference w:id="2645"/>
      </w:r>
      <w:r>
        <w:rPr>
          <w:rFonts w:ascii="IRNazanin" w:hAnsi="IRNazanin" w:eastAsia="IRNazanin"/>
          <w:color w:val="111111"/>
          <w:sz w:val="28"/>
          <w:sz w:val="28"/>
          <w:szCs w:val="28"/>
          <w:rtl w:val="true"/>
          <w:lang w:bidi="fa-IR"/>
        </w:rPr>
        <w:t xml:space="preserve">، و یظهر من هذه المکاتبة وجوب الدفن، کما هو المعروف من غیر خلاف ظاهراً کما استظهره فی مجمع الفائدة </w:t>
      </w:r>
      <w:r>
        <w:rPr>
          <w:rStyle w:val="FootnoteAnchor"/>
          <w:rtl w:val="true"/>
        </w:rPr>
        <w:footnoteReference w:id="2646"/>
      </w:r>
      <w:r>
        <w:rPr>
          <w:rFonts w:ascii="IRNazanin" w:hAnsi="IRNazanin" w:eastAsia="IRNazanin"/>
          <w:color w:val="111111"/>
          <w:sz w:val="28"/>
          <w:sz w:val="28"/>
          <w:szCs w:val="28"/>
          <w:rtl w:val="true"/>
          <w:lang w:bidi="fa-IR"/>
        </w:rPr>
        <w:t xml:space="preserve">، و هو ظاهر معقد إجماعی المعتبر </w:t>
      </w:r>
      <w:r>
        <w:rPr>
          <w:rStyle w:val="FootnoteAnchor"/>
          <w:rtl w:val="true"/>
        </w:rPr>
        <w:footnoteReference w:id="2647"/>
      </w:r>
      <w:r>
        <w:rPr>
          <w:rFonts w:ascii="IRNazanin" w:hAnsi="IRNazanin" w:eastAsia="IRNazanin"/>
          <w:color w:val="111111"/>
          <w:sz w:val="28"/>
          <w:sz w:val="28"/>
          <w:szCs w:val="28"/>
          <w:rtl w:val="true"/>
          <w:lang w:bidi="fa-IR"/>
        </w:rPr>
        <w:t xml:space="preserve">و التذکرة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المحکیّ عن المعتبر الاستدلال علی عدم 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المعنی الموجب للغسل و هو الموت مفقود هنا </w:t>
      </w:r>
      <w:r>
        <w:rPr>
          <w:rStyle w:val="FootnoteAnchor"/>
          <w:rtl w:val="true"/>
        </w:rPr>
        <w:footnoteReference w:id="2649"/>
      </w:r>
      <w:r>
        <w:rPr>
          <w:rFonts w:ascii="IRNazanin" w:hAnsi="IRNazanin" w:eastAsia="IRNazanin"/>
          <w:color w:val="111111"/>
          <w:sz w:val="28"/>
          <w:sz w:val="28"/>
          <w:szCs w:val="28"/>
          <w:rtl w:val="true"/>
          <w:lang w:bidi="fa-IR"/>
        </w:rPr>
        <w:t xml:space="preserve">، و کأنّه مبنیّ علی ما یظهر من النبویّ المحکیّ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أربعة أشهر ینفخ فیه الروح</w:t>
      </w:r>
      <w:r>
        <w:rPr>
          <w:rFonts w:eastAsia="IRNazanin" w:cs="IRNazanin"/>
          <w:color w:val="111111"/>
          <w:sz w:val="28"/>
          <w:szCs w:val="28"/>
          <w:rtl w:val="true"/>
          <w:lang w:bidi="fa-IR"/>
        </w:rPr>
        <w:t xml:space="preserve">» </w:t>
      </w:r>
      <w:r>
        <w:rPr>
          <w:rStyle w:val="FootnoteAnchor"/>
          <w:rtl w:val="true"/>
        </w:rPr>
        <w:footnoteReference w:id="2650"/>
      </w:r>
      <w:r>
        <w:rPr>
          <w:rFonts w:ascii="IRNazanin" w:hAnsi="IRNazanin" w:eastAsia="IRNazanin"/>
          <w:color w:val="111111"/>
          <w:sz w:val="28"/>
          <w:sz w:val="28"/>
          <w:szCs w:val="28"/>
          <w:rtl w:val="true"/>
          <w:lang w:bidi="fa-IR"/>
        </w:rPr>
        <w:t xml:space="preserve">و یشیر إلیه بعض الروایات فی دیة الجنین </w:t>
      </w:r>
      <w:r>
        <w:rPr>
          <w:rStyle w:val="FootnoteAnchor"/>
          <w:rtl w:val="true"/>
        </w:rPr>
        <w:footnoteReference w:id="2651"/>
      </w:r>
      <w:r>
        <w:rPr>
          <w:rFonts w:ascii="IRNazanin" w:hAnsi="IRNazanin" w:eastAsia="IRNazanin"/>
          <w:color w:val="111111"/>
          <w:sz w:val="28"/>
          <w:sz w:val="28"/>
          <w:szCs w:val="28"/>
          <w:rtl w:val="true"/>
          <w:lang w:bidi="fa-IR"/>
        </w:rPr>
        <w:t>، إلّا أنّ المحکی عن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 الروح</w:t>
      </w:r>
      <w:bookmarkStart w:id="381" w:name="pg13042_127311"/>
    </w:p>
    <w:p>
      <w:pPr>
        <w:pStyle w:val="BookText"/>
        <w:rPr/>
      </w:pPr>
      <w:bookmarkEnd w:id="381"/>
      <w:r>
        <w:rPr>
          <w:rFonts w:ascii="IRNazanin" w:hAnsi="IRNazanin" w:eastAsia="IRNazanin"/>
          <w:color w:val="111111"/>
          <w:sz w:val="28"/>
          <w:sz w:val="28"/>
          <w:szCs w:val="28"/>
          <w:rtl w:val="true"/>
          <w:lang w:bidi="fa-IR"/>
        </w:rPr>
        <w:t xml:space="preserve">قبل ذلک، حتّی أنّه حکی عنهم إمکانه لتمام شهرین </w:t>
      </w:r>
      <w:r>
        <w:rPr>
          <w:rStyle w:val="FootnoteAnchor"/>
          <w:rtl w:val="true"/>
        </w:rPr>
        <w:footnoteReference w:id="2652"/>
      </w:r>
      <w:r>
        <w:rPr>
          <w:rFonts w:ascii="IRNazanin" w:hAnsi="IRNazanin" w:eastAsia="IRNazanin"/>
          <w:color w:val="111111"/>
          <w:sz w:val="28"/>
          <w:sz w:val="28"/>
          <w:szCs w:val="28"/>
          <w:rtl w:val="true"/>
          <w:lang w:bidi="fa-IR"/>
        </w:rPr>
        <w:t>، فإنّ المحکیّ عن کتاب الکفایة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الطبیعیین علی أنّ مدّة تمام خلقة الجنین بنصف مدّة حرکته، و مدّة حرکته ثلث مدّة ولادته، فإذا کان مدّة ولادته ستّة أشهر کان حرکته فی شهرین </w:t>
      </w:r>
      <w:r>
        <w:rPr>
          <w:rStyle w:val="FootnoteAnchor"/>
          <w:rtl w:val="true"/>
        </w:rPr>
        <w:footnoteReference w:id="2653"/>
      </w:r>
      <w:r>
        <w:rPr>
          <w:rFonts w:ascii="IRNazanin" w:hAnsi="IRNazanin" w:eastAsia="IRNazanin"/>
          <w:color w:val="111111"/>
          <w:sz w:val="28"/>
          <w:sz w:val="28"/>
          <w:szCs w:val="28"/>
          <w:rtl w:val="true"/>
          <w:lang w:bidi="fa-IR"/>
        </w:rPr>
        <w:t>، و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النساء یعرفن أنّه إذا أتی علی النطفة ثلاثة أشهر صارت متحرّکة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أنّ مدّة تمام خلقة الجنین أیضاً لا یتوقّف علی الأربعة، بل قد یتحقّق فی شهر، و حیث إنّ العمدة فی الاستدلال هو النصّ فلا یشکل الأمر بما ذکره الأطبّاء</w:t>
      </w:r>
      <w:r>
        <w:rPr>
          <w:rFonts w:eastAsia="IRNazanin" w:cs="IRNazanin"/>
          <w:color w:val="111111"/>
          <w:sz w:val="28"/>
          <w:szCs w:val="28"/>
          <w:rtl w:val="true"/>
          <w:lang w:bidi="fa-IR"/>
        </w:rPr>
        <w:t>.</w:t>
      </w:r>
    </w:p>
    <w:p>
      <w:pPr>
        <w:pStyle w:val="Heading6"/>
        <w:numPr>
          <w:ilvl w:val="5"/>
          <w:numId w:val="1"/>
        </w:numPr>
        <w:rPr/>
      </w:pPr>
      <w:bookmarkStart w:id="382" w:name="__RefHeading___Toc6530348_3224264995"/>
      <w:bookmarkStart w:id="383" w:name="_Toc146"/>
      <w:bookmarkEnd w:id="382"/>
      <w:r>
        <w:rPr>
          <w:rtl w:val="true"/>
        </w:rPr>
        <w:t>[</w:t>
      </w:r>
      <w:r>
        <w:rPr>
          <w:rtl w:val="true"/>
        </w:rPr>
        <w:t>یؤمر من وجب قتله بالاغتسال أوّلًا ثمّ یقتل من دون غسل</w:t>
      </w:r>
      <w:r>
        <w:rPr>
          <w:rtl w:val="true"/>
        </w:rPr>
        <w:t>]</w:t>
      </w:r>
      <w:bookmarkEnd w:id="38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یؤمر من وجب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أو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بالاغتسال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المیّت و التحنیط و التکفین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بذلک السبب علی المشهور،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2655"/>
      </w:r>
      <w:r>
        <w:rPr>
          <w:rFonts w:ascii="IRNazanin" w:hAnsi="IRNazanin" w:eastAsia="IRNazanin"/>
          <w:color w:val="111111"/>
          <w:sz w:val="28"/>
          <w:sz w:val="28"/>
          <w:szCs w:val="28"/>
          <w:rtl w:val="true"/>
          <w:lang w:bidi="fa-IR"/>
        </w:rPr>
        <w:t xml:space="preserve">، و عن المعتبر </w:t>
      </w:r>
      <w:r>
        <w:rPr>
          <w:rStyle w:val="FootnoteAnchor"/>
          <w:rtl w:val="true"/>
        </w:rPr>
        <w:footnoteReference w:id="2656"/>
      </w:r>
      <w:r>
        <w:rPr>
          <w:rFonts w:ascii="IRNazanin" w:hAnsi="IRNazanin" w:eastAsia="IRNazanin"/>
          <w:color w:val="111111"/>
          <w:sz w:val="28"/>
          <w:sz w:val="28"/>
          <w:szCs w:val="28"/>
          <w:rtl w:val="true"/>
          <w:lang w:bidi="fa-IR"/>
        </w:rPr>
        <w:t xml:space="preserve">و الذکری </w:t>
      </w:r>
      <w:r>
        <w:rPr>
          <w:rStyle w:val="FootnoteAnchor"/>
          <w:rtl w:val="true"/>
        </w:rPr>
        <w:footnoteReference w:id="2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لأصحابنا فیه مخالفاً، و عن 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إجماعی </w:t>
      </w:r>
      <w:r>
        <w:rPr>
          <w:rStyle w:val="FootnoteAnchor"/>
          <w:rtl w:val="true"/>
        </w:rPr>
        <w:footnoteReference w:id="2658"/>
      </w:r>
      <w:r>
        <w:rPr>
          <w:rFonts w:ascii="IRNazanin" w:hAnsi="IRNazanin" w:eastAsia="IRNazanin"/>
          <w:color w:val="111111"/>
          <w:sz w:val="28"/>
          <w:sz w:val="28"/>
          <w:szCs w:val="28"/>
          <w:rtl w:val="true"/>
          <w:lang w:bidi="fa-IR"/>
        </w:rPr>
        <w:t>، و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الأصحاب علیه قدیماً و حدیثاً </w:t>
      </w:r>
      <w:r>
        <w:rPr>
          <w:rStyle w:val="FootnoteAnchor"/>
          <w:rtl w:val="true"/>
        </w:rPr>
        <w:footnoteReference w:id="2659"/>
      </w:r>
      <w:r>
        <w:rPr>
          <w:rFonts w:ascii="IRNazanin" w:hAnsi="IRNazanin" w:eastAsia="IRNazanin"/>
          <w:color w:val="111111"/>
          <w:sz w:val="28"/>
          <w:sz w:val="28"/>
          <w:szCs w:val="28"/>
          <w:rtl w:val="true"/>
          <w:lang w:bidi="fa-IR"/>
        </w:rPr>
        <w:t>، و قریب</w:t>
      </w:r>
    </w:p>
    <w:p>
      <w:pPr>
        <w:pStyle w:val="BookText"/>
        <w:rPr/>
      </w:pPr>
      <w:r>
        <w:rPr>
          <w:rFonts w:ascii="IRNazanin" w:hAnsi="IRNazanin" w:eastAsia="IRNazanin"/>
          <w:color w:val="111111"/>
          <w:sz w:val="28"/>
          <w:sz w:val="28"/>
          <w:szCs w:val="28"/>
          <w:rtl w:val="true"/>
          <w:lang w:bidi="fa-IR"/>
        </w:rPr>
        <w:t xml:space="preserve">منه ما عن الذخیرة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مسمع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المرجوم و المرجومة یغتسلان و یحنّطان و یلبسان الکفن قبل ذلک ثمّ یرجمان و یصلّی علیهما، و المقتصّ منه بمنزلة ذلک یغتسل و یحنّط و یلبس الکفن ثمّ یقاد منه و یصلّی علیه</w:t>
      </w:r>
      <w:r>
        <w:rPr>
          <w:rFonts w:eastAsia="IRNazanin" w:cs="IRNazanin"/>
          <w:color w:val="111111"/>
          <w:sz w:val="28"/>
          <w:szCs w:val="28"/>
          <w:rtl w:val="true"/>
          <w:lang w:bidi="fa-IR"/>
        </w:rPr>
        <w:t xml:space="preserve">» </w:t>
      </w:r>
      <w:r>
        <w:rPr>
          <w:rStyle w:val="FootnoteAnchor"/>
          <w:rtl w:val="true"/>
        </w:rPr>
        <w:footnoteReference w:id="2661"/>
      </w:r>
      <w:r>
        <w:rPr>
          <w:rFonts w:ascii="IRNazanin" w:hAnsi="IRNazanin" w:eastAsia="IRNazanin"/>
          <w:color w:val="111111"/>
          <w:sz w:val="28"/>
          <w:sz w:val="28"/>
          <w:szCs w:val="28"/>
          <w:rtl w:val="true"/>
          <w:lang w:bidi="fa-IR"/>
        </w:rPr>
        <w:t xml:space="preserve">و نحوه ما أرسله الصدوق عن أمیر المؤمنین علیه السلام </w:t>
      </w:r>
      <w:r>
        <w:rPr>
          <w:rStyle w:val="FootnoteAnchor"/>
          <w:rtl w:val="true"/>
        </w:rPr>
        <w:footnoteReference w:id="2662"/>
      </w:r>
      <w:r>
        <w:rPr>
          <w:rFonts w:ascii="IRNazanin" w:hAnsi="IRNazanin" w:eastAsia="IRNazanin"/>
          <w:color w:val="111111"/>
          <w:sz w:val="28"/>
          <w:sz w:val="28"/>
          <w:szCs w:val="28"/>
          <w:rtl w:val="true"/>
          <w:lang w:bidi="fa-IR"/>
        </w:rPr>
        <w:t xml:space="preserve">و ما عن الفقه الرضوی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الروایة کون ذلک فی حقّهما علی وجه العزیمة وفاقاً لظاهر الأکثر و صریح المصنّف هنا و المحکیّ عن الشیخ </w:t>
      </w:r>
      <w:r>
        <w:rPr>
          <w:rStyle w:val="FootnoteAnchor"/>
          <w:rtl w:val="true"/>
        </w:rPr>
        <w:footnoteReference w:id="2664"/>
      </w:r>
      <w:r>
        <w:rPr>
          <w:rFonts w:ascii="Amiri" w:hAnsi="Amiri" w:eastAsia="Amiri" w:cs="Amiri"/>
          <w:color w:val="111111"/>
          <w:sz w:val="28"/>
          <w:sz w:val="28"/>
          <w:szCs w:val="28"/>
          <w:rtl w:val="true"/>
          <w:lang w:bidi="ar-SA"/>
        </w:rPr>
        <w:t xml:space="preserve">و سلّار </w:t>
      </w:r>
      <w:r>
        <w:rPr>
          <w:rStyle w:val="FootnoteAnchor"/>
          <w:rtl w:val="true"/>
        </w:rPr>
        <w:footnoteReference w:id="2665"/>
      </w:r>
      <w:r>
        <w:rPr>
          <w:rFonts w:ascii="Amiri" w:hAnsi="Amiri" w:eastAsia="Amiri" w:cs="Amiri"/>
          <w:color w:val="111111"/>
          <w:sz w:val="28"/>
          <w:sz w:val="28"/>
          <w:szCs w:val="28"/>
          <w:rtl w:val="true"/>
          <w:lang w:bidi="ar-SA"/>
        </w:rPr>
        <w:t xml:space="preserve">و الحلیّ </w:t>
      </w:r>
      <w:r>
        <w:rPr>
          <w:rStyle w:val="FootnoteAnchor"/>
          <w:rtl w:val="true"/>
        </w:rPr>
        <w:footnoteReference w:id="2666"/>
      </w:r>
      <w:r>
        <w:rPr>
          <w:rFonts w:ascii="IRNazanin" w:hAnsi="IRNazanin" w:eastAsia="IRNazanin"/>
          <w:color w:val="111111"/>
          <w:sz w:val="28"/>
          <w:sz w:val="28"/>
          <w:szCs w:val="28"/>
          <w:rtl w:val="true"/>
          <w:lang w:bidi="fa-IR"/>
        </w:rPr>
        <w:t>، و عن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کونه للرخصة </w:t>
      </w:r>
      <w:r>
        <w:rPr>
          <w:rStyle w:val="FootnoteAnchor"/>
          <w:rtl w:val="true"/>
        </w:rPr>
        <w:footnoteReference w:id="2667"/>
      </w:r>
      <w:r>
        <w:rPr>
          <w:rFonts w:ascii="IRNazanin" w:hAnsi="IRNazanin" w:eastAsia="IRNazanin"/>
          <w:color w:val="111111"/>
          <w:sz w:val="28"/>
          <w:sz w:val="28"/>
          <w:szCs w:val="28"/>
          <w:rtl w:val="true"/>
          <w:lang w:bidi="fa-IR"/>
        </w:rPr>
        <w:t xml:space="preserve">، و تبعه فی الروض </w:t>
      </w:r>
      <w:r>
        <w:rPr>
          <w:rStyle w:val="FootnoteAnchor"/>
          <w:rtl w:val="true"/>
        </w:rPr>
        <w:footnoteReference w:id="2668"/>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2669"/>
      </w:r>
      <w:r>
        <w:rPr>
          <w:rFonts w:ascii="IRNazanin" w:hAnsi="IRNazanin" w:eastAsia="IRNazanin"/>
          <w:color w:val="111111"/>
          <w:sz w:val="28"/>
          <w:sz w:val="28"/>
          <w:szCs w:val="28"/>
          <w:rtl w:val="true"/>
          <w:lang w:bidi="fa-IR"/>
        </w:rPr>
        <w:t xml:space="preserve">، و قوّاه فی الحدائق </w:t>
      </w:r>
      <w:r>
        <w:rPr>
          <w:rStyle w:val="FootnoteAnchor"/>
          <w:rtl w:val="true"/>
        </w:rPr>
        <w:footnoteReference w:id="2670"/>
      </w:r>
      <w:r>
        <w:rPr>
          <w:rFonts w:ascii="IRNazanin" w:hAnsi="IRNazanin" w:eastAsia="IRNazanin"/>
          <w:color w:val="111111"/>
          <w:sz w:val="28"/>
          <w:sz w:val="28"/>
          <w:szCs w:val="28"/>
          <w:rtl w:val="true"/>
          <w:lang w:bidi="fa-IR"/>
        </w:rPr>
        <w:t>،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المتن عموم الحکم لکلّ من وجب قتله وفاقاً للمحکیّ عن الشرائع </w:t>
      </w:r>
      <w:r>
        <w:rPr>
          <w:rStyle w:val="FootnoteAnchor"/>
          <w:rtl w:val="true"/>
        </w:rPr>
        <w:footnoteReference w:id="2671"/>
      </w:r>
      <w:r>
        <w:rPr>
          <w:rFonts w:ascii="IRNazanin" w:hAnsi="IRNazanin" w:eastAsia="IRNazanin"/>
          <w:color w:val="111111"/>
          <w:sz w:val="28"/>
          <w:sz w:val="28"/>
          <w:szCs w:val="28"/>
          <w:rtl w:val="true"/>
          <w:lang w:bidi="fa-IR"/>
        </w:rPr>
        <w:t xml:space="preserve">و الجامع </w:t>
      </w:r>
      <w:r>
        <w:rPr>
          <w:rStyle w:val="FootnoteAnchor"/>
          <w:rtl w:val="true"/>
        </w:rPr>
        <w:footnoteReference w:id="2672"/>
      </w:r>
      <w:r>
        <w:rPr>
          <w:rFonts w:ascii="IRNazanin" w:hAnsi="IRNazanin" w:eastAsia="IRNazanin"/>
          <w:color w:val="111111"/>
          <w:sz w:val="28"/>
          <w:sz w:val="28"/>
          <w:szCs w:val="28"/>
          <w:rtl w:val="true"/>
          <w:lang w:bidi="fa-IR"/>
        </w:rPr>
        <w:t xml:space="preserve">و الذکری </w:t>
      </w:r>
      <w:r>
        <w:rPr>
          <w:rStyle w:val="FootnoteAnchor"/>
          <w:rtl w:val="true"/>
        </w:rPr>
        <w:footnoteReference w:id="2673"/>
      </w:r>
      <w:r>
        <w:rPr>
          <w:rFonts w:ascii="IRNazanin" w:hAnsi="IRNazanin" w:eastAsia="IRNazanin"/>
          <w:color w:val="111111"/>
          <w:sz w:val="28"/>
          <w:sz w:val="28"/>
          <w:szCs w:val="28"/>
          <w:rtl w:val="true"/>
          <w:lang w:bidi="fa-IR"/>
        </w:rPr>
        <w:t>، و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 الأصحاب </w:t>
      </w:r>
      <w:r>
        <w:rPr>
          <w:rStyle w:val="FootnoteAnchor"/>
          <w:rtl w:val="true"/>
        </w:rPr>
        <w:footnoteReference w:id="2674"/>
      </w:r>
      <w:r>
        <w:rPr>
          <w:rFonts w:ascii="IRNazanin" w:hAnsi="IRNazanin" w:eastAsia="IRNazanin"/>
          <w:color w:val="111111"/>
          <w:sz w:val="28"/>
          <w:sz w:val="28"/>
          <w:szCs w:val="28"/>
          <w:rtl w:val="true"/>
          <w:lang w:bidi="fa-IR"/>
        </w:rPr>
        <w:t>، و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ظاهر الأصحاب </w:t>
      </w:r>
      <w:r>
        <w:rPr>
          <w:rStyle w:val="FootnoteAnchor"/>
          <w:rtl w:val="true"/>
        </w:rPr>
        <w:footnoteReference w:id="2675"/>
      </w:r>
      <w:r>
        <w:rPr>
          <w:rFonts w:ascii="IRNazanin" w:hAnsi="IRNazanin" w:eastAsia="IRNazanin"/>
          <w:color w:val="111111"/>
          <w:sz w:val="28"/>
          <w:sz w:val="28"/>
          <w:szCs w:val="28"/>
          <w:rtl w:val="true"/>
          <w:lang w:bidi="fa-IR"/>
        </w:rPr>
        <w:t xml:space="preserve">، مع اختصاص النصّ بالمرجوم و المقتصّ منه </w:t>
      </w:r>
      <w:r>
        <w:rPr>
          <w:rStyle w:val="FootnoteAnchor"/>
          <w:rtl w:val="true"/>
        </w:rPr>
        <w:footnoteReference w:id="2676"/>
      </w:r>
      <w:r>
        <w:rPr>
          <w:rFonts w:ascii="Amiri" w:hAnsi="Amiri" w:eastAsia="Amiri" w:cs="Amiri"/>
          <w:color w:val="111111"/>
          <w:sz w:val="28"/>
          <w:sz w:val="28"/>
          <w:szCs w:val="28"/>
          <w:rtl w:val="true"/>
          <w:lang w:bidi="ar-SA"/>
        </w:rPr>
        <w:t xml:space="preserve">وفاقاً لبعض </w:t>
      </w:r>
      <w:r>
        <w:rPr>
          <w:rStyle w:val="FootnoteAnchor"/>
          <w:rtl w:val="true"/>
        </w:rPr>
        <w:footnoteReference w:id="2677"/>
      </w:r>
      <w:r>
        <w:rPr>
          <w:rFonts w:ascii="IRNazanin" w:hAnsi="IRNazanin" w:eastAsia="IRNazanin"/>
          <w:color w:val="111111"/>
          <w:sz w:val="28"/>
          <w:sz w:val="28"/>
          <w:szCs w:val="28"/>
          <w:rtl w:val="true"/>
          <w:lang w:bidi="fa-IR"/>
        </w:rPr>
        <w:t>، بل عن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الأکثر اقتصروا علیهما </w:t>
      </w:r>
      <w:r>
        <w:rPr>
          <w:rStyle w:val="FootnoteAnchor"/>
          <w:rtl w:val="true"/>
        </w:rPr>
        <w:footnoteReference w:id="2678"/>
      </w:r>
      <w:r>
        <w:rPr>
          <w:rFonts w:ascii="IRNazanin" w:hAnsi="IRNazanin" w:eastAsia="IRNazanin"/>
          <w:color w:val="111111"/>
          <w:sz w:val="28"/>
          <w:sz w:val="28"/>
          <w:szCs w:val="28"/>
          <w:rtl w:val="true"/>
          <w:lang w:bidi="fa-IR"/>
        </w:rPr>
        <w:t xml:space="preserve">، بل عن المفید </w:t>
      </w:r>
      <w:r>
        <w:rPr>
          <w:rStyle w:val="FootnoteAnchor"/>
          <w:rtl w:val="true"/>
        </w:rPr>
        <w:footnoteReference w:id="2679"/>
      </w:r>
      <w:r>
        <w:rPr>
          <w:rFonts w:ascii="Amiri" w:hAnsi="Amiri" w:eastAsia="Amiri" w:cs="Amiri"/>
          <w:color w:val="111111"/>
          <w:sz w:val="28"/>
          <w:sz w:val="28"/>
          <w:szCs w:val="28"/>
          <w:rtl w:val="true"/>
          <w:lang w:bidi="ar-SA"/>
        </w:rPr>
        <w:t xml:space="preserve">و سلّار </w:t>
      </w:r>
      <w:r>
        <w:rPr>
          <w:rStyle w:val="FootnoteAnchor"/>
          <w:rtl w:val="true"/>
        </w:rPr>
        <w:footnoteReference w:id="2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الأخیر، و الأجود التوسّط تبعاً للنصّ</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ظاهر النصّ کالمحکیّ عن ظاهر الأصحاب </w:t>
      </w:r>
      <w:r>
        <w:rPr>
          <w:rStyle w:val="FootnoteAnchor"/>
          <w:rtl w:val="true"/>
        </w:rPr>
        <w:footnoteReference w:id="2681"/>
      </w:r>
      <w:r>
        <w:rPr>
          <w:rFonts w:ascii="IRNazanin" w:hAnsi="IRNazanin" w:eastAsia="IRNazanin"/>
          <w:color w:val="111111"/>
          <w:sz w:val="28"/>
          <w:sz w:val="28"/>
          <w:szCs w:val="28"/>
          <w:rtl w:val="true"/>
          <w:lang w:bidi="fa-IR"/>
        </w:rPr>
        <w:t>و صریح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الغسل هو غسل الأموات المشتمل علی الأغسال الثلاثة </w:t>
      </w:r>
      <w:r>
        <w:rPr>
          <w:rStyle w:val="FootnoteAnchor"/>
          <w:rtl w:val="true"/>
        </w:rPr>
        <w:footnoteReference w:id="2682"/>
      </w:r>
      <w:r>
        <w:rPr>
          <w:rFonts w:ascii="IRNazanin" w:hAnsi="IRNazanin" w:eastAsia="IRNazanin"/>
          <w:color w:val="111111"/>
          <w:sz w:val="28"/>
          <w:sz w:val="28"/>
          <w:szCs w:val="28"/>
          <w:rtl w:val="true"/>
          <w:lang w:bidi="fa-IR"/>
        </w:rPr>
        <w:t>، و عن</w:t>
      </w:r>
    </w:p>
    <w:p>
      <w:pPr>
        <w:pStyle w:val="BookText"/>
        <w:rPr/>
      </w:pPr>
      <w:r>
        <w:rPr>
          <w:rFonts w:ascii="IRNazanin" w:hAnsi="IRNazanin" w:eastAsia="IRNazanin"/>
          <w:color w:val="111111"/>
          <w:sz w:val="28"/>
          <w:sz w:val="28"/>
          <w:szCs w:val="28"/>
          <w:rtl w:val="true"/>
          <w:lang w:bidi="fa-IR"/>
        </w:rPr>
        <w:t xml:space="preserve">المصنّف فی القواعد </w:t>
      </w:r>
      <w:r>
        <w:rPr>
          <w:rStyle w:val="FootnoteAnchor"/>
          <w:rtl w:val="true"/>
        </w:rPr>
        <w:footnoteReference w:id="2683"/>
      </w:r>
      <w:r>
        <w:rPr>
          <w:rFonts w:ascii="Amiri" w:hAnsi="Amiri" w:eastAsia="Amiri" w:cs="Amiri"/>
          <w:color w:val="111111"/>
          <w:sz w:val="28"/>
          <w:sz w:val="28"/>
          <w:szCs w:val="28"/>
          <w:rtl w:val="true"/>
          <w:lang w:bidi="ar-SA"/>
        </w:rPr>
        <w:t xml:space="preserve">و المحقّق </w:t>
      </w:r>
      <w:r>
        <w:rPr>
          <w:rStyle w:val="FootnoteAnchor"/>
          <w:rtl w:val="true"/>
        </w:rPr>
        <w:footnoteReference w:id="2684"/>
      </w:r>
      <w:r>
        <w:rPr>
          <w:rFonts w:ascii="IRNazanin" w:hAnsi="IRNazanin" w:eastAsia="IRNazanin"/>
          <w:color w:val="111111"/>
          <w:sz w:val="28"/>
          <w:sz w:val="28"/>
          <w:szCs w:val="28"/>
          <w:rtl w:val="true"/>
          <w:lang w:bidi="fa-IR"/>
        </w:rPr>
        <w:t xml:space="preserve">و الشهید </w:t>
      </w:r>
      <w:r>
        <w:rPr>
          <w:rStyle w:val="FootnoteAnchor"/>
          <w:rtl w:val="true"/>
        </w:rPr>
        <w:footnoteReference w:id="2685"/>
      </w:r>
      <w:r>
        <w:rPr>
          <w:rFonts w:ascii="IRNazanin" w:hAnsi="IRNazanin" w:eastAsia="IRNazanin"/>
          <w:color w:val="111111"/>
          <w:sz w:val="28"/>
          <w:sz w:val="28"/>
          <w:szCs w:val="28"/>
          <w:rtl w:val="true"/>
          <w:lang w:bidi="fa-IR"/>
        </w:rPr>
        <w:t>الثانیین فی شرحی القواعد 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الاکتفاء بالغسل الواحد لإطلاق النصّ و عدم إفادة الأمر للتکرار،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النصّ </w:t>
      </w:r>
      <w:r>
        <w:rPr>
          <w:rStyle w:val="FootnoteAnchor"/>
          <w:rtl w:val="true"/>
        </w:rPr>
        <w:footnoteReference w:id="2686"/>
      </w:r>
      <w:r>
        <w:rPr>
          <w:rFonts w:ascii="IRNazanin" w:hAnsi="IRNazanin" w:eastAsia="IRNazanin"/>
          <w:color w:val="111111"/>
          <w:sz w:val="28"/>
          <w:sz w:val="28"/>
          <w:szCs w:val="28"/>
          <w:rtl w:val="true"/>
          <w:lang w:bidi="fa-IR"/>
        </w:rPr>
        <w:t xml:space="preserve">کالفتاوی، بل صریح جملة منها </w:t>
      </w:r>
      <w:r>
        <w:rPr>
          <w:rStyle w:val="FootnoteAnchor"/>
          <w:rtl w:val="true"/>
        </w:rPr>
        <w:footnoteReference w:id="2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الحاجة إلی إعادة الغسل، فیکون بدن الشخص بعد الموت طاهراً، و لا ینجس بالموت؛ لأنّ هذا حکم من یجب غسله، لا من لا یجب کالشهید؛ لاختصاص أدلّة نجاسة المیّت قبل الغسل </w:t>
      </w:r>
      <w:r>
        <w:rPr>
          <w:rStyle w:val="FootnoteAnchor"/>
          <w:rtl w:val="true"/>
        </w:rPr>
        <w:footnoteReference w:id="2688"/>
      </w:r>
      <w:r>
        <w:rPr>
          <w:rFonts w:ascii="IRNazanin" w:hAnsi="IRNazanin" w:eastAsia="IRNazanin"/>
          <w:color w:val="111111"/>
          <w:sz w:val="28"/>
          <w:sz w:val="28"/>
          <w:szCs w:val="28"/>
          <w:rtl w:val="true"/>
          <w:lang w:bidi="fa-IR"/>
        </w:rPr>
        <w:t xml:space="preserve">بمن یشرع تغسیله؛ لأنّه الظاهر من القبلیّة، و کذا أدلّة غسل المسّ </w:t>
      </w:r>
      <w:r>
        <w:rPr>
          <w:rStyle w:val="FootnoteAnchor"/>
          <w:rtl w:val="true"/>
        </w:rPr>
        <w:footnoteReference w:id="2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الغسل بمسّه </w:t>
      </w:r>
      <w:r>
        <w:rPr>
          <w:rStyle w:val="FootnoteAnchor"/>
          <w:rtl w:val="true"/>
        </w:rPr>
        <w:footnoteReference w:id="2690"/>
      </w:r>
      <w:r>
        <w:rPr>
          <w:rFonts w:ascii="IRNazanin" w:hAnsi="IRNazanin" w:eastAsia="IRNazanin"/>
          <w:color w:val="111111"/>
          <w:sz w:val="28"/>
          <w:sz w:val="28"/>
          <w:szCs w:val="28"/>
          <w:rtl w:val="true"/>
          <w:lang w:bidi="fa-IR"/>
        </w:rPr>
        <w:t xml:space="preserve">، و هو ضعیف، کالتردّد المحکیّ عن صاحبی الذخیرة </w:t>
      </w:r>
      <w:r>
        <w:rPr>
          <w:rStyle w:val="FootnoteAnchor"/>
          <w:rtl w:val="true"/>
        </w:rPr>
        <w:footnoteReference w:id="2691"/>
      </w:r>
      <w:r>
        <w:rPr>
          <w:rFonts w:ascii="IRNazanin" w:hAnsi="IRNazanin" w:eastAsia="IRNazanin"/>
          <w:color w:val="111111"/>
          <w:sz w:val="28"/>
          <w:sz w:val="28"/>
          <w:szCs w:val="28"/>
          <w:rtl w:val="true"/>
          <w:lang w:bidi="fa-IR"/>
        </w:rPr>
        <w:t xml:space="preserve">و الحدائق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مات بغیر ذلک السبب؛ فإن لم یکن سبب آخر فلا إشکال فی وجوب تجهیزه، بل و کذا إن کان سبب آخر، وفاقاً للمحکیّ عن الذکری </w:t>
      </w:r>
      <w:r>
        <w:rPr>
          <w:rStyle w:val="FootnoteAnchor"/>
          <w:rtl w:val="true"/>
        </w:rPr>
        <w:footnoteReference w:id="2693"/>
      </w:r>
    </w:p>
    <w:p>
      <w:pPr>
        <w:pStyle w:val="BookText"/>
        <w:rPr/>
      </w:pP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694"/>
      </w:r>
      <w:r>
        <w:rPr>
          <w:rFonts w:ascii="IRNazanin" w:hAnsi="IRNazanin" w:eastAsia="IRNazanin"/>
          <w:color w:val="111111"/>
          <w:sz w:val="28"/>
          <w:sz w:val="28"/>
          <w:szCs w:val="28"/>
          <w:rtl w:val="true"/>
          <w:lang w:bidi="fa-IR"/>
        </w:rPr>
        <w:t xml:space="preserve">و الروض </w:t>
      </w:r>
      <w:r>
        <w:rPr>
          <w:rStyle w:val="FootnoteAnchor"/>
          <w:rtl w:val="true"/>
        </w:rPr>
        <w:footnoteReference w:id="2695"/>
      </w:r>
      <w:r>
        <w:rPr>
          <w:rFonts w:ascii="IRNazanin" w:hAnsi="IRNazanin" w:eastAsia="IRNazanin"/>
          <w:color w:val="111111"/>
          <w:sz w:val="28"/>
          <w:sz w:val="28"/>
          <w:szCs w:val="28"/>
          <w:rtl w:val="true"/>
          <w:lang w:bidi="fa-IR"/>
        </w:rPr>
        <w:t xml:space="preserve">و الحدائق </w:t>
      </w:r>
      <w:r>
        <w:rPr>
          <w:rStyle w:val="FootnoteAnchor"/>
          <w:rtl w:val="true"/>
        </w:rPr>
        <w:footnoteReference w:id="2696"/>
      </w:r>
      <w:r>
        <w:rPr>
          <w:rFonts w:ascii="IRNazanin" w:hAnsi="IRNazanin" w:eastAsia="IRNazanin"/>
          <w:color w:val="111111"/>
          <w:sz w:val="28"/>
          <w:sz w:val="28"/>
          <w:szCs w:val="28"/>
          <w:rtl w:val="true"/>
          <w:lang w:bidi="fa-IR"/>
        </w:rPr>
        <w:t>، إلّا أنّه لا یبعد الاجتزاء فی بعض الفروض،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یقدح تخلّل الحدث فی أثنائه؛ للإطلاق، و إن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کغسل الجنابة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الأقرب عدم تداخله مع سائر الأغسال الواجبة؛ للأصل، مع عدم الدلیل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 الروایة دلالة علی أمره بالاغتسال، إلّا أنّه لمّا وجب علیه فیؤمر به من باب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الروض </w:t>
      </w:r>
      <w:r>
        <w:rPr>
          <w:rStyle w:val="FootnoteAnchor"/>
          <w:rtl w:val="true"/>
        </w:rPr>
        <w:footnoteReference w:id="2698"/>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2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به هو الإمام علیه السلام أو نائبه، و فی تعیّنه نظر؛ لخلوّ ظاهر النصّ و الفتوی عنه</w:t>
      </w:r>
      <w:r>
        <w:rPr>
          <w:rFonts w:eastAsia="IRNazanin" w:cs="IRNazanin"/>
          <w:color w:val="111111"/>
          <w:sz w:val="28"/>
          <w:szCs w:val="28"/>
          <w:rtl w:val="true"/>
          <w:lang w:bidi="fa-IR"/>
        </w:rPr>
        <w:t>.</w:t>
      </w:r>
      <w:bookmarkStart w:id="384" w:name="pg13042_127316"/>
    </w:p>
    <w:p>
      <w:pPr>
        <w:pStyle w:val="Heading4"/>
        <w:numPr>
          <w:ilvl w:val="3"/>
          <w:numId w:val="1"/>
        </w:numPr>
        <w:rPr/>
      </w:pPr>
      <w:bookmarkStart w:id="385" w:name="__RefHeading___Toc6530350_3224264995"/>
      <w:bookmarkStart w:id="386" w:name="_Toc147"/>
      <w:bookmarkEnd w:id="384"/>
      <w:bookmarkEnd w:id="385"/>
      <w:r>
        <w:rPr>
          <w:rtl w:val="true"/>
        </w:rPr>
        <w:t>[</w:t>
      </w:r>
      <w:r>
        <w:rPr>
          <w:rtl w:val="true"/>
        </w:rPr>
        <w:t xml:space="preserve">غسل مسّ المیّت </w:t>
      </w:r>
      <w:r>
        <w:rPr>
          <w:rtl w:val="true"/>
        </w:rPr>
        <w:t>«</w:t>
      </w:r>
      <w:r>
        <w:rPr/>
        <w:t>1</w:t>
      </w:r>
      <w:r>
        <w:rPr>
          <w:rtl w:val="true"/>
        </w:rPr>
        <w:t>»]</w:t>
      </w:r>
      <w:bookmarkEnd w:id="386"/>
    </w:p>
    <w:p>
      <w:pPr>
        <w:pStyle w:val="BookText"/>
        <w:rPr/>
      </w:pPr>
      <w:r>
        <w:rPr>
          <w:rFonts w:ascii="IRNazanin" w:hAnsi="IRNazanin" w:eastAsia="IRNazanin"/>
          <w:color w:val="111111"/>
          <w:sz w:val="28"/>
          <w:sz w:val="28"/>
          <w:szCs w:val="28"/>
          <w:rtl w:val="true"/>
          <w:lang w:bidi="fa-IR"/>
        </w:rPr>
        <w:t>و لمّا فرغ من الأسباب الخمسة للغسل شرع فی السبب السادس،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هنا لأنّه کالتتمیم لأحکام الأموات،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مسّ میّتاً من الناس بعد برده بالموت و قبل تطهیره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أو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 قطعةً ذات عظم أُبینت منه أو من حیٍّ وجب علیه الغسل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الوجوب بمسّ جملة المیّت فهو المشهور، بل المعروف عمّن عدا السیّد قدّس سرّه، و هو المحکیّ عن القدیمین </w:t>
      </w:r>
      <w:r>
        <w:rPr>
          <w:rStyle w:val="FootnoteAnchor"/>
          <w:rtl w:val="true"/>
        </w:rPr>
        <w:footnoteReference w:id="2700"/>
      </w:r>
      <w:r>
        <w:rPr>
          <w:rFonts w:ascii="IRNazanin" w:hAnsi="IRNazanin" w:eastAsia="IRNazanin"/>
          <w:color w:val="111111"/>
          <w:sz w:val="28"/>
          <w:sz w:val="28"/>
          <w:szCs w:val="28"/>
          <w:rtl w:val="true"/>
          <w:lang w:bidi="fa-IR"/>
        </w:rPr>
        <w:t xml:space="preserve">و الصدوقین </w:t>
      </w:r>
      <w:r>
        <w:rPr>
          <w:rStyle w:val="FootnoteAnchor"/>
          <w:rtl w:val="true"/>
        </w:rPr>
        <w:footnoteReference w:id="2701"/>
      </w:r>
      <w:r>
        <w:rPr>
          <w:rFonts w:ascii="IRNazanin" w:hAnsi="IRNazanin" w:eastAsia="IRNazanin"/>
          <w:color w:val="111111"/>
          <w:sz w:val="28"/>
          <w:sz w:val="28"/>
          <w:szCs w:val="28"/>
          <w:rtl w:val="true"/>
          <w:lang w:bidi="fa-IR"/>
        </w:rPr>
        <w:t xml:space="preserve">و الشیخین </w:t>
      </w:r>
      <w:r>
        <w:rPr>
          <w:rStyle w:val="FootnoteAnchor"/>
          <w:rtl w:val="true"/>
        </w:rPr>
        <w:footnoteReference w:id="2702"/>
      </w:r>
      <w:r>
        <w:rPr>
          <w:rFonts w:ascii="Amiri" w:hAnsi="Amiri" w:eastAsia="Amiri" w:cs="Amiri"/>
          <w:color w:val="111111"/>
          <w:sz w:val="28"/>
          <w:sz w:val="28"/>
          <w:szCs w:val="28"/>
          <w:rtl w:val="true"/>
          <w:lang w:bidi="ar-SA"/>
        </w:rPr>
        <w:t xml:space="preserve">و الحلیّ </w:t>
      </w:r>
      <w:r>
        <w:rPr>
          <w:rStyle w:val="FootnoteAnchor"/>
          <w:rtl w:val="true"/>
        </w:rPr>
        <w:footnoteReference w:id="2703"/>
      </w:r>
      <w:r>
        <w:rPr>
          <w:rFonts w:ascii="IRNazanin" w:hAnsi="IRNazanin" w:eastAsia="IRNazanin"/>
          <w:color w:val="111111"/>
          <w:sz w:val="28"/>
          <w:sz w:val="28"/>
          <w:szCs w:val="28"/>
          <w:rtl w:val="true"/>
          <w:lang w:bidi="fa-IR"/>
        </w:rPr>
        <w:t xml:space="preserve">و الحلبی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عن الوسیلة </w:t>
      </w:r>
      <w:r>
        <w:rPr>
          <w:rStyle w:val="FootnoteAnchor"/>
          <w:rtl w:val="true"/>
        </w:rPr>
        <w:footnoteReference w:id="2705"/>
      </w:r>
      <w:r>
        <w:rPr>
          <w:rFonts w:ascii="IRNazanin" w:hAnsi="IRNazanin" w:eastAsia="IRNazanin"/>
          <w:color w:val="111111"/>
          <w:sz w:val="28"/>
          <w:sz w:val="28"/>
          <w:szCs w:val="28"/>
          <w:rtl w:val="true"/>
          <w:lang w:bidi="fa-IR"/>
        </w:rPr>
        <w:t xml:space="preserve">و المراسم </w:t>
      </w:r>
      <w:r>
        <w:rPr>
          <w:rStyle w:val="FootnoteAnchor"/>
          <w:rtl w:val="true"/>
        </w:rPr>
        <w:footnoteReference w:id="2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فیه، لکنّ الموجود فی الأوّل التصریح بالوجوب، حیث قال فی بیان أقسام نواقض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 ما یوجب کلیهما یعنی الوضوء و الغسل و 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الحیض و النفاس و مسّ المیّت من الناس، أو قطعة المیّت من حیٍّ، أو میّتٍ فیها عظم، بعد البرد بالموت و قبل التطهیر بالغسل </w:t>
      </w:r>
      <w:r>
        <w:rPr>
          <w:rStyle w:val="FootnoteAnchor"/>
          <w:rtl w:val="true"/>
        </w:rPr>
        <w:footnoteReference w:id="2707"/>
      </w:r>
      <w:r>
        <w:rPr>
          <w:rFonts w:ascii="Amiri" w:hAnsi="Amiri" w:eastAsia="Amiri" w:cs="Amiri"/>
          <w:color w:val="111111"/>
          <w:sz w:val="28"/>
          <w:sz w:val="28"/>
          <w:szCs w:val="28"/>
          <w:rtl w:val="true"/>
          <w:lang w:bidi="ar-SA"/>
        </w:rPr>
        <w:t xml:space="preserve">، و لعلّ توهّم الحاکی </w:t>
      </w:r>
      <w:r>
        <w:rPr>
          <w:rStyle w:val="FootnoteAnchor"/>
          <w:rtl w:val="true"/>
        </w:rPr>
        <w:footnoteReference w:id="2708"/>
      </w:r>
      <w:r>
        <w:rPr>
          <w:rFonts w:ascii="IRNazanin" w:hAnsi="IRNazanin" w:eastAsia="IRNazanin"/>
          <w:color w:val="111111"/>
          <w:sz w:val="28"/>
          <w:sz w:val="28"/>
          <w:szCs w:val="28"/>
          <w:rtl w:val="true"/>
          <w:lang w:bidi="fa-IR"/>
        </w:rPr>
        <w:t>ممّا فی الوسیلة من أنّ الغسل المختلف فیه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المسّ، و غسل قضاء الکسوف لتارکه عامداً مع احتراق القرص، و غسل من سعی إلی مصلوب بعد ثلاثة أیام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عبارة المراسم فلم نظفر علیها، و لعلّها نظیر ذلک؛ و لذا حکی فی المناهل عن صاحبه موافقة المشهور </w:t>
      </w:r>
      <w:r>
        <w:rPr>
          <w:rStyle w:val="FootnoteAnchor"/>
          <w:rtl w:val="true"/>
        </w:rPr>
        <w:footnoteReference w:id="2710"/>
      </w:r>
      <w:r>
        <w:rPr>
          <w:rFonts w:ascii="Amiri" w:hAnsi="Amiri" w:eastAsia="Amiri" w:cs="Amiri"/>
          <w:color w:val="111111"/>
          <w:sz w:val="28"/>
          <w:sz w:val="28"/>
          <w:szCs w:val="28"/>
          <w:rtl w:val="true"/>
          <w:lang w:bidi="ar-SA"/>
        </w:rPr>
        <w:t>، إلّا أنّ المحکیّ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حکی الخلاف عن السیّد و غیره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فهذا القول شاذّ، بل علی خلافه الإجماع عن الخلاف </w:t>
      </w:r>
      <w:r>
        <w:rPr>
          <w:rStyle w:val="FootnoteAnchor"/>
          <w:rtl w:val="true"/>
        </w:rPr>
        <w:footnoteReference w:id="2712"/>
      </w:r>
      <w:r>
        <w:rPr>
          <w:rFonts w:ascii="IRNazanin" w:hAnsi="IRNazanin" w:eastAsia="IRNazanin"/>
          <w:color w:val="111111"/>
          <w:sz w:val="28"/>
          <w:sz w:val="28"/>
          <w:szCs w:val="28"/>
          <w:rtl w:val="true"/>
          <w:lang w:bidi="fa-IR"/>
        </w:rPr>
        <w:t xml:space="preserve">و غیره </w:t>
      </w:r>
      <w:r>
        <w:rPr>
          <w:rStyle w:val="FootnoteAnchor"/>
          <w:rtl w:val="true"/>
        </w:rPr>
        <w:footnoteReference w:id="2713"/>
      </w:r>
      <w:r>
        <w:rPr>
          <w:rFonts w:ascii="IRNazanin" w:hAnsi="IRNazanin" w:eastAsia="IRNazanin"/>
          <w:color w:val="111111"/>
          <w:sz w:val="28"/>
          <w:sz w:val="28"/>
          <w:szCs w:val="28"/>
          <w:rtl w:val="true"/>
          <w:lang w:bidi="fa-IR"/>
        </w:rPr>
        <w:t>، مضافاً إلی الروایات المستفیضة، بل المتواترة معنیً، ففی صحیحة</w:t>
      </w:r>
    </w:p>
    <w:p>
      <w:pPr>
        <w:pStyle w:val="BookText"/>
        <w:rPr/>
      </w:pPr>
      <w:r>
        <w:rPr>
          <w:rFonts w:ascii="IRNazanin" w:hAnsi="IRNazanin" w:eastAsia="IRNazanin"/>
          <w:color w:val="111111"/>
          <w:sz w:val="28"/>
          <w:sz w:val="28"/>
          <w:szCs w:val="28"/>
          <w:rtl w:val="true"/>
          <w:lang w:bidi="fa-IR"/>
        </w:rPr>
        <w:t>ابن مسلم المرویّة فی التهذیب عن أحدهما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للرجل یغمّض المیّت، أ 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بحرارته فلا، و لکن إذا مسّه بعد ما یبرد فلیغتسل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یغسّل المیّت،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صحیحة العلاء بن رزین المرویّة عن الکافی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عاصم بن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مسست جسده حین یبرد فاغتسل</w:t>
      </w:r>
      <w:r>
        <w:rPr>
          <w:rFonts w:eastAsia="IRNazanin" w:cs="IRNazanin"/>
          <w:color w:val="111111"/>
          <w:sz w:val="28"/>
          <w:szCs w:val="28"/>
          <w:rtl w:val="true"/>
          <w:lang w:bidi="fa-IR"/>
        </w:rPr>
        <w:t xml:space="preserve">»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مکاتبة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یدک جسد المیّت قبل أن یُغسل فقد وجب علیک الغسل</w:t>
      </w:r>
      <w:r>
        <w:rPr>
          <w:rFonts w:eastAsia="IRNazanin" w:cs="IRNazanin"/>
          <w:color w:val="111111"/>
          <w:sz w:val="28"/>
          <w:szCs w:val="28"/>
          <w:rtl w:val="true"/>
          <w:lang w:bidi="fa-IR"/>
        </w:rPr>
        <w:t xml:space="preserve">»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میّتاً و کفّنه اغتسل غسل الجنابة</w:t>
      </w:r>
      <w:r>
        <w:rPr>
          <w:rFonts w:eastAsia="IRNazanin" w:cs="IRNazanin"/>
          <w:color w:val="111111"/>
          <w:sz w:val="28"/>
          <w:szCs w:val="28"/>
          <w:rtl w:val="true"/>
          <w:lang w:bidi="fa-IR"/>
        </w:rPr>
        <w:t xml:space="preserve">»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الحسن بن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الصادق علیه السلام، هل اغتسل أمیر المؤمنین علیه السلام حین غسّل رسول اللّٰه صلّی اللّٰه علیه و آله،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طاهر مطهَّر، و لکن فعل أمیر المؤمنین علیه السلام و جرت به السنّة</w:t>
      </w:r>
      <w:r>
        <w:rPr>
          <w:rFonts w:eastAsia="IRNazanin" w:cs="IRNazanin"/>
          <w:color w:val="111111"/>
          <w:sz w:val="28"/>
          <w:szCs w:val="28"/>
          <w:rtl w:val="true"/>
          <w:lang w:bidi="fa-IR"/>
        </w:rPr>
        <w:t xml:space="preserve">»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المرویّ عن العیون و العلل عن الفضل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من یغسّل المیّت بالغسل؛ لعلّة الطهارة ممّا أصابه من نضح المیّت؛ لأنّ المیّت إذا خرج منه الروح بقی أکثر آفته</w:t>
      </w:r>
      <w:r>
        <w:rPr>
          <w:rFonts w:eastAsia="IRNazanin" w:cs="IRNazanin"/>
          <w:color w:val="111111"/>
          <w:sz w:val="28"/>
          <w:szCs w:val="28"/>
          <w:rtl w:val="true"/>
          <w:lang w:bidi="fa-IR"/>
        </w:rPr>
        <w:t xml:space="preserve">»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سنان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علّة اغتسال من غسّل المیّت أو مسّه الطهارة لما أصابه من نضح المیّت؛ لأنّ المیّت إذا خرج منه الروح بقی أکثر آفته </w:t>
      </w:r>
      <w:r>
        <w:rPr>
          <w:rStyle w:val="FootnoteAnchor"/>
          <w:rtl w:val="true"/>
        </w:rPr>
        <w:footnoteReference w:id="2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یتطهّر منه و یطهر</w:t>
      </w:r>
      <w:r>
        <w:rPr>
          <w:rFonts w:eastAsia="IRNazanin" w:cs="IRNazanin"/>
          <w:color w:val="111111"/>
          <w:sz w:val="28"/>
          <w:szCs w:val="28"/>
          <w:rtl w:val="true"/>
          <w:lang w:bidi="fa-IR"/>
        </w:rPr>
        <w:t xml:space="preserve">»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عبد اللّٰه القزوینی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علیّ علیهما السلام عن غسل المیّت لأیّ علّة یغتسل الغاسل؟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المیّت لأنّه جنب و لتلاقیه الملائکة و هو طاهر، و کذلک الغاسل لتلاقیه المؤمنون</w:t>
      </w:r>
      <w:r>
        <w:rPr>
          <w:rFonts w:eastAsia="IRNazanin" w:cs="IRNazanin"/>
          <w:color w:val="111111"/>
          <w:sz w:val="28"/>
          <w:szCs w:val="28"/>
          <w:rtl w:val="true"/>
          <w:lang w:bidi="fa-IR"/>
        </w:rPr>
        <w:t xml:space="preserve">» </w:t>
      </w:r>
      <w:r>
        <w:rPr>
          <w:rStyle w:val="FootnoteAnchor"/>
          <w:rtl w:val="true"/>
        </w:rPr>
        <w:footnoteReference w:id="2723"/>
      </w:r>
      <w:r>
        <w:rPr>
          <w:rFonts w:ascii="IRNazanin" w:hAnsi="IRNazanin" w:eastAsia="IRNazanin"/>
          <w:color w:val="111111"/>
          <w:sz w:val="28"/>
          <w:sz w:val="28"/>
          <w:szCs w:val="28"/>
          <w:rtl w:val="true"/>
          <w:lang w:bidi="fa-IR"/>
        </w:rPr>
        <w:t xml:space="preserve">إلی غیر ذلک ممّا لم نذکر أکثرها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جمیع ما فیها من الأوامر صیغةً و مادةً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ممّا یوجب اضمحلال الشریعة؛ إذ قلّما یتّفق ورود مثلها أو دونها فی الواجبات الأُخر، فلا ینبغی الإشکال فی المسألة، و إرجاع ما یوهم</w:t>
      </w:r>
    </w:p>
    <w:p>
      <w:pPr>
        <w:pStyle w:val="BookText"/>
        <w:rPr/>
      </w:pPr>
      <w:r>
        <w:rPr>
          <w:rFonts w:ascii="IRNazanin" w:hAnsi="IRNazanin" w:eastAsia="IRNazanin"/>
          <w:color w:val="111111"/>
          <w:sz w:val="28"/>
          <w:sz w:val="28"/>
          <w:szCs w:val="28"/>
          <w:rtl w:val="true"/>
          <w:lang w:bidi="fa-IR"/>
        </w:rPr>
        <w:t xml:space="preserve">المنافاة من الأخبار المعبّر فیها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بغیره ممّا یوهم الاستحباب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ینبغی الإشکال فی عدم وجوبه قبل البرد؛ للأصل و الأخبار المستفیضة </w:t>
      </w:r>
      <w:r>
        <w:rPr>
          <w:rStyle w:val="FootnoteAnchor"/>
          <w:rtl w:val="true"/>
        </w:rPr>
        <w:footnoteReference w:id="2725"/>
      </w:r>
      <w:r>
        <w:rPr>
          <w:rFonts w:ascii="IRNazanin" w:hAnsi="IRNazanin" w:eastAsia="IRNazanin"/>
          <w:color w:val="111111"/>
          <w:sz w:val="28"/>
          <w:sz w:val="28"/>
          <w:szCs w:val="28"/>
          <w:rtl w:val="true"/>
          <w:lang w:bidi="fa-IR"/>
        </w:rPr>
        <w:t>، بل المتواترة أیضاً التی ذکر بعضها، و لا ینافیه الحکم بنجاسته حینئذ؛ إذ لا تلازم بین وجوب الغَسل بالفتح و الغُسل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أیضاً فی عدم الوجوب بعد تغسیله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عمّار عن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مسّ شیئاً فعلیه الغسل و إن کان المیّت غسل</w:t>
      </w:r>
      <w:r>
        <w:rPr>
          <w:rFonts w:eastAsia="IRNazanin" w:cs="IRNazanin"/>
          <w:color w:val="111111"/>
          <w:sz w:val="28"/>
          <w:szCs w:val="28"/>
          <w:rtl w:val="true"/>
          <w:lang w:bidi="fa-IR"/>
        </w:rPr>
        <w:t xml:space="preserve">» </w:t>
      </w:r>
      <w:r>
        <w:rPr>
          <w:rStyle w:val="FootnoteAnchor"/>
          <w:rtl w:val="true"/>
        </w:rPr>
        <w:footnoteReference w:id="2726"/>
      </w:r>
      <w:r>
        <w:rPr>
          <w:rFonts w:ascii="IRNazanin" w:hAnsi="IRNazanin" w:eastAsia="IRNazanin"/>
          <w:color w:val="111111"/>
          <w:sz w:val="28"/>
          <w:sz w:val="28"/>
          <w:szCs w:val="28"/>
          <w:rtl w:val="true"/>
          <w:lang w:bidi="fa-IR"/>
        </w:rPr>
        <w:t xml:space="preserve">شاذّ أو محمولة علی الاستحباب کما عن التهذیبین </w:t>
      </w:r>
      <w:r>
        <w:rPr>
          <w:rStyle w:val="FootnoteAnchor"/>
          <w:rtl w:val="true"/>
        </w:rPr>
        <w:footnoteReference w:id="2727"/>
      </w:r>
      <w:r>
        <w:rPr>
          <w:rFonts w:ascii="IRNazanin" w:hAnsi="IRNazanin" w:eastAsia="IRNazanin"/>
          <w:color w:val="111111"/>
          <w:sz w:val="28"/>
          <w:sz w:val="28"/>
          <w:szCs w:val="28"/>
          <w:rtl w:val="true"/>
          <w:lang w:bidi="fa-IR"/>
        </w:rPr>
        <w:t>جمعاً بینها و بین قوله علیه السلام فی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المیّت عند موته و بعد غسله و القُبلة لیس بها بأس</w:t>
      </w:r>
      <w:r>
        <w:rPr>
          <w:rFonts w:eastAsia="IRNazanin" w:cs="IRNazanin"/>
          <w:color w:val="111111"/>
          <w:sz w:val="28"/>
          <w:szCs w:val="28"/>
          <w:rtl w:val="true"/>
          <w:lang w:bidi="fa-IR"/>
        </w:rPr>
        <w:t xml:space="preserve">» </w:t>
      </w:r>
      <w:r>
        <w:rPr>
          <w:rStyle w:val="FootnoteAnchor"/>
          <w:rtl w:val="true"/>
        </w:rPr>
        <w:footnoteReference w:id="2728"/>
      </w:r>
      <w:r>
        <w:rPr>
          <w:rFonts w:ascii="IRNazanin" w:hAnsi="IRNazanin" w:eastAsia="IRNazanin"/>
          <w:color w:val="111111"/>
          <w:sz w:val="28"/>
          <w:sz w:val="28"/>
          <w:szCs w:val="28"/>
          <w:rtl w:val="true"/>
          <w:lang w:bidi="fa-IR"/>
        </w:rPr>
        <w:t>و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یمسّه بعد الغسل و القبلة</w:t>
      </w:r>
      <w:r>
        <w:rPr>
          <w:rFonts w:eastAsia="IRNazanin" w:cs="IRNazanin"/>
          <w:color w:val="111111"/>
          <w:sz w:val="28"/>
          <w:szCs w:val="28"/>
          <w:rtl w:val="true"/>
          <w:lang w:bidi="fa-IR"/>
        </w:rPr>
        <w:t xml:space="preserve">» </w:t>
      </w:r>
      <w:r>
        <w:rPr>
          <w:rStyle w:val="FootnoteAnchor"/>
          <w:rtl w:val="true"/>
        </w:rPr>
        <w:footnoteReference w:id="2729"/>
      </w:r>
      <w:r>
        <w:rPr>
          <w:rFonts w:ascii="IRNazanin" w:hAnsi="IRNazanin" w:eastAsia="IRNazanin"/>
          <w:color w:val="111111"/>
          <w:sz w:val="28"/>
          <w:sz w:val="28"/>
          <w:szCs w:val="28"/>
          <w:rtl w:val="true"/>
          <w:lang w:bidi="fa-IR"/>
        </w:rPr>
        <w:t xml:space="preserve">و نحوها روایته الأُخری </w:t>
      </w:r>
      <w:r>
        <w:rPr>
          <w:rStyle w:val="FootnoteAnchor"/>
          <w:rtl w:val="true"/>
        </w:rPr>
        <w:footnoteReference w:id="2730"/>
      </w:r>
      <w:r>
        <w:rPr>
          <w:rFonts w:ascii="IRNazanin" w:hAnsi="IRNazanin" w:eastAsia="IRNazanin"/>
          <w:color w:val="111111"/>
          <w:sz w:val="28"/>
          <w:sz w:val="28"/>
          <w:szCs w:val="28"/>
          <w:rtl w:val="true"/>
          <w:lang w:bidi="fa-IR"/>
        </w:rPr>
        <w:t>، أو علی محامل أُخر،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التغسیل فیها علی إزالة النجاسة، أو علی إرادة عدم سقوط غسل المسّ السابق، أو علی تغسیله ببعض الغسلات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یلحق المتیمَّم بالمغسَّل کما عن کاشف الغطاء </w:t>
      </w:r>
      <w:r>
        <w:rPr>
          <w:rStyle w:val="FootnoteAnchor"/>
          <w:rtl w:val="true"/>
        </w:rPr>
        <w:footnoteReference w:id="2731"/>
      </w:r>
      <w:r>
        <w:rPr>
          <w:rFonts w:ascii="IRNazanin" w:hAnsi="IRNazanin" w:eastAsia="IRNazanin"/>
          <w:color w:val="111111"/>
          <w:sz w:val="28"/>
          <w:sz w:val="28"/>
          <w:szCs w:val="28"/>
          <w:rtl w:val="true"/>
          <w:lang w:bidi="fa-IR"/>
        </w:rPr>
        <w:t>، أو لا کما عن</w:t>
      </w:r>
    </w:p>
    <w:p>
      <w:pPr>
        <w:pStyle w:val="BookText"/>
        <w:rPr/>
      </w:pPr>
      <w:r>
        <w:rPr>
          <w:rFonts w:ascii="IRNazanin" w:hAnsi="IRNazanin" w:eastAsia="IRNazanin"/>
          <w:color w:val="111111"/>
          <w:sz w:val="28"/>
          <w:sz w:val="28"/>
          <w:szCs w:val="28"/>
          <w:rtl w:val="true"/>
          <w:lang w:bidi="fa-IR"/>
        </w:rPr>
        <w:t xml:space="preserve">القواعد </w:t>
      </w:r>
      <w:r>
        <w:rPr>
          <w:rStyle w:val="FootnoteAnchor"/>
          <w:rtl w:val="true"/>
        </w:rPr>
        <w:footnoteReference w:id="2732"/>
      </w:r>
      <w:r>
        <w:rPr>
          <w:rFonts w:ascii="IRNazanin" w:hAnsi="IRNazanin" w:eastAsia="IRNazanin"/>
          <w:color w:val="111111"/>
          <w:sz w:val="28"/>
          <w:sz w:val="28"/>
          <w:szCs w:val="28"/>
          <w:rtl w:val="true"/>
          <w:lang w:bidi="fa-IR"/>
        </w:rPr>
        <w:t xml:space="preserve">و المنتهی </w:t>
      </w:r>
      <w:r>
        <w:rPr>
          <w:rStyle w:val="FootnoteAnchor"/>
          <w:rtl w:val="true"/>
        </w:rPr>
        <w:footnoteReference w:id="273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734"/>
      </w:r>
      <w:r>
        <w:rPr>
          <w:rFonts w:ascii="IRNazanin" w:hAnsi="IRNazanin" w:eastAsia="IRNazanin"/>
          <w:color w:val="111111"/>
          <w:sz w:val="28"/>
          <w:sz w:val="28"/>
          <w:szCs w:val="28"/>
          <w:rtl w:val="true"/>
          <w:lang w:bidi="fa-IR"/>
        </w:rPr>
        <w:t xml:space="preserve">و الروض </w:t>
      </w:r>
      <w:r>
        <w:rPr>
          <w:rStyle w:val="FootnoteAnchor"/>
          <w:rtl w:val="true"/>
        </w:rPr>
        <w:footnoteReference w:id="2735"/>
      </w:r>
      <w:r>
        <w:rPr>
          <w:rFonts w:ascii="IRNazanin" w:hAnsi="IRNazanin" w:eastAsia="IRNazanin"/>
          <w:color w:val="111111"/>
          <w:sz w:val="28"/>
          <w:sz w:val="28"/>
          <w:szCs w:val="28"/>
          <w:rtl w:val="true"/>
          <w:lang w:bidi="fa-IR"/>
        </w:rPr>
        <w:t xml:space="preserve">و المدارک </w:t>
      </w:r>
      <w:r>
        <w:rPr>
          <w:rStyle w:val="FootnoteAnchor"/>
          <w:rtl w:val="true"/>
        </w:rPr>
        <w:footnoteReference w:id="2736"/>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2737"/>
      </w:r>
      <w:r>
        <w:rPr>
          <w:rFonts w:ascii="IRNazanin" w:hAnsi="IRNazanin" w:eastAsia="IRNazanin"/>
          <w:color w:val="111111"/>
          <w:sz w:val="28"/>
          <w:sz w:val="28"/>
          <w:szCs w:val="28"/>
          <w:rtl w:val="true"/>
          <w:lang w:bidi="fa-IR"/>
        </w:rPr>
        <w:t xml:space="preserve">و غیرها </w:t>
      </w:r>
      <w:r>
        <w:rPr>
          <w:rStyle w:val="FootnoteAnchor"/>
          <w:rtl w:val="true"/>
        </w:rPr>
        <w:footnoteReference w:id="2738"/>
      </w:r>
      <w:r>
        <w:rPr>
          <w:rFonts w:ascii="IRNazanin" w:hAnsi="IRNazanin" w:eastAsia="IRNazanin"/>
          <w:color w:val="111111"/>
          <w:sz w:val="28"/>
          <w:sz w:val="28"/>
          <w:szCs w:val="28"/>
          <w:rtl w:val="true"/>
          <w:lang w:bidi="fa-IR"/>
        </w:rPr>
        <w:t>، قولان، یشهد لأوّلهما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البدلیّة، و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الأخبار </w:t>
      </w:r>
      <w:r>
        <w:rPr>
          <w:rStyle w:val="FootnoteAnchor"/>
          <w:rtl w:val="true"/>
        </w:rPr>
        <w:footnoteReference w:id="2739"/>
      </w:r>
      <w:r>
        <w:rPr>
          <w:rFonts w:ascii="IRNazanin" w:hAnsi="IRNazanin" w:eastAsia="IRNazanin"/>
          <w:color w:val="111111"/>
          <w:sz w:val="28"/>
          <w:sz w:val="28"/>
          <w:szCs w:val="28"/>
          <w:rtl w:val="true"/>
          <w:lang w:bidi="fa-IR"/>
        </w:rPr>
        <w:t>، و استصحاب عدم السقوط؛ لمنع بدلیّة التیمّم إلّا فیما یکون المؤثّر هو الماء فقط لا الماء مع السدر و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لا یخلو عن قوّة؛ لأنّ الإطلاقات کالاستصحاب محکوم علیها بأدلّة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معارض باستصحاب سقوطه فیما لو تیمّم قبل البرد، و فیه ما لا یخفی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جریان البدلیّة فیما یکون لغیر الماء مدخل فی التطهیر لو سلّم، فإنّما یسلّم مع انحصار المدرک بعموم جعل التراب کالماء، أمّا مع فرض دلالة الأدلّة علی أنّ التراب طهور، فالظاهر قیام تیمّم المیّت مقام تغسیله المفید لرفع جنابته و تنظیفه الموجب لسقوط الغسل بمسّه، مع أنّ المنع المذکور لا یجری فی المیمَّم عن غسله بالقراح خاصّة، أو فی المحرم المیمَّم عن الکافور</w:t>
      </w:r>
    </w:p>
    <w:p>
      <w:pPr>
        <w:pStyle w:val="BookText"/>
        <w:rPr/>
      </w:pPr>
      <w:r>
        <w:rPr>
          <w:rFonts w:ascii="IRNazanin" w:hAnsi="IRNazanin" w:eastAsia="IRNazanin"/>
          <w:color w:val="111111"/>
          <w:sz w:val="28"/>
          <w:sz w:val="28"/>
          <w:szCs w:val="28"/>
          <w:rtl w:val="true"/>
          <w:lang w:bidi="fa-IR"/>
        </w:rPr>
        <w:t>و القراح، فیجی‌ء فیهما عموم البدلیّة و یتمّ فی غیرهما بعدم الفصل،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المیمَّم عند فقد الماء و الخلیطین، إلّا أن ادُّعی إلحاقُه أیضاً بالمیمّم، کما صرّح به بعضهم </w:t>
      </w:r>
      <w:r>
        <w:rPr>
          <w:rStyle w:val="FootnoteAnchor"/>
          <w:rtl w:val="true"/>
        </w:rPr>
        <w:footnoteReference w:id="2740"/>
      </w:r>
      <w:r>
        <w:rPr>
          <w:rFonts w:ascii="IRNazanin" w:hAnsi="IRNazanin" w:eastAsia="IRNazanin"/>
          <w:color w:val="111111"/>
          <w:sz w:val="28"/>
          <w:sz w:val="28"/>
          <w:szCs w:val="28"/>
          <w:rtl w:val="true"/>
          <w:lang w:bidi="fa-IR"/>
        </w:rPr>
        <w:t xml:space="preserve">، و إن استقرب بعض آخر منهم </w:t>
      </w:r>
      <w:r>
        <w:rPr>
          <w:rStyle w:val="FootnoteAnchor"/>
          <w:rtl w:val="true"/>
        </w:rPr>
        <w:footnoteReference w:id="2741"/>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البدلیّة إنّما تدلّ علی أنّ حکم المیمّم فی حکم المرتفع، و أنّه فی حکم المغسّل من هذه الجهة، و لم یعلم أنّ وجوب الغسل بالمسّ تابع لبقاء حکم الحدث، فلعلّه تابع لبقاء الخبث الذی لا یزول بالتیمّم؛ لعدم بدلیّته عن الماء فی زوال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فلو قلنا بعدم الوجوب فأولی به لو اختلّ بعض شرائط الغسل اضطراراً أو فقد السدر و الکافور؛ لأنّ مثل ذلک غسل شرعیّ فی حقّ مثله، إلّا أن یدّعی انصراف الغسل فی الأخبار إلی الغسل الاختیاریّ التامّ، و لا دلیل علی قیام الاضطراری مقام الاختیاری فی جمیع الأحکام، فالأقوی عدم السقوط وفاقاً للروض </w:t>
      </w:r>
      <w:r>
        <w:rPr>
          <w:rStyle w:val="FootnoteAnchor"/>
          <w:rtl w:val="true"/>
        </w:rPr>
        <w:footnoteReference w:id="2742"/>
      </w:r>
      <w:r>
        <w:rPr>
          <w:rFonts w:ascii="IRNazanin" w:hAnsi="IRNazanin" w:eastAsia="IRNazanin"/>
          <w:color w:val="111111"/>
          <w:sz w:val="28"/>
          <w:sz w:val="28"/>
          <w:szCs w:val="28"/>
          <w:rtl w:val="true"/>
          <w:lang w:bidi="fa-IR"/>
        </w:rPr>
        <w:t xml:space="preserve">، کما عن جامع المقاصد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أولی بعدم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غسله کافر عند فقد المسلم المماثل، أو کان المیّت مخالفاً غسله المؤمن غسل أهل الخلاف، بل و لو غسل غسل أهل الحقّ؛ لأنّه غیر صحیح مع القدرة علی غسل أهل الخلاف، و مع العجز عنه فیدخل فی الأغسال الاضطراریّة التی قلنا بعدم إسقاطها لغسل المسّ،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لا یجب تغسیله بعد الموت، کالشهید و من قدّم غسله بناءً علی أنّه غسل میّت قدّم علیه کما هو الظاهر من الروایة </w:t>
      </w:r>
      <w:r>
        <w:rPr>
          <w:rStyle w:val="FootnoteAnchor"/>
          <w:rtl w:val="true"/>
        </w:rPr>
        <w:footnoteReference w:id="2744"/>
      </w:r>
      <w:r>
        <w:rPr>
          <w:rFonts w:ascii="IRNazanin" w:hAnsi="IRNazanin" w:eastAsia="IRNazanin"/>
          <w:color w:val="111111"/>
          <w:sz w:val="28"/>
          <w:sz w:val="28"/>
          <w:szCs w:val="28"/>
          <w:rtl w:val="true"/>
          <w:lang w:bidi="fa-IR"/>
        </w:rPr>
        <w:t>فلا یجب الغسل بمسّهما؛ لأنّ الظاهر من جعل وجوب الغسل مغیّاً بما قبل التغسیل، هو ثبوته فی محلّ یجب التغسیل، مضافاً إلی ما یظهر من تعلیل غسل المسّ بما یدلّ علی أنّه لنجاسة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الظاهر أیضاً من مکاتبة الحسن بن عبید المتقدّمة </w:t>
      </w:r>
      <w:r>
        <w:rPr>
          <w:rStyle w:val="FootnoteAnchor"/>
          <w:rtl w:val="true"/>
        </w:rPr>
        <w:footnoteReference w:id="2745"/>
      </w:r>
      <w:r>
        <w:rPr>
          <w:rFonts w:ascii="IRNazanin" w:hAnsi="IRNazanin" w:eastAsia="IRNazanin"/>
          <w:color w:val="111111"/>
          <w:sz w:val="28"/>
          <w:sz w:val="28"/>
          <w:szCs w:val="28"/>
          <w:rtl w:val="true"/>
          <w:lang w:bidi="fa-IR"/>
        </w:rPr>
        <w:t>فی قضیّة الأمیر و النبیّ صلّی اللّٰه علیه و آله فی أنّ من لا ینجس بالموت لا یحتاج غاسله إلی الغسل إلّا أنّ أمیر المؤمنین علیه السلام فعل ذلک و جرت السنّة بغسل کلّ مغسِّل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بها أیضاً علی خلاف المطلب؛ بناءً علی دلالة الروایة علی أنّ الأمیر علیه السلام فعله تعبّداً لا لنجاسة النبیّ صلّی اللّٰه علیه و آله، و جرت السنّة بفعله کذلک و إن لم یکن المیّت نجساً، إلّا أنّ الأوّل أظهر، و المسألة لا تخلو من الإشکال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الأخبار و الفتاوی کون الوجوب مغیّاً بکمال غسله، فلو کمل غسل الرأس فقط، ففی سقوط الغسل کما عن المصنّف قدّس سرّه فی غیر هذا الکتاب </w:t>
      </w:r>
      <w:r>
        <w:rPr>
          <w:rStyle w:val="FootnoteAnchor"/>
          <w:rtl w:val="true"/>
        </w:rPr>
        <w:footnoteReference w:id="2746"/>
      </w:r>
      <w:r>
        <w:rPr>
          <w:rFonts w:ascii="IRNazanin" w:hAnsi="IRNazanin" w:eastAsia="IRNazanin"/>
          <w:color w:val="111111"/>
          <w:sz w:val="28"/>
          <w:sz w:val="28"/>
          <w:szCs w:val="28"/>
          <w:rtl w:val="true"/>
          <w:lang w:bidi="fa-IR"/>
        </w:rPr>
        <w:t xml:space="preserve">و الشهید </w:t>
      </w:r>
      <w:r>
        <w:rPr>
          <w:rStyle w:val="FootnoteAnchor"/>
          <w:rtl w:val="true"/>
        </w:rPr>
        <w:footnoteReference w:id="2747"/>
      </w:r>
      <w:r>
        <w:rPr>
          <w:rFonts w:ascii="Amiri" w:hAnsi="Amiri" w:eastAsia="Amiri" w:cs="Amiri"/>
          <w:color w:val="111111"/>
          <w:sz w:val="28"/>
          <w:sz w:val="28"/>
          <w:szCs w:val="28"/>
          <w:rtl w:val="true"/>
          <w:lang w:bidi="ar-SA"/>
        </w:rPr>
        <w:t xml:space="preserve">و جماعة </w:t>
      </w:r>
      <w:r>
        <w:rPr>
          <w:rStyle w:val="FootnoteAnchor"/>
          <w:rtl w:val="true"/>
        </w:rPr>
        <w:footnoteReference w:id="2748"/>
      </w:r>
      <w:r>
        <w:rPr>
          <w:rFonts w:ascii="IRNazanin" w:hAnsi="IRNazanin" w:eastAsia="IRNazanin"/>
          <w:color w:val="111111"/>
          <w:sz w:val="28"/>
          <w:sz w:val="28"/>
          <w:szCs w:val="28"/>
          <w:rtl w:val="true"/>
          <w:lang w:bidi="fa-IR"/>
        </w:rPr>
        <w:t xml:space="preserve">، أو عدمه کما عن المدارک </w:t>
      </w:r>
      <w:r>
        <w:rPr>
          <w:rStyle w:val="FootnoteAnchor"/>
          <w:rtl w:val="true"/>
        </w:rPr>
        <w:footnoteReference w:id="2749"/>
      </w:r>
    </w:p>
    <w:p>
      <w:pPr>
        <w:pStyle w:val="BookText"/>
        <w:rPr/>
      </w:pPr>
      <w:r>
        <w:rPr>
          <w:rFonts w:ascii="IRNazanin" w:hAnsi="IRNazanin" w:eastAsia="IRNazanin"/>
          <w:color w:val="111111"/>
          <w:sz w:val="28"/>
          <w:sz w:val="28"/>
          <w:szCs w:val="28"/>
          <w:rtl w:val="true"/>
          <w:lang w:bidi="fa-IR"/>
        </w:rPr>
        <w:t xml:space="preserve">و الذخیرة </w:t>
      </w:r>
      <w:r>
        <w:rPr>
          <w:rStyle w:val="FootnoteAnchor"/>
          <w:rtl w:val="true"/>
        </w:rPr>
        <w:footnoteReference w:id="2750"/>
      </w:r>
      <w:r>
        <w:rPr>
          <w:rFonts w:ascii="IRNazanin" w:hAnsi="IRNazanin" w:eastAsia="IRNazanin"/>
          <w:color w:val="111111"/>
          <w:sz w:val="28"/>
          <w:sz w:val="28"/>
          <w:szCs w:val="28"/>
          <w:rtl w:val="true"/>
          <w:lang w:bidi="fa-IR"/>
        </w:rPr>
        <w:t xml:space="preserve">و محتمل الذکری </w:t>
      </w:r>
      <w:r>
        <w:rPr>
          <w:rStyle w:val="FootnoteAnchor"/>
          <w:rtl w:val="true"/>
        </w:rPr>
        <w:footnoteReference w:id="275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752"/>
      </w:r>
      <w:r>
        <w:rPr>
          <w:rFonts w:ascii="IRNazanin" w:hAnsi="IRNazanin" w:eastAsia="IRNazanin"/>
          <w:color w:val="111111"/>
          <w:sz w:val="28"/>
          <w:sz w:val="28"/>
          <w:szCs w:val="28"/>
          <w:rtl w:val="true"/>
          <w:lang w:bidi="fa-IR"/>
        </w:rPr>
        <w:t xml:space="preserve">و ظاهر الروض </w:t>
      </w:r>
      <w:r>
        <w:rPr>
          <w:rStyle w:val="FootnoteAnchor"/>
          <w:rtl w:val="true"/>
        </w:rPr>
        <w:footnoteReference w:id="2753"/>
      </w:r>
      <w:r>
        <w:rPr>
          <w:rFonts w:ascii="IRNazanin" w:hAnsi="IRNazanin" w:eastAsia="IRNazanin"/>
          <w:color w:val="111111"/>
          <w:sz w:val="28"/>
          <w:sz w:val="28"/>
          <w:szCs w:val="28"/>
          <w:rtl w:val="true"/>
          <w:lang w:bidi="fa-IR"/>
        </w:rPr>
        <w:t xml:space="preserve">، قولان، أقواهما الثانی؛ للأصل و الإطلاقات </w:t>
      </w:r>
      <w:r>
        <w:rPr>
          <w:rStyle w:val="FootnoteAnchor"/>
          <w:rtl w:val="true"/>
        </w:rPr>
        <w:footnoteReference w:id="2754"/>
      </w:r>
      <w:r>
        <w:rPr>
          <w:rFonts w:ascii="IRNazanin" w:hAnsi="IRNazanin" w:eastAsia="IRNazanin"/>
          <w:color w:val="111111"/>
          <w:sz w:val="28"/>
          <w:sz w:val="28"/>
          <w:szCs w:val="28"/>
          <w:rtl w:val="true"/>
          <w:lang w:bidi="fa-IR"/>
        </w:rPr>
        <w:t xml:space="preserve">، و منع دوران وجوب الغسل مدار النجاسة؛ لعدم الدلیل علی التلازم، بل منع زوال النجاسة عن العضو قبل کمال الغسل، و لا منافاة فیه للقواعد الفقهیّة، کما فی الروض </w:t>
      </w:r>
      <w:r>
        <w:rPr>
          <w:rStyle w:val="FootnoteAnchor"/>
          <w:rtl w:val="true"/>
        </w:rPr>
        <w:footnoteReference w:id="2755"/>
      </w:r>
      <w:r>
        <w:rPr>
          <w:rFonts w:ascii="IRNazanin" w:hAnsi="IRNazanin" w:eastAsia="IRNazanin"/>
          <w:color w:val="111111"/>
          <w:sz w:val="28"/>
          <w:sz w:val="28"/>
          <w:szCs w:val="28"/>
          <w:rtl w:val="true"/>
          <w:lang w:bidi="fa-IR"/>
        </w:rPr>
        <w:t>و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طهارة المحلّ من الخبث تحصل بمجرّد انفصال الغسالة، و لا یتوقّف علی تطهیر جزء آخر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عدم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إنّما یکفی فیما إذا علّق الشارع الزوال علی الغَسل بالفتح الذی یحصل من دون توقّف علی غسل جزء آخر، دون ما إذا علّقه علی الغُسل بالضمّ الذی لا یحصل إلّا بغسل تمام الأجزاء، فالطهارة فی کلّ مقام تتوقّف علی حصول ما جعل مطهّراً، و هذا غایة المراعاة للقواعد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أصل توقّف زوال الخبث علی تحقّق أمر زائد علی الغَسل بالفتح بل علی مطلق إصابة الماء للمحلّ منافٍ ظاهراً لما ثبت فی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 الطهارة بمجرّد إصابة الماء أو مع انفصاله، لکن التأمّل یعطی أنّ ذلک إنّما هو فی تطهیر المتنجّس لا نجس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طهارة المیّت بالغُسل بالضمّ حکمٌ خاصٌّ لموضوعٍ خاصٍّ لا نظیر له من حیث الحکم و لا من حیث الموضوع،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فرق فی ظاهر الأخبار و الفتاوی بین المیّت المسلم و الکافر، کما حکی التصریح به عن المصنّف </w:t>
      </w:r>
      <w:r>
        <w:rPr>
          <w:rStyle w:val="FootnoteAnchor"/>
          <w:rtl w:val="true"/>
        </w:rPr>
        <w:footnoteReference w:id="2757"/>
      </w:r>
      <w:r>
        <w:rPr>
          <w:rFonts w:ascii="IRNazanin" w:hAnsi="IRNazanin" w:eastAsia="IRNazanin"/>
          <w:color w:val="111111"/>
          <w:sz w:val="28"/>
          <w:sz w:val="28"/>
          <w:szCs w:val="28"/>
          <w:rtl w:val="true"/>
          <w:lang w:bidi="fa-IR"/>
        </w:rPr>
        <w:t xml:space="preserve">و الشهید </w:t>
      </w:r>
      <w:r>
        <w:rPr>
          <w:rStyle w:val="FootnoteAnchor"/>
          <w:rtl w:val="true"/>
        </w:rPr>
        <w:footnoteReference w:id="2758"/>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المصنّف فی المنتهی </w:t>
      </w:r>
      <w:r>
        <w:rPr>
          <w:rStyle w:val="FootnoteAnchor"/>
          <w:rtl w:val="true"/>
        </w:rPr>
        <w:footnoteReference w:id="2760"/>
      </w:r>
      <w:r>
        <w:rPr>
          <w:rFonts w:ascii="IRNazanin" w:hAnsi="IRNazanin" w:eastAsia="IRNazanin"/>
          <w:color w:val="111111"/>
          <w:sz w:val="28"/>
          <w:sz w:val="28"/>
          <w:szCs w:val="28"/>
          <w:rtl w:val="true"/>
          <w:lang w:bidi="fa-IR"/>
        </w:rPr>
        <w:t xml:space="preserve">و التحریر </w:t>
      </w:r>
      <w:r>
        <w:rPr>
          <w:rStyle w:val="FootnoteAnchor"/>
          <w:rtl w:val="true"/>
        </w:rPr>
        <w:footnoteReference w:id="2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الکافر، و لعلّه نظیر ما ذکرنا فی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من جعل الغسل غایة لوجوب غسل المسّ اختصاص الحکم بمن یؤثّر فیه التغسیل دون من لا یؤثّر، أمّا بدونه کالشهید أو بقاء نجاسة معه کالکافر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مستند الغسل لیس منحصراً فیما یدلّ علی بیان الغایة؛ فإنّ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العمومات المعلّقة للحکم علی المیّت </w:t>
      </w:r>
      <w:r>
        <w:rPr>
          <w:rStyle w:val="FootnoteAnchor"/>
          <w:rtl w:val="true"/>
        </w:rPr>
        <w:footnoteReference w:id="2762"/>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تعلیل وجوب الغسل بنجاسة المیّت </w:t>
      </w:r>
      <w:r>
        <w:rPr>
          <w:rStyle w:val="FootnoteAnchor"/>
          <w:rtl w:val="true"/>
        </w:rPr>
        <w:footnoteReference w:id="2763"/>
      </w:r>
      <w:r>
        <w:rPr>
          <w:rFonts w:ascii="IRNazanin" w:hAnsi="IRNazanin" w:eastAsia="IRNazanin"/>
          <w:color w:val="111111"/>
          <w:sz w:val="28"/>
          <w:sz w:val="28"/>
          <w:szCs w:val="28"/>
          <w:rtl w:val="true"/>
          <w:lang w:bidi="fa-IR"/>
        </w:rPr>
        <w:t>، و هی موجودة فی الکافر زیادة علی نجاسة کفره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المتنجّس و النجس النجاسة العینیّة و العرضیّة، مع أنّ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فالبهائم و الطیر إذا مسّها، 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هذا کالإنسان</w:t>
      </w:r>
      <w:r>
        <w:rPr>
          <w:rFonts w:eastAsia="IRNazanin" w:cs="IRNazanin"/>
          <w:color w:val="111111"/>
          <w:sz w:val="28"/>
          <w:szCs w:val="28"/>
          <w:rtl w:val="true"/>
          <w:lang w:bidi="fa-IR"/>
        </w:rPr>
        <w:t xml:space="preserve">» </w:t>
      </w:r>
      <w:r>
        <w:rPr>
          <w:rStyle w:val="FootnoteAnchor"/>
          <w:rtl w:val="true"/>
        </w:rPr>
        <w:footnoteReference w:id="2764"/>
      </w:r>
      <w:r>
        <w:rPr>
          <w:rFonts w:ascii="IRNazanin" w:hAnsi="IRNazanin" w:eastAsia="IRNazanin"/>
          <w:color w:val="111111"/>
          <w:sz w:val="28"/>
          <w:sz w:val="28"/>
          <w:szCs w:val="28"/>
          <w:rtl w:val="true"/>
          <w:lang w:bidi="fa-IR"/>
        </w:rPr>
        <w:t>ظاهرة فی ثبوته لمطلق</w:t>
      </w:r>
    </w:p>
    <w:p>
      <w:pPr>
        <w:pStyle w:val="BookText"/>
        <w:rPr/>
      </w:pPr>
      <w:r>
        <w:rPr>
          <w:rFonts w:ascii="IRNazanin" w:hAnsi="IRNazanin" w:eastAsia="IRNazanin"/>
          <w:color w:val="111111"/>
          <w:sz w:val="28"/>
          <w:sz w:val="28"/>
          <w:szCs w:val="28"/>
          <w:rtl w:val="true"/>
          <w:lang w:bidi="fa-IR"/>
        </w:rPr>
        <w:t>الإنسان المقابل للبهائم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یمسّ المیتة، أ 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من الإنسان</w:t>
      </w:r>
      <w:r>
        <w:rPr>
          <w:rFonts w:eastAsia="IRNazanin" w:cs="IRNazanin"/>
          <w:color w:val="111111"/>
          <w:sz w:val="28"/>
          <w:szCs w:val="28"/>
          <w:rtl w:val="true"/>
          <w:lang w:bidi="fa-IR"/>
        </w:rPr>
        <w:t xml:space="preserve">» </w:t>
      </w:r>
      <w:r>
        <w:rPr>
          <w:rStyle w:val="FootnoteAnchor"/>
          <w:rtl w:val="true"/>
        </w:rPr>
        <w:footnoteReference w:id="2765"/>
      </w:r>
      <w:r>
        <w:rPr>
          <w:rFonts w:ascii="IRNazanin" w:hAnsi="IRNazanin" w:eastAsia="IRNazanin"/>
          <w:color w:val="111111"/>
          <w:sz w:val="28"/>
          <w:sz w:val="28"/>
          <w:szCs w:val="28"/>
          <w:rtl w:val="true"/>
          <w:lang w:bidi="fa-IR"/>
        </w:rPr>
        <w:t xml:space="preserve">، و مثلها صحیحة الحلبی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نحوهما ما عن علل الفضل بن شاذان عن مولانا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لم یجب الغسل علی من مسّ شیئاً من الأموات غیر الإنسان کالطیور و البهائم و السباع و غیر ذلک؛ لأنّ هذه الأشیاء کلّها ملبّسة ریشاً و صوفاً و شعراً و وبراً، و هذا کلّه ذکی </w:t>
      </w:r>
      <w:r>
        <w:rPr>
          <w:rStyle w:val="FootnoteAnchor"/>
          <w:rtl w:val="true"/>
        </w:rPr>
        <w:footnoteReference w:id="2767"/>
      </w:r>
      <w:r>
        <w:rPr>
          <w:rFonts w:ascii="IRNazanin" w:hAnsi="IRNazanin" w:eastAsia="IRNazanin"/>
          <w:color w:val="111111"/>
          <w:sz w:val="28"/>
          <w:sz w:val="28"/>
          <w:szCs w:val="28"/>
          <w:rtl w:val="true"/>
          <w:lang w:bidi="fa-IR"/>
        </w:rPr>
        <w:t xml:space="preserve">لا یموت، و إنّما یماس منه الشی‌ء الذی هو ذکی </w:t>
      </w:r>
      <w:r>
        <w:rPr>
          <w:rStyle w:val="FootnoteAnchor"/>
          <w:rtl w:val="true"/>
        </w:rPr>
        <w:footnoteReference w:id="2768"/>
      </w:r>
      <w:r>
        <w:rPr>
          <w:rFonts w:ascii="Amiri" w:hAnsi="Amiri" w:eastAsia="Amiri" w:cs="Amiri"/>
          <w:color w:val="111111"/>
          <w:sz w:val="28"/>
          <w:sz w:val="28"/>
          <w:szCs w:val="28"/>
          <w:rtl w:val="true"/>
          <w:lang w:bidi="ar-SA"/>
        </w:rPr>
        <w:t xml:space="preserve">من الحیّ و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یظهر من هذا التعلیل اعتبار کون الجزء الممسوس من المیّت ممّا تحلّه الحیاة، لا کظفره و شعره و عظمه وفاقاً للروض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روایة عاصم بن حمید </w:t>
      </w:r>
      <w:r>
        <w:rPr>
          <w:rStyle w:val="FootnoteAnchor"/>
          <w:rtl w:val="true"/>
        </w:rPr>
        <w:footnoteReference w:id="2771"/>
      </w:r>
      <w:r>
        <w:rPr>
          <w:rFonts w:ascii="IRNazanin" w:hAnsi="IRNazanin" w:eastAsia="IRNazanin"/>
          <w:color w:val="111111"/>
          <w:sz w:val="28"/>
          <w:sz w:val="28"/>
          <w:szCs w:val="28"/>
          <w:rtl w:val="true"/>
          <w:lang w:bidi="fa-IR"/>
        </w:rPr>
        <w:t xml:space="preserve">و مکاتبة الصفّار </w:t>
      </w:r>
      <w:r>
        <w:rPr>
          <w:rStyle w:val="FootnoteAnchor"/>
          <w:rtl w:val="true"/>
        </w:rPr>
        <w:footnoteReference w:id="2772"/>
      </w:r>
      <w:r>
        <w:rPr>
          <w:rFonts w:ascii="IRNazanin" w:hAnsi="IRNazanin" w:eastAsia="IRNazanin"/>
          <w:color w:val="111111"/>
          <w:sz w:val="28"/>
          <w:sz w:val="28"/>
          <w:szCs w:val="28"/>
          <w:rtl w:val="true"/>
          <w:lang w:bidi="fa-IR"/>
        </w:rPr>
        <w:t>، حیث علّق الغسل فیهما علی مسّ الجسد بعد برده؛ فإنّ الظاهر من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بعد اتصافه بالبرودة مقابل مطلق ما عداه، و منه شعر لحیته سیّما إذا طالت، لا مقابل ثیاب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الخدشة فی علّیة ما ذکره الإمام علیه السلام، و أنّ ذلک من باب إظهار بعض الحِکَم الخفیّة التی لا تنطبق بظاهرها علی ظاهر ما فی أیدینا من القواعد؛ و لذا لا یحکم بوجوب الغسل إذا مسّ نفس جسد البهائم دون إشعارها و أوبارها، مدفوعة بعد تسلیم منع علّیة العلّة بمجرّد عدم فهمنا للارتباط الواقعی بینها و بین المعلول أنّ </w:t>
      </w:r>
      <w:r>
        <w:rPr>
          <w:rStyle w:val="FootnoteAnchor"/>
          <w:rtl w:val="true"/>
        </w:rPr>
        <w:footnoteReference w:id="2773"/>
      </w:r>
      <w:r>
        <w:rPr>
          <w:rFonts w:ascii="IRNazanin" w:hAnsi="IRNazanin" w:eastAsia="IRNazanin"/>
          <w:color w:val="111111"/>
          <w:sz w:val="28"/>
          <w:sz w:val="28"/>
          <w:szCs w:val="28"/>
          <w:rtl w:val="true"/>
          <w:lang w:bidi="fa-IR"/>
        </w:rPr>
        <w:t>تخلّف الحکمة عن الحکم غیر ضارٍّ؛ فإنّ الظاهر من هذا التعلیل عدم وجوب الغسل لمسّ ما لا تحلّه الحیاة من الإنسان سواء جعلناها علّة حقیقیّة أم لا، و عدم کون العلّة علّة حقیقیّة لا ینافی اعتبار ظهور العلّة فی حکم الحرمة، أ لا تری أنّا نستدلّ بقوله علیه السلام فی تعلیل مشروعیّة التیمّم لفاقد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 الماء ربّ الصعید</w:t>
      </w:r>
      <w:r>
        <w:rPr>
          <w:rFonts w:eastAsia="IRNazanin" w:cs="IRNazanin"/>
          <w:color w:val="111111"/>
          <w:sz w:val="28"/>
          <w:szCs w:val="28"/>
          <w:rtl w:val="true"/>
          <w:lang w:bidi="fa-IR"/>
        </w:rPr>
        <w:t xml:space="preserve">» </w:t>
      </w:r>
      <w:r>
        <w:rPr>
          <w:rStyle w:val="FootnoteAnchor"/>
          <w:rtl w:val="true"/>
        </w:rPr>
        <w:footnoteReference w:id="2774"/>
      </w:r>
      <w:r>
        <w:rPr>
          <w:rFonts w:ascii="IRNazanin" w:hAnsi="IRNazanin" w:eastAsia="IRNazanin"/>
          <w:color w:val="111111"/>
          <w:sz w:val="28"/>
          <w:sz w:val="28"/>
          <w:szCs w:val="28"/>
          <w:rtl w:val="true"/>
          <w:lang w:bidi="fa-IR"/>
        </w:rPr>
        <w:t>علی تسویة حکم استعمال الماء و استعمال الصعید عند عدمه فی جمیع الآثار، مع أنّا لا نفهم الارتباط بین وحدة ربّهما و بین قیام أحدهما مقام الآخر، فالأقوی اعتبار حلول الحیاة فی الممسوس</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عن الذکری بعد استقراب وجوب الغسل بمسّ العظم المجرّد المنفصل،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السنّ و الضرس فالأولی القطع بعدم وجوب الغسل بمسّهما؛ لأنّهما فی حکم الشعر و الظفر، هذا مع الانفصال، و أمّا مع الاتصال فیمکن المساواة؛ لعدم نجاستهما بالموت، و الوجوب؛ لأنّهما من جملةٍ یجب</w:t>
      </w:r>
    </w:p>
    <w:p>
      <w:pPr>
        <w:pStyle w:val="BookText"/>
        <w:rPr/>
      </w:pPr>
      <w:r>
        <w:rPr>
          <w:rFonts w:ascii="IRNazanin" w:hAnsi="IRNazanin" w:eastAsia="IRNazanin"/>
          <w:color w:val="111111"/>
          <w:sz w:val="28"/>
          <w:sz w:val="28"/>
          <w:szCs w:val="28"/>
          <w:rtl w:val="true"/>
          <w:lang w:bidi="fa-IR"/>
        </w:rPr>
        <w:t xml:space="preserve">الغسل بمسّهما </w:t>
      </w:r>
      <w:r>
        <w:rPr>
          <w:rStyle w:val="FootnoteAnchor"/>
          <w:rtl w:val="true"/>
        </w:rPr>
        <w:footnoteReference w:id="277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عدم نجاستهما بالموت لا یعارض الإطلاقات الدالّة علی وجوب الغسل بمسّ المیّت الصادق بمسّهما، فلا یعدّ ذلک وجهاً لعدم الوجوب، إلّا علی ما استظهرناه سابقاً من أخبار تعلیل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کون الممسوس ممّا لا یبقی طاهراً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العلل المتقدّمة </w:t>
      </w:r>
      <w:r>
        <w:rPr>
          <w:rStyle w:val="FootnoteAnchor"/>
          <w:rtl w:val="true"/>
        </w:rPr>
        <w:footnoteReference w:id="2776"/>
      </w:r>
      <w:r>
        <w:rPr>
          <w:rFonts w:ascii="IRNazanin" w:hAnsi="IRNazanin" w:eastAsia="IRNazanin"/>
          <w:color w:val="111111"/>
          <w:sz w:val="28"/>
          <w:sz w:val="28"/>
          <w:szCs w:val="28"/>
          <w:rtl w:val="true"/>
          <w:lang w:bidi="fa-IR"/>
        </w:rPr>
        <w:t>الحسنة کالصحیح، کما یظهر من طریق الصدوق إلی الفضل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مع ذلک فالاحتیاط یقضی العمل بالإطلاقات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الممسوس، و أمّا الماسّ فالظاهر وجوب الغسل بالمسّ بکلّ ما لا تحلّه الحیاة إلّا إذا لم یصدق بمسّه أنّه مسّ میّتاً، کما لا یبعد ذلک فی المسّ بطرف الشعر الطویل بل مطلق الشعر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من الروض اعتبار الحیاة فی الماسّ و الممسوس،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کلّ ما حکم فی مسّه بوجوب الغسل مشروط بمسّ ما تحلّه الحیاة من اللامس لما تحلّه الحیاة من الملموس، فلو انتفی أحد الأمرین لم یجب الغسل،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غیر العظم </w:t>
      </w:r>
      <w:r>
        <w:rPr>
          <w:rStyle w:val="FootnoteAnchor"/>
          <w:rtl w:val="true"/>
        </w:rPr>
        <w:footnoteReference w:id="2777"/>
      </w:r>
      <w:r>
        <w:rPr>
          <w:rFonts w:ascii="IRNazanin" w:hAnsi="IRNazanin" w:eastAsia="IRNazanin"/>
          <w:color w:val="111111"/>
          <w:sz w:val="28"/>
          <w:sz w:val="28"/>
          <w:szCs w:val="28"/>
          <w:rtl w:val="true"/>
          <w:lang w:bidi="fa-IR"/>
        </w:rPr>
        <w:t>المجرّد کالشعر و الظفر، لمساواته العظم</w:t>
      </w:r>
    </w:p>
    <w:p>
      <w:pPr>
        <w:pStyle w:val="BookText"/>
        <w:rPr/>
      </w:pPr>
      <w:r>
        <w:rPr>
          <w:rFonts w:ascii="IRNazanin" w:hAnsi="IRNazanin" w:eastAsia="IRNazanin"/>
          <w:color w:val="111111"/>
          <w:sz w:val="28"/>
          <w:sz w:val="28"/>
          <w:szCs w:val="28"/>
          <w:rtl w:val="true"/>
          <w:lang w:bidi="fa-IR"/>
        </w:rPr>
        <w:t xml:space="preserve">فی ذلک، و لا فرق فی الإشکال بین کون العظم و الظفر من اللامس أو الملموس </w:t>
      </w:r>
      <w:r>
        <w:rPr>
          <w:rStyle w:val="FootnoteAnchor"/>
          <w:rtl w:val="true"/>
        </w:rPr>
        <w:footnoteReference w:id="277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تقدّم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إشارة إلی ما یأتی من کلامه فی مسألة العظم المجرّد المنفصل </w:t>
      </w:r>
      <w:r>
        <w:rPr>
          <w:rStyle w:val="FootnoteAnchor"/>
          <w:rtl w:val="true"/>
        </w:rPr>
        <w:footnoteReference w:id="2779"/>
      </w:r>
      <w:r>
        <w:rPr>
          <w:rFonts w:ascii="IRNazanin" w:hAnsi="IRNazanin" w:eastAsia="IRNazanin"/>
          <w:color w:val="111111"/>
          <w:sz w:val="28"/>
          <w:sz w:val="28"/>
          <w:szCs w:val="28"/>
          <w:rtl w:val="true"/>
          <w:lang w:bidi="fa-IR"/>
        </w:rPr>
        <w:t>، و لا یخفی أنّه لا یظهر منه وجه للإشکال فی طرف اللامس،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وجه قوّة الإشکال فی السنّ </w:t>
      </w:r>
      <w:r>
        <w:rPr>
          <w:rStyle w:val="FootnoteAnchor"/>
          <w:rtl w:val="true"/>
        </w:rPr>
        <w:footnoteReference w:id="2780"/>
      </w:r>
      <w:r>
        <w:rPr>
          <w:rFonts w:ascii="IRNazanin" w:hAnsi="IRNazanin" w:eastAsia="IRNazanin"/>
          <w:color w:val="111111"/>
          <w:sz w:val="28"/>
          <w:sz w:val="28"/>
          <w:szCs w:val="28"/>
          <w:rtl w:val="true"/>
          <w:lang w:bidi="fa-IR"/>
        </w:rPr>
        <w:t>فلعلّه لما عن الشیخ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الأسنان ممّا تحلّه الحیاة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فلنرجع إلی ما ذکره المصنّف قدّس سرّه من الحکم، و هو وجوب الغسل بمسّ القطعة، و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القطعة المنفصلة إن کانت ذات عظم، فالمعروف ممّن عدا المحقّق قدّس سرّه فی المعتبر </w:t>
      </w:r>
      <w:r>
        <w:rPr>
          <w:rStyle w:val="FootnoteAnchor"/>
          <w:rtl w:val="true"/>
        </w:rPr>
        <w:footnoteReference w:id="2781"/>
      </w:r>
      <w:r>
        <w:rPr>
          <w:rFonts w:ascii="IRNazanin" w:hAnsi="IRNazanin" w:eastAsia="IRNazanin"/>
          <w:color w:val="111111"/>
          <w:sz w:val="28"/>
          <w:sz w:val="28"/>
          <w:szCs w:val="28"/>
          <w:rtl w:val="true"/>
          <w:lang w:bidi="fa-IR"/>
        </w:rPr>
        <w:t xml:space="preserve">وجوب الغسل بمسّها، و حکی صریحاً عن الفقیه </w:t>
      </w:r>
      <w:r>
        <w:rPr>
          <w:rStyle w:val="FootnoteAnchor"/>
          <w:rtl w:val="true"/>
        </w:rPr>
        <w:footnoteReference w:id="2782"/>
      </w:r>
      <w:r>
        <w:rPr>
          <w:rFonts w:ascii="IRNazanin" w:hAnsi="IRNazanin" w:eastAsia="IRNazanin"/>
          <w:color w:val="111111"/>
          <w:sz w:val="28"/>
          <w:sz w:val="28"/>
          <w:szCs w:val="28"/>
          <w:rtl w:val="true"/>
          <w:lang w:bidi="fa-IR"/>
        </w:rPr>
        <w:t xml:space="preserve">و النهایة </w:t>
      </w:r>
      <w:r>
        <w:rPr>
          <w:rStyle w:val="FootnoteAnchor"/>
          <w:rtl w:val="true"/>
        </w:rPr>
        <w:footnoteReference w:id="2783"/>
      </w:r>
      <w:r>
        <w:rPr>
          <w:rFonts w:ascii="IRNazanin" w:hAnsi="IRNazanin" w:eastAsia="IRNazanin"/>
          <w:color w:val="111111"/>
          <w:sz w:val="28"/>
          <w:sz w:val="28"/>
          <w:szCs w:val="28"/>
          <w:rtl w:val="true"/>
          <w:lang w:bidi="fa-IR"/>
        </w:rPr>
        <w:t xml:space="preserve">و الخلاف </w:t>
      </w:r>
      <w:r>
        <w:rPr>
          <w:rStyle w:val="FootnoteAnchor"/>
          <w:rtl w:val="true"/>
        </w:rPr>
        <w:footnoteReference w:id="2784"/>
      </w:r>
      <w:r>
        <w:rPr>
          <w:rFonts w:ascii="IRNazanin" w:hAnsi="IRNazanin" w:eastAsia="IRNazanin"/>
          <w:color w:val="111111"/>
          <w:sz w:val="28"/>
          <w:sz w:val="28"/>
          <w:szCs w:val="28"/>
          <w:rtl w:val="true"/>
          <w:lang w:bidi="fa-IR"/>
        </w:rPr>
        <w:t xml:space="preserve">و السرائر </w:t>
      </w:r>
      <w:r>
        <w:rPr>
          <w:rStyle w:val="FootnoteAnchor"/>
          <w:rtl w:val="true"/>
        </w:rPr>
        <w:footnoteReference w:id="2785"/>
      </w:r>
      <w:r>
        <w:rPr>
          <w:rFonts w:ascii="IRNazanin" w:hAnsi="IRNazanin" w:eastAsia="IRNazanin"/>
          <w:color w:val="111111"/>
          <w:sz w:val="28"/>
          <w:sz w:val="28"/>
          <w:szCs w:val="28"/>
          <w:rtl w:val="true"/>
          <w:lang w:bidi="fa-IR"/>
        </w:rPr>
        <w:t xml:space="preserve">و الوسیلة </w:t>
      </w:r>
      <w:r>
        <w:rPr>
          <w:rStyle w:val="FootnoteAnchor"/>
          <w:rtl w:val="true"/>
        </w:rPr>
        <w:footnoteReference w:id="2786"/>
      </w:r>
      <w:r>
        <w:rPr>
          <w:rFonts w:ascii="IRNazanin" w:hAnsi="IRNazanin" w:eastAsia="IRNazanin"/>
          <w:color w:val="111111"/>
          <w:sz w:val="28"/>
          <w:sz w:val="28"/>
          <w:szCs w:val="28"/>
          <w:rtl w:val="true"/>
          <w:lang w:bidi="fa-IR"/>
        </w:rPr>
        <w:t xml:space="preserve">و الجامع </w:t>
      </w:r>
      <w:r>
        <w:rPr>
          <w:rStyle w:val="FootnoteAnchor"/>
          <w:rtl w:val="true"/>
        </w:rPr>
        <w:footnoteReference w:id="2787"/>
      </w:r>
    </w:p>
    <w:p>
      <w:pPr>
        <w:pStyle w:val="BookText"/>
        <w:rPr/>
      </w:pPr>
      <w:r>
        <w:rPr>
          <w:rFonts w:ascii="IRNazanin" w:hAnsi="IRNazanin" w:eastAsia="IRNazanin"/>
          <w:color w:val="111111"/>
          <w:sz w:val="28"/>
          <w:sz w:val="28"/>
          <w:szCs w:val="28"/>
          <w:rtl w:val="true"/>
          <w:lang w:bidi="fa-IR"/>
        </w:rPr>
        <w:t xml:space="preserve">و الشرائع </w:t>
      </w:r>
      <w:r>
        <w:rPr>
          <w:rStyle w:val="FootnoteAnchor"/>
          <w:rtl w:val="true"/>
        </w:rPr>
        <w:footnoteReference w:id="2788"/>
      </w:r>
      <w:r>
        <w:rPr>
          <w:rFonts w:ascii="IRNazanin" w:hAnsi="IRNazanin" w:eastAsia="IRNazanin"/>
          <w:color w:val="111111"/>
          <w:sz w:val="28"/>
          <w:sz w:val="28"/>
          <w:szCs w:val="28"/>
          <w:rtl w:val="true"/>
          <w:lang w:bidi="fa-IR"/>
        </w:rPr>
        <w:t xml:space="preserve">و النافع </w:t>
      </w:r>
      <w:r>
        <w:rPr>
          <w:rStyle w:val="FootnoteAnchor"/>
          <w:rtl w:val="true"/>
        </w:rPr>
        <w:footnoteReference w:id="2789"/>
      </w:r>
      <w:r>
        <w:rPr>
          <w:rFonts w:ascii="IRNazanin" w:hAnsi="IRNazanin" w:eastAsia="IRNazanin"/>
          <w:color w:val="111111"/>
          <w:sz w:val="28"/>
          <w:sz w:val="28"/>
          <w:szCs w:val="28"/>
          <w:rtl w:val="true"/>
          <w:lang w:bidi="fa-IR"/>
        </w:rPr>
        <w:t xml:space="preserve">و کتب المصنّف </w:t>
      </w:r>
      <w:r>
        <w:rPr>
          <w:rStyle w:val="FootnoteAnchor"/>
          <w:rtl w:val="true"/>
        </w:rPr>
        <w:footnoteReference w:id="2790"/>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79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792"/>
      </w:r>
      <w:r>
        <w:rPr>
          <w:rFonts w:ascii="IRNazanin" w:hAnsi="IRNazanin" w:eastAsia="IRNazanin"/>
          <w:color w:val="111111"/>
          <w:sz w:val="28"/>
          <w:sz w:val="28"/>
          <w:szCs w:val="28"/>
          <w:rtl w:val="true"/>
          <w:lang w:bidi="fa-IR"/>
        </w:rPr>
        <w:t xml:space="preserve">و غیرهم </w:t>
      </w:r>
      <w:r>
        <w:rPr>
          <w:rStyle w:val="FootnoteAnchor"/>
          <w:rtl w:val="true"/>
        </w:rPr>
        <w:footnoteReference w:id="2793"/>
      </w:r>
      <w:r>
        <w:rPr>
          <w:rFonts w:ascii="IRNazanin" w:hAnsi="IRNazanin" w:eastAsia="IRNazanin"/>
          <w:color w:val="111111"/>
          <w:sz w:val="28"/>
          <w:sz w:val="28"/>
          <w:szCs w:val="28"/>
          <w:rtl w:val="true"/>
          <w:lang w:bidi="fa-IR"/>
        </w:rPr>
        <w:t>،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فی المبانة من الحیّ و المیّت، و مخالفة جمیع الفقهاء فی ذلک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بعد الإجماع المؤیّد بموافقة المشهور و مخالفة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أیّوب بن نوح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من المیّت قطعة فهی میتة، فإذا مسّها إنسان فکلّ ما کان فیه عظم فقد وجب علی کلّ من مسّه الغسل، و إن لم یکن فیه عظم فلا غسل علیه</w:t>
      </w:r>
      <w:r>
        <w:rPr>
          <w:rFonts w:eastAsia="IRNazanin" w:cs="IRNazanin"/>
          <w:color w:val="111111"/>
          <w:sz w:val="28"/>
          <w:szCs w:val="28"/>
          <w:rtl w:val="true"/>
          <w:lang w:bidi="fa-IR"/>
        </w:rPr>
        <w:t xml:space="preserve">»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مسست شیئاً من جسد أکیل السبع فعلیک الغسل إن کان فیما مسسته عظم، و ما لم یکن فیه عظم فلا غسل علیک فی مسّه</w:t>
      </w:r>
      <w:r>
        <w:rPr>
          <w:rFonts w:eastAsia="IRNazanin" w:cs="IRNazanin"/>
          <w:color w:val="111111"/>
          <w:sz w:val="28"/>
          <w:szCs w:val="28"/>
          <w:rtl w:val="true"/>
          <w:lang w:bidi="fa-IR"/>
        </w:rPr>
        <w:t xml:space="preserve">»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 السند بالإرسال مجبور بما عرفت، فقدح المحقّق فیها فی المعتبر </w:t>
      </w:r>
      <w:r>
        <w:rPr>
          <w:rStyle w:val="FootnoteAnchor"/>
          <w:rtl w:val="true"/>
        </w:rPr>
        <w:footnoteReference w:id="2797"/>
      </w:r>
      <w:r>
        <w:rPr>
          <w:rFonts w:ascii="IRNazanin" w:hAnsi="IRNazanin" w:eastAsia="IRNazanin"/>
          <w:color w:val="111111"/>
          <w:sz w:val="28"/>
          <w:sz w:val="28"/>
          <w:szCs w:val="28"/>
          <w:rtl w:val="true"/>
          <w:lang w:bidi="fa-IR"/>
        </w:rPr>
        <w:t>غیر قادح، مع أنّه ممّن یعمل بالأخبار عند عمل الأصحاب بها و إن لم یصحّ سنده، مع أنّه لا مجال للتأمّل فی المنفصل من المیّت إذ لو أثّر اتصال أجزاء المیّت فی الحکم لأثّر فی الحکم بنجاسة المیّت؛ لأنّ الأخبار إنّما دلّت علی نجاسة المیتة، و هی لا تصدق علی جزء منها و فی الحکم بوجوب تغسیله لو لم نجد المیّت تامّ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ینبغی الإشکال فی المبانة من الحیّ لولا الدلیل الخارجی، من حیث عدم الدلیل علی جریان الأحکام علیها حتّی نجاستها و وجوب تغسیلها و الاغتسال بمسّها؛ إذ لا یصدق علیها عنوان المیّت و لا جزء المیّت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بخروج الروح عنه یصدق الموت علیه، ممنوعة؛ فإنّ الموت عدم الحیاة ممّن من شأنه أن یکون حیّاً، و لا یتّصف العضو بالحیاة إلّا تبعاً للکلّ، فالحیاة فی الحقیقة من صفات الإنسان، فانقطاع تعلّق روح الکلّ عن بعض أجزائه و انحصار محلّه فی باقیها لا یوجب عند التحقیق صدق الموت علی ذلک الجزء إلّا مجازاً لعدم التحرّک و النموّ و الحسّ، کما یشهد به صدقه حال اتصال العضو المفروض، و لو سلّم الصدق لکن لا شکّ أنّ المیّت فی الأخبار هو الإنسان الذی خرج عنه الروح، و ثبوت الحکم لبعض أجزاء المیّت قد عرفت أنّه لأجل انفهامه من أدلّة المیّت کما یفهم النجاسة، بل ناقش فی ذلک أیضاً صاحب المدارک </w:t>
      </w:r>
      <w:r>
        <w:rPr>
          <w:rStyle w:val="FootnoteAnchor"/>
          <w:rtl w:val="true"/>
        </w:rPr>
        <w:footnoteReference w:id="2798"/>
      </w:r>
      <w:r>
        <w:rPr>
          <w:rFonts w:ascii="IRNazanin" w:hAnsi="IRNazanin" w:eastAsia="IRNazanin"/>
          <w:color w:val="111111"/>
          <w:sz w:val="28"/>
          <w:sz w:val="28"/>
          <w:szCs w:val="28"/>
          <w:rtl w:val="true"/>
          <w:lang w:bidi="fa-IR"/>
        </w:rPr>
        <w:t xml:space="preserve">، کما سیأتی فی باب النجاسات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فالعمدة فی الحکم عموم المرسلة، بل ظهورها فی الحیّ مع انجبارها بالإجماع المتقدّم عن الخلاف المصرّح فیه بالتعمیم </w:t>
      </w:r>
      <w:r>
        <w:rPr>
          <w:rStyle w:val="FootnoteAnchor"/>
          <w:rtl w:val="true"/>
        </w:rPr>
        <w:footnoteReference w:id="2800"/>
      </w:r>
      <w:r>
        <w:rPr>
          <w:rFonts w:ascii="IRNazanin" w:hAnsi="IRNazanin" w:eastAsia="IRNazanin"/>
          <w:color w:val="111111"/>
          <w:sz w:val="28"/>
          <w:sz w:val="28"/>
          <w:szCs w:val="28"/>
          <w:rtl w:val="true"/>
          <w:lang w:bidi="fa-IR"/>
        </w:rPr>
        <w:t>، بل قد عرفت أنّها العمدة أیضاً فی وجوب تغسیل هذه القطعة فی باب غسل المیّت لا حصول صفة الموت فی نفسها،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المشهور کما یظهر من بعض عدم وجوب الغسل بمسّ العظم المجرّد المنفصل، بل مقتضی ما تقدّم فی اعتبار حیاة الملموس </w:t>
      </w:r>
      <w:r>
        <w:rPr>
          <w:rStyle w:val="FootnoteAnchor"/>
          <w:rtl w:val="true"/>
        </w:rPr>
        <w:footnoteReference w:id="2801"/>
      </w:r>
      <w:r>
        <w:rPr>
          <w:rFonts w:ascii="IRNazanin" w:hAnsi="IRNazanin" w:eastAsia="IRNazanin"/>
          <w:color w:val="111111"/>
          <w:sz w:val="28"/>
          <w:sz w:val="28"/>
          <w:szCs w:val="28"/>
          <w:rtl w:val="true"/>
          <w:lang w:bidi="fa-IR"/>
        </w:rPr>
        <w:t>قوّة السقوط بمسّ العظم المجرّد المتّصل، إلّا أنّ المحکیّ عن الذکری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الغسل بمسّ المجرّد متّصلًا أو منفصلًا؟ الأقرب نعم؛ لدوران الحکم معه وجوداً و عدماً، و یمکن الالتفات إلی طهارته فلا یفید غیره، و نحن نمنع طهارته لأنّه ینجس بالاتصال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أوضح العظم فی حال الحیاة و ظهر ثمّ مات فمسّه، فالإشکال أقوی؛ لأنّه لا یحکم بنجاسة هذا العظم حینئذٍ، و لو غلّبنا جانب الحکم توجّه وجوب الغسل و هو أقرب، أمّا علی هذا فظاهر، و أمّا علی النجاسة العینیّة فیمکن القول بنجاسته تبعاً، و یطهر بالغسل </w:t>
      </w:r>
      <w:r>
        <w:rPr>
          <w:rStyle w:val="FootnoteAnchor"/>
          <w:rtl w:val="true"/>
        </w:rPr>
        <w:footnoteReference w:id="28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 و الضرس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نقلنا فی مسألة اعتبار حیاة الممسوس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من منع الدوران، فلعلّ العلّة فی وجوب الغسل المرکّب من اللحم و العظم عند الانفصال و نجاسة الملموس عیناً حال</w:t>
      </w:r>
    </w:p>
    <w:p>
      <w:pPr>
        <w:pStyle w:val="BookText"/>
        <w:rPr/>
      </w:pPr>
      <w:r>
        <w:rPr>
          <w:rFonts w:ascii="IRNazanin" w:hAnsi="IRNazanin" w:eastAsia="IRNazanin"/>
          <w:color w:val="111111"/>
          <w:sz w:val="28"/>
          <w:sz w:val="28"/>
          <w:szCs w:val="28"/>
          <w:rtl w:val="true"/>
          <w:lang w:bidi="fa-IR"/>
        </w:rPr>
        <w:t>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نجاسة العظم عیناً بالاتّصال کما تری، و تنجّسه بالملاقاة لا یجدی، فلا یتفاوت الحال بین ما لو أُوضح حال الحیاة و ظهر، و بین الموضح بعد الموت أو قبله من دون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الروض بعد ردّ الدوران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یعنی العظم علی تقدیر اتصاله تابع للمیّت کما معه شعره و ظفره، أمّا حال الانفصال فلا، فإلحاقه حینئذٍ بباقی الأجزاء التی لا تحلّها الحیاة أوجه، و إن کان وجوب الغسل بمسّه أحوط، و هذا فی غیر السنّ و الضرس، أمّا فیهما فالوجوب أضعف؛ لأنّهما فی حکم الشعر و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الانفصال، و أمّا مع الاتصال، فیمکن المساواة و الوجوب؛ لأنّه جزء من جملة یجب الغسل بمسّها </w:t>
      </w:r>
      <w:r>
        <w:rPr>
          <w:rStyle w:val="FootnoteAnchor"/>
          <w:rtl w:val="true"/>
        </w:rPr>
        <w:footnoteReference w:id="280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ما فیه ممّا ذکرنا فی اعتبار حلول الحیاة فی الممسوس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ذکرنا یظهر الحکم فی السنّ المنفصل من المیّت، و أولی منه المنفصل من الحیّ، و یبقی علی ما فی الذکری </w:t>
      </w:r>
      <w:r>
        <w:rPr>
          <w:rStyle w:val="FootnoteAnchor"/>
          <w:rtl w:val="true"/>
        </w:rPr>
        <w:footnoteReference w:id="2806"/>
      </w:r>
      <w:r>
        <w:rPr>
          <w:rFonts w:ascii="IRNazanin" w:hAnsi="IRNazanin" w:eastAsia="IRNazanin"/>
          <w:color w:val="111111"/>
          <w:sz w:val="28"/>
          <w:sz w:val="28"/>
          <w:szCs w:val="28"/>
          <w:rtl w:val="true"/>
          <w:lang w:bidi="fa-IR"/>
        </w:rPr>
        <w:t>مطالبة الفرق بینه و بین العظم المجرّد، حیث ادّعی القطع فیه بعدم الوجوب مع الانفصال دون العظم المنفصل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المبانة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 أو کان المیّت من غیر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له نفس سائلة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رطوبة أحد الملاقیین، بناءً علی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نجاسة المیّت کغیرها، و مطلقاً بناءً</w:t>
      </w:r>
    </w:p>
    <w:p>
      <w:pPr>
        <w:pStyle w:val="BookText"/>
        <w:rPr/>
      </w:pPr>
      <w:r>
        <w:rPr>
          <w:rFonts w:ascii="IRNazanin" w:hAnsi="IRNazanin" w:eastAsia="IRNazanin"/>
          <w:color w:val="111111"/>
          <w:sz w:val="28"/>
          <w:sz w:val="28"/>
          <w:szCs w:val="28"/>
          <w:rtl w:val="true"/>
          <w:lang w:bidi="fa-IR"/>
        </w:rPr>
        <w:t>علی الأقوال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مباحث النجاسات إن شاء اللّٰه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المعروف وجوب هذا الغسل لغیره و عدم وجوبه لنفسه، بل استظهر بعض مشایخنا </w:t>
      </w:r>
      <w:r>
        <w:rPr>
          <w:rStyle w:val="FootnoteAnchor"/>
          <w:rtl w:val="true"/>
        </w:rPr>
        <w:footnoteReference w:id="2808"/>
      </w:r>
      <w:r>
        <w:rPr>
          <w:rFonts w:ascii="IRNazanin" w:hAnsi="IRNazanin" w:eastAsia="IRNazanin"/>
          <w:color w:val="111111"/>
          <w:sz w:val="28"/>
          <w:sz w:val="28"/>
          <w:szCs w:val="28"/>
          <w:rtl w:val="true"/>
          <w:lang w:bidi="fa-IR"/>
        </w:rPr>
        <w:t xml:space="preserve">تبعاً للمحکیّ عن الحدائق </w:t>
      </w:r>
      <w:r>
        <w:rPr>
          <w:rStyle w:val="FootnoteAnchor"/>
          <w:rtl w:val="true"/>
        </w:rPr>
        <w:footnoteReference w:id="2809"/>
      </w:r>
      <w:r>
        <w:rPr>
          <w:rFonts w:ascii="IRNazanin" w:hAnsi="IRNazanin" w:eastAsia="IRNazanin"/>
          <w:color w:val="111111"/>
          <w:sz w:val="28"/>
          <w:sz w:val="28"/>
          <w:szCs w:val="28"/>
          <w:rtl w:val="true"/>
          <w:lang w:bidi="fa-IR"/>
        </w:rPr>
        <w:t>عدم الخلاف فیه، و توقّف فیه فی المدارک، و مال إلی کونه واجباً لنفسه، کغسل الجمعة و الإحرام عند موجبهما،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یثبت کون المسّ ناقضاً للوضوء، فیتّجه وجوبه لأحد الأُمور المتقدّمة، إلّا أنّه غیر واضح </w:t>
      </w:r>
      <w:r>
        <w:rPr>
          <w:rStyle w:val="FootnoteAnchor"/>
          <w:rtl w:val="true"/>
        </w:rPr>
        <w:footnoteReference w:id="281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مضافاً إلی أصالة البراءة و أصالة الاحتیاط فی المقام، و إلی المحکیّ عن الرضوی فی باب غسل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نسیت الغسل و ذکرته بعد ما صلّیت، فاغتسل و أعد صلاتک</w:t>
      </w:r>
      <w:r>
        <w:rPr>
          <w:rFonts w:eastAsia="IRNazanin" w:cs="IRNazanin"/>
          <w:color w:val="111111"/>
          <w:sz w:val="28"/>
          <w:szCs w:val="28"/>
          <w:rtl w:val="true"/>
          <w:lang w:bidi="fa-IR"/>
        </w:rPr>
        <w:t xml:space="preserve">» </w:t>
      </w:r>
      <w:r>
        <w:rPr>
          <w:rStyle w:val="FootnoteAnchor"/>
          <w:rtl w:val="true"/>
        </w:rPr>
        <w:footnoteReference w:id="2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2812"/>
      </w:r>
      <w:r>
        <w:rPr>
          <w:rFonts w:ascii="Amiri" w:hAnsi="Amiri" w:eastAsia="Amiri" w:cs="Amiri"/>
          <w:color w:val="111111"/>
          <w:sz w:val="28"/>
          <w:sz w:val="28"/>
          <w:szCs w:val="28"/>
          <w:rtl w:val="true"/>
          <w:lang w:bidi="ar-SA"/>
        </w:rPr>
        <w:t xml:space="preserve">أنّ المستفاد من سببیّة المسّ للغسل بمعونة ما تقدّم ممّا ورد فی علّة غسل المسّ </w:t>
      </w:r>
      <w:r>
        <w:rPr>
          <w:rStyle w:val="FootnoteAnchor"/>
          <w:rtl w:val="true"/>
        </w:rPr>
        <w:footnoteReference w:id="2813"/>
      </w:r>
      <w:r>
        <w:rPr>
          <w:rFonts w:ascii="IRNazanin" w:hAnsi="IRNazanin" w:eastAsia="IRNazanin"/>
          <w:color w:val="111111"/>
          <w:sz w:val="28"/>
          <w:sz w:val="28"/>
          <w:szCs w:val="28"/>
          <w:rtl w:val="true"/>
          <w:lang w:bidi="fa-IR"/>
        </w:rPr>
        <w:t>کون المسّ محدِثاً لنجاسة معنویّة فی بدن الماسّ یجب إزالتها للعبادة المشروطة بالطهارة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شهاب بابن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الجنب یغسّل المیّت و من غسّل المیت، أ یأتی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سواء، لا بأس بذلک، إذا کان جنباً غسل یدیه و توضّأ و غسّل المیّت، و إن</w:t>
      </w:r>
    </w:p>
    <w:p>
      <w:pPr>
        <w:pStyle w:val="BookText"/>
        <w:rPr/>
      </w:pPr>
      <w:r>
        <w:rPr>
          <w:rFonts w:ascii="IRNazanin" w:hAnsi="IRNazanin" w:eastAsia="IRNazanin"/>
          <w:color w:val="111111"/>
          <w:sz w:val="28"/>
          <w:sz w:val="28"/>
          <w:szCs w:val="28"/>
          <w:rtl w:val="true"/>
          <w:lang w:bidi="fa-IR"/>
        </w:rPr>
        <w:t>غسّل المیّت ثمّ أتی أهله توضّأ ثمّ أتی أهله، و یجزیه غسل واحد لهما</w:t>
      </w:r>
      <w:r>
        <w:rPr>
          <w:rFonts w:eastAsia="IRNazanin" w:cs="IRNazanin"/>
          <w:color w:val="111111"/>
          <w:sz w:val="28"/>
          <w:szCs w:val="28"/>
          <w:rtl w:val="true"/>
          <w:lang w:bidi="fa-IR"/>
        </w:rPr>
        <w:t xml:space="preserve">» </w:t>
      </w:r>
      <w:r>
        <w:rPr>
          <w:rStyle w:val="FootnoteAnchor"/>
          <w:rtl w:val="true"/>
        </w:rPr>
        <w:footnoteReference w:id="2814"/>
      </w:r>
      <w:r>
        <w:rPr>
          <w:rFonts w:ascii="IRNazanin" w:hAnsi="IRNazanin" w:eastAsia="IRNazanin"/>
          <w:color w:val="111111"/>
          <w:sz w:val="28"/>
          <w:sz w:val="28"/>
          <w:szCs w:val="28"/>
          <w:rtl w:val="true"/>
          <w:lang w:bidi="fa-IR"/>
        </w:rPr>
        <w:t>فإنّ الظاهر أنّ وضوء کلّ من الماسّ و الجنب لتخفیف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مفهوم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الصلاة و الطهور</w:t>
      </w:r>
      <w:r>
        <w:rPr>
          <w:rFonts w:eastAsia="IRNazanin" w:cs="IRNazanin"/>
          <w:color w:val="111111"/>
          <w:sz w:val="28"/>
          <w:szCs w:val="28"/>
          <w:rtl w:val="true"/>
          <w:lang w:bidi="fa-IR"/>
        </w:rPr>
        <w:t xml:space="preserve">» </w:t>
      </w:r>
      <w:r>
        <w:rPr>
          <w:rStyle w:val="FootnoteAnchor"/>
          <w:rtl w:val="true"/>
        </w:rPr>
        <w:footnoteReference w:id="2815"/>
      </w:r>
      <w:r>
        <w:rPr>
          <w:rFonts w:ascii="IRNazanin" w:hAnsi="IRNazanin" w:eastAsia="IRNazanin"/>
          <w:color w:val="111111"/>
          <w:sz w:val="28"/>
          <w:sz w:val="28"/>
          <w:szCs w:val="28"/>
          <w:rtl w:val="true"/>
          <w:lang w:bidi="fa-IR"/>
        </w:rPr>
        <w:t xml:space="preserve">دلّ علی عدم وجوب الطهور بأصل الشرع قبل دخول وقت الصلاة، فکلّ طهور یجب شرعاً فالأصل أن یکون وجوبه لها، و هو ممّا استدلّ به صاحب المدارک علی عدم وجوب الوضوء لنفسه </w:t>
      </w:r>
      <w:r>
        <w:rPr>
          <w:rStyle w:val="FootnoteAnchor"/>
          <w:rtl w:val="true"/>
        </w:rPr>
        <w:footnoteReference w:id="2816"/>
      </w:r>
      <w:r>
        <w:rPr>
          <w:rFonts w:ascii="IRNazanin" w:hAnsi="IRNazanin" w:eastAsia="IRNazanin"/>
          <w:color w:val="111111"/>
          <w:sz w:val="28"/>
          <w:sz w:val="28"/>
          <w:szCs w:val="28"/>
          <w:rtl w:val="true"/>
          <w:lang w:bidi="fa-IR"/>
        </w:rPr>
        <w:t>، مع أنّ المنساق من الأمر بالاغتسال کالأمر بالغسل کونه لغیره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کونه ناقضاً للوضوء فلما تقدّم فی باب الوضوء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الشهید الثانی فی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لم یقتصر فیه علی الأوّلین، و لعلّ مراده النهایة للشیخ؛ لأنّه اقتصر فیها علی الأوّلین، راجع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دعائم الإسلام، بل وجدناه فی 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الفقه المنسوب للإمام الرضا علیه السلام، نعم، هو موجود فی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اللمعة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المعنی تنقسم المستحاضة إلی معتادة و مبتدأة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التصریح به فی الذکری، نعم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المقداد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الشیخ الحرّ العاملی فی بدایة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کتاب الحیض،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أنّه لا وجه له لأنّ الخبر مذکور بتمامه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الحدیث الأوّل،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رأت صفرة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الباب الأوّل من أبواب الاستحاضة، الحدیث الأوّل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کالوحید البهبهانی فی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راجع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راجع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نقلًا عن رسالة أبیه،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السیّد فی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کصاحبی المدارک و الریاض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وجه له؛ لأنّ الخبر مذکور بتمامه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وجه له؛ لأنّ الخبر منقول بتمامه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الأوّل، و تقدّمت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مسیل الحوض أو السطح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المنجد،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الأحادیث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الباب الأوّل من أبواب الاستحاضة، الحدیث الأوّل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راجع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عن أبیه، و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الجنابة،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الباب الأوّل من أبواب الاستحاضة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قد تقدّم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ذلک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راجع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راجع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الروض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المحقّق الکرکی فی 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فی الروض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ظاهر کلامه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راجع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المحقّق النراقی فی المستند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قائله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قائله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للظهرین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اللفظ للأوّل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راجع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فیه عن هذا الدم الخارج بعد الطهارة مع تعقّب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 انظر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 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انظر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ابن سعید فی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یظهر من الخلاف منع ما عدا الأذان و الإقامة من مقدّماتها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نقلًا عن رسالة أبیه،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المحقّق النراقی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أجزأ</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راجع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الصیمری فی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المتقدّمة فی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صاحب الفصول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فإنّه نسبه إلی صریح جماعة و ظاهر آخرین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صرّح الأصحاب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الباب الأوّل من أبواب الاستحاضة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أیضاً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عن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تمسکهم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الشهید الأوّل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الباب الأول من أبواب الوضوء، الحدیث الأول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موثّقة زرارة، المتقدّمة آنفاً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اثنین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الحدیث الأول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أیّام عدة حیضها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الحدیث الأول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راجع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أنّ الاذن فی الوطء بعد الغسل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آخر ما فی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فیفسد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الثانی فی الروض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النراقی فی المستند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الأمر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انظر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إرشاد الأذهان، و لم نقف علی شرح المؤلّف قدّس سرّه 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کالجوهری فی 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الفیروزآبادی فی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الطریحی فی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الحدیث الأول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الطوسی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الصیمری فی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الحدیث الأول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یؤیده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الحدیث الأوّل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راجع 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فیه، و حکاه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قد تقدّمت فی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لم یرد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أنّه لا وجه له؛ لأنّ الخبر مذکور بتمامه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راجع الصفحة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المستحاضة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لکن المتقدّم کون أیّام الاستظهار من الحیض</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الحیض</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حیضاً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قد تقدّم ذلک فی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قد تقدّم ذلک منه 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الحدیث الأوّل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إرشاد الأذهان، و لم نقف علی شرح المؤلف قدّس سرّه له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الانتصار، نعم هو موجود فی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الموارد المذکورة فی 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الشهیدان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الصیمری فی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حکمها کالحائض فی کلّ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مکانه 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تراخت ولادة أحد التوأمین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کالشهیدین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الصیمری فی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بعد العادة و العشرة فحکمها حکم المستحاضة، 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بعد العادة المستحاضة فافهم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کالحائض</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استظهر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بعدد أیامه بعد طهر کامل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الآیة من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ما بأیدینا من کتب السیّد و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حکاه عنه 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الباب الأوّل من أبواب غسل المیّت، الحدیث الأوّل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الحدیث الأوّل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الباب الأوّل من أبواب أحکام العشرة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 نعم، فی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الحدیث الأوّل،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کونوا دعاة للناس بالخیر بغیر ألسنتکم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المستدرک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کونوا دعاة إلینا بالکفّ عن محارم اللّٰه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للمحقّق الکرکی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الفرائض و المواریث،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عن الروض الحکم بالاقتصار علی أربع تکبیرات، و لم نعثر فیه علی الحکایة المذکورة، و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مصحَّفاً عن کتاب آخر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المحقّق الثانی فی حاشیة الشرائع، المتقدّم ذکره قریباً، لکن لم نجد فیها التعرّض لمسألة جهل المغسِّل کیفیّة غسلهم، فراجع، و لم یتعرّض للمسألة المحقّق الأوّل أیضاً، راجع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لتشبیهه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یستحبّ أن یوجّه إلی القبلة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السند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المحقّق النراقی فی المستند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المجلسی فی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احتاط فیه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احتاط فیه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الدیلمی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ابن حمزة فی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الزیادة فی روایة أبی بصیر المرویّة فی الکافی و التهذیب و الوسائل و غیرها من کتب الأخبار، نعم هی موجودة فیما نقله السیّد العاملی 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نسبه إلی ظاهر الأکثر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فاحضروا عنده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فاحضروا عنده بالقرآن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الحدیث الأوّل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الحدیث الأوّل،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أیّما مریض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موت إسماعیل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الشیخ محمّد بن الشیخ علی، المعاصر لصاحب الحدائق، راجع الذریعة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نسبه إلی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إلیهما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لم نعثر علیه من الشهید الثانی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من نسبه إلیهم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قائله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موتاکم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تعالی إِنَّ رَبَّکُمُ اللّٰهُ الَّذِی خَلَقَ 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فی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 أیضاً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حضور الجنب و الحائض عنده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بکراهة ذلک قال أهل العلم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الحدیث لمرسل الفقیه، و أمّا خبر أبی خدیجة فبلفظ آخر، 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أولی الناس بالصلاة علی المیّت أولاهم به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أحقّ الناس بالصلاة علیه أولاهم بالمیراث، قاله علماؤنا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 یأمره الولیّ بذلک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الباب الأوّل من أبواب موجبات الإرث</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موجبات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إلیها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الباب الأوّل من أبواب إحیاء الموات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باب بالعنوان المذکور فی المواریث، نعم ورد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میراث الأبوین مع الأولاد، 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مرسلة الصدوق المتقدّمة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یبحث المؤلّف قدّس سرّه عن صلاة المیّت، لا فی کتاب الطهارة و لا فی کتاب الصلاة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الزوج مشترک یقع علی کلّ من الذکر و الأُنثی، فیشمل الزوجة فی هذا الحکم أیضاً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الحدیث الأوّل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الطلاق،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سائر الأبواب المناسبة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اتفاقاً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عن المعتبر، 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راجع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کالحلیّ فی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ظاهر الشهید فی حواشی القواعد علی ما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قد تقدّم منه آنفاً أنّه لم یشترط مطلقاً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تقدّم فی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لو تزوّجت جاز لها تغسیله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النسخ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یشترط کونها 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ظاهراً ما أثبتناه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أثبتناه کما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قد تقدّم فی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راجع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قوّاه المحقّق القمیّ فی غنائم الأیام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یغسّل الأجنبی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لم تتقدّم، 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الأجنبیّة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الإرشاد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بتغسیل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یغسّل المسلم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الصیمری فی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لم یذکره ابن عقیل و لا الجعفی و لا ابن البرّاج فی کتابیه و لا ابن زهرة و لا ابن إدریس و لا الشیخ فی الخلاف</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المدارک، ذیل قول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الغسل مفتقر إلی النیّة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عدم تغسیل الرجل من لیست بمحرم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به فی کلام أکثر الأصحاب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یغسل الرجل أجنبیّة و لا المرأة أجنبیّا، و هو إجماع أهل العلم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 المفید أنّه یغسل من وراء الثیاب، و قطع به الشیخ فی شرح کلامه من التهذیب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صببن الماء علیه صبّاً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فی طبعه آل البیت نقله عن أبی بصیر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یجب إزالة النجاسة أوّلًا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صرّح الأصحاب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علی نحو البتّ، نعم تعرّض فی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لکلام کاشف اللثام، فراجع</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الشهید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إلّا أنّه لم ینسبه إلی مصریاته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تغسیل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لرجوع الضمیر إلی الغسل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تغسیله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راجع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ذلک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یسکت علیه، بل استدلّ علی وجوب الغسل ثلاثاً، 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کذا تالیاه، أی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الفاضل المقداد فی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راجع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علی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أنّه سهو،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راجع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لا یعلم منهم الوجوب</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کالصدوق فی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سلّار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حاشیة المدارک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حکاه عنه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زیادة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معاویة بن عمّار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الباب الأوّل من أبواب غسل المیّت</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النراقی فی مستند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یقضی لتعیین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فقد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لم نقف علی من اعترض علی الشهید الثانی</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الأصحاب</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الأصحاب</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أبی نجران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کتب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هذا السهو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روایة زید بن علی علیه السلام المتقدّمة فی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الحدیث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السیّد علی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الشهیدان و قد تقدّم ذکرهما و العلّامة فی 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شیخنا البهائی علی تأمّل، راجع 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المحقّق فی المعتبر، و لم نقف علیه فی الکتب الأربعة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المحقّق فی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أُخری</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ابن سعید فی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المحقّق الثانی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علی 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ذِکر الحُرُض بضمّتین و إسکان الراء أیضاً، و هو الأُشنان بضمّ الهمزة، سمّی بذلک لأنّه یهلک 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 ینبت فی الأرض الرملیّة، یستعمل هو أو رماده فی غسل الثیاب و الأیدی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المتقدّمة فی الصفحة السابقة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روایة الکاهلی</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غسل رأسه بالرغوة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الکاهلی المتقدّمة فی 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أبو الصلاح الحلبی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ظاهره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ظاهره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راجع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تنشیفه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مرسلة یونس</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نسبه إلیه، راجع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یستحبّ أن یغسّل المیّت عریاناً، مستور العورة، إمّا بأن یترک قمیصه علی عورته أو ینزع القمیص و یترک علی عورته 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دلیلنا إجماع الفرقة و عملهم علی أنّه مخیّر بین الأمرین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أنّ المراد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قبل سطور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المحقّق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المناسب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عبارة الحدائق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 نفسک و توقی المیّت بتبعیّة توقّی نفسک لأنّ المیّت یتضرّر بذلک و توقیه منه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تفاوت فیهما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الإرشاد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فرغ من غسله وجب أن یکفّنه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المصادر الحدیثیّة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سعد بن طریف</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للوجود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النراقی فی المستند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لفظ ثوب فی الروایة محذوف من کثیر من النسخ</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المئزر واجب عند أکثر علمائنا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فی الصفحة السابقة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العالم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یکفن بثلاثة 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لفافة، و قمیص، و إزار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و غیرها من الأبواب</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فیشدّ بها</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الطریحی فی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المصلی</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الکاشانی فی المفاتیح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المحقّق الخراسانی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الفاضل النراقی عن بعض المتأخّرین، راجع المصدر السابق</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بین قمیص و ثوبین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المحدّث الکاشانی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الفاضل النراقی فی المستند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البحرانی فی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فیه، بعد نقل الاستحسان عن الروض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غیر بعید و للتردّد فیه مجال</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الحدیث الأوّل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الأجود اعتبار الستر فی کلّ ثوب</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فی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ثوب تامّ لا أقلّ منه یواری فیه جسده کلّه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الباب الأوّل من أبواب التکفین، الحدیث الأوّل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اللاحقة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الحدیث الأوّل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أبواب التکفین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المنع</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الباب الأوّل من أبواب التکفین، الحدیث الأوّل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الحدیث الأوّل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الصلاة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کتاب الصلاة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الکفن، الحدیث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راجع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الکفن، الحدیث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الکفن، الحدیث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المحدّث البحرانی فی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المفاتیح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حکاه عن شرح الجعفریّة السیّد العاملی فی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یدفن</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کتبه، و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عشر و 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حکاه عن المهذّب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راجع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أبلغ</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الحدائق فی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المسّ،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العبارة مشوّشة</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الروض، بل هو موجود فی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فی حدیث بعد روایة محمّد بن مسلم، مرویّاً عن بکیر بن أعین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الأغسال المسنونة،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مطرّزة بالذهب</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راجع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کاشف اللثام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الأوّل، و تقدّمت فی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معدودة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ستأتی فی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ستأتی فی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الخرقة فی الأثواب إلی و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النصوص المصرّحة بأسماء قطع الکفن و لیس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المئزر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روایة معاویة بن وهب الآتیة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قد تقدّم 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معنی له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الأصل فی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لکان صرف الماء فی الأغسال </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العبارة لا تخلو عن اضطراب</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بروایة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السیّد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الفاضل الخراسانی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راجع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المعروف یثفره به إثفاراً </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یعمّم بعمامة محنّکاً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إرشاد الأذهان قبل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تزاد للمرأة </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قد تقدّم فی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المصادر الحدیثیّة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ففریضته </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المصادر،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روایة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من سهو القلم</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المصادر،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روایة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من سهو القلم</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الصفحة السابقة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الجریدتان</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حکاه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 فمن السدر و إلّا فمن الخلاف و إلّا فمن شجر رطب</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تقدّمتا فی الصفحة السابقة</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فی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اکتفی فیه من ذلک کلّه علی الشهادة الأُولی فقط</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اکتفی فیه من ذلک کلّه علی الشهادة الأُولی فقط</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القاضی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بدخول</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الأوّل، و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نفسها،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المفید فی رسالته إلی ولده علی ما حکاه الحلیّ، و الحلیّ نفسه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کالمفید فی الغریّة علی ما حکاه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المتقدّمة</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انظر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لیس فیه التصریح بعدم الخلاف</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یکره جعل الکافور إلی تقدّم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تقدّم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العجب هنا أنّه قد سری هذا الوهم إلی جملة من المتأخّرین کشیخنا البهائی فی الحبل المتین و صاحب الوسائل؛ اغتراراً بکلام صاحب 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البابین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الکفن من جمیع المال</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 الحدیث الأوّل</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المتقدّمة</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کتاب المناسک، الحدیث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الحدیث الأوّل</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الوصیّة من الثلث</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لم نعثر علیه فیه، راجع 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النراقی فی المستند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هو المحقّق النراقی فی المستند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خرج منه</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فی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الروایة منقولة بالمعنی</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فی الصفحة اللاحقة</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إرشاد الأذهان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المناسب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نشیر إلیه فی الهامش الآتی</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إلیک نصّ عبارة المدارک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لاقت النجاسة الکفن قال الصدوقان و أکثر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غسلها ما لم یطرح المیّت فی القبر، و قرضها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الحدیث الأوّل</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الظاهر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عدم</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الأذهان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یسقط</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یستحبّ أن یجعل فی کفنه ما سقط من شعره و ظفره</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راجع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راجع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الأصحاب اشترطوا </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البهائی فی 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المحدّث الکاشانی فی المفاتیح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علی هذا مذهب العلم </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الباب الأوّل من أبواب غسل المیّت</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فیه علی ادّعاء الشهرة، راجع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المعتبر،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الحدیث الأوّل</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أخرج أحمد بن محمّد بن خالد، راجع 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تام</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الأصفهانی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صاحب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صاحب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علماً بأنّ کلام المختلف و الکفایة راجعان إلی الغسل و الکفن و الدفن، و الریاض إلی الغسل و الکفن</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 کلامه ناظر إلی الغسل فقط</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کلامه ناظر إلی الغسل فقط</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کلامه ناظر إلی الغسل و التکفین</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 کلامه ناظر إلی الغسل</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أُمرتم بأمر فأتوا منه بما استطعتم</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الحدیث الأوّل</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المحدّث الکاشانی فی المفاتیح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الحاکی، 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فی الصفحة السابقة</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المحقّق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احتمال سقوطه</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سلّار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ابن سعید فی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 الحاکی، بل نسب صاحب الجواهر قدّس سرّه خلافه إلی ظاهر بعض عبارات الأصحاب، راجع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الحدیث الأوّل</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الحدیث الأوّل</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ذیل الحدیث الأوّل</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وجب علیه القتل حدّا أو قوداً </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المقتصّ منه بمنزلة ذلک فألحقه الأصحاب به</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ظاهر النصّ أو صریحه کالفتوی بل صرّح به جماعة </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الباب الأوّل من أبواب غسل المسّ</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راجع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الوسیلة صاحب الجواهر فی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الباب الأوّل من أبواب غسل المسّ، الحدیث الأوّل</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ذیل الحدیث الأوّل،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الباب الأوّل من أبواب غسل المیّت</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الحدیث الأوّل</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المسّ،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الباب الأوّل من أبواب غسل المسّ</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الباب الأوّل من أبواب غسل المسّ</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الحدیث الأوّل</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المسّ،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قد تقدّمت فی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غسل المسّ،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قد تقدّمت فی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یعلّق فیها الغسل علی مسّ الجسد بعد برده، بل علّق فیها علی مسّ الجسد فقط، فراجع</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ربّ الصعید</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فی غیر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 الجنان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کلّه فی غیر العظم المجرّد کالشعر و الظفر و نحوهما، أمّا العظم فقد تقدّم الإشکال فیه، و هو فی السنّ أقوی، و یمکن جریان الإشکال فی الظفر أیضاً؛ لمساواته العظم فی ذلک، و لا فرق فی الإشکال بین کون العظم و الظفر من اللامس أو الملموس</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ناظر إلی ما ذکره الشهید قدّس سرّه فی الذکری، و تقدّم نقله فی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رسائل المحقّق الکرکی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الطباطبائی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 الحدیث الأوّل</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النراقی فی المستند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الوقت وجب الطهور و الصلاة</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image" Target="media/image2.jpeg"/><Relationship Id="rId448" Type="http://schemas.openxmlformats.org/officeDocument/2006/relationships/image" Target="media/image2.jpeg"/><Relationship Id="rId449" Type="http://schemas.openxmlformats.org/officeDocument/2006/relationships/footer" Target="footer442.xml"/><Relationship Id="rId450" Type="http://schemas.openxmlformats.org/officeDocument/2006/relationships/footnotes" Target="footnotes.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74022</Words>
  <Characters>299157</Characters>
  <CharactersWithSpaces>371245</CharactersWithSpaces>
  <Paragraphs>1935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2026-08-24T00:10:59Z</dcterms:created>
  <dc:creator>ghaemiyeh.com</dc:creator>
  <dc:description/>
  <dc:language>en-US</dc:language>
  <cp:lastModifiedBy/>
  <dcterms:modified xsi:type="dcterms:W3CDTF">2026-08-24T03:41:21Z</dcterms:modified>
  <cp:revision>1</cp:revision>
  <dc:subject/>
  <dc:title>کتاب الطهاره جلد 4</dc:title>
</cp:coreProperties>
</file>

<file path=docProps/custom.xml><?xml version="1.0" encoding="utf-8"?>
<Properties xmlns="http://schemas.openxmlformats.org/officeDocument/2006/custom-properties" xmlns:vt="http://schemas.openxmlformats.org/officeDocument/2006/docPropsVTypes"/>
</file>