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الطهاره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81399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281401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281403_3224264995">
            <w:r>
              <w:rPr>
                <w:webHidden/>
                <w:rStyle w:val="IndexLink"/>
                <w:rtl w:val="true"/>
              </w:rPr>
              <w:t>[</w:t>
            </w:r>
            <w:r>
              <w:rPr>
                <w:rStyle w:val="IndexLink"/>
                <w:rtl w:val="true"/>
              </w:rPr>
              <w:t>مقدمة التحقیق</w:t>
            </w:r>
            <w:r>
              <w:rPr>
                <w:rStyle w:val="IndexLink"/>
                <w:rtl w:val="true"/>
              </w:rPr>
              <w:t>]</w:t>
              <w:tab/>
            </w:r>
            <w:r>
              <w:rPr>
                <w:rStyle w:val="IndexLink"/>
              </w:rPr>
              <w:t>8</w:t>
            </w:r>
          </w:hyperlink>
        </w:p>
        <w:p>
          <w:pPr>
            <w:pStyle w:val="Contents3"/>
            <w:tabs>
              <w:tab w:val="clear" w:pos="8459"/>
              <w:tab w:val="right" w:pos="9026" w:leader="dot"/>
            </w:tabs>
            <w:rPr/>
          </w:pPr>
          <w:hyperlink w:anchor="__RefHeading___Toc6281405_3224264995">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6281407_3224264995">
            <w:r>
              <w:rPr>
                <w:webHidden/>
                <w:rStyle w:val="IndexLink"/>
                <w:rtl w:val="true"/>
              </w:rPr>
              <w:t>مصنّفات الشیخ الأنصاری قدس سره</w:t>
            </w:r>
            <w:r>
              <w:rPr>
                <w:rStyle w:val="IndexLink"/>
                <w:rtl w:val="true"/>
              </w:rPr>
              <w:tab/>
            </w:r>
            <w:r>
              <w:rPr>
                <w:rStyle w:val="IndexLink"/>
              </w:rPr>
              <w:t>10</w:t>
            </w:r>
          </w:hyperlink>
        </w:p>
        <w:p>
          <w:pPr>
            <w:pStyle w:val="Contents4"/>
            <w:tabs>
              <w:tab w:val="clear" w:pos="8176"/>
              <w:tab w:val="right" w:pos="9026" w:leader="dot"/>
            </w:tabs>
            <w:rPr/>
          </w:pPr>
          <w:hyperlink w:anchor="__RefHeading___Toc6281409_3224264995">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6281411_3224264995">
            <w:r>
              <w:rPr>
                <w:webHidden/>
                <w:rStyle w:val="IndexLink"/>
                <w:rtl w:val="true"/>
              </w:rPr>
              <w:t>أوّلا</w:t>
            </w:r>
            <w:r>
              <w:rPr>
                <w:rStyle w:val="IndexLink"/>
                <w:rtl w:val="true"/>
              </w:rPr>
              <w:t xml:space="preserve">- </w:t>
            </w:r>
            <w:r>
              <w:rPr>
                <w:rStyle w:val="IndexLink"/>
                <w:rtl w:val="true"/>
              </w:rPr>
              <w:t>المکتبة الفقهیة</w:t>
            </w:r>
            <w:r>
              <w:rPr>
                <w:rStyle w:val="IndexLink"/>
                <w:rtl w:val="true"/>
              </w:rPr>
              <w:t>:</w:t>
              <w:tab/>
            </w:r>
            <w:r>
              <w:rPr>
                <w:rStyle w:val="IndexLink"/>
              </w:rPr>
              <w:t>10</w:t>
            </w:r>
          </w:hyperlink>
        </w:p>
        <w:p>
          <w:pPr>
            <w:pStyle w:val="Contents5"/>
            <w:tabs>
              <w:tab w:val="clear" w:pos="7892"/>
              <w:tab w:val="right" w:pos="9026" w:leader="dot"/>
            </w:tabs>
            <w:rPr/>
          </w:pPr>
          <w:hyperlink w:anchor="__RefHeading___Toc6281413_3224264995">
            <w:r>
              <w:rPr>
                <w:webHidden/>
                <w:rStyle w:val="IndexLink"/>
              </w:rPr>
              <w:t>1</w:t>
            </w:r>
            <w:r>
              <w:rPr>
                <w:rStyle w:val="IndexLink"/>
                <w:rtl w:val="true"/>
              </w:rPr>
              <w:t xml:space="preserve">- </w:t>
            </w:r>
            <w:r>
              <w:rPr>
                <w:rStyle w:val="IndexLink"/>
                <w:rtl w:val="true"/>
              </w:rPr>
              <w:t>کتاب الطهارة</w:t>
            </w:r>
            <w:r>
              <w:rPr>
                <w:rStyle w:val="IndexLink"/>
                <w:rtl w:val="true"/>
              </w:rPr>
              <w:t>:</w:t>
              <w:tab/>
            </w:r>
            <w:r>
              <w:rPr>
                <w:rStyle w:val="IndexLink"/>
              </w:rPr>
              <w:t>10</w:t>
            </w:r>
          </w:hyperlink>
        </w:p>
        <w:p>
          <w:pPr>
            <w:pStyle w:val="Contents5"/>
            <w:tabs>
              <w:tab w:val="clear" w:pos="7892"/>
              <w:tab w:val="right" w:pos="9026" w:leader="dot"/>
            </w:tabs>
            <w:rPr/>
          </w:pPr>
          <w:hyperlink w:anchor="__RefHeading___Toc6281415_3224264995">
            <w:r>
              <w:rPr>
                <w:webHidden/>
                <w:rStyle w:val="IndexLink"/>
              </w:rPr>
              <w:t>2</w:t>
            </w:r>
            <w:r>
              <w:rPr>
                <w:rStyle w:val="IndexLink"/>
                <w:rtl w:val="true"/>
              </w:rPr>
              <w:t xml:space="preserve">- </w:t>
            </w:r>
            <w:r>
              <w:rPr>
                <w:rStyle w:val="IndexLink"/>
                <w:rtl w:val="true"/>
              </w:rPr>
              <w:t>کتاب الصلاة</w:t>
            </w:r>
            <w:r>
              <w:rPr>
                <w:rStyle w:val="IndexLink"/>
                <w:rtl w:val="true"/>
              </w:rPr>
              <w:t>:</w:t>
              <w:tab/>
            </w:r>
            <w:r>
              <w:rPr>
                <w:rStyle w:val="IndexLink"/>
              </w:rPr>
              <w:t>10</w:t>
            </w:r>
          </w:hyperlink>
        </w:p>
        <w:p>
          <w:pPr>
            <w:pStyle w:val="Contents5"/>
            <w:tabs>
              <w:tab w:val="clear" w:pos="7892"/>
              <w:tab w:val="right" w:pos="9026" w:leader="dot"/>
            </w:tabs>
            <w:rPr/>
          </w:pPr>
          <w:hyperlink w:anchor="__RefHeading___Toc6281417_3224264995">
            <w:r>
              <w:rPr>
                <w:webHidden/>
                <w:rStyle w:val="IndexLink"/>
              </w:rPr>
              <w:t>3</w:t>
            </w:r>
            <w:r>
              <w:rPr>
                <w:rStyle w:val="IndexLink"/>
                <w:rtl w:val="true"/>
              </w:rPr>
              <w:t xml:space="preserve">- </w:t>
            </w:r>
            <w:r>
              <w:rPr>
                <w:rStyle w:val="IndexLink"/>
                <w:rtl w:val="true"/>
              </w:rPr>
              <w:t>أحکام الخلل فی الصلاة</w:t>
            </w:r>
            <w:r>
              <w:rPr>
                <w:rStyle w:val="IndexLink"/>
                <w:rtl w:val="true"/>
              </w:rPr>
              <w:t>:</w:t>
              <w:tab/>
            </w:r>
            <w:r>
              <w:rPr>
                <w:rStyle w:val="IndexLink"/>
              </w:rPr>
              <w:t>11</w:t>
            </w:r>
          </w:hyperlink>
        </w:p>
        <w:p>
          <w:pPr>
            <w:pStyle w:val="Contents5"/>
            <w:tabs>
              <w:tab w:val="clear" w:pos="7892"/>
              <w:tab w:val="right" w:pos="9026" w:leader="dot"/>
            </w:tabs>
            <w:rPr/>
          </w:pPr>
          <w:hyperlink w:anchor="__RefHeading___Toc6281419_3224264995">
            <w:r>
              <w:rPr>
                <w:webHidden/>
                <w:rStyle w:val="IndexLink"/>
              </w:rPr>
              <w:t>4</w:t>
            </w:r>
            <w:r>
              <w:rPr>
                <w:rStyle w:val="IndexLink"/>
                <w:rtl w:val="true"/>
              </w:rPr>
              <w:t xml:space="preserve">- </w:t>
            </w:r>
            <w:r>
              <w:rPr>
                <w:rStyle w:val="IndexLink"/>
                <w:rtl w:val="true"/>
              </w:rPr>
              <w:t>کتاب الزکاة</w:t>
            </w:r>
            <w:r>
              <w:rPr>
                <w:rStyle w:val="IndexLink"/>
                <w:rtl w:val="true"/>
              </w:rPr>
              <w:t>:</w:t>
              <w:tab/>
            </w:r>
            <w:r>
              <w:rPr>
                <w:rStyle w:val="IndexLink"/>
              </w:rPr>
              <w:t>11</w:t>
            </w:r>
          </w:hyperlink>
        </w:p>
        <w:p>
          <w:pPr>
            <w:pStyle w:val="Contents5"/>
            <w:tabs>
              <w:tab w:val="clear" w:pos="7892"/>
              <w:tab w:val="right" w:pos="9026" w:leader="dot"/>
            </w:tabs>
            <w:rPr/>
          </w:pPr>
          <w:hyperlink w:anchor="__RefHeading___Toc6281421_3224264995">
            <w:r>
              <w:rPr>
                <w:webHidden/>
                <w:rStyle w:val="IndexLink"/>
              </w:rPr>
              <w:t>5</w:t>
            </w:r>
            <w:r>
              <w:rPr>
                <w:rStyle w:val="IndexLink"/>
                <w:rtl w:val="true"/>
              </w:rPr>
              <w:t xml:space="preserve">- </w:t>
            </w:r>
            <w:r>
              <w:rPr>
                <w:rStyle w:val="IndexLink"/>
                <w:rtl w:val="true"/>
              </w:rPr>
              <w:t>کتاب الخمس</w:t>
            </w:r>
            <w:r>
              <w:rPr>
                <w:rStyle w:val="IndexLink"/>
                <w:rtl w:val="true"/>
              </w:rPr>
              <w:t>:</w:t>
              <w:tab/>
            </w:r>
            <w:r>
              <w:rPr>
                <w:rStyle w:val="IndexLink"/>
              </w:rPr>
              <w:t>11</w:t>
            </w:r>
          </w:hyperlink>
        </w:p>
        <w:p>
          <w:pPr>
            <w:pStyle w:val="Contents5"/>
            <w:tabs>
              <w:tab w:val="clear" w:pos="7892"/>
              <w:tab w:val="right" w:pos="9026" w:leader="dot"/>
            </w:tabs>
            <w:rPr/>
          </w:pPr>
          <w:hyperlink w:anchor="__RefHeading___Toc6281423_3224264995">
            <w:r>
              <w:rPr>
                <w:webHidden/>
                <w:rStyle w:val="IndexLink"/>
              </w:rPr>
              <w:t>6</w:t>
            </w:r>
            <w:r>
              <w:rPr>
                <w:rStyle w:val="IndexLink"/>
                <w:rtl w:val="true"/>
              </w:rPr>
              <w:t xml:space="preserve">- </w:t>
            </w:r>
            <w:r>
              <w:rPr>
                <w:rStyle w:val="IndexLink"/>
                <w:rtl w:val="true"/>
              </w:rPr>
              <w:t>کتاب الصوم</w:t>
            </w:r>
            <w:r>
              <w:rPr>
                <w:rStyle w:val="IndexLink"/>
                <w:rtl w:val="true"/>
              </w:rPr>
              <w:t>:</w:t>
              <w:tab/>
            </w:r>
            <w:r>
              <w:rPr>
                <w:rStyle w:val="IndexLink"/>
              </w:rPr>
              <w:t>11</w:t>
            </w:r>
          </w:hyperlink>
        </w:p>
        <w:p>
          <w:pPr>
            <w:pStyle w:val="Contents5"/>
            <w:tabs>
              <w:tab w:val="clear" w:pos="7892"/>
              <w:tab w:val="right" w:pos="9026" w:leader="dot"/>
            </w:tabs>
            <w:rPr/>
          </w:pPr>
          <w:hyperlink w:anchor="__RefHeading___Toc6281425_3224264995">
            <w:r>
              <w:rPr>
                <w:webHidden/>
                <w:rStyle w:val="IndexLink"/>
              </w:rPr>
              <w:t>7</w:t>
            </w:r>
            <w:r>
              <w:rPr>
                <w:rStyle w:val="IndexLink"/>
                <w:rtl w:val="true"/>
              </w:rPr>
              <w:t xml:space="preserve">- </w:t>
            </w:r>
            <w:r>
              <w:rPr>
                <w:rStyle w:val="IndexLink"/>
                <w:rtl w:val="true"/>
              </w:rPr>
              <w:t>مناسک الحج</w:t>
            </w:r>
            <w:r>
              <w:rPr>
                <w:rStyle w:val="IndexLink"/>
                <w:rtl w:val="true"/>
              </w:rPr>
              <w:t>:</w:t>
              <w:tab/>
            </w:r>
            <w:r>
              <w:rPr>
                <w:rStyle w:val="IndexLink"/>
              </w:rPr>
              <w:t>12</w:t>
            </w:r>
          </w:hyperlink>
        </w:p>
        <w:p>
          <w:pPr>
            <w:pStyle w:val="Contents5"/>
            <w:tabs>
              <w:tab w:val="clear" w:pos="7892"/>
              <w:tab w:val="right" w:pos="9026" w:leader="dot"/>
            </w:tabs>
            <w:rPr/>
          </w:pPr>
          <w:hyperlink w:anchor="__RefHeading___Toc6281427_3224264995">
            <w:r>
              <w:rPr>
                <w:webHidden/>
                <w:rStyle w:val="IndexLink"/>
              </w:rPr>
              <w:t>8</w:t>
            </w:r>
            <w:r>
              <w:rPr>
                <w:rStyle w:val="IndexLink"/>
                <w:rtl w:val="true"/>
              </w:rPr>
              <w:t xml:space="preserve">- </w:t>
            </w:r>
            <w:r>
              <w:rPr>
                <w:rStyle w:val="IndexLink"/>
                <w:rtl w:val="true"/>
              </w:rPr>
              <w:t>کتاب المکاسب</w:t>
            </w:r>
            <w:r>
              <w:rPr>
                <w:rStyle w:val="IndexLink"/>
                <w:rtl w:val="true"/>
              </w:rPr>
              <w:t>:</w:t>
              <w:tab/>
            </w:r>
            <w:r>
              <w:rPr>
                <w:rStyle w:val="IndexLink"/>
              </w:rPr>
              <w:t>12</w:t>
            </w:r>
          </w:hyperlink>
        </w:p>
        <w:p>
          <w:pPr>
            <w:pStyle w:val="Contents5"/>
            <w:tabs>
              <w:tab w:val="clear" w:pos="7892"/>
              <w:tab w:val="right" w:pos="9026" w:leader="dot"/>
            </w:tabs>
            <w:rPr/>
          </w:pPr>
          <w:hyperlink w:anchor="__RefHeading___Toc6281429_3224264995">
            <w:r>
              <w:rPr>
                <w:webHidden/>
                <w:rStyle w:val="IndexLink"/>
              </w:rPr>
              <w:t>9</w:t>
            </w:r>
            <w:r>
              <w:rPr>
                <w:rStyle w:val="IndexLink"/>
                <w:rtl w:val="true"/>
              </w:rPr>
              <w:t xml:space="preserve">- </w:t>
            </w:r>
            <w:r>
              <w:rPr>
                <w:rStyle w:val="IndexLink"/>
                <w:rtl w:val="true"/>
              </w:rPr>
              <w:t>کتاب النکاح</w:t>
            </w:r>
            <w:r>
              <w:rPr>
                <w:rStyle w:val="IndexLink"/>
                <w:rtl w:val="true"/>
              </w:rPr>
              <w:t>:</w:t>
              <w:tab/>
            </w:r>
            <w:r>
              <w:rPr>
                <w:rStyle w:val="IndexLink"/>
              </w:rPr>
              <w:t>13</w:t>
            </w:r>
          </w:hyperlink>
        </w:p>
        <w:p>
          <w:pPr>
            <w:pStyle w:val="Contents5"/>
            <w:tabs>
              <w:tab w:val="clear" w:pos="7892"/>
              <w:tab w:val="right" w:pos="9026" w:leader="dot"/>
            </w:tabs>
            <w:rPr/>
          </w:pPr>
          <w:hyperlink w:anchor="__RefHeading___Toc6281431_3224264995">
            <w:r>
              <w:rPr>
                <w:webHidden/>
                <w:rStyle w:val="IndexLink"/>
              </w:rPr>
              <w:t>10</w:t>
            </w:r>
            <w:r>
              <w:rPr>
                <w:rStyle w:val="IndexLink"/>
                <w:rtl w:val="true"/>
              </w:rPr>
              <w:t xml:space="preserve">- </w:t>
            </w:r>
            <w:r>
              <w:rPr>
                <w:rStyle w:val="IndexLink"/>
                <w:rtl w:val="true"/>
              </w:rPr>
              <w:t>رسالة فی المصاهرة</w:t>
            </w:r>
            <w:r>
              <w:rPr>
                <w:rStyle w:val="IndexLink"/>
                <w:rtl w:val="true"/>
              </w:rPr>
              <w:t>:</w:t>
              <w:tab/>
            </w:r>
            <w:r>
              <w:rPr>
                <w:rStyle w:val="IndexLink"/>
              </w:rPr>
              <w:t>13</w:t>
            </w:r>
          </w:hyperlink>
        </w:p>
        <w:p>
          <w:pPr>
            <w:pStyle w:val="Contents5"/>
            <w:tabs>
              <w:tab w:val="clear" w:pos="7892"/>
              <w:tab w:val="right" w:pos="9026" w:leader="dot"/>
            </w:tabs>
            <w:rPr/>
          </w:pPr>
          <w:hyperlink w:anchor="__RefHeading___Toc6281433_3224264995">
            <w:r>
              <w:rPr>
                <w:webHidden/>
                <w:rStyle w:val="IndexLink"/>
              </w:rPr>
              <w:t>11</w:t>
            </w:r>
            <w:r>
              <w:rPr>
                <w:rStyle w:val="IndexLink"/>
                <w:rtl w:val="true"/>
              </w:rPr>
              <w:t xml:space="preserve">- </w:t>
            </w:r>
            <w:r>
              <w:rPr>
                <w:rStyle w:val="IndexLink"/>
                <w:rtl w:val="true"/>
              </w:rPr>
              <w:t>رسالة فی الرضاع</w:t>
            </w:r>
            <w:r>
              <w:rPr>
                <w:rStyle w:val="IndexLink"/>
                <w:rtl w:val="true"/>
              </w:rPr>
              <w:t>:</w:t>
              <w:tab/>
            </w:r>
            <w:r>
              <w:rPr>
                <w:rStyle w:val="IndexLink"/>
              </w:rPr>
              <w:t>14</w:t>
            </w:r>
          </w:hyperlink>
        </w:p>
        <w:p>
          <w:pPr>
            <w:pStyle w:val="Contents5"/>
            <w:tabs>
              <w:tab w:val="clear" w:pos="7892"/>
              <w:tab w:val="right" w:pos="9026" w:leader="dot"/>
            </w:tabs>
            <w:rPr/>
          </w:pPr>
          <w:hyperlink w:anchor="__RefHeading___Toc6281435_3224264995">
            <w:r>
              <w:rPr>
                <w:webHidden/>
                <w:rStyle w:val="IndexLink"/>
              </w:rPr>
              <w:t>12</w:t>
            </w:r>
            <w:r>
              <w:rPr>
                <w:rStyle w:val="IndexLink"/>
                <w:rtl w:val="true"/>
              </w:rPr>
              <w:t xml:space="preserve">- </w:t>
            </w:r>
            <w:r>
              <w:rPr>
                <w:rStyle w:val="IndexLink"/>
                <w:rtl w:val="true"/>
              </w:rPr>
              <w:t>کتاب الوصایا</w:t>
            </w:r>
            <w:r>
              <w:rPr>
                <w:rStyle w:val="IndexLink"/>
                <w:rtl w:val="true"/>
              </w:rPr>
              <w:t>:</w:t>
              <w:tab/>
            </w:r>
            <w:r>
              <w:rPr>
                <w:rStyle w:val="IndexLink"/>
              </w:rPr>
              <w:t>14</w:t>
            </w:r>
          </w:hyperlink>
        </w:p>
        <w:p>
          <w:pPr>
            <w:pStyle w:val="Contents5"/>
            <w:tabs>
              <w:tab w:val="clear" w:pos="7892"/>
              <w:tab w:val="right" w:pos="9026" w:leader="dot"/>
            </w:tabs>
            <w:rPr/>
          </w:pPr>
          <w:hyperlink w:anchor="__RefHeading___Toc6281437_3224264995">
            <w:r>
              <w:rPr>
                <w:webHidden/>
                <w:rStyle w:val="IndexLink"/>
              </w:rPr>
              <w:t>13</w:t>
            </w:r>
            <w:r>
              <w:rPr>
                <w:rStyle w:val="IndexLink"/>
                <w:rtl w:val="true"/>
              </w:rPr>
              <w:t xml:space="preserve">- </w:t>
            </w:r>
            <w:r>
              <w:rPr>
                <w:rStyle w:val="IndexLink"/>
                <w:rtl w:val="true"/>
              </w:rPr>
              <w:t>رسالة فی الإرث</w:t>
            </w:r>
            <w:r>
              <w:rPr>
                <w:rStyle w:val="IndexLink"/>
                <w:rtl w:val="true"/>
              </w:rPr>
              <w:t>:</w:t>
              <w:tab/>
            </w:r>
            <w:r>
              <w:rPr>
                <w:rStyle w:val="IndexLink"/>
              </w:rPr>
              <w:t>14</w:t>
            </w:r>
          </w:hyperlink>
        </w:p>
        <w:p>
          <w:pPr>
            <w:pStyle w:val="Contents5"/>
            <w:tabs>
              <w:tab w:val="clear" w:pos="7892"/>
              <w:tab w:val="right" w:pos="9026" w:leader="dot"/>
            </w:tabs>
            <w:rPr/>
          </w:pPr>
          <w:hyperlink w:anchor="__RefHeading___Toc6281439_3224264995">
            <w:r>
              <w:rPr>
                <w:webHidden/>
                <w:rStyle w:val="IndexLink"/>
              </w:rPr>
              <w:t>14</w:t>
            </w:r>
            <w:r>
              <w:rPr>
                <w:rStyle w:val="IndexLink"/>
                <w:rtl w:val="true"/>
              </w:rPr>
              <w:t xml:space="preserve">- </w:t>
            </w:r>
            <w:r>
              <w:rPr>
                <w:rStyle w:val="IndexLink"/>
                <w:rtl w:val="true"/>
              </w:rPr>
              <w:t>رسالة فی منجّزات المریض</w:t>
            </w:r>
            <w:r>
              <w:rPr>
                <w:rStyle w:val="IndexLink"/>
                <w:rtl w:val="true"/>
              </w:rPr>
              <w:t>:</w:t>
              <w:tab/>
            </w:r>
            <w:r>
              <w:rPr>
                <w:rStyle w:val="IndexLink"/>
              </w:rPr>
              <w:t>15</w:t>
            </w:r>
          </w:hyperlink>
        </w:p>
        <w:p>
          <w:pPr>
            <w:pStyle w:val="Contents5"/>
            <w:tabs>
              <w:tab w:val="clear" w:pos="7892"/>
              <w:tab w:val="right" w:pos="9026" w:leader="dot"/>
            </w:tabs>
            <w:rPr/>
          </w:pPr>
          <w:hyperlink w:anchor="__RefHeading___Toc6281441_3224264995">
            <w:r>
              <w:rPr>
                <w:webHidden/>
                <w:rStyle w:val="IndexLink"/>
              </w:rPr>
              <w:t>15</w:t>
            </w:r>
            <w:r>
              <w:rPr>
                <w:rStyle w:val="IndexLink"/>
                <w:rtl w:val="true"/>
              </w:rPr>
              <w:t xml:space="preserve">- </w:t>
            </w:r>
            <w:r>
              <w:rPr>
                <w:rStyle w:val="IndexLink"/>
                <w:rtl w:val="true"/>
              </w:rPr>
              <w:t>کتاب القضاء</w:t>
            </w:r>
            <w:r>
              <w:rPr>
                <w:rStyle w:val="IndexLink"/>
                <w:rtl w:val="true"/>
              </w:rPr>
              <w:t>:</w:t>
              <w:tab/>
            </w:r>
            <w:r>
              <w:rPr>
                <w:rStyle w:val="IndexLink"/>
              </w:rPr>
              <w:t>15</w:t>
            </w:r>
          </w:hyperlink>
        </w:p>
        <w:p>
          <w:pPr>
            <w:pStyle w:val="Contents5"/>
            <w:tabs>
              <w:tab w:val="clear" w:pos="7892"/>
              <w:tab w:val="right" w:pos="9026" w:leader="dot"/>
            </w:tabs>
            <w:rPr/>
          </w:pPr>
          <w:hyperlink w:anchor="__RefHeading___Toc6281443_3224264995">
            <w:r>
              <w:rPr>
                <w:webHidden/>
                <w:rStyle w:val="IndexLink"/>
              </w:rPr>
              <w:t>16</w:t>
            </w:r>
            <w:r>
              <w:rPr>
                <w:rStyle w:val="IndexLink"/>
                <w:rtl w:val="true"/>
              </w:rPr>
              <w:t xml:space="preserve">- </w:t>
            </w:r>
            <w:r>
              <w:rPr>
                <w:rStyle w:val="IndexLink"/>
                <w:rtl w:val="true"/>
              </w:rPr>
              <w:t>کتاب الشهادات</w:t>
            </w:r>
            <w:r>
              <w:rPr>
                <w:rStyle w:val="IndexLink"/>
                <w:rtl w:val="true"/>
              </w:rPr>
              <w:t>:</w:t>
              <w:tab/>
            </w:r>
            <w:r>
              <w:rPr>
                <w:rStyle w:val="IndexLink"/>
              </w:rPr>
              <w:t>15</w:t>
            </w:r>
          </w:hyperlink>
        </w:p>
        <w:p>
          <w:pPr>
            <w:pStyle w:val="Contents5"/>
            <w:tabs>
              <w:tab w:val="clear" w:pos="7892"/>
              <w:tab w:val="right" w:pos="9026" w:leader="dot"/>
            </w:tabs>
            <w:rPr/>
          </w:pPr>
          <w:hyperlink w:anchor="__RefHeading___Toc6281445_3224264995">
            <w:r>
              <w:rPr>
                <w:webHidden/>
                <w:rStyle w:val="IndexLink"/>
              </w:rPr>
              <w:t>17</w:t>
            </w:r>
            <w:r>
              <w:rPr>
                <w:rStyle w:val="IndexLink"/>
                <w:rtl w:val="true"/>
              </w:rPr>
              <w:t xml:space="preserve">- </w:t>
            </w:r>
            <w:r>
              <w:rPr>
                <w:rStyle w:val="IndexLink"/>
                <w:rtl w:val="true"/>
              </w:rPr>
              <w:t>رسالة فی العدالة</w:t>
            </w:r>
            <w:r>
              <w:rPr>
                <w:rStyle w:val="IndexLink"/>
                <w:rtl w:val="true"/>
              </w:rPr>
              <w:t>:</w:t>
              <w:tab/>
            </w:r>
            <w:r>
              <w:rPr>
                <w:rStyle w:val="IndexLink"/>
              </w:rPr>
              <w:t>16</w:t>
            </w:r>
          </w:hyperlink>
        </w:p>
        <w:p>
          <w:pPr>
            <w:pStyle w:val="Contents5"/>
            <w:tabs>
              <w:tab w:val="clear" w:pos="7892"/>
              <w:tab w:val="right" w:pos="9026" w:leader="dot"/>
            </w:tabs>
            <w:rPr/>
          </w:pPr>
          <w:hyperlink w:anchor="__RefHeading___Toc6281447_3224264995">
            <w:r>
              <w:rPr>
                <w:webHidden/>
                <w:rStyle w:val="IndexLink"/>
              </w:rPr>
              <w:t>18</w:t>
            </w:r>
            <w:r>
              <w:rPr>
                <w:rStyle w:val="IndexLink"/>
                <w:rtl w:val="true"/>
              </w:rPr>
              <w:t xml:space="preserve">- </w:t>
            </w:r>
            <w:r>
              <w:rPr>
                <w:rStyle w:val="IndexLink"/>
                <w:rtl w:val="true"/>
              </w:rPr>
              <w:t xml:space="preserve">رسالة فی قاعدة </w:t>
            </w:r>
            <w:r>
              <w:rPr>
                <w:rStyle w:val="IndexLink"/>
                <w:rtl w:val="true"/>
              </w:rPr>
              <w:t>«</w:t>
            </w:r>
            <w:r>
              <w:rPr>
                <w:rStyle w:val="IndexLink"/>
                <w:rtl w:val="true"/>
              </w:rPr>
              <w:t>من ملک</w:t>
            </w:r>
            <w:r>
              <w:rPr>
                <w:rStyle w:val="IndexLink"/>
                <w:rtl w:val="true"/>
              </w:rPr>
              <w:t>»:</w:t>
              <w:tab/>
            </w:r>
            <w:r>
              <w:rPr>
                <w:rStyle w:val="IndexLink"/>
              </w:rPr>
              <w:t>16</w:t>
            </w:r>
          </w:hyperlink>
        </w:p>
        <w:p>
          <w:pPr>
            <w:pStyle w:val="Contents5"/>
            <w:tabs>
              <w:tab w:val="clear" w:pos="7892"/>
              <w:tab w:val="right" w:pos="9026" w:leader="dot"/>
            </w:tabs>
            <w:rPr/>
          </w:pPr>
          <w:hyperlink w:anchor="__RefHeading___Toc6281449_3224264995">
            <w:r>
              <w:rPr>
                <w:webHidden/>
                <w:rStyle w:val="IndexLink"/>
              </w:rPr>
              <w:t>19</w:t>
            </w:r>
            <w:r>
              <w:rPr>
                <w:rStyle w:val="IndexLink"/>
                <w:rtl w:val="true"/>
              </w:rPr>
              <w:t xml:space="preserve">- </w:t>
            </w:r>
            <w:r>
              <w:rPr>
                <w:rStyle w:val="IndexLink"/>
                <w:rtl w:val="true"/>
              </w:rPr>
              <w:t xml:space="preserve">رسالة فی </w:t>
            </w:r>
            <w:r>
              <w:rPr>
                <w:rStyle w:val="IndexLink"/>
                <w:rtl w:val="true"/>
              </w:rPr>
              <w:t>«</w:t>
            </w:r>
            <w:r>
              <w:rPr>
                <w:rStyle w:val="IndexLink"/>
                <w:rtl w:val="true"/>
              </w:rPr>
              <w:t>التقیّة</w:t>
            </w:r>
            <w:r>
              <w:rPr>
                <w:rStyle w:val="IndexLink"/>
                <w:rtl w:val="true"/>
              </w:rPr>
              <w:t>»:</w:t>
              <w:tab/>
            </w:r>
            <w:r>
              <w:rPr>
                <w:rStyle w:val="IndexLink"/>
              </w:rPr>
              <w:t>16</w:t>
            </w:r>
          </w:hyperlink>
        </w:p>
        <w:p>
          <w:pPr>
            <w:pStyle w:val="Contents5"/>
            <w:tabs>
              <w:tab w:val="clear" w:pos="7892"/>
              <w:tab w:val="right" w:pos="9026" w:leader="dot"/>
            </w:tabs>
            <w:rPr/>
          </w:pPr>
          <w:hyperlink w:anchor="__RefHeading___Toc6281451_3224264995">
            <w:r>
              <w:rPr>
                <w:webHidden/>
                <w:rStyle w:val="IndexLink"/>
              </w:rPr>
              <w:t>20</w:t>
            </w:r>
            <w:r>
              <w:rPr>
                <w:rStyle w:val="IndexLink"/>
                <w:rtl w:val="true"/>
              </w:rPr>
              <w:t xml:space="preserve">- </w:t>
            </w:r>
            <w:r>
              <w:rPr>
                <w:rStyle w:val="IndexLink"/>
                <w:rtl w:val="true"/>
              </w:rPr>
              <w:t>رسالة فی القضاء عن المیّت</w:t>
            </w:r>
            <w:r>
              <w:rPr>
                <w:rStyle w:val="IndexLink"/>
                <w:rtl w:val="true"/>
              </w:rPr>
              <w:t>:</w:t>
              <w:tab/>
            </w:r>
            <w:r>
              <w:rPr>
                <w:rStyle w:val="IndexLink"/>
              </w:rPr>
              <w:t>16</w:t>
            </w:r>
          </w:hyperlink>
        </w:p>
        <w:p>
          <w:pPr>
            <w:pStyle w:val="Contents5"/>
            <w:tabs>
              <w:tab w:val="clear" w:pos="7892"/>
              <w:tab w:val="right" w:pos="9026" w:leader="dot"/>
            </w:tabs>
            <w:rPr/>
          </w:pPr>
          <w:hyperlink w:anchor="__RefHeading___Toc6281453_3224264995">
            <w:r>
              <w:rPr>
                <w:webHidden/>
                <w:rStyle w:val="IndexLink"/>
              </w:rPr>
              <w:t>21</w:t>
            </w:r>
            <w:r>
              <w:rPr>
                <w:rStyle w:val="IndexLink"/>
                <w:rtl w:val="true"/>
              </w:rPr>
              <w:t xml:space="preserve">- </w:t>
            </w:r>
            <w:r>
              <w:rPr>
                <w:rStyle w:val="IndexLink"/>
                <w:rtl w:val="true"/>
              </w:rPr>
              <w:t>رسالة فی المواسعة و المضایقة</w:t>
            </w:r>
            <w:r>
              <w:rPr>
                <w:rStyle w:val="IndexLink"/>
                <w:rtl w:val="true"/>
              </w:rPr>
              <w:t>:</w:t>
              <w:tab/>
            </w:r>
            <w:r>
              <w:rPr>
                <w:rStyle w:val="IndexLink"/>
              </w:rPr>
              <w:t>17</w:t>
            </w:r>
          </w:hyperlink>
        </w:p>
        <w:p>
          <w:pPr>
            <w:pStyle w:val="Contents5"/>
            <w:tabs>
              <w:tab w:val="clear" w:pos="7892"/>
              <w:tab w:val="right" w:pos="9026" w:leader="dot"/>
            </w:tabs>
            <w:rPr/>
          </w:pPr>
          <w:hyperlink w:anchor="__RefHeading___Toc6281455_3224264995">
            <w:r>
              <w:rPr>
                <w:webHidden/>
                <w:rStyle w:val="IndexLink"/>
              </w:rPr>
              <w:t>22</w:t>
            </w:r>
            <w:r>
              <w:rPr>
                <w:rStyle w:val="IndexLink"/>
                <w:rtl w:val="true"/>
              </w:rPr>
              <w:t xml:space="preserve">- </w:t>
            </w:r>
            <w:r>
              <w:rPr>
                <w:rStyle w:val="IndexLink"/>
                <w:rtl w:val="true"/>
              </w:rPr>
              <w:t>کتاب الغصب</w:t>
            </w:r>
            <w:r>
              <w:rPr>
                <w:rStyle w:val="IndexLink"/>
                <w:rtl w:val="true"/>
              </w:rPr>
              <w:t>:</w:t>
              <w:tab/>
            </w:r>
            <w:r>
              <w:rPr>
                <w:rStyle w:val="IndexLink"/>
              </w:rPr>
              <w:t>17</w:t>
            </w:r>
          </w:hyperlink>
        </w:p>
        <w:p>
          <w:pPr>
            <w:pStyle w:val="Contents5"/>
            <w:tabs>
              <w:tab w:val="clear" w:pos="7892"/>
              <w:tab w:val="right" w:pos="9026" w:leader="dot"/>
            </w:tabs>
            <w:rPr/>
          </w:pPr>
          <w:hyperlink w:anchor="__RefHeading___Toc6281457_3224264995">
            <w:r>
              <w:rPr>
                <w:webHidden/>
                <w:rStyle w:val="IndexLink"/>
              </w:rPr>
              <w:t>23</w:t>
            </w:r>
            <w:r>
              <w:rPr>
                <w:rStyle w:val="IndexLink"/>
                <w:rtl w:val="true"/>
              </w:rPr>
              <w:t xml:space="preserve">- </w:t>
            </w:r>
            <w:r>
              <w:rPr>
                <w:rStyle w:val="IndexLink"/>
                <w:rtl w:val="true"/>
              </w:rPr>
              <w:t>رسالة فی المتعة</w:t>
            </w:r>
            <w:r>
              <w:rPr>
                <w:rStyle w:val="IndexLink"/>
                <w:rtl w:val="true"/>
              </w:rPr>
              <w:t>:</w:t>
              <w:tab/>
            </w:r>
            <w:r>
              <w:rPr>
                <w:rStyle w:val="IndexLink"/>
              </w:rPr>
              <w:t>17</w:t>
            </w:r>
          </w:hyperlink>
        </w:p>
        <w:p>
          <w:pPr>
            <w:pStyle w:val="Contents5"/>
            <w:tabs>
              <w:tab w:val="clear" w:pos="7892"/>
              <w:tab w:val="right" w:pos="9026" w:leader="dot"/>
            </w:tabs>
            <w:rPr/>
          </w:pPr>
          <w:hyperlink w:anchor="__RefHeading___Toc6281459_3224264995">
            <w:r>
              <w:rPr>
                <w:webHidden/>
                <w:rStyle w:val="IndexLink"/>
              </w:rPr>
              <w:t>24</w:t>
            </w:r>
            <w:r>
              <w:rPr>
                <w:rStyle w:val="IndexLink"/>
                <w:rtl w:val="true"/>
              </w:rPr>
              <w:t xml:space="preserve">- </w:t>
            </w:r>
            <w:r>
              <w:rPr>
                <w:rStyle w:val="IndexLink"/>
                <w:rtl w:val="true"/>
              </w:rPr>
              <w:t>رسالة فی التیمم</w:t>
            </w:r>
            <w:r>
              <w:rPr>
                <w:rStyle w:val="IndexLink"/>
                <w:rtl w:val="true"/>
              </w:rPr>
              <w:t>:</w:t>
              <w:tab/>
            </w:r>
            <w:r>
              <w:rPr>
                <w:rStyle w:val="IndexLink"/>
              </w:rPr>
              <w:t>17</w:t>
            </w:r>
          </w:hyperlink>
        </w:p>
        <w:p>
          <w:pPr>
            <w:pStyle w:val="Contents5"/>
            <w:tabs>
              <w:tab w:val="clear" w:pos="7892"/>
              <w:tab w:val="right" w:pos="9026" w:leader="dot"/>
            </w:tabs>
            <w:rPr/>
          </w:pPr>
          <w:hyperlink w:anchor="__RefHeading___Toc6281461_3224264995">
            <w:r>
              <w:rPr>
                <w:webHidden/>
                <w:rStyle w:val="IndexLink"/>
              </w:rPr>
              <w:t>25</w:t>
            </w:r>
            <w:r>
              <w:rPr>
                <w:rStyle w:val="IndexLink"/>
                <w:rtl w:val="true"/>
              </w:rPr>
              <w:t xml:space="preserve">- </w:t>
            </w:r>
            <w:r>
              <w:rPr>
                <w:rStyle w:val="IndexLink"/>
                <w:rtl w:val="true"/>
              </w:rPr>
              <w:t>الرسائل العملیة</w:t>
            </w:r>
            <w:r>
              <w:rPr>
                <w:rStyle w:val="IndexLink"/>
                <w:rtl w:val="true"/>
              </w:rPr>
              <w:t>:</w:t>
              <w:tab/>
            </w:r>
            <w:r>
              <w:rPr>
                <w:rStyle w:val="IndexLink"/>
              </w:rPr>
              <w:t>18</w:t>
            </w:r>
          </w:hyperlink>
        </w:p>
        <w:p>
          <w:pPr>
            <w:pStyle w:val="Contents6"/>
            <w:tabs>
              <w:tab w:val="clear" w:pos="7609"/>
              <w:tab w:val="right" w:pos="9026" w:leader="dot"/>
            </w:tabs>
            <w:rPr/>
          </w:pPr>
          <w:hyperlink w:anchor="__RefHeading___Toc6281463_3224264995">
            <w:r>
              <w:rPr>
                <w:webHidden/>
                <w:rStyle w:val="IndexLink"/>
                <w:rtl w:val="true"/>
              </w:rPr>
              <w:t>اشارة</w:t>
            </w:r>
            <w:r>
              <w:rPr>
                <w:rStyle w:val="IndexLink"/>
                <w:rtl w:val="true"/>
              </w:rPr>
              <w:tab/>
            </w:r>
            <w:r>
              <w:rPr>
                <w:rStyle w:val="IndexLink"/>
              </w:rPr>
              <w:t>18</w:t>
            </w:r>
          </w:hyperlink>
        </w:p>
        <w:p>
          <w:pPr>
            <w:pStyle w:val="Contents6"/>
            <w:tabs>
              <w:tab w:val="clear" w:pos="7609"/>
              <w:tab w:val="right" w:pos="9026" w:leader="dot"/>
            </w:tabs>
            <w:rPr/>
          </w:pPr>
          <w:hyperlink w:anchor="__RefHeading___Toc6281465_3224264995">
            <w:r>
              <w:rPr>
                <w:webHidden/>
                <w:rStyle w:val="IndexLink"/>
              </w:rPr>
              <w:t>1</w:t>
            </w:r>
            <w:r>
              <w:rPr>
                <w:rStyle w:val="IndexLink"/>
                <w:rtl w:val="true"/>
              </w:rPr>
              <w:t xml:space="preserve">- </w:t>
            </w:r>
            <w:r>
              <w:rPr>
                <w:rStyle w:val="IndexLink"/>
                <w:rtl w:val="true"/>
              </w:rPr>
              <w:t>سراج العباد</w:t>
            </w:r>
            <w:r>
              <w:rPr>
                <w:rStyle w:val="IndexLink"/>
                <w:rtl w:val="true"/>
              </w:rPr>
              <w:t>:</w:t>
              <w:tab/>
            </w:r>
            <w:r>
              <w:rPr>
                <w:rStyle w:val="IndexLink"/>
              </w:rPr>
              <w:t>18</w:t>
            </w:r>
          </w:hyperlink>
        </w:p>
        <w:p>
          <w:pPr>
            <w:pStyle w:val="Contents6"/>
            <w:tabs>
              <w:tab w:val="clear" w:pos="7609"/>
              <w:tab w:val="right" w:pos="9026" w:leader="dot"/>
            </w:tabs>
            <w:rPr/>
          </w:pPr>
          <w:hyperlink w:anchor="__RefHeading___Toc6281467_3224264995">
            <w:r>
              <w:rPr>
                <w:webHidden/>
                <w:rStyle w:val="IndexLink"/>
              </w:rPr>
              <w:t>2</w:t>
            </w:r>
            <w:r>
              <w:rPr>
                <w:rStyle w:val="IndexLink"/>
                <w:rtl w:val="true"/>
              </w:rPr>
              <w:t xml:space="preserve">- </w:t>
            </w:r>
            <w:r>
              <w:rPr>
                <w:rStyle w:val="IndexLink"/>
                <w:rtl w:val="true"/>
              </w:rPr>
              <w:t>سراج العباد</w:t>
            </w:r>
            <w:r>
              <w:rPr>
                <w:rStyle w:val="IndexLink"/>
                <w:rtl w:val="true"/>
              </w:rPr>
              <w:t>:</w:t>
              <w:tab/>
            </w:r>
            <w:r>
              <w:rPr>
                <w:rStyle w:val="IndexLink"/>
              </w:rPr>
              <w:t>18</w:t>
            </w:r>
          </w:hyperlink>
        </w:p>
        <w:p>
          <w:pPr>
            <w:pStyle w:val="Contents6"/>
            <w:tabs>
              <w:tab w:val="clear" w:pos="7609"/>
              <w:tab w:val="right" w:pos="9026" w:leader="dot"/>
            </w:tabs>
            <w:rPr/>
          </w:pPr>
          <w:hyperlink w:anchor="__RefHeading___Toc6281469_3224264995">
            <w:r>
              <w:rPr>
                <w:webHidden/>
                <w:rStyle w:val="IndexLink"/>
              </w:rPr>
              <w:t>3</w:t>
            </w:r>
            <w:r>
              <w:rPr>
                <w:rStyle w:val="IndexLink"/>
                <w:rtl w:val="true"/>
              </w:rPr>
              <w:t xml:space="preserve">- </w:t>
            </w:r>
            <w:r>
              <w:rPr>
                <w:rStyle w:val="IndexLink"/>
                <w:rtl w:val="true"/>
              </w:rPr>
              <w:t>صراط النجاة</w:t>
            </w:r>
            <w:r>
              <w:rPr>
                <w:rStyle w:val="IndexLink"/>
                <w:rtl w:val="true"/>
              </w:rPr>
              <w:t>:</w:t>
              <w:tab/>
            </w:r>
            <w:r>
              <w:rPr>
                <w:rStyle w:val="IndexLink"/>
              </w:rPr>
              <w:t>19</w:t>
            </w:r>
          </w:hyperlink>
        </w:p>
        <w:p>
          <w:pPr>
            <w:pStyle w:val="Contents6"/>
            <w:tabs>
              <w:tab w:val="clear" w:pos="7609"/>
              <w:tab w:val="right" w:pos="9026" w:leader="dot"/>
            </w:tabs>
            <w:rPr/>
          </w:pPr>
          <w:hyperlink w:anchor="__RefHeading___Toc6281471_3224264995">
            <w:r>
              <w:rPr>
                <w:webHidden/>
                <w:rStyle w:val="IndexLink"/>
              </w:rPr>
              <w:t>4</w:t>
            </w:r>
            <w:r>
              <w:rPr>
                <w:rStyle w:val="IndexLink"/>
                <w:rtl w:val="true"/>
              </w:rPr>
              <w:t xml:space="preserve">- </w:t>
            </w:r>
            <w:r>
              <w:rPr>
                <w:rStyle w:val="IndexLink"/>
                <w:rtl w:val="true"/>
              </w:rPr>
              <w:t>صراط النجاة</w:t>
            </w:r>
            <w:r>
              <w:rPr>
                <w:rStyle w:val="IndexLink"/>
                <w:rtl w:val="true"/>
              </w:rPr>
              <w:t>:</w:t>
              <w:tab/>
            </w:r>
            <w:r>
              <w:rPr>
                <w:rStyle w:val="IndexLink"/>
              </w:rPr>
              <w:t>19</w:t>
            </w:r>
          </w:hyperlink>
        </w:p>
        <w:p>
          <w:pPr>
            <w:pStyle w:val="Contents6"/>
            <w:tabs>
              <w:tab w:val="clear" w:pos="7609"/>
              <w:tab w:val="right" w:pos="9026" w:leader="dot"/>
            </w:tabs>
            <w:rPr/>
          </w:pPr>
          <w:hyperlink w:anchor="__RefHeading___Toc6281473_3224264995">
            <w:r>
              <w:rPr>
                <w:webHidden/>
                <w:rStyle w:val="IndexLink"/>
              </w:rPr>
              <w:t>5</w:t>
            </w:r>
            <w:r>
              <w:rPr>
                <w:rStyle w:val="IndexLink"/>
                <w:rtl w:val="true"/>
              </w:rPr>
              <w:t xml:space="preserve">- </w:t>
            </w:r>
            <w:r>
              <w:rPr>
                <w:rStyle w:val="IndexLink"/>
                <w:rtl w:val="true"/>
              </w:rPr>
              <w:t xml:space="preserve">رسالة </w:t>
            </w:r>
            <w:r>
              <w:rPr>
                <w:rStyle w:val="IndexLink"/>
                <w:rtl w:val="true"/>
              </w:rPr>
              <w:t>«</w:t>
            </w:r>
            <w:r>
              <w:rPr>
                <w:rStyle w:val="IndexLink"/>
                <w:rtl w:val="true"/>
              </w:rPr>
              <w:t>النخبة</w:t>
            </w:r>
            <w:r>
              <w:rPr>
                <w:rStyle w:val="IndexLink"/>
                <w:rtl w:val="true"/>
              </w:rPr>
              <w:t>»:</w:t>
              <w:tab/>
            </w:r>
            <w:r>
              <w:rPr>
                <w:rStyle w:val="IndexLink"/>
              </w:rPr>
              <w:t>20</w:t>
            </w:r>
          </w:hyperlink>
        </w:p>
        <w:p>
          <w:pPr>
            <w:pStyle w:val="Contents6"/>
            <w:tabs>
              <w:tab w:val="clear" w:pos="7609"/>
              <w:tab w:val="right" w:pos="9026" w:leader="dot"/>
            </w:tabs>
            <w:rPr/>
          </w:pPr>
          <w:hyperlink w:anchor="__RefHeading___Toc6281475_3224264995">
            <w:r>
              <w:rPr>
                <w:webHidden/>
                <w:rStyle w:val="IndexLink"/>
              </w:rPr>
              <w:t>6</w:t>
            </w:r>
            <w:r>
              <w:rPr>
                <w:rStyle w:val="IndexLink"/>
                <w:rtl w:val="true"/>
              </w:rPr>
              <w:t xml:space="preserve">- </w:t>
            </w:r>
            <w:r>
              <w:rPr>
                <w:rStyle w:val="IndexLink"/>
                <w:rtl w:val="true"/>
              </w:rPr>
              <w:t>الرسالة العملیّة</w:t>
            </w:r>
            <w:r>
              <w:rPr>
                <w:rStyle w:val="IndexLink"/>
                <w:rtl w:val="true"/>
              </w:rPr>
              <w:t>:</w:t>
              <w:tab/>
            </w:r>
            <w:r>
              <w:rPr>
                <w:rStyle w:val="IndexLink"/>
              </w:rPr>
              <w:t>20</w:t>
            </w:r>
          </w:hyperlink>
        </w:p>
        <w:p>
          <w:pPr>
            <w:pStyle w:val="Contents6"/>
            <w:tabs>
              <w:tab w:val="clear" w:pos="7609"/>
              <w:tab w:val="right" w:pos="9026" w:leader="dot"/>
            </w:tabs>
            <w:rPr/>
          </w:pPr>
          <w:hyperlink w:anchor="__RefHeading___Toc6281477_3224264995">
            <w:r>
              <w:rPr>
                <w:webHidden/>
                <w:rStyle w:val="IndexLink"/>
              </w:rPr>
              <w:t>7</w:t>
            </w:r>
            <w:r>
              <w:rPr>
                <w:rStyle w:val="IndexLink"/>
                <w:rtl w:val="true"/>
              </w:rPr>
              <w:t xml:space="preserve">- </w:t>
            </w:r>
            <w:r>
              <w:rPr>
                <w:rStyle w:val="IndexLink"/>
                <w:rtl w:val="true"/>
              </w:rPr>
              <w:t>رسالة عملیّة أخری</w:t>
            </w:r>
            <w:r>
              <w:rPr>
                <w:rStyle w:val="IndexLink"/>
                <w:rtl w:val="true"/>
              </w:rPr>
              <w:t>:</w:t>
              <w:tab/>
            </w:r>
            <w:r>
              <w:rPr>
                <w:rStyle w:val="IndexLink"/>
              </w:rPr>
              <w:t>20</w:t>
            </w:r>
          </w:hyperlink>
        </w:p>
        <w:p>
          <w:pPr>
            <w:pStyle w:val="Contents6"/>
            <w:tabs>
              <w:tab w:val="clear" w:pos="7609"/>
              <w:tab w:val="right" w:pos="9026" w:leader="dot"/>
            </w:tabs>
            <w:rPr/>
          </w:pPr>
          <w:hyperlink w:anchor="__RefHeading___Toc6281479_3224264995">
            <w:r>
              <w:rPr>
                <w:webHidden/>
                <w:rStyle w:val="IndexLink"/>
              </w:rPr>
              <w:t>8</w:t>
            </w:r>
            <w:r>
              <w:rPr>
                <w:rStyle w:val="IndexLink"/>
                <w:rtl w:val="true"/>
              </w:rPr>
              <w:t xml:space="preserve">- </w:t>
            </w:r>
            <w:r>
              <w:rPr>
                <w:rStyle w:val="IndexLink"/>
                <w:rtl w:val="true"/>
              </w:rPr>
              <w:t>ذخیرة المعاد</w:t>
            </w:r>
            <w:r>
              <w:rPr>
                <w:rStyle w:val="IndexLink"/>
                <w:rtl w:val="true"/>
              </w:rPr>
              <w:t>:</w:t>
              <w:tab/>
            </w:r>
            <w:r>
              <w:rPr>
                <w:rStyle w:val="IndexLink"/>
              </w:rPr>
              <w:t>21</w:t>
            </w:r>
          </w:hyperlink>
        </w:p>
        <w:p>
          <w:pPr>
            <w:pStyle w:val="Contents5"/>
            <w:tabs>
              <w:tab w:val="clear" w:pos="7892"/>
              <w:tab w:val="right" w:pos="9026" w:leader="dot"/>
            </w:tabs>
            <w:rPr/>
          </w:pPr>
          <w:hyperlink w:anchor="__RefHeading___Toc6281481_3224264995">
            <w:r>
              <w:rPr>
                <w:webHidden/>
                <w:rStyle w:val="IndexLink"/>
              </w:rPr>
              <w:t>26</w:t>
            </w:r>
            <w:r>
              <w:rPr>
                <w:rStyle w:val="IndexLink"/>
                <w:rtl w:val="true"/>
              </w:rPr>
              <w:t xml:space="preserve">- </w:t>
            </w:r>
            <w:r>
              <w:rPr>
                <w:rStyle w:val="IndexLink"/>
                <w:rtl w:val="true"/>
              </w:rPr>
              <w:t>حاشیة علی نجاة العباد</w:t>
            </w:r>
            <w:r>
              <w:rPr>
                <w:rStyle w:val="IndexLink"/>
                <w:rtl w:val="true"/>
              </w:rPr>
              <w:t>:</w:t>
              <w:tab/>
            </w:r>
            <w:r>
              <w:rPr>
                <w:rStyle w:val="IndexLink"/>
              </w:rPr>
              <w:t>21</w:t>
            </w:r>
          </w:hyperlink>
        </w:p>
        <w:p>
          <w:pPr>
            <w:pStyle w:val="Contents5"/>
            <w:tabs>
              <w:tab w:val="clear" w:pos="7892"/>
              <w:tab w:val="right" w:pos="9026" w:leader="dot"/>
            </w:tabs>
            <w:rPr/>
          </w:pPr>
          <w:hyperlink w:anchor="__RefHeading___Toc6281483_3224264995">
            <w:r>
              <w:rPr>
                <w:webHidden/>
                <w:rStyle w:val="IndexLink"/>
              </w:rPr>
              <w:t>27</w:t>
            </w:r>
            <w:r>
              <w:rPr>
                <w:rStyle w:val="IndexLink"/>
                <w:rtl w:val="true"/>
              </w:rPr>
              <w:t xml:space="preserve">- </w:t>
            </w:r>
            <w:r>
              <w:rPr>
                <w:rStyle w:val="IndexLink"/>
                <w:rtl w:val="true"/>
              </w:rPr>
              <w:t>حاشیة علی بغیة الطالب</w:t>
            </w:r>
            <w:r>
              <w:rPr>
                <w:rStyle w:val="IndexLink"/>
                <w:rtl w:val="true"/>
              </w:rPr>
              <w:t>:</w:t>
              <w:tab/>
            </w:r>
            <w:r>
              <w:rPr>
                <w:rStyle w:val="IndexLink"/>
              </w:rPr>
              <w:t>21</w:t>
            </w:r>
          </w:hyperlink>
        </w:p>
        <w:p>
          <w:pPr>
            <w:pStyle w:val="Contents5"/>
            <w:tabs>
              <w:tab w:val="clear" w:pos="7892"/>
              <w:tab w:val="right" w:pos="9026" w:leader="dot"/>
            </w:tabs>
            <w:rPr/>
          </w:pPr>
          <w:hyperlink w:anchor="__RefHeading___Toc6281485_3224264995">
            <w:r>
              <w:rPr>
                <w:webHidden/>
                <w:rStyle w:val="IndexLink"/>
              </w:rPr>
              <w:t>28</w:t>
            </w:r>
            <w:r>
              <w:rPr>
                <w:rStyle w:val="IndexLink"/>
                <w:rtl w:val="true"/>
              </w:rPr>
              <w:t xml:space="preserve">- </w:t>
            </w:r>
            <w:r>
              <w:rPr>
                <w:rStyle w:val="IndexLink"/>
                <w:rtl w:val="true"/>
              </w:rPr>
              <w:t>الحواشی علی عوائد الأیّام</w:t>
            </w:r>
            <w:r>
              <w:rPr>
                <w:rStyle w:val="IndexLink"/>
                <w:rtl w:val="true"/>
              </w:rPr>
              <w:t>:</w:t>
              <w:tab/>
            </w:r>
            <w:r>
              <w:rPr>
                <w:rStyle w:val="IndexLink"/>
              </w:rPr>
              <w:t>22</w:t>
            </w:r>
          </w:hyperlink>
        </w:p>
        <w:p>
          <w:pPr>
            <w:pStyle w:val="Contents5"/>
            <w:tabs>
              <w:tab w:val="clear" w:pos="7892"/>
              <w:tab w:val="right" w:pos="9026" w:leader="dot"/>
            </w:tabs>
            <w:rPr/>
          </w:pPr>
          <w:hyperlink w:anchor="__RefHeading___Toc6281487_3224264995">
            <w:r>
              <w:rPr>
                <w:webHidden/>
                <w:rStyle w:val="IndexLink"/>
              </w:rPr>
              <w:t>29</w:t>
            </w:r>
            <w:r>
              <w:rPr>
                <w:rStyle w:val="IndexLink"/>
                <w:rtl w:val="true"/>
              </w:rPr>
              <w:t xml:space="preserve">- </w:t>
            </w:r>
            <w:r>
              <w:rPr>
                <w:rStyle w:val="IndexLink"/>
                <w:rtl w:val="true"/>
              </w:rPr>
              <w:t>أجوبة الحاج محمد أمین کبّة</w:t>
            </w:r>
            <w:r>
              <w:rPr>
                <w:rStyle w:val="IndexLink"/>
                <w:rtl w:val="true"/>
              </w:rPr>
              <w:t>:</w:t>
              <w:tab/>
            </w:r>
            <w:r>
              <w:rPr>
                <w:rStyle w:val="IndexLink"/>
              </w:rPr>
              <w:t>22</w:t>
            </w:r>
          </w:hyperlink>
        </w:p>
        <w:p>
          <w:pPr>
            <w:pStyle w:val="Contents5"/>
            <w:tabs>
              <w:tab w:val="clear" w:pos="7892"/>
              <w:tab w:val="right" w:pos="9026" w:leader="dot"/>
            </w:tabs>
            <w:rPr/>
          </w:pPr>
          <w:hyperlink w:anchor="__RefHeading___Toc6281489_3224264995">
            <w:r>
              <w:rPr>
                <w:webHidden/>
                <w:rStyle w:val="IndexLink"/>
              </w:rPr>
              <w:t>30</w:t>
            </w:r>
            <w:r>
              <w:rPr>
                <w:rStyle w:val="IndexLink"/>
                <w:rtl w:val="true"/>
              </w:rPr>
              <w:t xml:space="preserve">- </w:t>
            </w:r>
            <w:r>
              <w:rPr>
                <w:rStyle w:val="IndexLink"/>
                <w:rtl w:val="true"/>
              </w:rPr>
              <w:t>اللقطة</w:t>
            </w:r>
            <w:r>
              <w:rPr>
                <w:rStyle w:val="IndexLink"/>
                <w:rtl w:val="true"/>
              </w:rPr>
              <w:t>:</w:t>
              <w:tab/>
            </w:r>
            <w:r>
              <w:rPr>
                <w:rStyle w:val="IndexLink"/>
              </w:rPr>
              <w:t>22</w:t>
            </w:r>
          </w:hyperlink>
        </w:p>
        <w:p>
          <w:pPr>
            <w:pStyle w:val="Contents5"/>
            <w:tabs>
              <w:tab w:val="clear" w:pos="7892"/>
              <w:tab w:val="right" w:pos="9026" w:leader="dot"/>
            </w:tabs>
            <w:rPr/>
          </w:pPr>
          <w:hyperlink w:anchor="__RefHeading___Toc6281491_3224264995">
            <w:r>
              <w:rPr>
                <w:webHidden/>
                <w:rStyle w:val="IndexLink"/>
              </w:rPr>
              <w:t>31</w:t>
            </w:r>
            <w:r>
              <w:rPr>
                <w:rStyle w:val="IndexLink"/>
                <w:rtl w:val="true"/>
              </w:rPr>
              <w:t xml:space="preserve">- </w:t>
            </w:r>
            <w:r>
              <w:rPr>
                <w:rStyle w:val="IndexLink"/>
                <w:rtl w:val="true"/>
              </w:rPr>
              <w:t>الوقوف و الصدقات</w:t>
            </w:r>
            <w:r>
              <w:rPr>
                <w:rStyle w:val="IndexLink"/>
                <w:rtl w:val="true"/>
              </w:rPr>
              <w:t>:</w:t>
              <w:tab/>
            </w:r>
            <w:r>
              <w:rPr>
                <w:rStyle w:val="IndexLink"/>
              </w:rPr>
              <w:t>22</w:t>
            </w:r>
          </w:hyperlink>
        </w:p>
        <w:p>
          <w:pPr>
            <w:pStyle w:val="Contents5"/>
            <w:tabs>
              <w:tab w:val="clear" w:pos="7892"/>
              <w:tab w:val="right" w:pos="9026" w:leader="dot"/>
            </w:tabs>
            <w:rPr/>
          </w:pPr>
          <w:hyperlink w:anchor="__RefHeading___Toc6281493_3224264995">
            <w:r>
              <w:rPr>
                <w:webHidden/>
                <w:rStyle w:val="IndexLink"/>
              </w:rPr>
              <w:t>32</w:t>
            </w:r>
            <w:r>
              <w:rPr>
                <w:rStyle w:val="IndexLink"/>
                <w:rtl w:val="true"/>
              </w:rPr>
              <w:t xml:space="preserve">- </w:t>
            </w:r>
            <w:r>
              <w:rPr>
                <w:rStyle w:val="IndexLink"/>
                <w:rtl w:val="true"/>
              </w:rPr>
              <w:t>رسالة فی القرعة</w:t>
            </w:r>
            <w:r>
              <w:rPr>
                <w:rStyle w:val="IndexLink"/>
                <w:rtl w:val="true"/>
              </w:rPr>
              <w:t>:</w:t>
              <w:tab/>
            </w:r>
            <w:r>
              <w:rPr>
                <w:rStyle w:val="IndexLink"/>
              </w:rPr>
              <w:t>23</w:t>
            </w:r>
          </w:hyperlink>
        </w:p>
        <w:p>
          <w:pPr>
            <w:pStyle w:val="Contents4"/>
            <w:tabs>
              <w:tab w:val="clear" w:pos="8176"/>
              <w:tab w:val="right" w:pos="9026" w:leader="dot"/>
            </w:tabs>
            <w:rPr/>
          </w:pPr>
          <w:hyperlink w:anchor="__RefHeading___Toc6281495_3224264995">
            <w:r>
              <w:rPr>
                <w:webHidden/>
                <w:rStyle w:val="IndexLink"/>
                <w:rtl w:val="true"/>
              </w:rPr>
              <w:t>ثانیا</w:t>
            </w:r>
            <w:r>
              <w:rPr>
                <w:rStyle w:val="IndexLink"/>
                <w:rtl w:val="true"/>
              </w:rPr>
              <w:t xml:space="preserve">- </w:t>
            </w:r>
            <w:r>
              <w:rPr>
                <w:rStyle w:val="IndexLink"/>
                <w:rtl w:val="true"/>
              </w:rPr>
              <w:t>المکتبة الأصولیة</w:t>
            </w:r>
            <w:r>
              <w:rPr>
                <w:rStyle w:val="IndexLink"/>
                <w:rtl w:val="true"/>
              </w:rPr>
              <w:t>:</w:t>
              <w:tab/>
            </w:r>
            <w:r>
              <w:rPr>
                <w:rStyle w:val="IndexLink"/>
              </w:rPr>
              <w:t>23</w:t>
            </w:r>
          </w:hyperlink>
        </w:p>
        <w:p>
          <w:pPr>
            <w:pStyle w:val="Contents5"/>
            <w:tabs>
              <w:tab w:val="clear" w:pos="7892"/>
              <w:tab w:val="right" w:pos="9026" w:leader="dot"/>
            </w:tabs>
            <w:rPr/>
          </w:pPr>
          <w:hyperlink w:anchor="__RefHeading___Toc6281497_3224264995">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6281499_3224264995">
            <w:r>
              <w:rPr>
                <w:webHidden/>
                <w:rStyle w:val="IndexLink"/>
              </w:rPr>
              <w:t>1</w:t>
            </w:r>
            <w:r>
              <w:rPr>
                <w:rStyle w:val="IndexLink"/>
                <w:rtl w:val="true"/>
              </w:rPr>
              <w:t xml:space="preserve">- </w:t>
            </w:r>
            <w:r>
              <w:rPr>
                <w:rStyle w:val="IndexLink"/>
                <w:rtl w:val="true"/>
              </w:rPr>
              <w:t>فرائد الأصول</w:t>
            </w:r>
            <w:r>
              <w:rPr>
                <w:rStyle w:val="IndexLink"/>
                <w:rtl w:val="true"/>
              </w:rPr>
              <w:t>:</w:t>
              <w:tab/>
            </w:r>
            <w:r>
              <w:rPr>
                <w:rStyle w:val="IndexLink"/>
              </w:rPr>
              <w:t>23</w:t>
            </w:r>
          </w:hyperlink>
        </w:p>
        <w:p>
          <w:pPr>
            <w:pStyle w:val="Contents5"/>
            <w:tabs>
              <w:tab w:val="clear" w:pos="7892"/>
              <w:tab w:val="right" w:pos="9026" w:leader="dot"/>
            </w:tabs>
            <w:rPr/>
          </w:pPr>
          <w:hyperlink w:anchor="__RefHeading___Toc6281501_3224264995">
            <w:r>
              <w:rPr>
                <w:webHidden/>
                <w:rStyle w:val="IndexLink"/>
              </w:rPr>
              <w:t>2</w:t>
            </w:r>
            <w:r>
              <w:rPr>
                <w:rStyle w:val="IndexLink"/>
                <w:rtl w:val="true"/>
              </w:rPr>
              <w:t xml:space="preserve">- </w:t>
            </w:r>
            <w:r>
              <w:rPr>
                <w:rStyle w:val="IndexLink"/>
                <w:rtl w:val="true"/>
              </w:rPr>
              <w:t>کتاب الفوائد الأصولیة</w:t>
            </w:r>
            <w:r>
              <w:rPr>
                <w:rStyle w:val="IndexLink"/>
                <w:rtl w:val="true"/>
              </w:rPr>
              <w:t>:</w:t>
              <w:tab/>
            </w:r>
            <w:r>
              <w:rPr>
                <w:rStyle w:val="IndexLink"/>
              </w:rPr>
              <w:t>24</w:t>
            </w:r>
          </w:hyperlink>
        </w:p>
        <w:p>
          <w:pPr>
            <w:pStyle w:val="Contents5"/>
            <w:tabs>
              <w:tab w:val="clear" w:pos="7892"/>
              <w:tab w:val="right" w:pos="9026" w:leader="dot"/>
            </w:tabs>
            <w:rPr/>
          </w:pPr>
          <w:hyperlink w:anchor="__RefHeading___Toc6281503_3224264995">
            <w:r>
              <w:rPr>
                <w:webHidden/>
                <w:rStyle w:val="IndexLink"/>
              </w:rPr>
              <w:t>3</w:t>
            </w:r>
            <w:r>
              <w:rPr>
                <w:rStyle w:val="IndexLink"/>
                <w:rtl w:val="true"/>
              </w:rPr>
              <w:t xml:space="preserve">- </w:t>
            </w:r>
            <w:r>
              <w:rPr>
                <w:rStyle w:val="IndexLink"/>
                <w:rtl w:val="true"/>
              </w:rPr>
              <w:t>أصول الفقه</w:t>
            </w:r>
            <w:r>
              <w:rPr>
                <w:rStyle w:val="IndexLink"/>
                <w:rtl w:val="true"/>
              </w:rPr>
              <w:t>:</w:t>
              <w:tab/>
            </w:r>
            <w:r>
              <w:rPr>
                <w:rStyle w:val="IndexLink"/>
              </w:rPr>
              <w:t>24</w:t>
            </w:r>
          </w:hyperlink>
        </w:p>
        <w:p>
          <w:pPr>
            <w:pStyle w:val="Contents5"/>
            <w:tabs>
              <w:tab w:val="clear" w:pos="7892"/>
              <w:tab w:val="right" w:pos="9026" w:leader="dot"/>
            </w:tabs>
            <w:rPr/>
          </w:pPr>
          <w:hyperlink w:anchor="__RefHeading___Toc6281505_3224264995">
            <w:r>
              <w:rPr>
                <w:webHidden/>
                <w:rStyle w:val="IndexLink"/>
              </w:rPr>
              <w:t>4</w:t>
            </w:r>
            <w:r>
              <w:rPr>
                <w:rStyle w:val="IndexLink"/>
                <w:rtl w:val="true"/>
              </w:rPr>
              <w:t xml:space="preserve">- </w:t>
            </w:r>
            <w:r>
              <w:rPr>
                <w:rStyle w:val="IndexLink"/>
                <w:rtl w:val="true"/>
              </w:rPr>
              <w:t>حجیّة ظواهر الکتاب</w:t>
            </w:r>
            <w:r>
              <w:rPr>
                <w:rStyle w:val="IndexLink"/>
                <w:rtl w:val="true"/>
              </w:rPr>
              <w:t>:</w:t>
              <w:tab/>
            </w:r>
            <w:r>
              <w:rPr>
                <w:rStyle w:val="IndexLink"/>
              </w:rPr>
              <w:t>25</w:t>
            </w:r>
          </w:hyperlink>
        </w:p>
        <w:p>
          <w:pPr>
            <w:pStyle w:val="Contents5"/>
            <w:tabs>
              <w:tab w:val="clear" w:pos="7892"/>
              <w:tab w:val="right" w:pos="9026" w:leader="dot"/>
            </w:tabs>
            <w:rPr/>
          </w:pPr>
          <w:hyperlink w:anchor="__RefHeading___Toc6281507_3224264995">
            <w:r>
              <w:rPr>
                <w:webHidden/>
                <w:rStyle w:val="IndexLink"/>
              </w:rPr>
              <w:t>5</w:t>
            </w:r>
            <w:r>
              <w:rPr>
                <w:rStyle w:val="IndexLink"/>
                <w:rtl w:val="true"/>
              </w:rPr>
              <w:t xml:space="preserve">- </w:t>
            </w:r>
            <w:r>
              <w:rPr>
                <w:rStyle w:val="IndexLink"/>
                <w:rtl w:val="true"/>
              </w:rPr>
              <w:t>حجیّة المظنة</w:t>
            </w:r>
            <w:r>
              <w:rPr>
                <w:rStyle w:val="IndexLink"/>
                <w:rtl w:val="true"/>
              </w:rPr>
              <w:t>:</w:t>
              <w:tab/>
            </w:r>
            <w:r>
              <w:rPr>
                <w:rStyle w:val="IndexLink"/>
              </w:rPr>
              <w:t>25</w:t>
            </w:r>
          </w:hyperlink>
        </w:p>
        <w:p>
          <w:pPr>
            <w:pStyle w:val="Contents5"/>
            <w:tabs>
              <w:tab w:val="clear" w:pos="7892"/>
              <w:tab w:val="right" w:pos="9026" w:leader="dot"/>
            </w:tabs>
            <w:rPr/>
          </w:pPr>
          <w:hyperlink w:anchor="__RefHeading___Toc6281509_3224264995">
            <w:r>
              <w:rPr>
                <w:webHidden/>
                <w:rStyle w:val="IndexLink"/>
              </w:rPr>
              <w:t>6</w:t>
            </w:r>
            <w:r>
              <w:rPr>
                <w:rStyle w:val="IndexLink"/>
                <w:rtl w:val="true"/>
              </w:rPr>
              <w:t xml:space="preserve">- </w:t>
            </w:r>
            <w:r>
              <w:rPr>
                <w:rStyle w:val="IndexLink"/>
                <w:rtl w:val="true"/>
              </w:rPr>
              <w:t>الحاشیة علی قوانین الأصول</w:t>
            </w:r>
            <w:r>
              <w:rPr>
                <w:rStyle w:val="IndexLink"/>
                <w:rtl w:val="true"/>
              </w:rPr>
              <w:t>:</w:t>
              <w:tab/>
            </w:r>
            <w:r>
              <w:rPr>
                <w:rStyle w:val="IndexLink"/>
              </w:rPr>
              <w:t>25</w:t>
            </w:r>
          </w:hyperlink>
        </w:p>
        <w:p>
          <w:pPr>
            <w:pStyle w:val="Contents5"/>
            <w:tabs>
              <w:tab w:val="clear" w:pos="7892"/>
              <w:tab w:val="right" w:pos="9026" w:leader="dot"/>
            </w:tabs>
            <w:rPr/>
          </w:pPr>
          <w:hyperlink w:anchor="__RefHeading___Toc6281511_3224264995">
            <w:r>
              <w:rPr>
                <w:webHidden/>
                <w:rStyle w:val="IndexLink"/>
              </w:rPr>
              <w:t>7</w:t>
            </w:r>
            <w:r>
              <w:rPr>
                <w:rStyle w:val="IndexLink"/>
                <w:rtl w:val="true"/>
              </w:rPr>
              <w:t xml:space="preserve">- </w:t>
            </w:r>
            <w:r>
              <w:rPr>
                <w:rStyle w:val="IndexLink"/>
                <w:rtl w:val="true"/>
              </w:rPr>
              <w:t>الحاشیة علی استصحاب القوانین</w:t>
            </w:r>
            <w:r>
              <w:rPr>
                <w:rStyle w:val="IndexLink"/>
                <w:rtl w:val="true"/>
              </w:rPr>
              <w:t>:</w:t>
              <w:tab/>
            </w:r>
            <w:r>
              <w:rPr>
                <w:rStyle w:val="IndexLink"/>
              </w:rPr>
              <w:t>25</w:t>
            </w:r>
          </w:hyperlink>
        </w:p>
        <w:p>
          <w:pPr>
            <w:pStyle w:val="Contents5"/>
            <w:tabs>
              <w:tab w:val="clear" w:pos="7892"/>
              <w:tab w:val="right" w:pos="9026" w:leader="dot"/>
            </w:tabs>
            <w:rPr/>
          </w:pPr>
          <w:hyperlink w:anchor="__RefHeading___Toc6281513_3224264995">
            <w:r>
              <w:rPr>
                <w:webHidden/>
                <w:rStyle w:val="IndexLink"/>
              </w:rPr>
              <w:t>8</w:t>
            </w:r>
            <w:r>
              <w:rPr>
                <w:rStyle w:val="IndexLink"/>
                <w:rtl w:val="true"/>
              </w:rPr>
              <w:t xml:space="preserve">- </w:t>
            </w:r>
            <w:r>
              <w:rPr>
                <w:rStyle w:val="IndexLink"/>
                <w:rtl w:val="true"/>
              </w:rPr>
              <w:t>رسالة فی المشتق</w:t>
            </w:r>
            <w:r>
              <w:rPr>
                <w:rStyle w:val="IndexLink"/>
                <w:rtl w:val="true"/>
              </w:rPr>
              <w:t>:</w:t>
              <w:tab/>
            </w:r>
            <w:r>
              <w:rPr>
                <w:rStyle w:val="IndexLink"/>
              </w:rPr>
              <w:t>26</w:t>
            </w:r>
          </w:hyperlink>
        </w:p>
        <w:p>
          <w:pPr>
            <w:pStyle w:val="Contents5"/>
            <w:tabs>
              <w:tab w:val="clear" w:pos="7892"/>
              <w:tab w:val="right" w:pos="9026" w:leader="dot"/>
            </w:tabs>
            <w:rPr/>
          </w:pPr>
          <w:hyperlink w:anchor="__RefHeading___Toc6281515_3224264995">
            <w:r>
              <w:rPr>
                <w:webHidden/>
                <w:rStyle w:val="IndexLink"/>
              </w:rPr>
              <w:t>9</w:t>
            </w:r>
            <w:r>
              <w:rPr>
                <w:rStyle w:val="IndexLink"/>
                <w:rtl w:val="true"/>
              </w:rPr>
              <w:t xml:space="preserve">- </w:t>
            </w:r>
            <w:r>
              <w:rPr>
                <w:rStyle w:val="IndexLink"/>
                <w:rtl w:val="true"/>
              </w:rPr>
              <w:t xml:space="preserve">رسالة فی قاعدة </w:t>
            </w:r>
            <w:r>
              <w:rPr>
                <w:rStyle w:val="IndexLink"/>
                <w:rtl w:val="true"/>
              </w:rPr>
              <w:t>«</w:t>
            </w:r>
            <w:r>
              <w:rPr>
                <w:rStyle w:val="IndexLink"/>
                <w:rtl w:val="true"/>
              </w:rPr>
              <w:t>التسامح فی أدلّة السنن</w:t>
            </w:r>
            <w:r>
              <w:rPr>
                <w:rStyle w:val="IndexLink"/>
                <w:rtl w:val="true"/>
              </w:rPr>
              <w:t>»:</w:t>
              <w:tab/>
            </w:r>
            <w:r>
              <w:rPr>
                <w:rStyle w:val="IndexLink"/>
              </w:rPr>
              <w:t>26</w:t>
            </w:r>
          </w:hyperlink>
        </w:p>
        <w:p>
          <w:pPr>
            <w:pStyle w:val="Contents5"/>
            <w:tabs>
              <w:tab w:val="clear" w:pos="7892"/>
              <w:tab w:val="right" w:pos="9026" w:leader="dot"/>
            </w:tabs>
            <w:rPr/>
          </w:pPr>
          <w:hyperlink w:anchor="__RefHeading___Toc6281517_3224264995">
            <w:r>
              <w:rPr>
                <w:webHidden/>
                <w:rStyle w:val="IndexLink"/>
              </w:rPr>
              <w:t>10</w:t>
            </w:r>
            <w:r>
              <w:rPr>
                <w:rStyle w:val="IndexLink"/>
                <w:rtl w:val="true"/>
              </w:rPr>
              <w:t xml:space="preserve">- </w:t>
            </w:r>
            <w:r>
              <w:rPr>
                <w:rStyle w:val="IndexLink"/>
                <w:rtl w:val="true"/>
              </w:rPr>
              <w:t>رسالة فی التقلید</w:t>
            </w:r>
            <w:r>
              <w:rPr>
                <w:rStyle w:val="IndexLink"/>
                <w:rtl w:val="true"/>
              </w:rPr>
              <w:t>:</w:t>
              <w:tab/>
            </w:r>
            <w:r>
              <w:rPr>
                <w:rStyle w:val="IndexLink"/>
              </w:rPr>
              <w:t>26</w:t>
            </w:r>
          </w:hyperlink>
        </w:p>
        <w:p>
          <w:pPr>
            <w:pStyle w:val="Contents5"/>
            <w:tabs>
              <w:tab w:val="clear" w:pos="7892"/>
              <w:tab w:val="right" w:pos="9026" w:leader="dot"/>
            </w:tabs>
            <w:rPr/>
          </w:pPr>
          <w:hyperlink w:anchor="__RefHeading___Toc6281519_3224264995">
            <w:r>
              <w:rPr>
                <w:webHidden/>
                <w:rStyle w:val="IndexLink"/>
              </w:rPr>
              <w:t>11</w:t>
            </w:r>
            <w:r>
              <w:rPr>
                <w:rStyle w:val="IndexLink"/>
                <w:rtl w:val="true"/>
              </w:rPr>
              <w:t xml:space="preserve">- </w:t>
            </w:r>
            <w:r>
              <w:rPr>
                <w:rStyle w:val="IndexLink"/>
                <w:rtl w:val="true"/>
              </w:rPr>
              <w:t xml:space="preserve">رسالة فی قاعدة </w:t>
            </w:r>
            <w:r>
              <w:rPr>
                <w:rStyle w:val="IndexLink"/>
                <w:rtl w:val="true"/>
              </w:rPr>
              <w:t>«</w:t>
            </w:r>
            <w:r>
              <w:rPr>
                <w:rStyle w:val="IndexLink"/>
                <w:rtl w:val="true"/>
              </w:rPr>
              <w:t>نفی الضرر</w:t>
            </w:r>
            <w:r>
              <w:rPr>
                <w:rStyle w:val="IndexLink"/>
                <w:rtl w:val="true"/>
              </w:rPr>
              <w:t>»:</w:t>
              <w:tab/>
            </w:r>
            <w:r>
              <w:rPr>
                <w:rStyle w:val="IndexLink"/>
              </w:rPr>
              <w:t>27</w:t>
            </w:r>
          </w:hyperlink>
        </w:p>
        <w:p>
          <w:pPr>
            <w:pStyle w:val="Contents5"/>
            <w:tabs>
              <w:tab w:val="clear" w:pos="7892"/>
              <w:tab w:val="right" w:pos="9026" w:leader="dot"/>
            </w:tabs>
            <w:rPr/>
          </w:pPr>
          <w:hyperlink w:anchor="__RefHeading___Toc6281521_3224264995">
            <w:r>
              <w:rPr>
                <w:webHidden/>
                <w:rStyle w:val="IndexLink"/>
              </w:rPr>
              <w:t>12</w:t>
            </w:r>
            <w:r>
              <w:rPr>
                <w:rStyle w:val="IndexLink"/>
                <w:rtl w:val="true"/>
              </w:rPr>
              <w:t xml:space="preserve">- </w:t>
            </w:r>
            <w:r>
              <w:rPr>
                <w:rStyle w:val="IndexLink"/>
                <w:rtl w:val="true"/>
              </w:rPr>
              <w:t>رسالة فی باب حجیّة الأخبار</w:t>
            </w:r>
            <w:r>
              <w:rPr>
                <w:rStyle w:val="IndexLink"/>
                <w:rtl w:val="true"/>
              </w:rPr>
              <w:t>:</w:t>
              <w:tab/>
            </w:r>
            <w:r>
              <w:rPr>
                <w:rStyle w:val="IndexLink"/>
              </w:rPr>
              <w:t>27</w:t>
            </w:r>
          </w:hyperlink>
        </w:p>
        <w:p>
          <w:pPr>
            <w:pStyle w:val="Contents5"/>
            <w:tabs>
              <w:tab w:val="clear" w:pos="7892"/>
              <w:tab w:val="right" w:pos="9026" w:leader="dot"/>
            </w:tabs>
            <w:rPr/>
          </w:pPr>
          <w:hyperlink w:anchor="__RefHeading___Toc6281523_3224264995">
            <w:r>
              <w:rPr>
                <w:webHidden/>
                <w:rStyle w:val="IndexLink"/>
              </w:rPr>
              <w:t>13</w:t>
            </w:r>
            <w:r>
              <w:rPr>
                <w:rStyle w:val="IndexLink"/>
                <w:rtl w:val="true"/>
              </w:rPr>
              <w:t xml:space="preserve">- </w:t>
            </w:r>
            <w:r>
              <w:rPr>
                <w:rStyle w:val="IndexLink"/>
                <w:rtl w:val="true"/>
              </w:rPr>
              <w:t>رسالة فی الردّ علی من قال بأنّ الأخبار قطعیّة الصدور</w:t>
            </w:r>
            <w:r>
              <w:rPr>
                <w:rStyle w:val="IndexLink"/>
                <w:rtl w:val="true"/>
              </w:rPr>
              <w:t>:</w:t>
              <w:tab/>
            </w:r>
            <w:r>
              <w:rPr>
                <w:rStyle w:val="IndexLink"/>
              </w:rPr>
              <w:t>27</w:t>
            </w:r>
          </w:hyperlink>
        </w:p>
        <w:p>
          <w:pPr>
            <w:pStyle w:val="Contents4"/>
            <w:tabs>
              <w:tab w:val="clear" w:pos="8176"/>
              <w:tab w:val="right" w:pos="9026" w:leader="dot"/>
            </w:tabs>
            <w:rPr/>
          </w:pPr>
          <w:hyperlink w:anchor="__RefHeading___Toc6281525_3224264995">
            <w:r>
              <w:rPr>
                <w:webHidden/>
                <w:rStyle w:val="IndexLink"/>
                <w:rtl w:val="true"/>
              </w:rPr>
              <w:t>ثالثا</w:t>
            </w:r>
            <w:r>
              <w:rPr>
                <w:rStyle w:val="IndexLink"/>
                <w:rtl w:val="true"/>
              </w:rPr>
              <w:t xml:space="preserve">- </w:t>
            </w:r>
            <w:r>
              <w:rPr>
                <w:rStyle w:val="IndexLink"/>
                <w:rtl w:val="true"/>
              </w:rPr>
              <w:t>غیر الفقه و الأصول</w:t>
            </w:r>
            <w:r>
              <w:rPr>
                <w:rStyle w:val="IndexLink"/>
                <w:rtl w:val="true"/>
              </w:rPr>
              <w:t>:</w:t>
              <w:tab/>
            </w:r>
            <w:r>
              <w:rPr>
                <w:rStyle w:val="IndexLink"/>
              </w:rPr>
              <w:t>28</w:t>
            </w:r>
          </w:hyperlink>
        </w:p>
        <w:p>
          <w:pPr>
            <w:pStyle w:val="Contents5"/>
            <w:tabs>
              <w:tab w:val="clear" w:pos="7892"/>
              <w:tab w:val="right" w:pos="9026" w:leader="dot"/>
            </w:tabs>
            <w:rPr/>
          </w:pPr>
          <w:hyperlink w:anchor="__RefHeading___Toc6281527_3224264995">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6281529_3224264995">
            <w:r>
              <w:rPr>
                <w:webHidden/>
                <w:rStyle w:val="IndexLink"/>
              </w:rPr>
              <w:t>1</w:t>
            </w:r>
            <w:r>
              <w:rPr>
                <w:rStyle w:val="IndexLink"/>
                <w:rtl w:val="true"/>
              </w:rPr>
              <w:t xml:space="preserve">- </w:t>
            </w:r>
            <w:r>
              <w:rPr>
                <w:rStyle w:val="IndexLink"/>
                <w:rtl w:val="true"/>
              </w:rPr>
              <w:t>کتاب الرجال</w:t>
            </w:r>
            <w:r>
              <w:rPr>
                <w:rStyle w:val="IndexLink"/>
                <w:rtl w:val="true"/>
              </w:rPr>
              <w:t>:</w:t>
              <w:tab/>
            </w:r>
            <w:r>
              <w:rPr>
                <w:rStyle w:val="IndexLink"/>
              </w:rPr>
              <w:t>28</w:t>
            </w:r>
          </w:hyperlink>
        </w:p>
        <w:p>
          <w:pPr>
            <w:pStyle w:val="Contents5"/>
            <w:tabs>
              <w:tab w:val="clear" w:pos="7892"/>
              <w:tab w:val="right" w:pos="9026" w:leader="dot"/>
            </w:tabs>
            <w:rPr/>
          </w:pPr>
          <w:hyperlink w:anchor="__RefHeading___Toc6281531_3224264995">
            <w:r>
              <w:rPr>
                <w:webHidden/>
                <w:rStyle w:val="IndexLink"/>
              </w:rPr>
              <w:t>2</w:t>
            </w:r>
            <w:r>
              <w:rPr>
                <w:rStyle w:val="IndexLink"/>
                <w:rtl w:val="true"/>
              </w:rPr>
              <w:t xml:space="preserve">- </w:t>
            </w:r>
            <w:r>
              <w:rPr>
                <w:rStyle w:val="IndexLink"/>
                <w:rtl w:val="true"/>
              </w:rPr>
              <w:t>أصول الدین و جملة من فروعه</w:t>
            </w:r>
            <w:r>
              <w:rPr>
                <w:rStyle w:val="IndexLink"/>
                <w:rtl w:val="true"/>
              </w:rPr>
              <w:t>:</w:t>
              <w:tab/>
            </w:r>
            <w:r>
              <w:rPr>
                <w:rStyle w:val="IndexLink"/>
              </w:rPr>
              <w:t>29</w:t>
            </w:r>
          </w:hyperlink>
        </w:p>
        <w:p>
          <w:pPr>
            <w:pStyle w:val="Contents5"/>
            <w:tabs>
              <w:tab w:val="clear" w:pos="7892"/>
              <w:tab w:val="right" w:pos="9026" w:leader="dot"/>
            </w:tabs>
            <w:rPr/>
          </w:pPr>
          <w:hyperlink w:anchor="__RefHeading___Toc6281533_3224264995">
            <w:r>
              <w:rPr>
                <w:webHidden/>
                <w:rStyle w:val="IndexLink"/>
              </w:rPr>
              <w:t>3</w:t>
            </w:r>
            <w:r>
              <w:rPr>
                <w:rStyle w:val="IndexLink"/>
                <w:rtl w:val="true"/>
              </w:rPr>
              <w:t xml:space="preserve">- </w:t>
            </w:r>
            <w:r>
              <w:rPr>
                <w:rStyle w:val="IndexLink"/>
                <w:rtl w:val="true"/>
              </w:rPr>
              <w:t>رسالة فی إجازته لتلمیذه</w:t>
            </w:r>
            <w:r>
              <w:rPr>
                <w:rStyle w:val="IndexLink"/>
                <w:rtl w:val="true"/>
              </w:rPr>
              <w:t>:</w:t>
              <w:tab/>
            </w:r>
            <w:r>
              <w:rPr>
                <w:rStyle w:val="IndexLink"/>
              </w:rPr>
              <w:t>29</w:t>
            </w:r>
          </w:hyperlink>
        </w:p>
        <w:p>
          <w:pPr>
            <w:pStyle w:val="Contents4"/>
            <w:tabs>
              <w:tab w:val="clear" w:pos="8176"/>
              <w:tab w:val="right" w:pos="9026" w:leader="dot"/>
            </w:tabs>
            <w:rPr/>
          </w:pPr>
          <w:hyperlink w:anchor="__RefHeading___Toc6281535_3224264995">
            <w:r>
              <w:rPr>
                <w:webHidden/>
                <w:rStyle w:val="IndexLink"/>
                <w:rtl w:val="true"/>
              </w:rPr>
              <w:t>رابعا</w:t>
            </w:r>
            <w:r>
              <w:rPr>
                <w:rStyle w:val="IndexLink"/>
                <w:rtl w:val="true"/>
              </w:rPr>
              <w:t xml:space="preserve">- </w:t>
            </w:r>
            <w:r>
              <w:rPr>
                <w:rStyle w:val="IndexLink"/>
                <w:rtl w:val="true"/>
              </w:rPr>
              <w:t>التقریرات</w:t>
            </w:r>
            <w:r>
              <w:rPr>
                <w:rStyle w:val="IndexLink"/>
                <w:rtl w:val="true"/>
              </w:rPr>
              <w:tab/>
            </w:r>
            <w:r>
              <w:rPr>
                <w:rStyle w:val="IndexLink"/>
              </w:rPr>
              <w:t>30</w:t>
            </w:r>
          </w:hyperlink>
        </w:p>
        <w:p>
          <w:pPr>
            <w:pStyle w:val="Contents5"/>
            <w:tabs>
              <w:tab w:val="clear" w:pos="7892"/>
              <w:tab w:val="right" w:pos="9026" w:leader="dot"/>
            </w:tabs>
            <w:rPr/>
          </w:pPr>
          <w:hyperlink w:anchor="__RefHeading___Toc6281537_3224264995">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6281539_3224264995">
            <w:r>
              <w:rPr>
                <w:webHidden/>
                <w:rStyle w:val="IndexLink"/>
              </w:rPr>
              <w:t>1</w:t>
            </w:r>
            <w:r>
              <w:rPr>
                <w:rStyle w:val="IndexLink"/>
                <w:rtl w:val="true"/>
              </w:rPr>
              <w:t xml:space="preserve">- </w:t>
            </w:r>
            <w:r>
              <w:rPr>
                <w:rStyle w:val="IndexLink"/>
                <w:rtl w:val="true"/>
              </w:rPr>
              <w:t>التقریرات</w:t>
            </w:r>
            <w:r>
              <w:rPr>
                <w:rStyle w:val="IndexLink"/>
                <w:rtl w:val="true"/>
              </w:rPr>
              <w:t>:</w:t>
              <w:tab/>
            </w:r>
            <w:r>
              <w:rPr>
                <w:rStyle w:val="IndexLink"/>
              </w:rPr>
              <w:t>31</w:t>
            </w:r>
          </w:hyperlink>
        </w:p>
        <w:p>
          <w:pPr>
            <w:pStyle w:val="Contents5"/>
            <w:tabs>
              <w:tab w:val="clear" w:pos="7892"/>
              <w:tab w:val="right" w:pos="9026" w:leader="dot"/>
            </w:tabs>
            <w:rPr/>
          </w:pPr>
          <w:hyperlink w:anchor="__RefHeading___Toc6281541_3224264995">
            <w:r>
              <w:rPr>
                <w:webHidden/>
                <w:rStyle w:val="IndexLink"/>
              </w:rPr>
              <w:t>2</w:t>
            </w:r>
            <w:r>
              <w:rPr>
                <w:rStyle w:val="IndexLink"/>
                <w:rtl w:val="true"/>
              </w:rPr>
              <w:t xml:space="preserve">- </w:t>
            </w:r>
            <w:r>
              <w:rPr>
                <w:rStyle w:val="IndexLink"/>
                <w:rtl w:val="true"/>
              </w:rPr>
              <w:t>التقریرات</w:t>
            </w:r>
            <w:r>
              <w:rPr>
                <w:rStyle w:val="IndexLink"/>
                <w:rtl w:val="true"/>
              </w:rPr>
              <w:t>:</w:t>
              <w:tab/>
            </w:r>
            <w:r>
              <w:rPr>
                <w:rStyle w:val="IndexLink"/>
              </w:rPr>
              <w:t>31</w:t>
            </w:r>
          </w:hyperlink>
        </w:p>
        <w:p>
          <w:pPr>
            <w:pStyle w:val="Contents5"/>
            <w:tabs>
              <w:tab w:val="clear" w:pos="7892"/>
              <w:tab w:val="right" w:pos="9026" w:leader="dot"/>
            </w:tabs>
            <w:rPr/>
          </w:pPr>
          <w:hyperlink w:anchor="__RefHeading___Toc6281543_3224264995">
            <w:r>
              <w:rPr>
                <w:webHidden/>
                <w:rStyle w:val="IndexLink"/>
              </w:rPr>
              <w:t>3</w:t>
            </w:r>
            <w:r>
              <w:rPr>
                <w:rStyle w:val="IndexLink"/>
                <w:rtl w:val="true"/>
              </w:rPr>
              <w:t xml:space="preserve">- </w:t>
            </w:r>
            <w:r>
              <w:rPr>
                <w:rStyle w:val="IndexLink"/>
                <w:rtl w:val="true"/>
              </w:rPr>
              <w:t>تقریرات المجدد المیرزا محمد حسن الشیرازی قدس سره</w:t>
            </w:r>
            <w:r>
              <w:rPr>
                <w:rStyle w:val="IndexLink"/>
                <w:rtl w:val="true"/>
              </w:rPr>
              <w:t>:</w:t>
              <w:tab/>
            </w:r>
            <w:r>
              <w:rPr>
                <w:rStyle w:val="IndexLink"/>
              </w:rPr>
              <w:t>32</w:t>
            </w:r>
          </w:hyperlink>
        </w:p>
        <w:p>
          <w:pPr>
            <w:pStyle w:val="Contents5"/>
            <w:tabs>
              <w:tab w:val="clear" w:pos="7892"/>
              <w:tab w:val="right" w:pos="9026" w:leader="dot"/>
            </w:tabs>
            <w:rPr/>
          </w:pPr>
          <w:hyperlink w:anchor="__RefHeading___Toc6281545_3224264995">
            <w:r>
              <w:rPr>
                <w:webHidden/>
                <w:rStyle w:val="IndexLink"/>
              </w:rPr>
              <w:t>4</w:t>
            </w:r>
            <w:r>
              <w:rPr>
                <w:rStyle w:val="IndexLink"/>
                <w:rtl w:val="true"/>
              </w:rPr>
              <w:t xml:space="preserve">- </w:t>
            </w:r>
            <w:r>
              <w:rPr>
                <w:rStyle w:val="IndexLink"/>
                <w:rtl w:val="true"/>
              </w:rPr>
              <w:t>التقریرات</w:t>
            </w:r>
            <w:r>
              <w:rPr>
                <w:rStyle w:val="IndexLink"/>
                <w:rtl w:val="true"/>
              </w:rPr>
              <w:t>:</w:t>
              <w:tab/>
            </w:r>
            <w:r>
              <w:rPr>
                <w:rStyle w:val="IndexLink"/>
              </w:rPr>
              <w:t>32</w:t>
            </w:r>
          </w:hyperlink>
        </w:p>
        <w:p>
          <w:pPr>
            <w:pStyle w:val="Contents5"/>
            <w:tabs>
              <w:tab w:val="clear" w:pos="7892"/>
              <w:tab w:val="right" w:pos="9026" w:leader="dot"/>
            </w:tabs>
            <w:rPr/>
          </w:pPr>
          <w:hyperlink w:anchor="__RefHeading___Toc6281547_3224264995">
            <w:r>
              <w:rPr>
                <w:webHidden/>
                <w:rStyle w:val="IndexLink"/>
              </w:rPr>
              <w:t>5</w:t>
            </w:r>
            <w:r>
              <w:rPr>
                <w:rStyle w:val="IndexLink"/>
                <w:rtl w:val="true"/>
              </w:rPr>
              <w:t xml:space="preserve">- </w:t>
            </w:r>
            <w:r>
              <w:rPr>
                <w:rStyle w:val="IndexLink"/>
                <w:rtl w:val="true"/>
              </w:rPr>
              <w:t>التقریرات</w:t>
            </w:r>
            <w:r>
              <w:rPr>
                <w:rStyle w:val="IndexLink"/>
                <w:rtl w:val="true"/>
              </w:rPr>
              <w:t>:</w:t>
              <w:tab/>
            </w:r>
            <w:r>
              <w:rPr>
                <w:rStyle w:val="IndexLink"/>
              </w:rPr>
              <w:t>32</w:t>
            </w:r>
          </w:hyperlink>
        </w:p>
        <w:p>
          <w:pPr>
            <w:pStyle w:val="Contents5"/>
            <w:tabs>
              <w:tab w:val="clear" w:pos="7892"/>
              <w:tab w:val="right" w:pos="9026" w:leader="dot"/>
            </w:tabs>
            <w:rPr/>
          </w:pPr>
          <w:hyperlink w:anchor="__RefHeading___Toc6281549_3224264995">
            <w:r>
              <w:rPr>
                <w:webHidden/>
                <w:rStyle w:val="IndexLink"/>
              </w:rPr>
              <w:t>6</w:t>
            </w:r>
            <w:r>
              <w:rPr>
                <w:rStyle w:val="IndexLink"/>
                <w:rtl w:val="true"/>
              </w:rPr>
              <w:t xml:space="preserve">- </w:t>
            </w:r>
            <w:r>
              <w:rPr>
                <w:rStyle w:val="IndexLink"/>
                <w:rtl w:val="true"/>
              </w:rPr>
              <w:t>التقریرات</w:t>
            </w:r>
            <w:r>
              <w:rPr>
                <w:rStyle w:val="IndexLink"/>
                <w:rtl w:val="true"/>
              </w:rPr>
              <w:t>:</w:t>
              <w:tab/>
            </w:r>
            <w:r>
              <w:rPr>
                <w:rStyle w:val="IndexLink"/>
              </w:rPr>
              <w:t>32</w:t>
            </w:r>
          </w:hyperlink>
        </w:p>
        <w:p>
          <w:pPr>
            <w:pStyle w:val="Contents5"/>
            <w:tabs>
              <w:tab w:val="clear" w:pos="7892"/>
              <w:tab w:val="right" w:pos="9026" w:leader="dot"/>
            </w:tabs>
            <w:rPr/>
          </w:pPr>
          <w:hyperlink w:anchor="__RefHeading___Toc6281551_3224264995">
            <w:r>
              <w:rPr>
                <w:webHidden/>
                <w:rStyle w:val="IndexLink"/>
              </w:rPr>
              <w:t>7</w:t>
            </w:r>
            <w:r>
              <w:rPr>
                <w:rStyle w:val="IndexLink"/>
                <w:rtl w:val="true"/>
              </w:rPr>
              <w:t xml:space="preserve">- </w:t>
            </w:r>
            <w:r>
              <w:rPr>
                <w:rStyle w:val="IndexLink"/>
                <w:rtl w:val="true"/>
              </w:rPr>
              <w:t>التقریرات</w:t>
            </w:r>
            <w:r>
              <w:rPr>
                <w:rStyle w:val="IndexLink"/>
                <w:rtl w:val="true"/>
              </w:rPr>
              <w:t>:</w:t>
              <w:tab/>
            </w:r>
            <w:r>
              <w:rPr>
                <w:rStyle w:val="IndexLink"/>
              </w:rPr>
              <w:t>33</w:t>
            </w:r>
          </w:hyperlink>
        </w:p>
        <w:p>
          <w:pPr>
            <w:pStyle w:val="Contents5"/>
            <w:tabs>
              <w:tab w:val="clear" w:pos="7892"/>
              <w:tab w:val="right" w:pos="9026" w:leader="dot"/>
            </w:tabs>
            <w:rPr/>
          </w:pPr>
          <w:hyperlink w:anchor="__RefHeading___Toc6281553_3224264995">
            <w:r>
              <w:rPr>
                <w:webHidden/>
                <w:rStyle w:val="IndexLink"/>
              </w:rPr>
              <w:t>8</w:t>
            </w:r>
            <w:r>
              <w:rPr>
                <w:rStyle w:val="IndexLink"/>
                <w:rtl w:val="true"/>
              </w:rPr>
              <w:t xml:space="preserve">- </w:t>
            </w:r>
            <w:r>
              <w:rPr>
                <w:rStyle w:val="IndexLink"/>
                <w:rtl w:val="true"/>
              </w:rPr>
              <w:t>التقریرات</w:t>
            </w:r>
            <w:r>
              <w:rPr>
                <w:rStyle w:val="IndexLink"/>
                <w:rtl w:val="true"/>
              </w:rPr>
              <w:t>:</w:t>
              <w:tab/>
            </w:r>
            <w:r>
              <w:rPr>
                <w:rStyle w:val="IndexLink"/>
              </w:rPr>
              <w:t>33</w:t>
            </w:r>
          </w:hyperlink>
        </w:p>
        <w:p>
          <w:pPr>
            <w:pStyle w:val="Contents5"/>
            <w:tabs>
              <w:tab w:val="clear" w:pos="7892"/>
              <w:tab w:val="right" w:pos="9026" w:leader="dot"/>
            </w:tabs>
            <w:rPr/>
          </w:pPr>
          <w:hyperlink w:anchor="__RefHeading___Toc6281555_3224264995">
            <w:r>
              <w:rPr>
                <w:webHidden/>
                <w:rStyle w:val="IndexLink"/>
              </w:rPr>
              <w:t>9</w:t>
            </w:r>
            <w:r>
              <w:rPr>
                <w:rStyle w:val="IndexLink"/>
                <w:rtl w:val="true"/>
              </w:rPr>
              <w:t xml:space="preserve">- </w:t>
            </w:r>
            <w:r>
              <w:rPr>
                <w:rStyle w:val="IndexLink"/>
                <w:rtl w:val="true"/>
              </w:rPr>
              <w:t>التقریرات</w:t>
            </w:r>
            <w:r>
              <w:rPr>
                <w:rStyle w:val="IndexLink"/>
                <w:rtl w:val="true"/>
              </w:rPr>
              <w:t>:</w:t>
              <w:tab/>
            </w:r>
            <w:r>
              <w:rPr>
                <w:rStyle w:val="IndexLink"/>
              </w:rPr>
              <w:t>33</w:t>
            </w:r>
          </w:hyperlink>
        </w:p>
        <w:p>
          <w:pPr>
            <w:pStyle w:val="Contents5"/>
            <w:tabs>
              <w:tab w:val="clear" w:pos="7892"/>
              <w:tab w:val="right" w:pos="9026" w:leader="dot"/>
            </w:tabs>
            <w:rPr/>
          </w:pPr>
          <w:hyperlink w:anchor="__RefHeading___Toc6281557_3224264995">
            <w:r>
              <w:rPr>
                <w:webHidden/>
                <w:rStyle w:val="IndexLink"/>
              </w:rPr>
              <w:t>10</w:t>
            </w:r>
            <w:r>
              <w:rPr>
                <w:rStyle w:val="IndexLink"/>
                <w:rtl w:val="true"/>
              </w:rPr>
              <w:t xml:space="preserve">- </w:t>
            </w:r>
            <w:r>
              <w:rPr>
                <w:rStyle w:val="IndexLink"/>
                <w:rtl w:val="true"/>
              </w:rPr>
              <w:t>التقریرات</w:t>
            </w:r>
            <w:r>
              <w:rPr>
                <w:rStyle w:val="IndexLink"/>
                <w:rtl w:val="true"/>
              </w:rPr>
              <w:t>:</w:t>
              <w:tab/>
            </w:r>
            <w:r>
              <w:rPr>
                <w:rStyle w:val="IndexLink"/>
              </w:rPr>
              <w:t>34</w:t>
            </w:r>
          </w:hyperlink>
        </w:p>
        <w:p>
          <w:pPr>
            <w:pStyle w:val="Contents5"/>
            <w:tabs>
              <w:tab w:val="clear" w:pos="7892"/>
              <w:tab w:val="right" w:pos="9026" w:leader="dot"/>
            </w:tabs>
            <w:rPr/>
          </w:pPr>
          <w:hyperlink w:anchor="__RefHeading___Toc6281559_3224264995">
            <w:r>
              <w:rPr>
                <w:webHidden/>
                <w:rStyle w:val="IndexLink"/>
              </w:rPr>
              <w:t>11</w:t>
            </w:r>
            <w:r>
              <w:rPr>
                <w:rStyle w:val="IndexLink"/>
                <w:rtl w:val="true"/>
              </w:rPr>
              <w:t xml:space="preserve">- </w:t>
            </w:r>
            <w:r>
              <w:rPr>
                <w:rStyle w:val="IndexLink"/>
                <w:rtl w:val="true"/>
              </w:rPr>
              <w:t>التقریرات</w:t>
            </w:r>
            <w:r>
              <w:rPr>
                <w:rStyle w:val="IndexLink"/>
                <w:rtl w:val="true"/>
              </w:rPr>
              <w:t>:</w:t>
              <w:tab/>
            </w:r>
            <w:r>
              <w:rPr>
                <w:rStyle w:val="IndexLink"/>
              </w:rPr>
              <w:t>34</w:t>
            </w:r>
          </w:hyperlink>
        </w:p>
        <w:p>
          <w:pPr>
            <w:pStyle w:val="Contents5"/>
            <w:tabs>
              <w:tab w:val="clear" w:pos="7892"/>
              <w:tab w:val="right" w:pos="9026" w:leader="dot"/>
            </w:tabs>
            <w:rPr/>
          </w:pPr>
          <w:hyperlink w:anchor="__RefHeading___Toc6281561_3224264995">
            <w:r>
              <w:rPr>
                <w:webHidden/>
                <w:rStyle w:val="IndexLink"/>
              </w:rPr>
              <w:t>12</w:t>
            </w:r>
            <w:r>
              <w:rPr>
                <w:rStyle w:val="IndexLink"/>
                <w:rtl w:val="true"/>
              </w:rPr>
              <w:t xml:space="preserve">- </w:t>
            </w:r>
            <w:r>
              <w:rPr>
                <w:rStyle w:val="IndexLink"/>
                <w:rtl w:val="true"/>
              </w:rPr>
              <w:t>التقریرات</w:t>
            </w:r>
            <w:r>
              <w:rPr>
                <w:rStyle w:val="IndexLink"/>
                <w:rtl w:val="true"/>
              </w:rPr>
              <w:t>:</w:t>
              <w:tab/>
            </w:r>
            <w:r>
              <w:rPr>
                <w:rStyle w:val="IndexLink"/>
              </w:rPr>
              <w:t>34</w:t>
            </w:r>
          </w:hyperlink>
        </w:p>
        <w:p>
          <w:pPr>
            <w:pStyle w:val="Contents5"/>
            <w:tabs>
              <w:tab w:val="clear" w:pos="7892"/>
              <w:tab w:val="right" w:pos="9026" w:leader="dot"/>
            </w:tabs>
            <w:rPr/>
          </w:pPr>
          <w:hyperlink w:anchor="__RefHeading___Toc6281563_3224264995">
            <w:r>
              <w:rPr>
                <w:webHidden/>
                <w:rStyle w:val="IndexLink"/>
              </w:rPr>
              <w:t>13</w:t>
            </w:r>
            <w:r>
              <w:rPr>
                <w:rStyle w:val="IndexLink"/>
                <w:rtl w:val="true"/>
              </w:rPr>
              <w:t xml:space="preserve">- </w:t>
            </w:r>
            <w:r>
              <w:rPr>
                <w:rStyle w:val="IndexLink"/>
                <w:rtl w:val="true"/>
              </w:rPr>
              <w:t>التقریرات</w:t>
            </w:r>
            <w:r>
              <w:rPr>
                <w:rStyle w:val="IndexLink"/>
                <w:rtl w:val="true"/>
              </w:rPr>
              <w:t>:</w:t>
              <w:tab/>
            </w:r>
            <w:r>
              <w:rPr>
                <w:rStyle w:val="IndexLink"/>
              </w:rPr>
              <w:t>35</w:t>
            </w:r>
          </w:hyperlink>
        </w:p>
        <w:p>
          <w:pPr>
            <w:pStyle w:val="Contents5"/>
            <w:tabs>
              <w:tab w:val="clear" w:pos="7892"/>
              <w:tab w:val="right" w:pos="9026" w:leader="dot"/>
            </w:tabs>
            <w:rPr/>
          </w:pPr>
          <w:hyperlink w:anchor="__RefHeading___Toc6281565_3224264995">
            <w:r>
              <w:rPr>
                <w:webHidden/>
                <w:rStyle w:val="IndexLink"/>
              </w:rPr>
              <w:t>14</w:t>
            </w:r>
            <w:r>
              <w:rPr>
                <w:rStyle w:val="IndexLink"/>
                <w:rtl w:val="true"/>
              </w:rPr>
              <w:t xml:space="preserve">- </w:t>
            </w:r>
            <w:r>
              <w:rPr>
                <w:rStyle w:val="IndexLink"/>
                <w:rtl w:val="true"/>
              </w:rPr>
              <w:t>التقریرات</w:t>
            </w:r>
            <w:r>
              <w:rPr>
                <w:rStyle w:val="IndexLink"/>
                <w:rtl w:val="true"/>
              </w:rPr>
              <w:t>:</w:t>
              <w:tab/>
            </w:r>
            <w:r>
              <w:rPr>
                <w:rStyle w:val="IndexLink"/>
              </w:rPr>
              <w:t>35</w:t>
            </w:r>
          </w:hyperlink>
        </w:p>
        <w:p>
          <w:pPr>
            <w:pStyle w:val="Contents5"/>
            <w:tabs>
              <w:tab w:val="clear" w:pos="7892"/>
              <w:tab w:val="right" w:pos="9026" w:leader="dot"/>
            </w:tabs>
            <w:rPr/>
          </w:pPr>
          <w:hyperlink w:anchor="__RefHeading___Toc6281567_3224264995">
            <w:r>
              <w:rPr>
                <w:webHidden/>
                <w:rStyle w:val="IndexLink"/>
              </w:rPr>
              <w:t>15</w:t>
            </w:r>
            <w:r>
              <w:rPr>
                <w:rStyle w:val="IndexLink"/>
                <w:rtl w:val="true"/>
              </w:rPr>
              <w:t xml:space="preserve">- </w:t>
            </w:r>
            <w:r>
              <w:rPr>
                <w:rStyle w:val="IndexLink"/>
                <w:rtl w:val="true"/>
              </w:rPr>
              <w:t>التقریرات</w:t>
            </w:r>
            <w:r>
              <w:rPr>
                <w:rStyle w:val="IndexLink"/>
                <w:rtl w:val="true"/>
              </w:rPr>
              <w:t>:</w:t>
              <w:tab/>
            </w:r>
            <w:r>
              <w:rPr>
                <w:rStyle w:val="IndexLink"/>
              </w:rPr>
              <w:t>35</w:t>
            </w:r>
          </w:hyperlink>
        </w:p>
        <w:p>
          <w:pPr>
            <w:pStyle w:val="Contents5"/>
            <w:tabs>
              <w:tab w:val="clear" w:pos="7892"/>
              <w:tab w:val="right" w:pos="9026" w:leader="dot"/>
            </w:tabs>
            <w:rPr/>
          </w:pPr>
          <w:hyperlink w:anchor="__RefHeading___Toc6281569_3224264995">
            <w:r>
              <w:rPr>
                <w:webHidden/>
                <w:rStyle w:val="IndexLink"/>
              </w:rPr>
              <w:t>16</w:t>
            </w:r>
            <w:r>
              <w:rPr>
                <w:rStyle w:val="IndexLink"/>
                <w:rtl w:val="true"/>
              </w:rPr>
              <w:t xml:space="preserve">- </w:t>
            </w:r>
            <w:r>
              <w:rPr>
                <w:rStyle w:val="IndexLink"/>
                <w:rtl w:val="true"/>
              </w:rPr>
              <w:t>التقریرات</w:t>
            </w:r>
            <w:r>
              <w:rPr>
                <w:rStyle w:val="IndexLink"/>
                <w:rtl w:val="true"/>
              </w:rPr>
              <w:t>:</w:t>
              <w:tab/>
            </w:r>
            <w:r>
              <w:rPr>
                <w:rStyle w:val="IndexLink"/>
              </w:rPr>
              <w:t>35</w:t>
            </w:r>
          </w:hyperlink>
        </w:p>
        <w:p>
          <w:pPr>
            <w:pStyle w:val="Contents5"/>
            <w:tabs>
              <w:tab w:val="clear" w:pos="7892"/>
              <w:tab w:val="right" w:pos="9026" w:leader="dot"/>
            </w:tabs>
            <w:rPr/>
          </w:pPr>
          <w:hyperlink w:anchor="__RefHeading___Toc6281571_3224264995">
            <w:r>
              <w:rPr>
                <w:webHidden/>
                <w:rStyle w:val="IndexLink"/>
              </w:rPr>
              <w:t>17</w:t>
            </w:r>
            <w:r>
              <w:rPr>
                <w:rStyle w:val="IndexLink"/>
                <w:rtl w:val="true"/>
              </w:rPr>
              <w:t xml:space="preserve">- </w:t>
            </w:r>
            <w:r>
              <w:rPr>
                <w:rStyle w:val="IndexLink"/>
                <w:rtl w:val="true"/>
              </w:rPr>
              <w:t>التقریرات</w:t>
            </w:r>
            <w:r>
              <w:rPr>
                <w:rStyle w:val="IndexLink"/>
                <w:rtl w:val="true"/>
              </w:rPr>
              <w:t>:</w:t>
              <w:tab/>
            </w:r>
            <w:r>
              <w:rPr>
                <w:rStyle w:val="IndexLink"/>
              </w:rPr>
              <w:t>35</w:t>
            </w:r>
          </w:hyperlink>
        </w:p>
        <w:p>
          <w:pPr>
            <w:pStyle w:val="Contents5"/>
            <w:tabs>
              <w:tab w:val="clear" w:pos="7892"/>
              <w:tab w:val="right" w:pos="9026" w:leader="dot"/>
            </w:tabs>
            <w:rPr/>
          </w:pPr>
          <w:hyperlink w:anchor="__RefHeading___Toc6281573_3224264995">
            <w:r>
              <w:rPr>
                <w:webHidden/>
                <w:rStyle w:val="IndexLink"/>
              </w:rPr>
              <w:t>18</w:t>
            </w:r>
            <w:r>
              <w:rPr>
                <w:rStyle w:val="IndexLink"/>
                <w:rtl w:val="true"/>
              </w:rPr>
              <w:t xml:space="preserve">- </w:t>
            </w:r>
            <w:r>
              <w:rPr>
                <w:rStyle w:val="IndexLink"/>
                <w:rtl w:val="true"/>
              </w:rPr>
              <w:t>التقریرات</w:t>
            </w:r>
            <w:r>
              <w:rPr>
                <w:rStyle w:val="IndexLink"/>
                <w:rtl w:val="true"/>
              </w:rPr>
              <w:t>:</w:t>
              <w:tab/>
            </w:r>
            <w:r>
              <w:rPr>
                <w:rStyle w:val="IndexLink"/>
              </w:rPr>
              <w:t>36</w:t>
            </w:r>
          </w:hyperlink>
        </w:p>
        <w:p>
          <w:pPr>
            <w:pStyle w:val="Contents5"/>
            <w:tabs>
              <w:tab w:val="clear" w:pos="7892"/>
              <w:tab w:val="right" w:pos="9026" w:leader="dot"/>
            </w:tabs>
            <w:rPr/>
          </w:pPr>
          <w:hyperlink w:anchor="__RefHeading___Toc6281575_3224264995">
            <w:r>
              <w:rPr>
                <w:webHidden/>
                <w:rStyle w:val="IndexLink"/>
              </w:rPr>
              <w:t>19</w:t>
            </w:r>
            <w:r>
              <w:rPr>
                <w:rStyle w:val="IndexLink"/>
                <w:rtl w:val="true"/>
              </w:rPr>
              <w:t xml:space="preserve">- </w:t>
            </w:r>
            <w:r>
              <w:rPr>
                <w:rStyle w:val="IndexLink"/>
                <w:rtl w:val="true"/>
              </w:rPr>
              <w:t>التقریرات</w:t>
            </w:r>
            <w:r>
              <w:rPr>
                <w:rStyle w:val="IndexLink"/>
                <w:rtl w:val="true"/>
              </w:rPr>
              <w:t>:</w:t>
              <w:tab/>
            </w:r>
            <w:r>
              <w:rPr>
                <w:rStyle w:val="IndexLink"/>
              </w:rPr>
              <w:t>36</w:t>
            </w:r>
          </w:hyperlink>
        </w:p>
        <w:p>
          <w:pPr>
            <w:pStyle w:val="Contents5"/>
            <w:tabs>
              <w:tab w:val="clear" w:pos="7892"/>
              <w:tab w:val="right" w:pos="9026" w:leader="dot"/>
            </w:tabs>
            <w:rPr/>
          </w:pPr>
          <w:hyperlink w:anchor="__RefHeading___Toc6281577_3224264995">
            <w:r>
              <w:rPr>
                <w:webHidden/>
                <w:rStyle w:val="IndexLink"/>
              </w:rPr>
              <w:t>20</w:t>
            </w:r>
            <w:r>
              <w:rPr>
                <w:rStyle w:val="IndexLink"/>
                <w:rtl w:val="true"/>
              </w:rPr>
              <w:t xml:space="preserve">- </w:t>
            </w:r>
            <w:r>
              <w:rPr>
                <w:rStyle w:val="IndexLink"/>
                <w:rtl w:val="true"/>
              </w:rPr>
              <w:t>التقریرات</w:t>
            </w:r>
            <w:r>
              <w:rPr>
                <w:rStyle w:val="IndexLink"/>
                <w:rtl w:val="true"/>
              </w:rPr>
              <w:t>:</w:t>
              <w:tab/>
            </w:r>
            <w:r>
              <w:rPr>
                <w:rStyle w:val="IndexLink"/>
              </w:rPr>
              <w:t>36</w:t>
            </w:r>
          </w:hyperlink>
        </w:p>
        <w:p>
          <w:pPr>
            <w:pStyle w:val="Contents5"/>
            <w:tabs>
              <w:tab w:val="clear" w:pos="7892"/>
              <w:tab w:val="right" w:pos="9026" w:leader="dot"/>
            </w:tabs>
            <w:rPr/>
          </w:pPr>
          <w:hyperlink w:anchor="__RefHeading___Toc6281579_3224264995">
            <w:r>
              <w:rPr>
                <w:webHidden/>
                <w:rStyle w:val="IndexLink"/>
              </w:rPr>
              <w:t>21</w:t>
            </w:r>
            <w:r>
              <w:rPr>
                <w:rStyle w:val="IndexLink"/>
                <w:rtl w:val="true"/>
              </w:rPr>
              <w:t xml:space="preserve">- </w:t>
            </w:r>
            <w:r>
              <w:rPr>
                <w:rStyle w:val="IndexLink"/>
                <w:rtl w:val="true"/>
              </w:rPr>
              <w:t>تقلید الأعلم</w:t>
            </w:r>
            <w:r>
              <w:rPr>
                <w:rStyle w:val="IndexLink"/>
                <w:rtl w:val="true"/>
              </w:rPr>
              <w:t>:</w:t>
              <w:tab/>
            </w:r>
            <w:r>
              <w:rPr>
                <w:rStyle w:val="IndexLink"/>
              </w:rPr>
              <w:t>36</w:t>
            </w:r>
          </w:hyperlink>
        </w:p>
        <w:p>
          <w:pPr>
            <w:pStyle w:val="Contents5"/>
            <w:tabs>
              <w:tab w:val="clear" w:pos="7892"/>
              <w:tab w:val="right" w:pos="9026" w:leader="dot"/>
            </w:tabs>
            <w:rPr/>
          </w:pPr>
          <w:hyperlink w:anchor="__RefHeading___Toc6281581_3224264995">
            <w:r>
              <w:rPr>
                <w:webHidden/>
                <w:rStyle w:val="IndexLink"/>
              </w:rPr>
              <w:t>22</w:t>
            </w:r>
            <w:r>
              <w:rPr>
                <w:rStyle w:val="IndexLink"/>
                <w:rtl w:val="true"/>
              </w:rPr>
              <w:t xml:space="preserve">- </w:t>
            </w:r>
            <w:r>
              <w:rPr>
                <w:rStyle w:val="IndexLink"/>
                <w:rtl w:val="true"/>
              </w:rPr>
              <w:t>تقلید المیّت</w:t>
            </w:r>
            <w:r>
              <w:rPr>
                <w:rStyle w:val="IndexLink"/>
                <w:rtl w:val="true"/>
              </w:rPr>
              <w:t>:</w:t>
              <w:tab/>
            </w:r>
            <w:r>
              <w:rPr>
                <w:rStyle w:val="IndexLink"/>
              </w:rPr>
              <w:t>37</w:t>
            </w:r>
          </w:hyperlink>
        </w:p>
        <w:p>
          <w:pPr>
            <w:pStyle w:val="Contents5"/>
            <w:tabs>
              <w:tab w:val="clear" w:pos="7892"/>
              <w:tab w:val="right" w:pos="9026" w:leader="dot"/>
            </w:tabs>
            <w:rPr/>
          </w:pPr>
          <w:hyperlink w:anchor="__RefHeading___Toc6281583_3224264995">
            <w:r>
              <w:rPr>
                <w:webHidden/>
                <w:rStyle w:val="IndexLink"/>
              </w:rPr>
              <w:t>23</w:t>
            </w:r>
            <w:r>
              <w:rPr>
                <w:rStyle w:val="IndexLink"/>
                <w:rtl w:val="true"/>
              </w:rPr>
              <w:t xml:space="preserve">- </w:t>
            </w:r>
            <w:r>
              <w:rPr>
                <w:rStyle w:val="IndexLink"/>
                <w:rtl w:val="true"/>
              </w:rPr>
              <w:t>ذخائر الأصول</w:t>
            </w:r>
            <w:r>
              <w:rPr>
                <w:rStyle w:val="IndexLink"/>
                <w:rtl w:val="true"/>
              </w:rPr>
              <w:t>:</w:t>
              <w:tab/>
            </w:r>
            <w:r>
              <w:rPr>
                <w:rStyle w:val="IndexLink"/>
              </w:rPr>
              <w:t>37</w:t>
            </w:r>
          </w:hyperlink>
        </w:p>
        <w:p>
          <w:pPr>
            <w:pStyle w:val="Contents3"/>
            <w:tabs>
              <w:tab w:val="clear" w:pos="8459"/>
              <w:tab w:val="right" w:pos="9026" w:leader="dot"/>
            </w:tabs>
            <w:rPr/>
          </w:pPr>
          <w:hyperlink w:anchor="__RefHeading___Toc6281585_3224264995">
            <w:r>
              <w:rPr>
                <w:webHidden/>
                <w:rStyle w:val="IndexLink"/>
                <w:rtl w:val="true"/>
              </w:rPr>
              <w:t>نظرة عامة فی آثار الشیخ قدّس سرّه</w:t>
            </w:r>
            <w:r>
              <w:rPr>
                <w:rStyle w:val="IndexLink"/>
                <w:rtl w:val="true"/>
              </w:rPr>
              <w:tab/>
            </w:r>
            <w:r>
              <w:rPr>
                <w:rStyle w:val="IndexLink"/>
              </w:rPr>
              <w:t>38</w:t>
            </w:r>
          </w:hyperlink>
        </w:p>
        <w:p>
          <w:pPr>
            <w:pStyle w:val="Contents3"/>
            <w:tabs>
              <w:tab w:val="clear" w:pos="8459"/>
              <w:tab w:val="right" w:pos="9026" w:leader="dot"/>
            </w:tabs>
            <w:rPr/>
          </w:pPr>
          <w:hyperlink w:anchor="__RefHeading___Toc6281587_3224264995">
            <w:r>
              <w:rPr>
                <w:webHidden/>
                <w:rStyle w:val="IndexLink"/>
                <w:rtl w:val="true"/>
              </w:rPr>
              <w:t>طریقتنا فی التحقیق</w:t>
            </w:r>
            <w:r>
              <w:rPr>
                <w:rStyle w:val="IndexLink"/>
                <w:rtl w:val="true"/>
              </w:rPr>
              <w:t>:</w:t>
              <w:tab/>
            </w:r>
            <w:r>
              <w:rPr>
                <w:rStyle w:val="IndexLink"/>
              </w:rPr>
              <w:t>42</w:t>
            </w:r>
          </w:hyperlink>
        </w:p>
        <w:p>
          <w:pPr>
            <w:pStyle w:val="Contents3"/>
            <w:tabs>
              <w:tab w:val="clear" w:pos="8459"/>
              <w:tab w:val="right" w:pos="9026" w:leader="dot"/>
            </w:tabs>
            <w:rPr/>
          </w:pPr>
          <w:hyperlink w:anchor="__RefHeading___Toc6281589_3224264995">
            <w:r>
              <w:rPr>
                <w:webHidden/>
                <w:rStyle w:val="IndexLink"/>
                <w:rtl w:val="true"/>
              </w:rPr>
              <w:t>هذا الکتاب</w:t>
            </w:r>
            <w:r>
              <w:rPr>
                <w:rStyle w:val="IndexLink"/>
                <w:rtl w:val="true"/>
              </w:rPr>
              <w:tab/>
            </w:r>
            <w:r>
              <w:rPr>
                <w:rStyle w:val="IndexLink"/>
              </w:rPr>
              <w:t>44</w:t>
            </w:r>
          </w:hyperlink>
        </w:p>
        <w:p>
          <w:pPr>
            <w:pStyle w:val="Contents4"/>
            <w:tabs>
              <w:tab w:val="clear" w:pos="8176"/>
              <w:tab w:val="right" w:pos="9026" w:leader="dot"/>
            </w:tabs>
            <w:rPr/>
          </w:pPr>
          <w:hyperlink w:anchor="__RefHeading___Toc6281591_3224264995">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6281593_3224264995">
            <w:r>
              <w:rPr>
                <w:webHidden/>
                <w:rStyle w:val="IndexLink"/>
                <w:rtl w:val="true"/>
              </w:rPr>
              <w:t>الکتاب مشتمل علی قسمین</w:t>
            </w:r>
            <w:r>
              <w:rPr>
                <w:rStyle w:val="IndexLink"/>
                <w:rtl w:val="true"/>
              </w:rPr>
              <w:t>:</w:t>
              <w:tab/>
            </w:r>
            <w:r>
              <w:rPr>
                <w:rStyle w:val="IndexLink"/>
              </w:rPr>
              <w:t>44</w:t>
            </w:r>
          </w:hyperlink>
        </w:p>
        <w:p>
          <w:pPr>
            <w:pStyle w:val="Contents5"/>
            <w:tabs>
              <w:tab w:val="clear" w:pos="7892"/>
              <w:tab w:val="right" w:pos="9026" w:leader="dot"/>
            </w:tabs>
            <w:rPr/>
          </w:pPr>
          <w:hyperlink w:anchor="__RefHeading___Toc6281595_3224264995">
            <w:r>
              <w:rPr>
                <w:webHidden/>
                <w:rStyle w:val="IndexLink"/>
                <w:rtl w:val="true"/>
              </w:rPr>
              <w:t>الأول</w:t>
            </w:r>
            <w:r>
              <w:rPr>
                <w:rStyle w:val="IndexLink"/>
                <w:rtl w:val="true"/>
              </w:rPr>
              <w:t xml:space="preserve">- </w:t>
            </w:r>
            <w:r>
              <w:rPr>
                <w:rStyle w:val="IndexLink"/>
                <w:rtl w:val="true"/>
              </w:rPr>
              <w:t>شرح الشرائع</w:t>
            </w:r>
            <w:r>
              <w:rPr>
                <w:rStyle w:val="IndexLink"/>
                <w:rtl w:val="true"/>
              </w:rPr>
              <w:t>:</w:t>
              <w:tab/>
            </w:r>
            <w:r>
              <w:rPr>
                <w:rStyle w:val="IndexLink"/>
              </w:rPr>
              <w:t>44</w:t>
            </w:r>
          </w:hyperlink>
        </w:p>
        <w:p>
          <w:pPr>
            <w:pStyle w:val="Contents5"/>
            <w:tabs>
              <w:tab w:val="clear" w:pos="7892"/>
              <w:tab w:val="right" w:pos="9026" w:leader="dot"/>
            </w:tabs>
            <w:rPr/>
          </w:pPr>
          <w:hyperlink w:anchor="__RefHeading___Toc6281597_3224264995">
            <w:r>
              <w:rPr>
                <w:webHidden/>
                <w:rStyle w:val="IndexLink"/>
                <w:rtl w:val="true"/>
              </w:rPr>
              <w:t>الثانی</w:t>
            </w:r>
            <w:r>
              <w:rPr>
                <w:rStyle w:val="IndexLink"/>
                <w:rtl w:val="true"/>
              </w:rPr>
              <w:t xml:space="preserve">- </w:t>
            </w:r>
            <w:r>
              <w:rPr>
                <w:rStyle w:val="IndexLink"/>
                <w:rtl w:val="true"/>
              </w:rPr>
              <w:t>شرح الإرشاد</w:t>
            </w:r>
            <w:r>
              <w:rPr>
                <w:rStyle w:val="IndexLink"/>
                <w:rtl w:val="true"/>
              </w:rPr>
              <w:t>:</w:t>
              <w:tab/>
            </w:r>
            <w:r>
              <w:rPr>
                <w:rStyle w:val="IndexLink"/>
              </w:rPr>
              <w:t>44</w:t>
            </w:r>
          </w:hyperlink>
        </w:p>
        <w:p>
          <w:pPr>
            <w:pStyle w:val="Contents4"/>
            <w:tabs>
              <w:tab w:val="clear" w:pos="8176"/>
              <w:tab w:val="right" w:pos="9026" w:leader="dot"/>
            </w:tabs>
            <w:rPr/>
          </w:pPr>
          <w:hyperlink w:anchor="__RefHeading___Toc6281599_3224264995">
            <w:r>
              <w:rPr>
                <w:webHidden/>
                <w:rStyle w:val="IndexLink"/>
                <w:rtl w:val="true"/>
              </w:rPr>
              <w:t>طریقة التحقیق</w:t>
            </w:r>
            <w:r>
              <w:rPr>
                <w:rStyle w:val="IndexLink"/>
                <w:rtl w:val="true"/>
              </w:rPr>
              <w:t>:</w:t>
              <w:tab/>
            </w:r>
            <w:r>
              <w:rPr>
                <w:rStyle w:val="IndexLink"/>
              </w:rPr>
              <w:t>45</w:t>
            </w:r>
          </w:hyperlink>
        </w:p>
        <w:p>
          <w:pPr>
            <w:pStyle w:val="Contents5"/>
            <w:tabs>
              <w:tab w:val="clear" w:pos="7892"/>
              <w:tab w:val="right" w:pos="9026" w:leader="dot"/>
            </w:tabs>
            <w:rPr/>
          </w:pPr>
          <w:hyperlink w:anchor="__RefHeading___Toc6281601_3224264995">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6281603_3224264995">
            <w:r>
              <w:rPr>
                <w:webHidden/>
                <w:rStyle w:val="IndexLink"/>
                <w:rtl w:val="true"/>
              </w:rPr>
              <w:t>أوّلا</w:t>
            </w:r>
            <w:r>
              <w:rPr>
                <w:rStyle w:val="IndexLink"/>
                <w:rtl w:val="true"/>
              </w:rPr>
              <w:t xml:space="preserve">- </w:t>
            </w:r>
            <w:r>
              <w:rPr>
                <w:rStyle w:val="IndexLink"/>
                <w:rtl w:val="true"/>
              </w:rPr>
              <w:t>النسخ المعتمد علیها</w:t>
            </w:r>
            <w:r>
              <w:rPr>
                <w:rStyle w:val="IndexLink"/>
                <w:rtl w:val="true"/>
              </w:rPr>
              <w:t>:</w:t>
              <w:tab/>
            </w:r>
            <w:r>
              <w:rPr>
                <w:rStyle w:val="IndexLink"/>
              </w:rPr>
              <w:t>45</w:t>
            </w:r>
          </w:hyperlink>
        </w:p>
        <w:p>
          <w:pPr>
            <w:pStyle w:val="Contents6"/>
            <w:tabs>
              <w:tab w:val="clear" w:pos="7609"/>
              <w:tab w:val="right" w:pos="9026" w:leader="dot"/>
            </w:tabs>
            <w:rPr/>
          </w:pPr>
          <w:hyperlink w:anchor="__RefHeading___Toc6281605_3224264995">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6281607_3224264995">
            <w:r>
              <w:rPr>
                <w:webHidden/>
                <w:rStyle w:val="IndexLink"/>
                <w:rtl w:val="true"/>
              </w:rPr>
              <w:t>النسخة الاولی</w:t>
            </w:r>
            <w:r>
              <w:rPr>
                <w:rStyle w:val="IndexLink"/>
                <w:rtl w:val="true"/>
              </w:rPr>
              <w:t>:</w:t>
              <w:tab/>
            </w:r>
            <w:r>
              <w:rPr>
                <w:rStyle w:val="IndexLink"/>
              </w:rPr>
              <w:t>45</w:t>
            </w:r>
          </w:hyperlink>
        </w:p>
        <w:p>
          <w:pPr>
            <w:pStyle w:val="Contents6"/>
            <w:tabs>
              <w:tab w:val="clear" w:pos="7609"/>
              <w:tab w:val="right" w:pos="9026" w:leader="dot"/>
            </w:tabs>
            <w:rPr/>
          </w:pPr>
          <w:hyperlink w:anchor="__RefHeading___Toc6281609_3224264995">
            <w:r>
              <w:rPr>
                <w:webHidden/>
                <w:rStyle w:val="IndexLink"/>
                <w:rtl w:val="true"/>
              </w:rPr>
              <w:t>النسخة الثانیة</w:t>
            </w:r>
            <w:r>
              <w:rPr>
                <w:rStyle w:val="IndexLink"/>
                <w:rtl w:val="true"/>
              </w:rPr>
              <w:t>:</w:t>
              <w:tab/>
            </w:r>
            <w:r>
              <w:rPr>
                <w:rStyle w:val="IndexLink"/>
              </w:rPr>
              <w:t>47</w:t>
            </w:r>
          </w:hyperlink>
        </w:p>
        <w:p>
          <w:pPr>
            <w:pStyle w:val="Contents6"/>
            <w:tabs>
              <w:tab w:val="clear" w:pos="7609"/>
              <w:tab w:val="right" w:pos="9026" w:leader="dot"/>
            </w:tabs>
            <w:rPr/>
          </w:pPr>
          <w:hyperlink w:anchor="__RefHeading___Toc6281611_3224264995">
            <w:r>
              <w:rPr>
                <w:webHidden/>
                <w:rStyle w:val="IndexLink"/>
                <w:rtl w:val="true"/>
              </w:rPr>
              <w:t>النسخة الثالثة</w:t>
            </w:r>
            <w:r>
              <w:rPr>
                <w:rStyle w:val="IndexLink"/>
                <w:rtl w:val="true"/>
              </w:rPr>
              <w:t>:</w:t>
              <w:tab/>
            </w:r>
            <w:r>
              <w:rPr>
                <w:rStyle w:val="IndexLink"/>
              </w:rPr>
              <w:t>47</w:t>
            </w:r>
          </w:hyperlink>
        </w:p>
        <w:p>
          <w:pPr>
            <w:pStyle w:val="Contents6"/>
            <w:tabs>
              <w:tab w:val="clear" w:pos="7609"/>
              <w:tab w:val="right" w:pos="9026" w:leader="dot"/>
            </w:tabs>
            <w:rPr/>
          </w:pPr>
          <w:hyperlink w:anchor="__RefHeading___Toc6281613_3224264995">
            <w:r>
              <w:rPr>
                <w:webHidden/>
                <w:rStyle w:val="IndexLink"/>
                <w:rtl w:val="true"/>
              </w:rPr>
              <w:t>النسخة الرابعة</w:t>
            </w:r>
            <w:r>
              <w:rPr>
                <w:rStyle w:val="IndexLink"/>
                <w:rtl w:val="true"/>
              </w:rPr>
              <w:t>:</w:t>
              <w:tab/>
            </w:r>
            <w:r>
              <w:rPr>
                <w:rStyle w:val="IndexLink"/>
              </w:rPr>
              <w:t>47</w:t>
            </w:r>
          </w:hyperlink>
        </w:p>
        <w:p>
          <w:pPr>
            <w:pStyle w:val="Contents6"/>
            <w:tabs>
              <w:tab w:val="clear" w:pos="7609"/>
              <w:tab w:val="right" w:pos="9026" w:leader="dot"/>
            </w:tabs>
            <w:rPr/>
          </w:pPr>
          <w:hyperlink w:anchor="__RefHeading___Toc6281615_3224264995">
            <w:r>
              <w:rPr>
                <w:webHidden/>
                <w:rStyle w:val="IndexLink"/>
                <w:rtl w:val="true"/>
              </w:rPr>
              <w:t>النسخة الخامسة</w:t>
            </w:r>
            <w:r>
              <w:rPr>
                <w:rStyle w:val="IndexLink"/>
                <w:rtl w:val="true"/>
              </w:rPr>
              <w:t>:</w:t>
              <w:tab/>
            </w:r>
            <w:r>
              <w:rPr>
                <w:rStyle w:val="IndexLink"/>
              </w:rPr>
              <w:t>47</w:t>
            </w:r>
          </w:hyperlink>
        </w:p>
        <w:p>
          <w:pPr>
            <w:pStyle w:val="Contents6"/>
            <w:tabs>
              <w:tab w:val="clear" w:pos="7609"/>
              <w:tab w:val="right" w:pos="9026" w:leader="dot"/>
            </w:tabs>
            <w:rPr/>
          </w:pPr>
          <w:hyperlink w:anchor="__RefHeading___Toc6281617_3224264995">
            <w:r>
              <w:rPr>
                <w:webHidden/>
                <w:rStyle w:val="IndexLink"/>
                <w:rtl w:val="true"/>
              </w:rPr>
              <w:t>منهج التحقیق فی هذا الکتاب</w:t>
            </w:r>
            <w:r>
              <w:rPr>
                <w:rStyle w:val="IndexLink"/>
                <w:rtl w:val="true"/>
              </w:rPr>
              <w:t>:</w:t>
              <w:tab/>
            </w:r>
            <w:r>
              <w:rPr>
                <w:rStyle w:val="IndexLink"/>
              </w:rPr>
              <w:t>48</w:t>
            </w:r>
          </w:hyperlink>
        </w:p>
        <w:p>
          <w:pPr>
            <w:pStyle w:val="Contents6"/>
            <w:tabs>
              <w:tab w:val="clear" w:pos="7609"/>
              <w:tab w:val="right" w:pos="9026" w:leader="dot"/>
            </w:tabs>
            <w:rPr/>
          </w:pPr>
          <w:hyperlink w:anchor="__RefHeading___Toc6281619_3224264995">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6281621_3224264995">
            <w:r>
              <w:rPr>
                <w:webHidden/>
                <w:rStyle w:val="IndexLink"/>
                <w:rtl w:val="true"/>
              </w:rPr>
              <w:t>أولا</w:t>
            </w:r>
            <w:r>
              <w:rPr>
                <w:rStyle w:val="IndexLink"/>
                <w:rtl w:val="true"/>
              </w:rPr>
              <w:t xml:space="preserve">- </w:t>
            </w:r>
            <w:r>
              <w:rPr>
                <w:rStyle w:val="IndexLink"/>
                <w:rtl w:val="true"/>
              </w:rPr>
              <w:t>لجنة المقابلة</w:t>
            </w:r>
            <w:r>
              <w:rPr>
                <w:rStyle w:val="IndexLink"/>
                <w:rtl w:val="true"/>
              </w:rPr>
              <w:t>:</w:t>
              <w:tab/>
            </w:r>
            <w:r>
              <w:rPr>
                <w:rStyle w:val="IndexLink"/>
              </w:rPr>
              <w:t>48</w:t>
            </w:r>
          </w:hyperlink>
        </w:p>
        <w:p>
          <w:pPr>
            <w:pStyle w:val="Contents6"/>
            <w:tabs>
              <w:tab w:val="clear" w:pos="7609"/>
              <w:tab w:val="right" w:pos="9026" w:leader="dot"/>
            </w:tabs>
            <w:rPr/>
          </w:pPr>
          <w:hyperlink w:anchor="__RefHeading___Toc6281623_3224264995">
            <w:r>
              <w:rPr>
                <w:webHidden/>
                <w:rStyle w:val="IndexLink"/>
                <w:rtl w:val="true"/>
              </w:rPr>
              <w:t>ثانیا</w:t>
            </w:r>
            <w:r>
              <w:rPr>
                <w:rStyle w:val="IndexLink"/>
                <w:rtl w:val="true"/>
              </w:rPr>
              <w:t xml:space="preserve">- </w:t>
            </w:r>
            <w:r>
              <w:rPr>
                <w:rStyle w:val="IndexLink"/>
                <w:rtl w:val="true"/>
              </w:rPr>
              <w:t>لجنة الاستخراج</w:t>
            </w:r>
            <w:r>
              <w:rPr>
                <w:rStyle w:val="IndexLink"/>
                <w:rtl w:val="true"/>
              </w:rPr>
              <w:t>:</w:t>
              <w:tab/>
            </w:r>
            <w:r>
              <w:rPr>
                <w:rStyle w:val="IndexLink"/>
              </w:rPr>
              <w:t>48</w:t>
            </w:r>
          </w:hyperlink>
        </w:p>
        <w:p>
          <w:pPr>
            <w:pStyle w:val="Contents6"/>
            <w:tabs>
              <w:tab w:val="clear" w:pos="7609"/>
              <w:tab w:val="right" w:pos="9026" w:leader="dot"/>
            </w:tabs>
            <w:rPr/>
          </w:pPr>
          <w:hyperlink w:anchor="__RefHeading___Toc6281625_3224264995">
            <w:r>
              <w:rPr>
                <w:webHidden/>
                <w:rStyle w:val="IndexLink"/>
                <w:rtl w:val="true"/>
              </w:rPr>
              <w:t>ثالثا</w:t>
            </w:r>
            <w:r>
              <w:rPr>
                <w:rStyle w:val="IndexLink"/>
                <w:rtl w:val="true"/>
              </w:rPr>
              <w:t xml:space="preserve">- </w:t>
            </w:r>
            <w:r>
              <w:rPr>
                <w:rStyle w:val="IndexLink"/>
                <w:rtl w:val="true"/>
              </w:rPr>
              <w:t>لجنة مراجعة الاستخراجات</w:t>
            </w:r>
            <w:r>
              <w:rPr>
                <w:rStyle w:val="IndexLink"/>
                <w:rtl w:val="true"/>
              </w:rPr>
              <w:t>:</w:t>
              <w:tab/>
            </w:r>
            <w:r>
              <w:rPr>
                <w:rStyle w:val="IndexLink"/>
              </w:rPr>
              <w:t>49</w:t>
            </w:r>
          </w:hyperlink>
        </w:p>
        <w:p>
          <w:pPr>
            <w:pStyle w:val="Contents6"/>
            <w:tabs>
              <w:tab w:val="clear" w:pos="7609"/>
              <w:tab w:val="right" w:pos="9026" w:leader="dot"/>
            </w:tabs>
            <w:rPr/>
          </w:pPr>
          <w:hyperlink w:anchor="__RefHeading___Toc6281627_3224264995">
            <w:r>
              <w:rPr>
                <w:webHidden/>
                <w:rStyle w:val="IndexLink"/>
                <w:rtl w:val="true"/>
              </w:rPr>
              <w:t>رابعا</w:t>
            </w:r>
            <w:r>
              <w:rPr>
                <w:rStyle w:val="IndexLink"/>
                <w:rtl w:val="true"/>
              </w:rPr>
              <w:t xml:space="preserve">- </w:t>
            </w:r>
            <w:r>
              <w:rPr>
                <w:rStyle w:val="IndexLink"/>
                <w:rtl w:val="true"/>
              </w:rPr>
              <w:t>لجنة تقویم النصّ و المراجعة النهائیة</w:t>
            </w:r>
            <w:r>
              <w:rPr>
                <w:rStyle w:val="IndexLink"/>
                <w:rtl w:val="true"/>
              </w:rPr>
              <w:t>:</w:t>
              <w:tab/>
            </w:r>
            <w:r>
              <w:rPr>
                <w:rStyle w:val="IndexLink"/>
              </w:rPr>
              <w:t>49</w:t>
            </w:r>
          </w:hyperlink>
        </w:p>
        <w:p>
          <w:pPr>
            <w:pStyle w:val="Contents6"/>
            <w:tabs>
              <w:tab w:val="clear" w:pos="7609"/>
              <w:tab w:val="right" w:pos="9026" w:leader="dot"/>
            </w:tabs>
            <w:rPr/>
          </w:pPr>
          <w:hyperlink w:anchor="__RefHeading___Toc6281629_3224264995">
            <w:r>
              <w:rPr>
                <w:webHidden/>
                <w:rStyle w:val="IndexLink"/>
                <w:rtl w:val="true"/>
              </w:rPr>
              <w:t>و هنا نری من اللازم أن ننبّه إلی عدّة نقاط مهمّة، و هی</w:t>
            </w:r>
            <w:r>
              <w:rPr>
                <w:rStyle w:val="IndexLink"/>
                <w:rtl w:val="true"/>
              </w:rPr>
              <w:t>:</w:t>
              <w:tab/>
            </w:r>
            <w:r>
              <w:rPr>
                <w:rStyle w:val="IndexLink"/>
              </w:rPr>
              <w:t>50</w:t>
            </w:r>
          </w:hyperlink>
        </w:p>
        <w:p>
          <w:pPr>
            <w:pStyle w:val="Contents2"/>
            <w:tabs>
              <w:tab w:val="clear" w:pos="8743"/>
              <w:tab w:val="right" w:pos="9026" w:leader="dot"/>
            </w:tabs>
            <w:rPr/>
          </w:pPr>
          <w:hyperlink w:anchor="__RefHeading___Toc6281631_3224264995">
            <w:r>
              <w:rPr>
                <w:webHidden/>
                <w:rStyle w:val="IndexLink"/>
                <w:rtl w:val="true"/>
              </w:rPr>
              <w:t>[</w:t>
            </w:r>
            <w:r>
              <w:rPr>
                <w:rStyle w:val="IndexLink"/>
                <w:rtl w:val="true"/>
              </w:rPr>
              <w:t>شرح کتاب الطهارة من الشرائع</w:t>
            </w:r>
            <w:r>
              <w:rPr>
                <w:rStyle w:val="IndexLink"/>
                <w:rtl w:val="true"/>
              </w:rPr>
              <w:t>]</w:t>
              <w:tab/>
            </w:r>
            <w:r>
              <w:rPr>
                <w:rStyle w:val="IndexLink"/>
              </w:rPr>
              <w:t>53</w:t>
            </w:r>
          </w:hyperlink>
        </w:p>
        <w:p>
          <w:pPr>
            <w:pStyle w:val="Contents3"/>
            <w:tabs>
              <w:tab w:val="clear" w:pos="8459"/>
              <w:tab w:val="right" w:pos="9026" w:leader="dot"/>
            </w:tabs>
            <w:rPr/>
          </w:pPr>
          <w:hyperlink w:anchor="__RefHeading___Toc6281633_3224264995">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6281635_3224264995">
            <w:r>
              <w:rPr>
                <w:webHidden/>
                <w:rStyle w:val="IndexLink"/>
                <w:rtl w:val="true"/>
              </w:rPr>
              <w:t>[</w:t>
            </w:r>
            <w:r>
              <w:rPr>
                <w:rStyle w:val="IndexLink"/>
                <w:rtl w:val="true"/>
              </w:rPr>
              <w:t>أرکان الکتاب</w:t>
            </w:r>
            <w:r>
              <w:rPr>
                <w:rStyle w:val="IndexLink"/>
                <w:rtl w:val="true"/>
              </w:rPr>
              <w:t>]</w:t>
              <w:tab/>
            </w:r>
            <w:r>
              <w:rPr>
                <w:rStyle w:val="IndexLink"/>
              </w:rPr>
              <w:t>53</w:t>
            </w:r>
          </w:hyperlink>
        </w:p>
        <w:p>
          <w:pPr>
            <w:pStyle w:val="Contents4"/>
            <w:tabs>
              <w:tab w:val="clear" w:pos="8176"/>
              <w:tab w:val="right" w:pos="9026" w:leader="dot"/>
            </w:tabs>
            <w:rPr/>
          </w:pPr>
          <w:hyperlink w:anchor="__RefHeading___Toc6281637_3224264995">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6281639_3224264995">
            <w:r>
              <w:rPr>
                <w:webHidden/>
                <w:rStyle w:val="IndexLink"/>
                <w:rtl w:val="true"/>
              </w:rPr>
              <w:t>[</w:t>
            </w:r>
            <w:r>
              <w:rPr>
                <w:rStyle w:val="IndexLink"/>
                <w:rtl w:val="true"/>
              </w:rPr>
              <w:t>الرکن الأوّل فی المیاه</w:t>
            </w:r>
            <w:r>
              <w:rPr>
                <w:rStyle w:val="IndexLink"/>
                <w:rtl w:val="true"/>
              </w:rPr>
              <w:t>]</w:t>
              <w:tab/>
            </w:r>
            <w:r>
              <w:rPr>
                <w:rStyle w:val="IndexLink"/>
              </w:rPr>
              <w:t>54</w:t>
            </w:r>
          </w:hyperlink>
        </w:p>
        <w:p>
          <w:pPr>
            <w:pStyle w:val="Contents5"/>
            <w:tabs>
              <w:tab w:val="clear" w:pos="7892"/>
              <w:tab w:val="right" w:pos="9026" w:leader="dot"/>
            </w:tabs>
            <w:rPr/>
          </w:pPr>
          <w:hyperlink w:anchor="__RefHeading___Toc6281641_3224264995">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6281643_3224264995">
            <w:r>
              <w:rPr>
                <w:webHidden/>
                <w:rStyle w:val="IndexLink"/>
                <w:rtl w:val="true"/>
              </w:rPr>
              <w:t>[</w:t>
            </w:r>
            <w:r>
              <w:rPr>
                <w:rStyle w:val="IndexLink"/>
                <w:rtl w:val="true"/>
              </w:rPr>
              <w:t>و فیه أطراف</w:t>
            </w:r>
            <w:r>
              <w:rPr>
                <w:rStyle w:val="IndexLink"/>
                <w:rtl w:val="true"/>
              </w:rPr>
              <w:t>]</w:t>
              <w:tab/>
            </w:r>
            <w:r>
              <w:rPr>
                <w:rStyle w:val="IndexLink"/>
              </w:rPr>
              <w:t>54</w:t>
            </w:r>
          </w:hyperlink>
        </w:p>
        <w:p>
          <w:pPr>
            <w:pStyle w:val="Contents6"/>
            <w:tabs>
              <w:tab w:val="clear" w:pos="7609"/>
              <w:tab w:val="right" w:pos="9026" w:leader="dot"/>
            </w:tabs>
            <w:rPr/>
          </w:pPr>
          <w:hyperlink w:anchor="__RefHeading___Toc6281645_3224264995">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6281647_3224264995">
            <w:r>
              <w:rPr>
                <w:webHidden/>
                <w:rStyle w:val="IndexLink"/>
                <w:rtl w:val="true"/>
              </w:rPr>
              <w:t>[</w:t>
            </w:r>
            <w:r>
              <w:rPr>
                <w:rStyle w:val="IndexLink"/>
                <w:rtl w:val="true"/>
              </w:rPr>
              <w:t>الطرف</w:t>
            </w:r>
            <w:r>
              <w:rPr>
                <w:rStyle w:val="IndexLink"/>
                <w:rtl w:val="true"/>
              </w:rPr>
              <w:t xml:space="preserve">] </w:t>
            </w:r>
            <w:r>
              <w:rPr>
                <w:rStyle w:val="IndexLink"/>
                <w:rtl w:val="true"/>
              </w:rPr>
              <w:t>الأوّل فی الماء المطلق</w:t>
            </w:r>
            <w:r>
              <w:rPr>
                <w:rStyle w:val="IndexLink"/>
                <w:rtl w:val="true"/>
              </w:rPr>
              <w:tab/>
            </w:r>
            <w:r>
              <w:rPr>
                <w:rStyle w:val="IndexLink"/>
              </w:rPr>
              <w:t>56</w:t>
            </w:r>
          </w:hyperlink>
        </w:p>
        <w:p>
          <w:pPr>
            <w:pStyle w:val="Contents6"/>
            <w:tabs>
              <w:tab w:val="clear" w:pos="7609"/>
              <w:tab w:val="right" w:pos="9026" w:leader="dot"/>
            </w:tabs>
            <w:rPr/>
          </w:pPr>
          <w:hyperlink w:anchor="__RefHeading___Toc6281649_3224264995">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6281651_3224264995">
            <w:r>
              <w:rPr>
                <w:webHidden/>
                <w:rStyle w:val="IndexLink"/>
                <w:rtl w:val="true"/>
              </w:rPr>
              <w:t>[</w:t>
            </w:r>
            <w:r>
              <w:rPr>
                <w:rStyle w:val="IndexLink"/>
                <w:rtl w:val="true"/>
              </w:rPr>
              <w:t>أقسام الماء المطلق</w:t>
            </w:r>
            <w:r>
              <w:rPr>
                <w:rStyle w:val="IndexLink"/>
                <w:rtl w:val="true"/>
              </w:rPr>
              <w:t>]</w:t>
              <w:tab/>
            </w:r>
            <w:r>
              <w:rPr>
                <w:rStyle w:val="IndexLink"/>
              </w:rPr>
              <w:t>58</w:t>
            </w:r>
          </w:hyperlink>
        </w:p>
        <w:p>
          <w:pPr>
            <w:pStyle w:val="Contents6"/>
            <w:tabs>
              <w:tab w:val="clear" w:pos="7609"/>
              <w:tab w:val="right" w:pos="9026" w:leader="dot"/>
            </w:tabs>
            <w:rPr/>
          </w:pPr>
          <w:hyperlink w:anchor="__RefHeading___Toc6281653_3224264995">
            <w:r>
              <w:rPr>
                <w:webHidden/>
                <w:rStyle w:val="IndexLink"/>
                <w:rtl w:val="true"/>
              </w:rPr>
              <w:t xml:space="preserve">القسم الأول </w:t>
            </w:r>
            <w:r>
              <w:rPr>
                <w:rStyle w:val="IndexLink"/>
                <w:rtl w:val="true"/>
              </w:rPr>
              <w:t>[</w:t>
            </w:r>
            <w:r>
              <w:rPr>
                <w:rStyle w:val="IndexLink"/>
                <w:rtl w:val="true"/>
              </w:rPr>
              <w:t>الماء الجاری</w:t>
            </w:r>
            <w:r>
              <w:rPr>
                <w:rStyle w:val="IndexLink"/>
                <w:rtl w:val="true"/>
              </w:rPr>
              <w:t>]</w:t>
              <w:tab/>
            </w:r>
            <w:r>
              <w:rPr>
                <w:rStyle w:val="IndexLink"/>
              </w:rPr>
              <w:t>58</w:t>
            </w:r>
          </w:hyperlink>
        </w:p>
        <w:p>
          <w:pPr>
            <w:pStyle w:val="Contents6"/>
            <w:tabs>
              <w:tab w:val="clear" w:pos="7609"/>
              <w:tab w:val="right" w:pos="9026" w:leader="dot"/>
            </w:tabs>
            <w:rPr/>
          </w:pPr>
          <w:hyperlink w:anchor="__RefHeading___Toc6281655_3224264995">
            <w:r>
              <w:rPr>
                <w:webHidden/>
                <w:rStyle w:val="IndexLink"/>
                <w:rtl w:val="true"/>
              </w:rPr>
              <w:t>القسم الثانی الماء المحقون</w:t>
            </w:r>
            <w:r>
              <w:rPr>
                <w:rStyle w:val="IndexLink"/>
                <w:rtl w:val="true"/>
              </w:rPr>
              <w:tab/>
            </w:r>
            <w:r>
              <w:rPr>
                <w:rStyle w:val="IndexLink"/>
              </w:rPr>
              <w:t>95</w:t>
            </w:r>
          </w:hyperlink>
        </w:p>
        <w:p>
          <w:pPr>
            <w:pStyle w:val="Contents6"/>
            <w:tabs>
              <w:tab w:val="clear" w:pos="7609"/>
              <w:tab w:val="right" w:pos="9026" w:leader="dot"/>
            </w:tabs>
            <w:rPr/>
          </w:pPr>
          <w:hyperlink w:anchor="__RefHeading___Toc6281657_3224264995">
            <w:r>
              <w:rPr>
                <w:webHidden/>
                <w:rStyle w:val="IndexLink"/>
                <w:rtl w:val="true"/>
              </w:rPr>
              <w:t>القسم الثالث ماء البئر</w:t>
            </w:r>
            <w:r>
              <w:rPr>
                <w:rStyle w:val="IndexLink"/>
                <w:rtl w:val="true"/>
              </w:rPr>
              <w:tab/>
            </w:r>
            <w:r>
              <w:rPr>
                <w:rStyle w:val="IndexLink"/>
              </w:rPr>
              <w:t>181</w:t>
            </w:r>
          </w:hyperlink>
        </w:p>
        <w:p>
          <w:pPr>
            <w:pStyle w:val="Contents6"/>
            <w:tabs>
              <w:tab w:val="clear" w:pos="7609"/>
              <w:tab w:val="right" w:pos="9026" w:leader="dot"/>
            </w:tabs>
            <w:rPr/>
          </w:pPr>
          <w:hyperlink w:anchor="__RefHeading___Toc6281659_3224264995">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6281661_3224264995">
            <w:r>
              <w:rPr>
                <w:webHidden/>
                <w:rStyle w:val="IndexLink"/>
                <w:rtl w:val="true"/>
              </w:rPr>
              <w:t>[</w:t>
            </w:r>
            <w:r>
              <w:rPr>
                <w:rStyle w:val="IndexLink"/>
                <w:rtl w:val="true"/>
              </w:rPr>
              <w:t>استحباب التباعد بین البئر و البالوعة</w:t>
            </w:r>
            <w:r>
              <w:rPr>
                <w:rStyle w:val="IndexLink"/>
                <w:rtl w:val="true"/>
              </w:rPr>
              <w:t>]</w:t>
              <w:tab/>
            </w:r>
            <w:r>
              <w:rPr>
                <w:rStyle w:val="IndexLink"/>
              </w:rPr>
              <w:t>254</w:t>
            </w:r>
          </w:hyperlink>
        </w:p>
        <w:p>
          <w:pPr>
            <w:pStyle w:val="Contents6"/>
            <w:tabs>
              <w:tab w:val="clear" w:pos="7609"/>
              <w:tab w:val="right" w:pos="9026" w:leader="dot"/>
            </w:tabs>
            <w:rPr/>
          </w:pPr>
          <w:hyperlink w:anchor="__RefHeading___Toc6281663_3224264995">
            <w:r>
              <w:rPr>
                <w:webHidden/>
                <w:rStyle w:val="IndexLink"/>
                <w:rtl w:val="true"/>
              </w:rPr>
              <w:t>[</w:t>
            </w:r>
            <w:r>
              <w:rPr>
                <w:rStyle w:val="IndexLink"/>
                <w:rtl w:val="true"/>
              </w:rPr>
              <w:t>حکم الماء النجس</w:t>
            </w:r>
            <w:r>
              <w:rPr>
                <w:rStyle w:val="IndexLink"/>
                <w:rtl w:val="true"/>
              </w:rPr>
              <w:t>]</w:t>
              <w:tab/>
            </w:r>
            <w:r>
              <w:rPr>
                <w:rStyle w:val="IndexLink"/>
              </w:rPr>
              <w:t>260</w:t>
            </w:r>
          </w:hyperlink>
        </w:p>
        <w:p>
          <w:pPr>
            <w:pStyle w:val="Contents6"/>
            <w:tabs>
              <w:tab w:val="clear" w:pos="7609"/>
              <w:tab w:val="right" w:pos="9026" w:leader="dot"/>
            </w:tabs>
            <w:rPr/>
          </w:pPr>
          <w:hyperlink w:anchor="__RefHeading___Toc6281665_3224264995">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6281667_3224264995">
            <w:r>
              <w:rPr>
                <w:webHidden/>
                <w:rStyle w:val="IndexLink"/>
                <w:rtl w:val="true"/>
              </w:rPr>
              <w:t>[</w:t>
            </w:r>
            <w:r>
              <w:rPr>
                <w:rStyle w:val="IndexLink"/>
                <w:rtl w:val="true"/>
              </w:rPr>
              <w:t>تنبیهات المسألة</w:t>
            </w:r>
            <w:r>
              <w:rPr>
                <w:rStyle w:val="IndexLink"/>
                <w:rtl w:val="true"/>
              </w:rPr>
              <w:t>]</w:t>
              <w:tab/>
            </w:r>
            <w:r>
              <w:rPr>
                <w:rStyle w:val="IndexLink"/>
              </w:rPr>
              <w:t>266</w:t>
            </w:r>
          </w:hyperlink>
        </w:p>
        <w:p>
          <w:pPr>
            <w:pStyle w:val="Contents6"/>
            <w:tabs>
              <w:tab w:val="clear" w:pos="7609"/>
              <w:tab w:val="right" w:pos="9026" w:leader="dot"/>
            </w:tabs>
            <w:rPr/>
          </w:pPr>
          <w:hyperlink w:anchor="__RefHeading___Toc6281669_3224264995">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6281671_3224264995">
            <w:r>
              <w:rPr>
                <w:webHidden/>
                <w:rStyle w:val="IndexLink"/>
                <w:rtl w:val="true"/>
              </w:rPr>
              <w:t>الأوّل</w:t>
            </w:r>
            <w:r>
              <w:rPr>
                <w:rStyle w:val="IndexLink"/>
                <w:rtl w:val="true"/>
              </w:rPr>
              <w:tab/>
            </w:r>
            <w:r>
              <w:rPr>
                <w:rStyle w:val="IndexLink"/>
              </w:rPr>
              <w:t>266</w:t>
            </w:r>
          </w:hyperlink>
        </w:p>
        <w:p>
          <w:pPr>
            <w:pStyle w:val="Contents6"/>
            <w:tabs>
              <w:tab w:val="clear" w:pos="7609"/>
              <w:tab w:val="right" w:pos="9026" w:leader="dot"/>
            </w:tabs>
            <w:rPr/>
          </w:pPr>
          <w:hyperlink w:anchor="__RefHeading___Toc6281673_3224264995">
            <w:r>
              <w:rPr>
                <w:webHidden/>
                <w:rStyle w:val="IndexLink"/>
                <w:rtl w:val="true"/>
              </w:rPr>
              <w:t>الثانی</w:t>
            </w:r>
            <w:r>
              <w:rPr>
                <w:rStyle w:val="IndexLink"/>
                <w:rtl w:val="true"/>
              </w:rPr>
              <w:tab/>
            </w:r>
            <w:r>
              <w:rPr>
                <w:rStyle w:val="IndexLink"/>
              </w:rPr>
              <w:t>266</w:t>
            </w:r>
          </w:hyperlink>
        </w:p>
        <w:p>
          <w:pPr>
            <w:pStyle w:val="Contents6"/>
            <w:tabs>
              <w:tab w:val="clear" w:pos="7609"/>
              <w:tab w:val="right" w:pos="9026" w:leader="dot"/>
            </w:tabs>
            <w:rPr/>
          </w:pPr>
          <w:hyperlink w:anchor="__RefHeading___Toc6281675_3224264995">
            <w:r>
              <w:rPr>
                <w:webHidden/>
                <w:rStyle w:val="IndexLink"/>
                <w:rtl w:val="true"/>
              </w:rPr>
              <w:t>الثالث</w:t>
            </w:r>
            <w:r>
              <w:rPr>
                <w:rStyle w:val="IndexLink"/>
                <w:rtl w:val="true"/>
              </w:rPr>
              <w:tab/>
            </w:r>
            <w:r>
              <w:rPr>
                <w:rStyle w:val="IndexLink"/>
              </w:rPr>
              <w:t>269</w:t>
            </w:r>
          </w:hyperlink>
        </w:p>
        <w:p>
          <w:pPr>
            <w:pStyle w:val="Contents6"/>
            <w:tabs>
              <w:tab w:val="clear" w:pos="7609"/>
              <w:tab w:val="right" w:pos="9026" w:leader="dot"/>
            </w:tabs>
            <w:rPr/>
          </w:pPr>
          <w:hyperlink w:anchor="__RefHeading___Toc6281677_3224264995">
            <w:r>
              <w:rPr>
                <w:webHidden/>
                <w:rStyle w:val="IndexLink"/>
                <w:rtl w:val="true"/>
              </w:rPr>
              <w:t>الرابع</w:t>
            </w:r>
            <w:r>
              <w:rPr>
                <w:rStyle w:val="IndexLink"/>
                <w:rtl w:val="true"/>
              </w:rPr>
              <w:tab/>
            </w:r>
            <w:r>
              <w:rPr>
                <w:rStyle w:val="IndexLink"/>
              </w:rPr>
              <w:t>272</w:t>
            </w:r>
          </w:hyperlink>
        </w:p>
        <w:p>
          <w:pPr>
            <w:pStyle w:val="Contents6"/>
            <w:tabs>
              <w:tab w:val="clear" w:pos="7609"/>
              <w:tab w:val="right" w:pos="9026" w:leader="dot"/>
            </w:tabs>
            <w:rPr/>
          </w:pPr>
          <w:hyperlink w:anchor="__RefHeading___Toc6281679_3224264995">
            <w:r>
              <w:rPr>
                <w:webHidden/>
                <w:rStyle w:val="IndexLink"/>
                <w:rtl w:val="true"/>
              </w:rPr>
              <w:t>الخامس</w:t>
            </w:r>
            <w:r>
              <w:rPr>
                <w:rStyle w:val="IndexLink"/>
                <w:rtl w:val="true"/>
              </w:rPr>
              <w:tab/>
            </w:r>
            <w:r>
              <w:rPr>
                <w:rStyle w:val="IndexLink"/>
              </w:rPr>
              <w:t>273</w:t>
            </w:r>
          </w:hyperlink>
        </w:p>
        <w:p>
          <w:pPr>
            <w:pStyle w:val="Contents6"/>
            <w:tabs>
              <w:tab w:val="clear" w:pos="7609"/>
              <w:tab w:val="right" w:pos="9026" w:leader="dot"/>
            </w:tabs>
            <w:rPr/>
          </w:pPr>
          <w:hyperlink w:anchor="__RefHeading___Toc6281681_3224264995">
            <w:r>
              <w:rPr>
                <w:webHidden/>
                <w:rStyle w:val="IndexLink"/>
                <w:rtl w:val="true"/>
              </w:rPr>
              <w:t>السادس</w:t>
            </w:r>
            <w:r>
              <w:rPr>
                <w:rStyle w:val="IndexLink"/>
                <w:rtl w:val="true"/>
              </w:rPr>
              <w:tab/>
            </w:r>
            <w:r>
              <w:rPr>
                <w:rStyle w:val="IndexLink"/>
              </w:rPr>
              <w:t>275</w:t>
            </w:r>
          </w:hyperlink>
        </w:p>
        <w:p>
          <w:pPr>
            <w:pStyle w:val="Contents6"/>
            <w:tabs>
              <w:tab w:val="clear" w:pos="7609"/>
              <w:tab w:val="right" w:pos="9026" w:leader="dot"/>
            </w:tabs>
            <w:rPr/>
          </w:pPr>
          <w:hyperlink w:anchor="__RefHeading___Toc6281683_3224264995">
            <w:r>
              <w:rPr>
                <w:webHidden/>
                <w:rStyle w:val="IndexLink"/>
                <w:rtl w:val="true"/>
              </w:rPr>
              <w:t>السابع</w:t>
            </w:r>
            <w:r>
              <w:rPr>
                <w:rStyle w:val="IndexLink"/>
                <w:rtl w:val="true"/>
              </w:rPr>
              <w:tab/>
            </w:r>
            <w:r>
              <w:rPr>
                <w:rStyle w:val="IndexLink"/>
              </w:rPr>
              <w:t>276</w:t>
            </w:r>
          </w:hyperlink>
        </w:p>
        <w:p>
          <w:pPr>
            <w:pStyle w:val="Contents6"/>
            <w:tabs>
              <w:tab w:val="clear" w:pos="7609"/>
              <w:tab w:val="right" w:pos="9026" w:leader="dot"/>
            </w:tabs>
            <w:rPr/>
          </w:pPr>
          <w:hyperlink w:anchor="__RefHeading___Toc6281685_3224264995">
            <w:r>
              <w:rPr>
                <w:webHidden/>
                <w:rStyle w:val="IndexLink"/>
                <w:rtl w:val="true"/>
              </w:rPr>
              <w:t>الثامن</w:t>
            </w:r>
            <w:r>
              <w:rPr>
                <w:rStyle w:val="IndexLink"/>
                <w:rtl w:val="true"/>
              </w:rPr>
              <w:tab/>
            </w:r>
            <w:r>
              <w:rPr>
                <w:rStyle w:val="IndexLink"/>
              </w:rPr>
              <w:t>276</w:t>
            </w:r>
          </w:hyperlink>
        </w:p>
        <w:p>
          <w:pPr>
            <w:pStyle w:val="Contents6"/>
            <w:tabs>
              <w:tab w:val="clear" w:pos="7609"/>
              <w:tab w:val="right" w:pos="9026" w:leader="dot"/>
            </w:tabs>
            <w:rPr/>
          </w:pPr>
          <w:hyperlink w:anchor="__RefHeading___Toc6281687_3224264995">
            <w:r>
              <w:rPr>
                <w:webHidden/>
                <w:rStyle w:val="IndexLink"/>
                <w:rtl w:val="true"/>
              </w:rPr>
              <w:t>[</w:t>
            </w:r>
            <w:r>
              <w:rPr>
                <w:rStyle w:val="IndexLink"/>
                <w:rtl w:val="true"/>
              </w:rPr>
              <w:t>الطرف الثانی فی الماء المضاف</w:t>
            </w:r>
            <w:r>
              <w:rPr>
                <w:rStyle w:val="IndexLink"/>
                <w:rtl w:val="true"/>
              </w:rPr>
              <w:t>]</w:t>
              <w:tab/>
            </w:r>
            <w:r>
              <w:rPr>
                <w:rStyle w:val="IndexLink"/>
              </w:rPr>
              <w:t>279</w:t>
            </w:r>
          </w:hyperlink>
        </w:p>
        <w:p>
          <w:pPr>
            <w:pStyle w:val="Contents6"/>
            <w:tabs>
              <w:tab w:val="clear" w:pos="7609"/>
              <w:tab w:val="right" w:pos="9026" w:leader="dot"/>
            </w:tabs>
            <w:rPr/>
          </w:pPr>
          <w:hyperlink w:anchor="__RefHeading___Toc6281689_3224264995">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6281691_3224264995">
            <w:r>
              <w:rPr>
                <w:webHidden/>
                <w:rStyle w:val="IndexLink"/>
                <w:rtl w:val="true"/>
              </w:rPr>
              <w:t>[</w:t>
            </w:r>
            <w:r>
              <w:rPr>
                <w:rStyle w:val="IndexLink"/>
                <w:rtl w:val="true"/>
              </w:rPr>
              <w:t>تنبیهات</w:t>
            </w:r>
            <w:r>
              <w:rPr>
                <w:rStyle w:val="IndexLink"/>
                <w:rtl w:val="true"/>
              </w:rPr>
              <w:t>]</w:t>
              <w:tab/>
            </w:r>
            <w:r>
              <w:rPr>
                <w:rStyle w:val="IndexLink"/>
              </w:rPr>
              <w:t>348</w:t>
            </w:r>
          </w:hyperlink>
        </w:p>
        <w:p>
          <w:pPr>
            <w:pStyle w:val="Contents6"/>
            <w:tabs>
              <w:tab w:val="clear" w:pos="7609"/>
              <w:tab w:val="right" w:pos="9026" w:leader="dot"/>
            </w:tabs>
            <w:rPr/>
          </w:pPr>
          <w:hyperlink w:anchor="__RefHeading___Toc6281693_3224264995">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6281695_3224264995">
            <w:r>
              <w:rPr>
                <w:webHidden/>
                <w:rStyle w:val="IndexLink"/>
                <w:rtl w:val="true"/>
              </w:rPr>
              <w:t>الأوّل</w:t>
            </w:r>
            <w:r>
              <w:rPr>
                <w:rStyle w:val="IndexLink"/>
                <w:rtl w:val="true"/>
              </w:rPr>
              <w:tab/>
            </w:r>
            <w:r>
              <w:rPr>
                <w:rStyle w:val="IndexLink"/>
              </w:rPr>
              <w:t>348</w:t>
            </w:r>
          </w:hyperlink>
        </w:p>
        <w:p>
          <w:pPr>
            <w:pStyle w:val="Contents6"/>
            <w:tabs>
              <w:tab w:val="clear" w:pos="7609"/>
              <w:tab w:val="right" w:pos="9026" w:leader="dot"/>
            </w:tabs>
            <w:rPr/>
          </w:pPr>
          <w:hyperlink w:anchor="__RefHeading___Toc6281697_3224264995">
            <w:r>
              <w:rPr>
                <w:webHidden/>
                <w:rStyle w:val="IndexLink"/>
                <w:rtl w:val="true"/>
              </w:rPr>
              <w:t>الثانی</w:t>
            </w:r>
            <w:r>
              <w:rPr>
                <w:rStyle w:val="IndexLink"/>
                <w:rtl w:val="true"/>
              </w:rPr>
              <w:tab/>
            </w:r>
            <w:r>
              <w:rPr>
                <w:rStyle w:val="IndexLink"/>
              </w:rPr>
              <w:t>348</w:t>
            </w:r>
          </w:hyperlink>
        </w:p>
        <w:p>
          <w:pPr>
            <w:pStyle w:val="Contents6"/>
            <w:tabs>
              <w:tab w:val="clear" w:pos="7609"/>
              <w:tab w:val="right" w:pos="9026" w:leader="dot"/>
            </w:tabs>
            <w:rPr/>
          </w:pPr>
          <w:hyperlink w:anchor="__RefHeading___Toc6281699_3224264995">
            <w:r>
              <w:rPr>
                <w:webHidden/>
                <w:rStyle w:val="IndexLink"/>
                <w:rtl w:val="true"/>
              </w:rPr>
              <w:t>الثالث</w:t>
            </w:r>
            <w:r>
              <w:rPr>
                <w:rStyle w:val="IndexLink"/>
                <w:rtl w:val="true"/>
              </w:rPr>
              <w:tab/>
            </w:r>
            <w:r>
              <w:rPr>
                <w:rStyle w:val="IndexLink"/>
              </w:rPr>
              <w:t>350</w:t>
            </w:r>
          </w:hyperlink>
        </w:p>
        <w:p>
          <w:pPr>
            <w:pStyle w:val="Contents6"/>
            <w:tabs>
              <w:tab w:val="clear" w:pos="7609"/>
              <w:tab w:val="right" w:pos="9026" w:leader="dot"/>
            </w:tabs>
            <w:rPr/>
          </w:pPr>
          <w:hyperlink w:anchor="__RefHeading___Toc6281701_3224264995">
            <w:r>
              <w:rPr>
                <w:webHidden/>
                <w:rStyle w:val="IndexLink"/>
                <w:rtl w:val="true"/>
              </w:rPr>
              <w:t>الرابع</w:t>
            </w:r>
            <w:r>
              <w:rPr>
                <w:rStyle w:val="IndexLink"/>
                <w:rtl w:val="true"/>
              </w:rPr>
              <w:tab/>
            </w:r>
            <w:r>
              <w:rPr>
                <w:rStyle w:val="IndexLink"/>
              </w:rPr>
              <w:t>353</w:t>
            </w:r>
          </w:hyperlink>
        </w:p>
        <w:p>
          <w:pPr>
            <w:pStyle w:val="Contents6"/>
            <w:tabs>
              <w:tab w:val="clear" w:pos="7609"/>
              <w:tab w:val="right" w:pos="9026" w:leader="dot"/>
            </w:tabs>
            <w:rPr/>
          </w:pPr>
          <w:hyperlink w:anchor="__RefHeading___Toc6281703_3224264995">
            <w:r>
              <w:rPr>
                <w:webHidden/>
                <w:rStyle w:val="IndexLink"/>
                <w:rtl w:val="true"/>
              </w:rPr>
              <w:t>الخامس</w:t>
            </w:r>
            <w:r>
              <w:rPr>
                <w:rStyle w:val="IndexLink"/>
                <w:rtl w:val="true"/>
              </w:rPr>
              <w:tab/>
            </w:r>
            <w:r>
              <w:rPr>
                <w:rStyle w:val="IndexLink"/>
              </w:rPr>
              <w:t>355</w:t>
            </w:r>
          </w:hyperlink>
        </w:p>
        <w:p>
          <w:pPr>
            <w:pStyle w:val="Contents6"/>
            <w:tabs>
              <w:tab w:val="clear" w:pos="7609"/>
              <w:tab w:val="right" w:pos="9026" w:leader="dot"/>
            </w:tabs>
            <w:rPr/>
          </w:pPr>
          <w:hyperlink w:anchor="__RefHeading___Toc6281705_3224264995">
            <w:r>
              <w:rPr>
                <w:webHidden/>
                <w:rStyle w:val="IndexLink"/>
                <w:rtl w:val="true"/>
              </w:rPr>
              <w:t>[</w:t>
            </w:r>
            <w:r>
              <w:rPr>
                <w:rStyle w:val="IndexLink"/>
                <w:rtl w:val="true"/>
              </w:rPr>
              <w:t>الطرف الثالث فی الأسئار</w:t>
            </w:r>
            <w:r>
              <w:rPr>
                <w:rStyle w:val="IndexLink"/>
                <w:rtl w:val="true"/>
              </w:rPr>
              <w:t>]</w:t>
              <w:tab/>
            </w:r>
            <w:r>
              <w:rPr>
                <w:rStyle w:val="IndexLink"/>
              </w:rPr>
              <w:t>357</w:t>
            </w:r>
          </w:hyperlink>
        </w:p>
        <w:p>
          <w:pPr>
            <w:pStyle w:val="Contents4"/>
            <w:tabs>
              <w:tab w:val="clear" w:pos="8176"/>
              <w:tab w:val="right" w:pos="9026" w:leader="dot"/>
            </w:tabs>
            <w:rPr/>
          </w:pPr>
          <w:hyperlink w:anchor="__RefHeading___Toc6281707_3224264995">
            <w:r>
              <w:rPr>
                <w:webHidden/>
                <w:rStyle w:val="IndexLink"/>
                <w:rtl w:val="true"/>
              </w:rPr>
              <w:t>الرکن الثانی فی الطهارة المائیة</w:t>
            </w:r>
            <w:r>
              <w:rPr>
                <w:rStyle w:val="IndexLink"/>
                <w:rtl w:val="true"/>
              </w:rPr>
              <w:tab/>
            </w:r>
            <w:r>
              <w:rPr>
                <w:rStyle w:val="IndexLink"/>
              </w:rPr>
              <w:t>378</w:t>
            </w:r>
          </w:hyperlink>
        </w:p>
        <w:p>
          <w:pPr>
            <w:pStyle w:val="Contents5"/>
            <w:tabs>
              <w:tab w:val="clear" w:pos="7892"/>
              <w:tab w:val="right" w:pos="9026" w:leader="dot"/>
            </w:tabs>
            <w:rPr/>
          </w:pPr>
          <w:hyperlink w:anchor="__RefHeading___Toc6281709_3224264995">
            <w:r>
              <w:rPr>
                <w:webHidden/>
                <w:rStyle w:val="IndexLink"/>
                <w:rtl w:val="true"/>
              </w:rPr>
              <w:t>[</w:t>
            </w:r>
            <w:r>
              <w:rPr>
                <w:rStyle w:val="IndexLink"/>
                <w:rtl w:val="true"/>
              </w:rPr>
              <w:t>أقسام الطهارة المائیة</w:t>
            </w:r>
            <w:r>
              <w:rPr>
                <w:rStyle w:val="IndexLink"/>
                <w:rtl w:val="true"/>
              </w:rPr>
              <w:t>]</w:t>
              <w:tab/>
            </w:r>
            <w:r>
              <w:rPr>
                <w:rStyle w:val="IndexLink"/>
              </w:rPr>
              <w:t>378</w:t>
            </w:r>
          </w:hyperlink>
        </w:p>
        <w:p>
          <w:pPr>
            <w:pStyle w:val="Contents6"/>
            <w:tabs>
              <w:tab w:val="clear" w:pos="7609"/>
              <w:tab w:val="right" w:pos="9026" w:leader="dot"/>
            </w:tabs>
            <w:rPr/>
          </w:pPr>
          <w:hyperlink w:anchor="__RefHeading___Toc6281711_3224264995">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6281713_3224264995">
            <w:r>
              <w:rPr>
                <w:webHidden/>
                <w:rStyle w:val="IndexLink"/>
                <w:rtl w:val="true"/>
              </w:rPr>
              <w:t>[</w:t>
            </w:r>
            <w:r>
              <w:rPr>
                <w:rStyle w:val="IndexLink"/>
                <w:rtl w:val="true"/>
              </w:rPr>
              <w:t>فی الوضوء فصول</w:t>
            </w:r>
            <w:r>
              <w:rPr>
                <w:rStyle w:val="IndexLink"/>
                <w:rtl w:val="true"/>
              </w:rPr>
              <w:t>]</w:t>
              <w:tab/>
            </w:r>
            <w:r>
              <w:rPr>
                <w:rStyle w:val="IndexLink"/>
              </w:rPr>
              <w:t>378</w:t>
            </w:r>
          </w:hyperlink>
        </w:p>
        <w:p>
          <w:pPr>
            <w:pStyle w:val="Contents6"/>
            <w:tabs>
              <w:tab w:val="clear" w:pos="7609"/>
              <w:tab w:val="right" w:pos="9026" w:leader="dot"/>
            </w:tabs>
            <w:rPr/>
          </w:pPr>
          <w:hyperlink w:anchor="__RefHeading___Toc6281715_3224264995">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6281717_3224264995">
            <w:r>
              <w:rPr>
                <w:webHidden/>
                <w:rStyle w:val="IndexLink"/>
                <w:rtl w:val="true"/>
              </w:rPr>
              <w:t>[</w:t>
            </w:r>
            <w:r>
              <w:rPr>
                <w:rStyle w:val="IndexLink"/>
                <w:rtl w:val="true"/>
              </w:rPr>
              <w:t>الفصل الأوّل فی الأحداث الموجبة للوضوء</w:t>
            </w:r>
            <w:r>
              <w:rPr>
                <w:rStyle w:val="IndexLink"/>
                <w:rtl w:val="true"/>
              </w:rPr>
              <w:t>]</w:t>
              <w:tab/>
            </w:r>
            <w:r>
              <w:rPr>
                <w:rStyle w:val="IndexLink"/>
              </w:rPr>
              <w:t>380</w:t>
            </w:r>
          </w:hyperlink>
        </w:p>
        <w:p>
          <w:pPr>
            <w:pStyle w:val="Contents6"/>
            <w:tabs>
              <w:tab w:val="clear" w:pos="7609"/>
              <w:tab w:val="right" w:pos="9026" w:leader="dot"/>
            </w:tabs>
            <w:rPr/>
          </w:pPr>
          <w:hyperlink w:anchor="__RefHeading___Toc6281719_3224264995">
            <w:r>
              <w:rPr>
                <w:webHidden/>
                <w:rStyle w:val="IndexLink"/>
                <w:rtl w:val="true"/>
              </w:rPr>
              <w:t>[</w:t>
            </w:r>
            <w:r>
              <w:rPr>
                <w:rStyle w:val="IndexLink"/>
                <w:rtl w:val="true"/>
              </w:rPr>
              <w:t>الفصل الثانی من الفصول المتعلّقة بالوضوء</w:t>
            </w:r>
            <w:r>
              <w:rPr>
                <w:rStyle w:val="IndexLink"/>
                <w:rtl w:val="true"/>
              </w:rPr>
              <w:t>]</w:t>
              <w:tab/>
            </w:r>
            <w:r>
              <w:rPr>
                <w:rStyle w:val="IndexLink"/>
              </w:rPr>
              <w:t>404</w:t>
            </w:r>
          </w:hyperlink>
        </w:p>
        <w:p>
          <w:pPr>
            <w:pStyle w:val="Contents6"/>
            <w:tabs>
              <w:tab w:val="clear" w:pos="7609"/>
              <w:tab w:val="right" w:pos="9026" w:leader="dot"/>
            </w:tabs>
            <w:rPr/>
          </w:pPr>
          <w:hyperlink w:anchor="__RefHeading___Toc6281721_3224264995">
            <w:r>
              <w:rPr>
                <w:webHidden/>
                <w:rStyle w:val="IndexLink"/>
                <w:rtl w:val="true"/>
              </w:rPr>
              <w:t>[</w:t>
            </w:r>
            <w:r>
              <w:rPr>
                <w:rStyle w:val="IndexLink"/>
                <w:rtl w:val="true"/>
              </w:rPr>
              <w:t>و هی ثلاثة</w:t>
            </w:r>
            <w:r>
              <w:rPr>
                <w:rStyle w:val="IndexLink"/>
                <w:rtl w:val="true"/>
              </w:rPr>
              <w:t>:]</w:t>
              <w:tab/>
            </w:r>
            <w:r>
              <w:rPr>
                <w:rStyle w:val="IndexLink"/>
              </w:rPr>
              <w:t>404</w:t>
            </w:r>
          </w:hyperlink>
        </w:p>
        <w:p>
          <w:pPr>
            <w:pStyle w:val="Contents6"/>
            <w:tabs>
              <w:tab w:val="clear" w:pos="7609"/>
              <w:tab w:val="right" w:pos="9026" w:leader="dot"/>
            </w:tabs>
            <w:rPr/>
          </w:pPr>
          <w:hyperlink w:anchor="__RefHeading___Toc6281723_3224264995">
            <w:r>
              <w:rPr>
                <w:webHidden/>
                <w:rStyle w:val="IndexLink"/>
                <w:rtl w:val="true"/>
              </w:rPr>
              <w:t>[</w:t>
            </w:r>
            <w:r>
              <w:rPr>
                <w:rStyle w:val="IndexLink"/>
                <w:rtl w:val="true"/>
              </w:rPr>
              <w:t>الأوّل فی کیفیة التخلّی</w:t>
            </w:r>
            <w:r>
              <w:rPr>
                <w:rStyle w:val="IndexLink"/>
                <w:rtl w:val="true"/>
              </w:rPr>
              <w:t>]</w:t>
              <w:tab/>
            </w:r>
            <w:r>
              <w:rPr>
                <w:rStyle w:val="IndexLink"/>
              </w:rPr>
              <w:t>404</w:t>
            </w:r>
          </w:hyperlink>
        </w:p>
        <w:p>
          <w:pPr>
            <w:pStyle w:val="Contents6"/>
            <w:tabs>
              <w:tab w:val="clear" w:pos="7609"/>
              <w:tab w:val="right" w:pos="9026" w:leader="dot"/>
            </w:tabs>
            <w:rPr/>
          </w:pPr>
          <w:hyperlink w:anchor="__RefHeading___Toc6281725_3224264995">
            <w:r>
              <w:rPr>
                <w:webHidden/>
                <w:rStyle w:val="IndexLink"/>
                <w:rtl w:val="true"/>
              </w:rPr>
              <w:t>[</w:t>
            </w:r>
            <w:r>
              <w:rPr>
                <w:rStyle w:val="IndexLink"/>
                <w:rtl w:val="true"/>
              </w:rPr>
              <w:t>الثانی فی الاستنجاء</w:t>
            </w:r>
            <w:r>
              <w:rPr>
                <w:rStyle w:val="IndexLink"/>
                <w:rtl w:val="true"/>
              </w:rPr>
              <w:t>]</w:t>
              <w:tab/>
            </w:r>
            <w:r>
              <w:rPr>
                <w:rStyle w:val="IndexLink"/>
              </w:rPr>
              <w:t>420</w:t>
            </w:r>
          </w:hyperlink>
        </w:p>
        <w:p>
          <w:pPr>
            <w:pStyle w:val="Contents6"/>
            <w:tabs>
              <w:tab w:val="clear" w:pos="7609"/>
              <w:tab w:val="right" w:pos="9026" w:leader="dot"/>
            </w:tabs>
            <w:rPr/>
          </w:pPr>
          <w:hyperlink w:anchor="__RefHeading___Toc6281727_3224264995">
            <w:r>
              <w:rPr>
                <w:webHidden/>
                <w:rStyle w:val="IndexLink"/>
                <w:rtl w:val="true"/>
              </w:rPr>
              <w:t>[</w:t>
            </w:r>
            <w:r>
              <w:rPr>
                <w:rStyle w:val="IndexLink"/>
                <w:rtl w:val="true"/>
              </w:rPr>
              <w:t>الثالث فی سنن الخلوة</w:t>
            </w:r>
            <w:r>
              <w:rPr>
                <w:rStyle w:val="IndexLink"/>
                <w:rtl w:val="true"/>
              </w:rPr>
              <w:t>]</w:t>
              <w:tab/>
            </w:r>
            <w:r>
              <w:rPr>
                <w:rStyle w:val="IndexLink"/>
              </w:rPr>
              <w:t>460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31_131668"/>
      <w:bookmarkStart w:id="1" w:name="pg13031_131668"/>
      <w:bookmarkEnd w:id="1"/>
    </w:p>
    <w:p>
      <w:pPr>
        <w:pStyle w:val="Heading2"/>
        <w:numPr>
          <w:ilvl w:val="1"/>
          <w:numId w:val="1"/>
        </w:numPr>
        <w:rPr/>
      </w:pPr>
      <w:bookmarkStart w:id="2" w:name="pg13031_131668"/>
      <w:bookmarkStart w:id="3" w:name="__RefHeading___Toc6281399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دزفولی، مرتضی بن محمد امین انصاری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بزرگداشت شیخ اعظم انصاری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در کنگره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الشیخ الأعظم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81401_3224264995"/>
      <w:bookmarkStart w:id="6" w:name="_Toc2"/>
      <w:bookmarkEnd w:id="5"/>
      <w:r>
        <w:rPr>
          <w:rtl w:val="true"/>
        </w:rPr>
        <w:t>اشارة</w:t>
      </w:r>
      <w:bookmarkStart w:id="7" w:name="pg13031_131678"/>
      <w:bookmarkEnd w:id="6"/>
    </w:p>
    <w:p>
      <w:pPr>
        <w:pStyle w:val="Heading2"/>
        <w:numPr>
          <w:ilvl w:val="1"/>
          <w:numId w:val="1"/>
        </w:numPr>
        <w:rPr/>
      </w:pPr>
      <w:bookmarkStart w:id="8" w:name="__RefHeading___Toc6281403_3224264995"/>
      <w:bookmarkStart w:id="9" w:name="_Toc3"/>
      <w:bookmarkEnd w:id="7"/>
      <w:bookmarkEnd w:id="8"/>
      <w:r>
        <w:rPr>
          <w:rtl w:val="true"/>
        </w:rPr>
        <w:t>[</w:t>
      </w:r>
      <w:r>
        <w:rPr>
          <w:rtl w:val="true"/>
        </w:rPr>
        <w:t>مقدمة التحقیق</w:t>
      </w:r>
      <w:r>
        <w:rPr>
          <w:rtl w:val="true"/>
        </w:rPr>
        <w:t>]</w:t>
      </w:r>
      <w:bookmarkEnd w:id="9"/>
    </w:p>
    <w:p>
      <w:pPr>
        <w:pStyle w:val="Heading3"/>
        <w:numPr>
          <w:ilvl w:val="2"/>
          <w:numId w:val="1"/>
        </w:numPr>
        <w:rPr/>
      </w:pPr>
      <w:bookmarkStart w:id="10" w:name="__RefHeading___Toc6281405_3224264995"/>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لا یبلغ معرفته العارفون، و لا یحصی نعماءه العادّون، و لا یؤدّی حقّه المجتهدون، و الصلاة و السلام علی سیّد خلقه و خاتم أنبیائه و رسله محمد المصطفی، الذی أرسله إلی الناس کافّة لیفقّههم فی الدّین، و علی آله الذین أذهب اللّٰه عنهم الرجس و طهّرهم تطهیرا، سیّما ابن عمه و وصیّه المرتضی، سیّد الفقهاء، و منار الأتقیاء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الصعب الإحاطة بشخصیّة کشخصیة الشیخ الأعظم الأنصاری قدس سره بجمیع أبعادها، و لیس من مهمتنا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الکلام عن ذلک و خوض غماره، و لکن نری من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نمهّد لبیان ما قمنا به من أعمال فی ما ترکه الشیخ قدس سره من التراث الضخم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نشیر إلی أنّ أفکار الشیخ الأنصاری قدس سره أصبحت المحور الأساسی للبحوث الفقهیة و الأصولیة المتداولة منذ قرن و نصف حتی العصر الحاضر، رغم تقدم العلمین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خاصة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تقدما کثیرا فی هذه الفترة، و لیس ذلک لهیمنة شخصیة الشیخ الأنصاری قدس سره حتی یرمی المتأخرون عنه بالتقلید، بل لأجل عظمة ما قدّمه من تراث علمی ضخم ورثه من سلفه الصالح، و أضاف إلیه من إبداعاته و دقائقه العلمیة، ثم فصّله فی ثوب جدید جذب إلیه أنظار المحققین، و شدّ إلیه أفئدة المفکرین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فإننا نلاحظ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کثیرا من مؤلفاته عدا ما اشتهر منها لم یکن فی متناول أیدی العلماء و المحققین حتی المطبوعة منها، و لکن هیّأ اللّٰه أسباب ظهورها، و ذلک بعد صدور قرار انعقاد المؤتمر العالمی بمناسبة مرور قرنین علی ولادة الشیخ الأعظم قدس سره من قبل قائد الثورة الإسلامیة سماحة آیة اللّٰه الخامنئی دام ظله، فحمّلتنا الأمانة العامة للمؤتمر مسئولیة تحقیق کتبه و آثاره قدس سره، فبدأنا بتمهید مقدمات العمل عام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انعقدت اللجان اللازمة، و قدّمنا ما توفر لدینا مقدماته، فصدر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الخلل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مجموعة من الکتب تحت الطبع، و سوف یتم إنجازها و إنجاز غیرها فی المستقبل القریب إن شاء اللّٰه تعالی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أن یکون القرّاء الکرام علی علم بمؤلفات الشیخ الأنصاری قدس سره نشیر فیما یلی إلیها باختصار</w:t>
      </w:r>
      <w:bookmarkStart w:id="12" w:name="pg13031_131680"/>
    </w:p>
    <w:p>
      <w:pPr>
        <w:pStyle w:val="Heading3"/>
        <w:numPr>
          <w:ilvl w:val="2"/>
          <w:numId w:val="1"/>
        </w:numPr>
        <w:rPr/>
      </w:pPr>
      <w:bookmarkStart w:id="13" w:name="__RefHeading___Toc6281407_3224264995"/>
      <w:bookmarkStart w:id="14" w:name="_Toc5"/>
      <w:bookmarkEnd w:id="12"/>
      <w:bookmarkEnd w:id="13"/>
      <w:r>
        <w:rPr>
          <w:rtl w:val="true"/>
        </w:rPr>
        <w:t>مصنّفات الشیخ الأنصاری قدس سره</w:t>
      </w:r>
      <w:bookmarkEnd w:id="14"/>
    </w:p>
    <w:p>
      <w:pPr>
        <w:pStyle w:val="Heading4"/>
        <w:numPr>
          <w:ilvl w:val="3"/>
          <w:numId w:val="1"/>
        </w:numPr>
        <w:rPr/>
      </w:pPr>
      <w:bookmarkStart w:id="15" w:name="__RefHeading___Toc6281409_3224264995"/>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للشیخ الأنصاری أعلی اللّٰه مقامه تألیفات قیّمة نشیر فیما یلی إلی ما وصل إلینا منها، أو ما وجدناه منسوبا إلیه فی الکتب المعتبرة و إن لم نتمکن من تحصیله، و نلحق به ما کتبه تلامذته تقریرا لبحوثه الأصولیة و الفقهیة</w:t>
      </w:r>
      <w:r>
        <w:rPr>
          <w:rFonts w:eastAsia="IRNazanin" w:cs="IRNazanin"/>
          <w:color w:val="111111"/>
          <w:sz w:val="28"/>
          <w:szCs w:val="28"/>
          <w:rtl w:val="true"/>
          <w:lang w:bidi="fa-IR"/>
        </w:rPr>
        <w:t>.</w:t>
      </w:r>
    </w:p>
    <w:p>
      <w:pPr>
        <w:pStyle w:val="Heading4"/>
        <w:numPr>
          <w:ilvl w:val="3"/>
          <w:numId w:val="1"/>
        </w:numPr>
        <w:rPr/>
      </w:pPr>
      <w:bookmarkStart w:id="17" w:name="__RefHeading___Toc6281411_3224264995"/>
      <w:bookmarkStart w:id="18" w:name="_Toc7"/>
      <w:bookmarkEnd w:id="17"/>
      <w:r>
        <w:rPr>
          <w:rtl w:val="true"/>
        </w:rPr>
        <w:t>أوّلا</w:t>
      </w:r>
      <w:r>
        <w:rPr>
          <w:rtl w:val="true"/>
        </w:rPr>
        <w:t xml:space="preserve">- </w:t>
      </w:r>
      <w:r>
        <w:rPr>
          <w:rtl w:val="true"/>
        </w:rPr>
        <w:t>المکتبة الفقهیة</w:t>
      </w:r>
      <w:r>
        <w:rPr>
          <w:rtl w:val="true"/>
        </w:rPr>
        <w:t>:</w:t>
      </w:r>
      <w:bookmarkEnd w:id="18"/>
    </w:p>
    <w:p>
      <w:pPr>
        <w:pStyle w:val="Heading5"/>
        <w:numPr>
          <w:ilvl w:val="4"/>
          <w:numId w:val="1"/>
        </w:numPr>
        <w:rPr/>
      </w:pPr>
      <w:bookmarkStart w:id="19" w:name="__RefHeading___Toc6281413_3224264995"/>
      <w:bookmarkStart w:id="20" w:name="_Toc8"/>
      <w:bookmarkEnd w:id="19"/>
      <w:r>
        <w:rPr/>
        <w:t>1</w:t>
      </w:r>
      <w:r>
        <w:rPr>
          <w:rtl w:val="true"/>
        </w:rPr>
        <w:t xml:space="preserve">- </w:t>
      </w:r>
      <w:r>
        <w:rPr>
          <w:rtl w:val="true"/>
        </w:rPr>
        <w:t>کتاب الطهارة</w:t>
      </w:r>
      <w:r>
        <w:rPr>
          <w:rtl w:val="true"/>
        </w:rPr>
        <w:t>:</w:t>
      </w:r>
      <w:bookmarkEnd w:id="20"/>
    </w:p>
    <w:p>
      <w:pPr>
        <w:pStyle w:val="BookText"/>
        <w:rPr/>
      </w:pPr>
      <w:r>
        <w:rPr>
          <w:rFonts w:ascii="IRNazanin" w:hAnsi="IRNazanin" w:eastAsia="IRNazanin"/>
          <w:color w:val="111111"/>
          <w:sz w:val="28"/>
          <w:sz w:val="28"/>
          <w:szCs w:val="28"/>
          <w:rtl w:val="true"/>
          <w:lang w:bidi="fa-IR"/>
        </w:rPr>
        <w:t xml:space="preserve">و هو کتاب کبیر لا یقلّ أهمیة عن المکاسب و الرسائل، بعضه شرح للشرائع و بعضه الآخر شرح للإرشاد، سوف یتم طبعه فی عدة أجزاء، و قد طبع لأوّل مرة فی حیاة الشیخ قدس سره عام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سیأتی مزید توضیح عنه</w:t>
      </w:r>
      <w:r>
        <w:rPr>
          <w:rFonts w:eastAsia="IRNazanin" w:cs="IRNazanin"/>
          <w:color w:val="111111"/>
          <w:sz w:val="28"/>
          <w:szCs w:val="28"/>
          <w:rtl w:val="true"/>
          <w:lang w:bidi="fa-IR"/>
        </w:rPr>
        <w:t>.</w:t>
      </w:r>
    </w:p>
    <w:p>
      <w:pPr>
        <w:pStyle w:val="Heading5"/>
        <w:numPr>
          <w:ilvl w:val="4"/>
          <w:numId w:val="1"/>
        </w:numPr>
        <w:rPr/>
      </w:pPr>
      <w:bookmarkStart w:id="21" w:name="__RefHeading___Toc6281415_3224264995"/>
      <w:bookmarkStart w:id="22" w:name="_Toc9"/>
      <w:bookmarkEnd w:id="21"/>
      <w:r>
        <w:rPr/>
        <w:t>2</w:t>
      </w:r>
      <w:r>
        <w:rPr>
          <w:rtl w:val="true"/>
        </w:rPr>
        <w:t xml:space="preserve">- </w:t>
      </w:r>
      <w:r>
        <w:rPr>
          <w:rtl w:val="true"/>
        </w:rPr>
        <w:t>کتاب الصلاة</w:t>
      </w:r>
      <w:r>
        <w:rPr>
          <w:rtl w:val="true"/>
        </w:rPr>
        <w:t>:</w:t>
      </w:r>
      <w:bookmarkEnd w:id="2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کتاب کبیر نسبیا و سوف یتم طبعه فی عدّة أجزاء أیضا، و قد طبع بالطبعة الحجریة عام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توجد نسخته الأصلیة فی مکتبة الإمام الرضا علیه السلام برقم </w:t>
      </w:r>
      <w:r>
        <w:rPr>
          <w:rFonts w:eastAsia="IRNazanin" w:cs="IRNazanin"/>
          <w:color w:val="111111"/>
          <w:sz w:val="28"/>
          <w:szCs w:val="28"/>
          <w:rtl w:val="true"/>
          <w:lang w:bidi="fa-IR"/>
        </w:rPr>
        <w:t>(</w:t>
      </w:r>
      <w:r>
        <w:rPr>
          <w:rFonts w:eastAsia="IRNazanin" w:cs="IRNazanin"/>
          <w:color w:val="111111"/>
          <w:sz w:val="28"/>
          <w:szCs w:val="28"/>
          <w:lang w:bidi="fa-IR"/>
        </w:rPr>
        <w:t>11130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تفضّلت إدارة المکتبة بمصوّرتها، و فیها زیادات علی المطبوعة، لکنها تکرار لبعض المطالب، و سوف یأتی بیان ذلک بالتفصیل فی مقدمة کتاب الصلاة</w:t>
      </w:r>
      <w:r>
        <w:rPr>
          <w:rFonts w:eastAsia="IRNazanin" w:cs="IRNazanin"/>
          <w:color w:val="111111"/>
          <w:sz w:val="28"/>
          <w:szCs w:val="28"/>
          <w:rtl w:val="true"/>
          <w:lang w:bidi="fa-IR"/>
        </w:rPr>
        <w:t>.</w:t>
      </w:r>
      <w:bookmarkStart w:id="23" w:name="pg13031_131681"/>
    </w:p>
    <w:p>
      <w:pPr>
        <w:pStyle w:val="Heading5"/>
        <w:numPr>
          <w:ilvl w:val="4"/>
          <w:numId w:val="1"/>
        </w:numPr>
        <w:rPr/>
      </w:pPr>
      <w:bookmarkStart w:id="24" w:name="__RefHeading___Toc6281417_3224264995"/>
      <w:bookmarkStart w:id="25" w:name="_Toc10"/>
      <w:bookmarkEnd w:id="23"/>
      <w:bookmarkEnd w:id="24"/>
      <w:r>
        <w:rPr/>
        <w:t>3</w:t>
      </w:r>
      <w:r>
        <w:rPr>
          <w:rtl w:val="true"/>
        </w:rPr>
        <w:t xml:space="preserve">- </w:t>
      </w:r>
      <w:r>
        <w:rPr>
          <w:rtl w:val="true"/>
        </w:rPr>
        <w:t>أحکام الخلل فی الصلاة</w:t>
      </w:r>
      <w:r>
        <w:rPr>
          <w:rtl w:val="true"/>
        </w:rPr>
        <w:t>:</w:t>
      </w:r>
      <w:bookmarkEnd w:id="25"/>
    </w:p>
    <w:p>
      <w:pPr>
        <w:pStyle w:val="BookText"/>
        <w:rPr/>
      </w:pPr>
      <w:r>
        <w:rPr>
          <w:rFonts w:ascii="IRNazanin" w:hAnsi="IRNazanin" w:eastAsia="IRNazanin"/>
          <w:color w:val="111111"/>
          <w:sz w:val="28"/>
          <w:sz w:val="28"/>
          <w:szCs w:val="28"/>
          <w:rtl w:val="true"/>
          <w:lang w:bidi="fa-IR"/>
        </w:rPr>
        <w:t>و هو کتاب یبحث عن أحکام الخلل فی الصلاة، تفضّل بمصوّرة النسخة الأصلیة منه سماحة آیة اللّٰه الشیخ أحمد سبط الشیخ الأنصاری دامت برکاته، و لم یکن مطبوعا لحدّ الآن، و له قدس سره رسالتان مختصرتان حول نفس الموضوع، و هما مدرجتان مع کتاب الصلاة، قامت لجنة التحقیق بتحقیق الرسالتین مع الکتاب و طبع الجمیع فی مجلّد واحد</w:t>
      </w:r>
      <w:r>
        <w:rPr>
          <w:rFonts w:eastAsia="IRNazanin" w:cs="IRNazanin"/>
          <w:color w:val="111111"/>
          <w:sz w:val="28"/>
          <w:szCs w:val="28"/>
          <w:rtl w:val="true"/>
          <w:lang w:bidi="fa-IR"/>
        </w:rPr>
        <w:t>.</w:t>
      </w:r>
    </w:p>
    <w:p>
      <w:pPr>
        <w:pStyle w:val="Heading5"/>
        <w:numPr>
          <w:ilvl w:val="4"/>
          <w:numId w:val="1"/>
        </w:numPr>
        <w:rPr/>
      </w:pPr>
      <w:bookmarkStart w:id="26" w:name="__RefHeading___Toc6281419_3224264995"/>
      <w:bookmarkStart w:id="27" w:name="_Toc11"/>
      <w:bookmarkEnd w:id="26"/>
      <w:r>
        <w:rPr/>
        <w:t>4</w:t>
      </w:r>
      <w:r>
        <w:rPr>
          <w:rtl w:val="true"/>
        </w:rPr>
        <w:t xml:space="preserve">- </w:t>
      </w:r>
      <w:r>
        <w:rPr>
          <w:rtl w:val="true"/>
        </w:rPr>
        <w:t>کتاب الزکاة</w:t>
      </w:r>
      <w:r>
        <w:rPr>
          <w:rtl w:val="true"/>
        </w:rPr>
        <w:t>:</w:t>
      </w:r>
      <w:bookmarkEnd w:id="27"/>
    </w:p>
    <w:p>
      <w:pPr>
        <w:pStyle w:val="BookText"/>
        <w:rPr/>
      </w:pPr>
      <w:r>
        <w:rPr>
          <w:rFonts w:ascii="IRNazanin" w:hAnsi="IRNazanin" w:eastAsia="IRNazanin"/>
          <w:color w:val="111111"/>
          <w:sz w:val="28"/>
          <w:sz w:val="28"/>
          <w:szCs w:val="28"/>
          <w:rtl w:val="true"/>
          <w:lang w:bidi="fa-IR"/>
        </w:rPr>
        <w:t>و هو یتکون من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للإرشاد، و مسائل مستقلة، و هو مطبوع مع الطهارة بالطبعة الحجریة و حصلنا علی نسختین خطّیتین منه، الاولی من مکتبة ملک برقم </w:t>
      </w:r>
      <w:r>
        <w:rPr>
          <w:rFonts w:eastAsia="IRNazanin" w:cs="IRNazanin"/>
          <w:color w:val="111111"/>
          <w:sz w:val="28"/>
          <w:szCs w:val="28"/>
          <w:rtl w:val="true"/>
          <w:lang w:bidi="fa-IR"/>
        </w:rPr>
        <w:t>(</w:t>
      </w:r>
      <w:r>
        <w:rPr>
          <w:rFonts w:eastAsia="IRNazanin" w:cs="IRNazanin"/>
          <w:color w:val="111111"/>
          <w:sz w:val="28"/>
          <w:szCs w:val="28"/>
          <w:lang w:bidi="fa-IR"/>
        </w:rPr>
        <w:t>6089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الأخری من مکتبة المدرسة الفیضیة برقم </w:t>
      </w: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تحتویان علی کتابی الخمس و الصوم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 تحقیقه و طبعه فی مجلّد واحد</w:t>
      </w:r>
      <w:r>
        <w:rPr>
          <w:rFonts w:eastAsia="IRNazanin" w:cs="IRNazanin"/>
          <w:color w:val="111111"/>
          <w:sz w:val="28"/>
          <w:szCs w:val="28"/>
          <w:rtl w:val="true"/>
          <w:lang w:bidi="fa-IR"/>
        </w:rPr>
        <w:t>.</w:t>
      </w:r>
    </w:p>
    <w:p>
      <w:pPr>
        <w:pStyle w:val="Heading5"/>
        <w:numPr>
          <w:ilvl w:val="4"/>
          <w:numId w:val="1"/>
        </w:numPr>
        <w:rPr/>
      </w:pPr>
      <w:bookmarkStart w:id="28" w:name="__RefHeading___Toc6281421_3224264995"/>
      <w:bookmarkStart w:id="29" w:name="_Toc12"/>
      <w:bookmarkEnd w:id="28"/>
      <w:r>
        <w:rPr/>
        <w:t>5</w:t>
      </w:r>
      <w:r>
        <w:rPr>
          <w:rtl w:val="true"/>
        </w:rPr>
        <w:t xml:space="preserve">- </w:t>
      </w:r>
      <w:r>
        <w:rPr>
          <w:rtl w:val="true"/>
        </w:rPr>
        <w:t>کتاب الخمس</w:t>
      </w:r>
      <w:r>
        <w:rPr>
          <w:rtl w:val="true"/>
        </w:rPr>
        <w:t>:</w:t>
      </w:r>
      <w:bookmarkEnd w:id="29"/>
    </w:p>
    <w:p>
      <w:pPr>
        <w:pStyle w:val="BookText"/>
        <w:rPr/>
      </w:pPr>
      <w:r>
        <w:rPr>
          <w:rFonts w:ascii="IRNazanin" w:hAnsi="IRNazanin" w:eastAsia="IRNazanin"/>
          <w:color w:val="111111"/>
          <w:sz w:val="28"/>
          <w:sz w:val="28"/>
          <w:szCs w:val="28"/>
          <w:rtl w:val="true"/>
          <w:lang w:bidi="fa-IR"/>
        </w:rPr>
        <w:t>و هو یتکون من قسمین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للإرشاد، و مسائل مستقلة، و هو مطبوع مع الطهارة أیضا و موجود مع نسختی الزکاة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الفیضیة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تمّ تحقیقه و طبعه فی مجلّد واحد</w:t>
      </w:r>
      <w:r>
        <w:rPr>
          <w:rFonts w:eastAsia="IRNazanin" w:cs="IRNazanin"/>
          <w:color w:val="111111"/>
          <w:sz w:val="28"/>
          <w:szCs w:val="28"/>
          <w:rtl w:val="true"/>
          <w:lang w:bidi="fa-IR"/>
        </w:rPr>
        <w:t>.</w:t>
      </w:r>
    </w:p>
    <w:p>
      <w:pPr>
        <w:pStyle w:val="Heading5"/>
        <w:numPr>
          <w:ilvl w:val="4"/>
          <w:numId w:val="1"/>
        </w:numPr>
        <w:rPr/>
      </w:pPr>
      <w:bookmarkStart w:id="30" w:name="__RefHeading___Toc6281423_3224264995"/>
      <w:bookmarkStart w:id="31" w:name="_Toc13"/>
      <w:bookmarkEnd w:id="30"/>
      <w:r>
        <w:rPr/>
        <w:t>6</w:t>
      </w:r>
      <w:r>
        <w:rPr>
          <w:rtl w:val="true"/>
        </w:rPr>
        <w:t xml:space="preserve">- </w:t>
      </w:r>
      <w:r>
        <w:rPr>
          <w:rtl w:val="true"/>
        </w:rPr>
        <w:t>کتاب الصوم</w:t>
      </w:r>
      <w:r>
        <w:rPr>
          <w:rtl w:val="true"/>
        </w:rPr>
        <w:t>:</w:t>
      </w:r>
      <w:bookmarkEnd w:id="3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یتکون من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للإرشاد، و شرح للقواعد، و مسائل مستقلة، و هو مطبوع مع الطهارة أیضا، و موجود ضمن النسختین الخطّیتین المتقدمتین</w:t>
      </w:r>
      <w:r>
        <w:rPr>
          <w:rFonts w:eastAsia="IRNazanin" w:cs="IRNazanin"/>
          <w:color w:val="111111"/>
          <w:sz w:val="28"/>
          <w:szCs w:val="28"/>
          <w:rtl w:val="true"/>
          <w:lang w:bidi="fa-IR"/>
        </w:rPr>
        <w:t>.</w:t>
      </w:r>
      <w:bookmarkStart w:id="32" w:name="pg13031_131682"/>
    </w:p>
    <w:p>
      <w:pPr>
        <w:pStyle w:val="BookText"/>
        <w:rPr/>
      </w:pPr>
      <w:bookmarkEnd w:id="32"/>
      <w:r>
        <w:rPr>
          <w:rFonts w:ascii="IRNazanin" w:hAnsi="IRNazanin" w:eastAsia="IRNazanin"/>
          <w:color w:val="111111"/>
          <w:sz w:val="28"/>
          <w:sz w:val="28"/>
          <w:szCs w:val="28"/>
          <w:rtl w:val="true"/>
          <w:lang w:bidi="fa-IR"/>
        </w:rPr>
        <w:t>و قد أنجز تحقیقه و طبعه فی مجلّد واحد</w:t>
      </w:r>
      <w:r>
        <w:rPr>
          <w:rFonts w:eastAsia="IRNazanin" w:cs="IRNazanin"/>
          <w:color w:val="111111"/>
          <w:sz w:val="28"/>
          <w:szCs w:val="28"/>
          <w:rtl w:val="true"/>
          <w:lang w:bidi="fa-IR"/>
        </w:rPr>
        <w:t>.</w:t>
      </w:r>
    </w:p>
    <w:p>
      <w:pPr>
        <w:pStyle w:val="Heading5"/>
        <w:numPr>
          <w:ilvl w:val="4"/>
          <w:numId w:val="1"/>
        </w:numPr>
        <w:rPr/>
      </w:pPr>
      <w:bookmarkStart w:id="33" w:name="__RefHeading___Toc6281425_3224264995"/>
      <w:bookmarkStart w:id="34" w:name="_Toc14"/>
      <w:bookmarkEnd w:id="33"/>
      <w:r>
        <w:rPr/>
        <w:t>7</w:t>
      </w:r>
      <w:r>
        <w:rPr>
          <w:rtl w:val="true"/>
        </w:rPr>
        <w:t xml:space="preserve">- </w:t>
      </w:r>
      <w:r>
        <w:rPr>
          <w:rtl w:val="true"/>
        </w:rPr>
        <w:t>مناسک الحج</w:t>
      </w:r>
      <w:r>
        <w:rPr>
          <w:rtl w:val="true"/>
        </w:rPr>
        <w:t>:</w:t>
      </w:r>
      <w:bookmarkEnd w:id="34"/>
    </w:p>
    <w:p>
      <w:pPr>
        <w:pStyle w:val="BookText"/>
        <w:rPr/>
      </w:pPr>
      <w:r>
        <w:rPr>
          <w:rFonts w:ascii="IRNazanin" w:hAnsi="IRNazanin" w:eastAsia="IRNazanin"/>
          <w:color w:val="111111"/>
          <w:sz w:val="28"/>
          <w:sz w:val="28"/>
          <w:szCs w:val="28"/>
          <w:rtl w:val="true"/>
          <w:lang w:bidi="fa-IR"/>
        </w:rPr>
        <w:t>باللغة الفارسیة، کتبه لعمل المقلّدین، قال العلّامة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طبع مع حواشی المیرزا محمد حسن الشیرازی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طبع أیضا مع حواشی الحاج میرزا حسین الطهرانی، و السید محمد کاظم الیزدی، و السید إسماعیل الصدر و الآقا نجفی عام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عرّبه بعض الفضلاء، و علی المعرّب أیضا حواشی المیرزا الشیرازی، کما و طبع أیضا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بعظیم‌آباد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6281427_3224264995"/>
      <w:bookmarkStart w:id="36" w:name="_Toc15"/>
      <w:bookmarkEnd w:id="35"/>
      <w:r>
        <w:rPr/>
        <w:t>8</w:t>
      </w:r>
      <w:r>
        <w:rPr>
          <w:rtl w:val="true"/>
        </w:rPr>
        <w:t xml:space="preserve">- </w:t>
      </w:r>
      <w:r>
        <w:rPr>
          <w:rtl w:val="true"/>
        </w:rPr>
        <w:t>کتاب المکاسب</w:t>
      </w:r>
      <w:r>
        <w:rPr>
          <w:rtl w:val="true"/>
        </w:rPr>
        <w:t>:</w:t>
      </w:r>
      <w:bookmarkEnd w:id="36"/>
    </w:p>
    <w:p>
      <w:pPr>
        <w:pStyle w:val="BookText"/>
        <w:rPr/>
      </w:pPr>
      <w:r>
        <w:rPr>
          <w:rFonts w:ascii="IRNazanin" w:hAnsi="IRNazanin" w:eastAsia="IRNazanin"/>
          <w:color w:val="111111"/>
          <w:sz w:val="28"/>
          <w:sz w:val="28"/>
          <w:szCs w:val="28"/>
          <w:rtl w:val="true"/>
          <w:lang w:bidi="fa-IR"/>
        </w:rPr>
        <w:t>و هو من أهمّ کتب الشیخ قدس سره و أعظمها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سوف یأتی بیانه فی مقدمة الکتاب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طبعت نسخة منه حال حیاته، و خرجت من الطباعة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الاولی عام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للکتاب طبعات عدیدة تمتاز بعضها بالدقّة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توجد لدینا مصوّرة النسخة الأصلیة من قسم الخیارات منه، قدّمتها لنا مکتبة الإمام الرضا علیه السلام فی مشهد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سوف یتمّ تحقیق الکتاب و طبعه فی عدّة أجزاء إن شاء اللّٰه تعالی</w:t>
      </w:r>
      <w:r>
        <w:rPr>
          <w:rFonts w:eastAsia="IRNazanin" w:cs="IRNazanin"/>
          <w:color w:val="111111"/>
          <w:sz w:val="28"/>
          <w:szCs w:val="28"/>
          <w:rtl w:val="true"/>
          <w:lang w:bidi="fa-IR"/>
        </w:rPr>
        <w:t>.</w:t>
      </w:r>
      <w:bookmarkStart w:id="37" w:name="pg13031_131683"/>
    </w:p>
    <w:p>
      <w:pPr>
        <w:pStyle w:val="Heading5"/>
        <w:numPr>
          <w:ilvl w:val="4"/>
          <w:numId w:val="1"/>
        </w:numPr>
        <w:rPr/>
      </w:pPr>
      <w:bookmarkStart w:id="38" w:name="__RefHeading___Toc6281429_3224264995"/>
      <w:bookmarkStart w:id="39" w:name="_Toc16"/>
      <w:bookmarkEnd w:id="37"/>
      <w:bookmarkEnd w:id="38"/>
      <w:r>
        <w:rPr/>
        <w:t>9</w:t>
      </w:r>
      <w:r>
        <w:rPr>
          <w:rtl w:val="true"/>
        </w:rPr>
        <w:t xml:space="preserve">- </w:t>
      </w:r>
      <w:r>
        <w:rPr>
          <w:rtl w:val="true"/>
        </w:rPr>
        <w:t>کتاب النکاح</w:t>
      </w:r>
      <w:r>
        <w:rPr>
          <w:rtl w:val="true"/>
        </w:rPr>
        <w:t>:</w:t>
      </w:r>
      <w:bookmarkEnd w:id="39"/>
    </w:p>
    <w:p>
      <w:pPr>
        <w:pStyle w:val="BookText"/>
        <w:rPr/>
      </w:pPr>
      <w:r>
        <w:rPr>
          <w:rFonts w:ascii="IRNazanin" w:hAnsi="IRNazanin" w:eastAsia="IRNazanin"/>
          <w:color w:val="111111"/>
          <w:sz w:val="28"/>
          <w:sz w:val="28"/>
          <w:szCs w:val="28"/>
          <w:rtl w:val="true"/>
          <w:lang w:bidi="fa-IR"/>
        </w:rPr>
        <w:t xml:space="preserve">و هو شرح مزجی لإرشاد الأذهان من أول النکاح إلی أوائل المطلب الثانی من المقصد الثانی الذی یبحث فیه عن أحکام الصداق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الکتاب مطبوع مع بعض طبعات المکاسب، و لدینا صورة النسخة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ضمن مجموعة من مصنفات الشیخ قدس سره فی مکتبة الإمام الرضا علیه السلام برقم </w:t>
      </w:r>
      <w:r>
        <w:rPr>
          <w:rFonts w:eastAsia="IRNazanin" w:cs="IRNazanin"/>
          <w:color w:val="111111"/>
          <w:sz w:val="28"/>
          <w:szCs w:val="28"/>
          <w:rtl w:val="true"/>
          <w:lang w:bidi="fa-IR"/>
        </w:rPr>
        <w:t>(</w:t>
      </w:r>
      <w:r>
        <w:rPr>
          <w:rFonts w:eastAsia="IRNazanin" w:cs="IRNazanin"/>
          <w:color w:val="111111"/>
          <w:sz w:val="28"/>
          <w:szCs w:val="28"/>
          <w:lang w:bidi="fa-IR"/>
        </w:rPr>
        <w:t>11127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قید التحقیق و سوف یتم طبعه إن شاء اللّٰه مع المصاهرة و الرضاع</w:t>
      </w:r>
      <w:r>
        <w:rPr>
          <w:rFonts w:eastAsia="IRNazanin" w:cs="IRNazanin"/>
          <w:color w:val="111111"/>
          <w:sz w:val="28"/>
          <w:szCs w:val="28"/>
          <w:rtl w:val="true"/>
          <w:lang w:bidi="fa-IR"/>
        </w:rPr>
        <w:t>.</w:t>
      </w:r>
    </w:p>
    <w:p>
      <w:pPr>
        <w:pStyle w:val="Heading5"/>
        <w:numPr>
          <w:ilvl w:val="4"/>
          <w:numId w:val="1"/>
        </w:numPr>
        <w:rPr/>
      </w:pPr>
      <w:bookmarkStart w:id="40" w:name="__RefHeading___Toc6281431_3224264995"/>
      <w:bookmarkStart w:id="41" w:name="_Toc17"/>
      <w:bookmarkEnd w:id="40"/>
      <w:r>
        <w:rPr/>
        <w:t>10</w:t>
      </w:r>
      <w:r>
        <w:rPr>
          <w:rtl w:val="true"/>
        </w:rPr>
        <w:t xml:space="preserve">- </w:t>
      </w:r>
      <w:r>
        <w:rPr>
          <w:rtl w:val="true"/>
        </w:rPr>
        <w:t>رسالة فی المصاهرة</w:t>
      </w:r>
      <w:r>
        <w:rPr>
          <w:rtl w:val="true"/>
        </w:rPr>
        <w:t>:</w:t>
      </w:r>
      <w:bookmarkEnd w:id="41"/>
    </w:p>
    <w:p>
      <w:pPr>
        <w:pStyle w:val="BookText"/>
        <w:rPr/>
      </w:pPr>
      <w:r>
        <w:rPr>
          <w:rFonts w:ascii="IRNazanin" w:hAnsi="IRNazanin" w:eastAsia="IRNazanin"/>
          <w:color w:val="111111"/>
          <w:sz w:val="28"/>
          <w:sz w:val="28"/>
          <w:szCs w:val="28"/>
          <w:rtl w:val="true"/>
          <w:lang w:bidi="fa-IR"/>
        </w:rPr>
        <w:t>و هی شرح مزجی لإرشاد الأذهان تتضمن البحث عن المطلب الثانی من المقصد الثالث الذی یبحث عن باقی أسباب التحریم غیر النسب و الرضاع، کالمصاهرة، و الکفر، و العقد و الوطء، ثم البحث عن موجب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العیب و التدلیس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أنّها من متمّمات کتاب النکاح، غایة الأمر أنّ هناک مقدارا من الإرشاد لم یشرحه الشیخ قدس سره أو شرحه لکنّه فقد، و هذا ما أوجب التعدد، بحیث صار الأوّل باسم کتاب النکاح و الثانی باسم المصاهرة، و إن کانت التسمیة غیر صحیحة، لأنّ المصاهرة إنّما هی جزء من الرسالة، و غالبها یتضمن البحث عن أمور أخری، کما تقدم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مهما یکن، فإنّ الرسالة طبعت مع بعض طبعات المکاسب، و لدینا صورة النسخة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ضمن المجموعة</w:t>
      </w:r>
      <w:bookmarkStart w:id="42" w:name="pg13031_131684"/>
    </w:p>
    <w:p>
      <w:pPr>
        <w:pStyle w:val="BookText"/>
        <w:rPr/>
      </w:pPr>
      <w:bookmarkEnd w:id="42"/>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الإمام الرضا علیه السلام فی مشهد</w:t>
      </w:r>
      <w:r>
        <w:rPr>
          <w:rFonts w:eastAsia="IRNazanin" w:cs="IRNazanin"/>
          <w:color w:val="111111"/>
          <w:sz w:val="28"/>
          <w:szCs w:val="28"/>
          <w:rtl w:val="true"/>
          <w:lang w:bidi="fa-IR"/>
        </w:rPr>
        <w:t>.</w:t>
      </w:r>
    </w:p>
    <w:p>
      <w:pPr>
        <w:pStyle w:val="Heading5"/>
        <w:numPr>
          <w:ilvl w:val="4"/>
          <w:numId w:val="1"/>
        </w:numPr>
        <w:rPr/>
      </w:pPr>
      <w:bookmarkStart w:id="43" w:name="__RefHeading___Toc6281433_3224264995"/>
      <w:bookmarkStart w:id="44" w:name="_Toc18"/>
      <w:bookmarkEnd w:id="43"/>
      <w:r>
        <w:rPr/>
        <w:t>11</w:t>
      </w:r>
      <w:r>
        <w:rPr>
          <w:rtl w:val="true"/>
        </w:rPr>
        <w:t xml:space="preserve">- </w:t>
      </w:r>
      <w:r>
        <w:rPr>
          <w:rtl w:val="true"/>
        </w:rPr>
        <w:t>رسالة فی الرضاع</w:t>
      </w:r>
      <w:r>
        <w:rPr>
          <w:rtl w:val="true"/>
        </w:rPr>
        <w:t>:</w:t>
      </w:r>
      <w:bookmarkEnd w:id="44"/>
    </w:p>
    <w:p>
      <w:pPr>
        <w:pStyle w:val="BookText"/>
        <w:rPr/>
      </w:pPr>
      <w:r>
        <w:rPr>
          <w:rFonts w:ascii="IRNazanin" w:hAnsi="IRNazanin" w:eastAsia="IRNazanin"/>
          <w:color w:val="111111"/>
          <w:sz w:val="28"/>
          <w:sz w:val="28"/>
          <w:szCs w:val="28"/>
          <w:rtl w:val="true"/>
          <w:lang w:bidi="fa-IR"/>
        </w:rPr>
        <w:t>و هی رسالة کتبها قدس سره بصورة مستقلة فی الرضاع، طبعت مع بعض طبعات المکاسب، و توجد النسخة الأصلیة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مخطوطة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الإمام الرضا علیه السلام فی المجموعة رقم </w:t>
      </w:r>
      <w:r>
        <w:rPr>
          <w:rFonts w:eastAsia="IRNazanin" w:cs="IRNazanin"/>
          <w:color w:val="111111"/>
          <w:sz w:val="28"/>
          <w:szCs w:val="28"/>
          <w:rtl w:val="true"/>
          <w:lang w:bidi="fa-IR"/>
        </w:rPr>
        <w:t>(</w:t>
      </w:r>
      <w:r>
        <w:rPr>
          <w:rFonts w:eastAsia="IRNazanin" w:cs="IRNazanin"/>
          <w:color w:val="111111"/>
          <w:sz w:val="28"/>
          <w:szCs w:val="28"/>
          <w:lang w:bidi="fa-IR"/>
        </w:rPr>
        <w:t>11127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عثرنا علی نسخة مخطوطة أخری فی نفس المکتبة برقم </w:t>
      </w:r>
      <w:r>
        <w:rPr>
          <w:rFonts w:eastAsia="IRNazanin" w:cs="IRNazanin"/>
          <w:color w:val="111111"/>
          <w:sz w:val="28"/>
          <w:szCs w:val="28"/>
          <w:rtl w:val="true"/>
          <w:lang w:bidi="fa-IR"/>
        </w:rPr>
        <w:t>(</w:t>
      </w:r>
      <w:r>
        <w:rPr>
          <w:rFonts w:eastAsia="IRNazanin" w:cs="IRNazanin"/>
          <w:color w:val="111111"/>
          <w:sz w:val="28"/>
          <w:szCs w:val="28"/>
          <w:lang w:bidi="fa-IR"/>
        </w:rPr>
        <w:t>10232</w:t>
      </w:r>
      <w:r>
        <w:rPr>
          <w:rFonts w:eastAsia="IRNazanin" w:cs="IRNazanin"/>
          <w:color w:val="111111"/>
          <w:sz w:val="28"/>
          <w:szCs w:val="28"/>
          <w:rtl w:val="true"/>
          <w:lang w:bidi="fa-IR"/>
        </w:rPr>
        <w:t>).</w:t>
      </w:r>
    </w:p>
    <w:p>
      <w:pPr>
        <w:pStyle w:val="Heading5"/>
        <w:numPr>
          <w:ilvl w:val="4"/>
          <w:numId w:val="1"/>
        </w:numPr>
        <w:rPr/>
      </w:pPr>
      <w:bookmarkStart w:id="45" w:name="__RefHeading___Toc6281435_3224264995"/>
      <w:bookmarkStart w:id="46" w:name="_Toc19"/>
      <w:bookmarkEnd w:id="45"/>
      <w:r>
        <w:rPr/>
        <w:t>12</w:t>
      </w:r>
      <w:r>
        <w:rPr>
          <w:rtl w:val="true"/>
        </w:rPr>
        <w:t xml:space="preserve">- </w:t>
      </w:r>
      <w:r>
        <w:rPr>
          <w:rtl w:val="true"/>
        </w:rPr>
        <w:t>کتاب الوصایا</w:t>
      </w:r>
      <w:r>
        <w:rPr>
          <w:rtl w:val="true"/>
        </w:rPr>
        <w:t>:</w:t>
      </w:r>
      <w:bookmarkEnd w:id="46"/>
    </w:p>
    <w:p>
      <w:pPr>
        <w:pStyle w:val="BookText"/>
        <w:rPr/>
      </w:pPr>
      <w:r>
        <w:rPr>
          <w:rFonts w:ascii="IRNazanin" w:hAnsi="IRNazanin" w:eastAsia="IRNazanin"/>
          <w:color w:val="111111"/>
          <w:sz w:val="28"/>
          <w:sz w:val="28"/>
          <w:szCs w:val="28"/>
          <w:rtl w:val="true"/>
          <w:lang w:bidi="fa-IR"/>
        </w:rPr>
        <w:t xml:space="preserve">و هو شرح مزجی لکتاب الوصایا من إرشاد الأذهان لکنّه غیر کامل، طبع مع بعض طبعات المکاسب، و توجد النسخة الأصلیة منه فی مکتبة الإمام الرضا علیه السلام ضمن المجموعة رقم </w:t>
      </w:r>
      <w:r>
        <w:rPr>
          <w:rFonts w:eastAsia="IRNazanin" w:cs="IRNazanin"/>
          <w:color w:val="111111"/>
          <w:sz w:val="28"/>
          <w:szCs w:val="28"/>
          <w:rtl w:val="true"/>
          <w:lang w:bidi="fa-IR"/>
        </w:rPr>
        <w:t>(</w:t>
      </w:r>
      <w:r>
        <w:rPr>
          <w:rFonts w:eastAsia="IRNazanin" w:cs="IRNazanin"/>
          <w:color w:val="111111"/>
          <w:sz w:val="28"/>
          <w:szCs w:val="28"/>
          <w:lang w:bidi="fa-IR"/>
        </w:rPr>
        <w:t>11127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تفضّلت بمصوّرتها إدارة المکتبة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 تحقیقه و هو فی طریقه الی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رسالتی الإرث و منجّزات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5"/>
        <w:numPr>
          <w:ilvl w:val="4"/>
          <w:numId w:val="1"/>
        </w:numPr>
        <w:rPr/>
      </w:pPr>
      <w:bookmarkStart w:id="47" w:name="__RefHeading___Toc6281437_3224264995"/>
      <w:bookmarkStart w:id="48" w:name="_Toc20"/>
      <w:bookmarkEnd w:id="47"/>
      <w:r>
        <w:rPr/>
        <w:t>13</w:t>
      </w:r>
      <w:r>
        <w:rPr>
          <w:rtl w:val="true"/>
        </w:rPr>
        <w:t xml:space="preserve">- </w:t>
      </w:r>
      <w:r>
        <w:rPr>
          <w:rtl w:val="true"/>
        </w:rPr>
        <w:t>رسالة فی الإرث</w:t>
      </w:r>
      <w:r>
        <w:rPr>
          <w:rtl w:val="true"/>
        </w:rPr>
        <w:t>:</w:t>
      </w:r>
      <w:bookmarkEnd w:id="4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رسالة مختصرة جمع فیها بعض مسائل الإرث، و کرّر البحث فیها عن مسألة الدین المستوعب، طبعت مع المکاسب، و توجد مخطوطة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الأصلیة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الإمام الرضا علیه السلام ضمن المجموعة رقم </w:t>
      </w:r>
      <w:r>
        <w:rPr>
          <w:rFonts w:eastAsia="IRNazanin" w:cs="IRNazanin"/>
          <w:color w:val="111111"/>
          <w:sz w:val="28"/>
          <w:szCs w:val="28"/>
          <w:rtl w:val="true"/>
          <w:lang w:bidi="fa-IR"/>
        </w:rPr>
        <w:t>(</w:t>
      </w:r>
      <w:r>
        <w:rPr>
          <w:rFonts w:eastAsia="IRNazanin" w:cs="IRNazanin"/>
          <w:color w:val="111111"/>
          <w:sz w:val="28"/>
          <w:szCs w:val="28"/>
          <w:lang w:bidi="fa-IR"/>
        </w:rPr>
        <w:t>11127</w:t>
      </w:r>
      <w:r>
        <w:rPr>
          <w:rFonts w:eastAsia="IRNazanin" w:cs="IRNazanin"/>
          <w:color w:val="111111"/>
          <w:sz w:val="28"/>
          <w:szCs w:val="28"/>
          <w:rtl w:val="true"/>
          <w:lang w:bidi="fa-IR"/>
        </w:rPr>
        <w:t>).</w:t>
      </w:r>
      <w:bookmarkStart w:id="49" w:name="pg13031_131685"/>
    </w:p>
    <w:p>
      <w:pPr>
        <w:pStyle w:val="Heading5"/>
        <w:numPr>
          <w:ilvl w:val="4"/>
          <w:numId w:val="1"/>
        </w:numPr>
        <w:rPr/>
      </w:pPr>
      <w:bookmarkStart w:id="50" w:name="__RefHeading___Toc6281439_3224264995"/>
      <w:bookmarkStart w:id="51" w:name="_Toc21"/>
      <w:bookmarkEnd w:id="49"/>
      <w:bookmarkEnd w:id="50"/>
      <w:r>
        <w:rPr/>
        <w:t>14</w:t>
      </w:r>
      <w:r>
        <w:rPr>
          <w:rtl w:val="true"/>
        </w:rPr>
        <w:t xml:space="preserve">- </w:t>
      </w:r>
      <w:r>
        <w:rPr>
          <w:rtl w:val="true"/>
        </w:rPr>
        <w:t>رسالة فی منجّزات المریض</w:t>
      </w:r>
      <w:r>
        <w:rPr>
          <w:rtl w:val="true"/>
        </w:rPr>
        <w:t>:</w:t>
      </w:r>
      <w:bookmarkEnd w:id="51"/>
    </w:p>
    <w:p>
      <w:pPr>
        <w:pStyle w:val="BookText"/>
        <w:rPr/>
      </w:pPr>
      <w:r>
        <w:rPr>
          <w:rFonts w:ascii="IRNazanin" w:hAnsi="IRNazanin" w:eastAsia="IRNazanin"/>
          <w:color w:val="111111"/>
          <w:sz w:val="28"/>
          <w:sz w:val="28"/>
          <w:szCs w:val="28"/>
          <w:rtl w:val="true"/>
          <w:lang w:bidi="fa-IR"/>
        </w:rPr>
        <w:t xml:space="preserve">و هی رسالة مختصرة أیضا بحث فیها عن منجّزات المریض، طبعت مع المکاسب، و توجد النسخة الأصلیة منه مع المجموعة رقم </w:t>
      </w:r>
      <w:r>
        <w:rPr>
          <w:rFonts w:eastAsia="IRNazanin" w:cs="IRNazanin"/>
          <w:color w:val="111111"/>
          <w:sz w:val="28"/>
          <w:szCs w:val="28"/>
          <w:rtl w:val="true"/>
          <w:lang w:bidi="fa-IR"/>
        </w:rPr>
        <w:t>(</w:t>
      </w:r>
      <w:r>
        <w:rPr>
          <w:rFonts w:eastAsia="IRNazanin" w:cs="IRNazanin"/>
          <w:color w:val="111111"/>
          <w:sz w:val="28"/>
          <w:szCs w:val="28"/>
          <w:lang w:bidi="fa-IR"/>
        </w:rPr>
        <w:t>11127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الإمام الرضا علیه السلام</w:t>
      </w:r>
      <w:r>
        <w:rPr>
          <w:rFonts w:eastAsia="IRNazanin" w:cs="IRNazanin"/>
          <w:color w:val="111111"/>
          <w:sz w:val="28"/>
          <w:szCs w:val="28"/>
          <w:rtl w:val="true"/>
          <w:lang w:bidi="fa-IR"/>
        </w:rPr>
        <w:t>.</w:t>
      </w:r>
    </w:p>
    <w:p>
      <w:pPr>
        <w:pStyle w:val="Heading5"/>
        <w:numPr>
          <w:ilvl w:val="4"/>
          <w:numId w:val="1"/>
        </w:numPr>
        <w:rPr/>
      </w:pPr>
      <w:bookmarkStart w:id="52" w:name="__RefHeading___Toc6281441_3224264995"/>
      <w:bookmarkStart w:id="53" w:name="_Toc22"/>
      <w:bookmarkEnd w:id="52"/>
      <w:r>
        <w:rPr/>
        <w:t>15</w:t>
      </w:r>
      <w:r>
        <w:rPr>
          <w:rtl w:val="true"/>
        </w:rPr>
        <w:t xml:space="preserve">- </w:t>
      </w:r>
      <w:r>
        <w:rPr>
          <w:rtl w:val="true"/>
        </w:rPr>
        <w:t>کتاب القضاء</w:t>
      </w:r>
      <w:r>
        <w:rPr>
          <w:rtl w:val="true"/>
        </w:rPr>
        <w:t>:</w:t>
      </w:r>
      <w:bookmarkEnd w:id="53"/>
    </w:p>
    <w:p>
      <w:pPr>
        <w:pStyle w:val="BookText"/>
        <w:rPr/>
      </w:pPr>
      <w:r>
        <w:rPr>
          <w:rFonts w:ascii="IRNazanin" w:hAnsi="IRNazanin" w:eastAsia="IRNazanin"/>
          <w:color w:val="111111"/>
          <w:sz w:val="28"/>
          <w:sz w:val="28"/>
          <w:szCs w:val="28"/>
          <w:rtl w:val="true"/>
          <w:lang w:bidi="fa-IR"/>
        </w:rPr>
        <w:t>للشیخ قدس سره قضاءان،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للإرشاد،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بصورة مستقلة، و الأول منهما أوسع من الثانی، و کلاهما غیر تامّین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فیهما سقط کثیر، و صفحاتهما غیر منتظمة ففیها تقدیم و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تمّ تحقیقهما، و هما فی طریق الطبع مع کتاب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النسختان الأصلیتان منهما فی مکتبة الإمام الرضا علیه السلام ضمن المجموعة رقم </w:t>
      </w:r>
      <w:r>
        <w:rPr>
          <w:rFonts w:eastAsia="IRNazanin" w:cs="IRNazanin"/>
          <w:color w:val="111111"/>
          <w:sz w:val="28"/>
          <w:szCs w:val="28"/>
          <w:rtl w:val="true"/>
          <w:lang w:bidi="fa-IR"/>
        </w:rPr>
        <w:t>(</w:t>
      </w:r>
      <w:r>
        <w:rPr>
          <w:rFonts w:eastAsia="IRNazanin" w:cs="IRNazanin"/>
          <w:color w:val="111111"/>
          <w:sz w:val="28"/>
          <w:szCs w:val="28"/>
          <w:lang w:bidi="fa-IR"/>
        </w:rPr>
        <w:t>11127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توجد نسخ اخری منه فی مکتبة مسجد گوهرشاد برقم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مجلس الشوری الإسلامی برقم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المدرسة الفیضیة برقم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6281443_3224264995"/>
      <w:bookmarkStart w:id="55" w:name="_Toc23"/>
      <w:bookmarkEnd w:id="54"/>
      <w:r>
        <w:rPr/>
        <w:t>16</w:t>
      </w:r>
      <w:r>
        <w:rPr>
          <w:rtl w:val="true"/>
        </w:rPr>
        <w:t xml:space="preserve">- </w:t>
      </w:r>
      <w:r>
        <w:rPr>
          <w:rtl w:val="true"/>
        </w:rPr>
        <w:t>کتاب الشهادات</w:t>
      </w:r>
      <w:r>
        <w:rPr>
          <w:rtl w:val="true"/>
        </w:rPr>
        <w:t>:</w:t>
      </w:r>
      <w:bookmarkEnd w:id="5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کتبه الشیخ قدس سره بصورة مستقلة لکنّه مختصر و ناقص، توجد نسخه مع نسخ القضاء</w:t>
      </w:r>
      <w:r>
        <w:rPr>
          <w:rFonts w:eastAsia="IRNazanin" w:cs="IRNazanin"/>
          <w:color w:val="111111"/>
          <w:sz w:val="28"/>
          <w:szCs w:val="28"/>
          <w:rtl w:val="true"/>
          <w:lang w:bidi="fa-IR"/>
        </w:rPr>
        <w:t>.</w:t>
      </w:r>
      <w:bookmarkStart w:id="56" w:name="pg13031_131686"/>
    </w:p>
    <w:p>
      <w:pPr>
        <w:pStyle w:val="Heading5"/>
        <w:numPr>
          <w:ilvl w:val="4"/>
          <w:numId w:val="1"/>
        </w:numPr>
        <w:rPr/>
      </w:pPr>
      <w:bookmarkStart w:id="57" w:name="__RefHeading___Toc6281445_3224264995"/>
      <w:bookmarkStart w:id="58" w:name="_Toc24"/>
      <w:bookmarkEnd w:id="56"/>
      <w:bookmarkEnd w:id="57"/>
      <w:r>
        <w:rPr/>
        <w:t>17</w:t>
      </w:r>
      <w:r>
        <w:rPr>
          <w:rtl w:val="true"/>
        </w:rPr>
        <w:t xml:space="preserve">- </w:t>
      </w:r>
      <w:r>
        <w:rPr>
          <w:rtl w:val="true"/>
        </w:rPr>
        <w:t>رسالة فی العدالة</w:t>
      </w:r>
      <w:r>
        <w:rPr>
          <w:rtl w:val="true"/>
        </w:rPr>
        <w:t>:</w:t>
      </w:r>
      <w:bookmarkEnd w:id="58"/>
    </w:p>
    <w:p>
      <w:pPr>
        <w:pStyle w:val="BookText"/>
        <w:rPr/>
      </w:pPr>
      <w:r>
        <w:rPr>
          <w:rFonts w:ascii="IRNazanin" w:hAnsi="IRNazanin" w:eastAsia="IRNazanin"/>
          <w:color w:val="111111"/>
          <w:sz w:val="28"/>
          <w:sz w:val="28"/>
          <w:szCs w:val="28"/>
          <w:rtl w:val="true"/>
          <w:lang w:bidi="fa-IR"/>
        </w:rPr>
        <w:t xml:space="preserve">و هی رسالة تحتوی علی أبحاث العدالة طبعت مع کتابی الطهارة و المکاسب عدّة مرّات، و توجد منه نسخة خطّیة فی مکتبة جامعة طهران برقم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المکتبة 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6281447_3224264995"/>
      <w:bookmarkStart w:id="60" w:name="_Toc25"/>
      <w:bookmarkEnd w:id="59"/>
      <w:r>
        <w:rPr/>
        <w:t>18</w:t>
      </w:r>
      <w:r>
        <w:rPr>
          <w:rtl w:val="true"/>
        </w:rPr>
        <w:t xml:space="preserve">- </w:t>
      </w:r>
      <w:r>
        <w:rPr>
          <w:rtl w:val="true"/>
        </w:rPr>
        <w:t xml:space="preserve">رسالة فی قاعدة </w:t>
      </w:r>
      <w:r>
        <w:rPr>
          <w:rtl w:val="true"/>
        </w:rPr>
        <w:t>«</w:t>
      </w:r>
      <w:r>
        <w:rPr>
          <w:rtl w:val="true"/>
        </w:rPr>
        <w:t>من ملک</w:t>
      </w:r>
      <w:r>
        <w:rPr>
          <w:rtl w:val="true"/>
        </w:rPr>
        <w:t>»:</w:t>
      </w:r>
      <w:bookmarkEnd w:id="60"/>
    </w:p>
    <w:p>
      <w:pPr>
        <w:pStyle w:val="BookText"/>
        <w:rPr/>
      </w:pPr>
      <w:r>
        <w:rPr>
          <w:rFonts w:ascii="IRNazanin" w:hAnsi="IRNazanin" w:eastAsia="IRNazanin"/>
          <w:color w:val="111111"/>
          <w:sz w:val="28"/>
          <w:sz w:val="28"/>
          <w:szCs w:val="28"/>
          <w:rtl w:val="true"/>
          <w:lang w:bidi="fa-IR"/>
        </w:rPr>
        <w:t xml:space="preserve">و هی رسالة تبحث عن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ملحقة بالمکاسب و الطهارة فی بعض طبعاتهما</w:t>
      </w:r>
      <w:r>
        <w:rPr>
          <w:rFonts w:eastAsia="IRNazanin" w:cs="IRNazanin"/>
          <w:color w:val="111111"/>
          <w:sz w:val="28"/>
          <w:szCs w:val="28"/>
          <w:rtl w:val="true"/>
          <w:lang w:bidi="fa-IR"/>
        </w:rPr>
        <w:t>.</w:t>
      </w:r>
    </w:p>
    <w:p>
      <w:pPr>
        <w:pStyle w:val="Heading5"/>
        <w:numPr>
          <w:ilvl w:val="4"/>
          <w:numId w:val="1"/>
        </w:numPr>
        <w:rPr/>
      </w:pPr>
      <w:bookmarkStart w:id="61" w:name="__RefHeading___Toc6281449_3224264995"/>
      <w:bookmarkStart w:id="62" w:name="_Toc26"/>
      <w:bookmarkEnd w:id="61"/>
      <w:r>
        <w:rPr/>
        <w:t>19</w:t>
      </w:r>
      <w:r>
        <w:rPr>
          <w:rtl w:val="true"/>
        </w:rPr>
        <w:t xml:space="preserve">- </w:t>
      </w:r>
      <w:r>
        <w:rPr>
          <w:rtl w:val="true"/>
        </w:rPr>
        <w:t xml:space="preserve">رسالة فی </w:t>
      </w:r>
      <w:r>
        <w:rPr>
          <w:rtl w:val="true"/>
        </w:rPr>
        <w:t>«</w:t>
      </w:r>
      <w:r>
        <w:rPr>
          <w:rtl w:val="true"/>
        </w:rPr>
        <w:t>التقیّة</w:t>
      </w:r>
      <w:r>
        <w:rPr>
          <w:rtl w:val="true"/>
        </w:rPr>
        <w:t>»:</w:t>
      </w:r>
      <w:bookmarkEnd w:id="62"/>
    </w:p>
    <w:p>
      <w:pPr>
        <w:pStyle w:val="BookText"/>
        <w:rPr/>
      </w:pPr>
      <w:r>
        <w:rPr>
          <w:rFonts w:ascii="IRNazanin" w:hAnsi="IRNazanin" w:eastAsia="IRNazanin"/>
          <w:color w:val="111111"/>
          <w:sz w:val="28"/>
          <w:sz w:val="28"/>
          <w:szCs w:val="28"/>
          <w:rtl w:val="true"/>
          <w:lang w:bidi="fa-IR"/>
        </w:rPr>
        <w:t xml:space="preserve">و هی أیضا رسالة تبحث عن موضوع التقیّة، طبعت ملحقة بالمکاسب و الطهارة فی بعض طبعاتهما، و توجد منها نسخة فی مکتبة جامعة طهران برقم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6956</w:t>
      </w:r>
      <w:r>
        <w:rPr>
          <w:rFonts w:eastAsia="IRNazanin" w:cs="IRNazanin"/>
          <w:color w:val="111111"/>
          <w:sz w:val="28"/>
          <w:szCs w:val="28"/>
          <w:rtl w:val="true"/>
          <w:lang w:bidi="fa-IR"/>
        </w:rPr>
        <w:t>).</w:t>
      </w:r>
    </w:p>
    <w:p>
      <w:pPr>
        <w:pStyle w:val="Heading5"/>
        <w:numPr>
          <w:ilvl w:val="4"/>
          <w:numId w:val="1"/>
        </w:numPr>
        <w:rPr/>
      </w:pPr>
      <w:bookmarkStart w:id="63" w:name="__RefHeading___Toc6281451_3224264995"/>
      <w:bookmarkStart w:id="64" w:name="_Toc27"/>
      <w:bookmarkEnd w:id="63"/>
      <w:r>
        <w:rPr/>
        <w:t>20</w:t>
      </w:r>
      <w:r>
        <w:rPr>
          <w:rtl w:val="true"/>
        </w:rPr>
        <w:t xml:space="preserve">- </w:t>
      </w:r>
      <w:r>
        <w:rPr>
          <w:rtl w:val="true"/>
        </w:rPr>
        <w:t>رسالة فی القضاء عن المیّت</w:t>
      </w:r>
      <w:r>
        <w:rPr>
          <w:rtl w:val="true"/>
        </w:rPr>
        <w:t>:</w:t>
      </w:r>
      <w:bookmarkEnd w:id="6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تبحث عن قضاء الصلوات الفائتة عن المیّت، طبعت مع بعض طبعات المکاسب و الطهارة، و توجد منه نسخة فی مکتبة جامعة طهران برقم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برقم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6479</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65" w:name="pg13031_131687"/>
    </w:p>
    <w:p>
      <w:pPr>
        <w:pStyle w:val="Heading5"/>
        <w:numPr>
          <w:ilvl w:val="4"/>
          <w:numId w:val="1"/>
        </w:numPr>
        <w:rPr/>
      </w:pPr>
      <w:bookmarkStart w:id="66" w:name="__RefHeading___Toc6281453_3224264995"/>
      <w:bookmarkStart w:id="67" w:name="_Toc28"/>
      <w:bookmarkEnd w:id="65"/>
      <w:bookmarkEnd w:id="66"/>
      <w:r>
        <w:rPr/>
        <w:t>21</w:t>
      </w:r>
      <w:r>
        <w:rPr>
          <w:rtl w:val="true"/>
        </w:rPr>
        <w:t xml:space="preserve">- </w:t>
      </w:r>
      <w:r>
        <w:rPr>
          <w:rtl w:val="true"/>
        </w:rPr>
        <w:t>رسالة فی المواسعة و المضایقة</w:t>
      </w:r>
      <w:r>
        <w:rPr>
          <w:rtl w:val="true"/>
        </w:rPr>
        <w:t>:</w:t>
      </w:r>
      <w:bookmarkEnd w:id="67"/>
    </w:p>
    <w:p>
      <w:pPr>
        <w:pStyle w:val="BookText"/>
        <w:rPr/>
      </w:pPr>
      <w:r>
        <w:rPr>
          <w:rFonts w:ascii="IRNazanin" w:hAnsi="IRNazanin" w:eastAsia="IRNazanin"/>
          <w:color w:val="111111"/>
          <w:sz w:val="28"/>
          <w:sz w:val="28"/>
          <w:szCs w:val="28"/>
          <w:rtl w:val="true"/>
          <w:lang w:bidi="fa-IR"/>
        </w:rPr>
        <w:t>و هی رسالة 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تبحث عن فوریة القضاء و عدمها، طبعت ملحقة ببعض طبعات المکاسب و الطهارة، و توجد منها نسخة فی مکتبة جامعة طهران برقم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برقم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6479</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6281455_3224264995"/>
      <w:bookmarkStart w:id="69" w:name="_Toc29"/>
      <w:bookmarkEnd w:id="68"/>
      <w:r>
        <w:rPr/>
        <w:t>22</w:t>
      </w:r>
      <w:r>
        <w:rPr>
          <w:rtl w:val="true"/>
        </w:rPr>
        <w:t xml:space="preserve">- </w:t>
      </w:r>
      <w:r>
        <w:rPr>
          <w:rtl w:val="true"/>
        </w:rPr>
        <w:t>کتاب الغصب</w:t>
      </w:r>
      <w:r>
        <w:rPr>
          <w:rtl w:val="true"/>
        </w:rPr>
        <w:t>:</w:t>
      </w:r>
      <w:bookmarkEnd w:id="69"/>
    </w:p>
    <w:p>
      <w:pPr>
        <w:pStyle w:val="BookText"/>
        <w:rPr/>
      </w:pPr>
      <w:r>
        <w:rPr>
          <w:rFonts w:ascii="IRNazanin" w:hAnsi="IRNazanin" w:eastAsia="IRNazanin"/>
          <w:color w:val="111111"/>
          <w:sz w:val="28"/>
          <w:sz w:val="28"/>
          <w:szCs w:val="28"/>
          <w:rtl w:val="true"/>
          <w:lang w:bidi="fa-IR"/>
        </w:rPr>
        <w:t>ذکره العلّامة الطهرانی فی الذریعة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فی خزانة الحاج مولی علی محمد النجف‌آبادی فی النجف</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6281457_3224264995"/>
      <w:bookmarkStart w:id="71" w:name="_Toc30"/>
      <w:bookmarkEnd w:id="70"/>
      <w:r>
        <w:rPr/>
        <w:t>23</w:t>
      </w:r>
      <w:r>
        <w:rPr>
          <w:rtl w:val="true"/>
        </w:rPr>
        <w:t xml:space="preserve">- </w:t>
      </w:r>
      <w:r>
        <w:rPr>
          <w:rtl w:val="true"/>
        </w:rPr>
        <w:t>رسالة فی المتعة</w:t>
      </w:r>
      <w:r>
        <w:rPr>
          <w:rtl w:val="true"/>
        </w:rPr>
        <w:t>:</w:t>
      </w:r>
      <w:bookmarkEnd w:id="71"/>
    </w:p>
    <w:p>
      <w:pPr>
        <w:pStyle w:val="BookText"/>
        <w:rPr/>
      </w:pPr>
      <w:r>
        <w:rPr>
          <w:rFonts w:ascii="IRNazanin" w:hAnsi="IRNazanin" w:eastAsia="IRNazanin"/>
          <w:color w:val="111111"/>
          <w:sz w:val="28"/>
          <w:sz w:val="28"/>
          <w:szCs w:val="28"/>
          <w:rtl w:val="true"/>
          <w:lang w:bidi="fa-IR"/>
        </w:rPr>
        <w:t>قال العلّامة الطهرانی قدس سره رسالة فی المتعة و جواب بعض العامّة، للشیخ المرتضی الأنصاری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علی ما نقول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الشیخ علی بن الشیخ صالح بن الشیخ سمیع من تلامذة الشیخ الأنصاری، عند الشیخ مهدی شرف الدین </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6281459_3224264995"/>
      <w:bookmarkStart w:id="73" w:name="_Toc31"/>
      <w:bookmarkEnd w:id="72"/>
      <w:r>
        <w:rPr/>
        <w:t>24</w:t>
      </w:r>
      <w:r>
        <w:rPr>
          <w:rtl w:val="true"/>
        </w:rPr>
        <w:t xml:space="preserve">- </w:t>
      </w:r>
      <w:r>
        <w:rPr>
          <w:rtl w:val="true"/>
        </w:rPr>
        <w:t>رسالة فی التیمم</w:t>
      </w:r>
      <w:r>
        <w:rPr>
          <w:rtl w:val="true"/>
        </w:rPr>
        <w:t>:</w:t>
      </w:r>
      <w:bookmarkEnd w:id="7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التیمم الاستدلالی المبسوط للعلّامة</w:t>
      </w:r>
      <w:bookmarkStart w:id="74" w:name="pg13031_131688"/>
    </w:p>
    <w:p>
      <w:pPr>
        <w:pStyle w:val="BookText"/>
        <w:rPr/>
      </w:pPr>
      <w:bookmarkEnd w:id="74"/>
      <w:r>
        <w:rPr>
          <w:rFonts w:ascii="IRNazanin" w:hAnsi="IRNazanin" w:eastAsia="IRNazanin"/>
          <w:color w:val="111111"/>
          <w:sz w:val="28"/>
          <w:sz w:val="28"/>
          <w:szCs w:val="28"/>
          <w:rtl w:val="true"/>
          <w:lang w:bidi="fa-IR"/>
        </w:rPr>
        <w:t xml:space="preserve">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نسخة منه فی خزانة تلمیذه آیة اللّٰه المجدّد الشیرازی بسامراء</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نحصل علی نسخة منه بعد، نعم توجد فی المجموعة رقم </w:t>
      </w:r>
      <w:r>
        <w:rPr>
          <w:rFonts w:eastAsia="IRNazanin" w:cs="IRNazanin"/>
          <w:color w:val="111111"/>
          <w:sz w:val="28"/>
          <w:szCs w:val="28"/>
          <w:rtl w:val="true"/>
          <w:lang w:bidi="fa-IR"/>
        </w:rPr>
        <w:t>(</w:t>
      </w:r>
      <w:r>
        <w:rPr>
          <w:rFonts w:eastAsia="IRNazanin" w:cs="IRNazanin"/>
          <w:color w:val="111111"/>
          <w:sz w:val="28"/>
          <w:szCs w:val="28"/>
          <w:lang w:bidi="fa-IR"/>
        </w:rPr>
        <w:t>11127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وریقات مبتورة حول التیمم</w:t>
      </w:r>
      <w:r>
        <w:rPr>
          <w:rFonts w:eastAsia="IRNazanin" w:cs="IRNazanin"/>
          <w:color w:val="111111"/>
          <w:sz w:val="28"/>
          <w:szCs w:val="28"/>
          <w:rtl w:val="true"/>
          <w:lang w:bidi="fa-IR"/>
        </w:rPr>
        <w:t>.</w:t>
      </w:r>
    </w:p>
    <w:p>
      <w:pPr>
        <w:pStyle w:val="Heading5"/>
        <w:numPr>
          <w:ilvl w:val="4"/>
          <w:numId w:val="1"/>
        </w:numPr>
        <w:rPr/>
      </w:pPr>
      <w:bookmarkStart w:id="75" w:name="__RefHeading___Toc6281461_3224264995"/>
      <w:bookmarkStart w:id="76" w:name="_Toc32"/>
      <w:bookmarkEnd w:id="75"/>
      <w:r>
        <w:rPr/>
        <w:t>25</w:t>
      </w:r>
      <w:r>
        <w:rPr>
          <w:rtl w:val="true"/>
        </w:rPr>
        <w:t xml:space="preserve">- </w:t>
      </w:r>
      <w:r>
        <w:rPr>
          <w:rtl w:val="true"/>
        </w:rPr>
        <w:t>الرسائل العملیة</w:t>
      </w:r>
      <w:r>
        <w:rPr>
          <w:rtl w:val="true"/>
        </w:rPr>
        <w:t>:</w:t>
      </w:r>
      <w:bookmarkEnd w:id="76"/>
    </w:p>
    <w:p>
      <w:pPr>
        <w:pStyle w:val="Heading6"/>
        <w:numPr>
          <w:ilvl w:val="5"/>
          <w:numId w:val="1"/>
        </w:numPr>
        <w:rPr/>
      </w:pPr>
      <w:bookmarkStart w:id="77" w:name="__RefHeading___Toc6281463_3224264995"/>
      <w:bookmarkStart w:id="78" w:name="_Toc33"/>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توجد عدّة رسائل عملیة منسوبة إلیه قدس سره، و الظاهر أنّها لیست تألیفا له، بل إنّما هی مجموعة أجوبة أجاب بها عن أسئلة وجّهت إلیه أو ألّفت طبقا لمبانیه ثم عرضت علیه، و فیما یلی نشیر إلی ما نسب إلیه من ذلک</w:t>
      </w:r>
      <w:r>
        <w:rPr>
          <w:rFonts w:eastAsia="IRNazanin" w:cs="IRNazanin"/>
          <w:color w:val="111111"/>
          <w:sz w:val="28"/>
          <w:szCs w:val="28"/>
          <w:rtl w:val="true"/>
          <w:lang w:bidi="fa-IR"/>
        </w:rPr>
        <w:t>:</w:t>
      </w:r>
    </w:p>
    <w:p>
      <w:pPr>
        <w:pStyle w:val="Heading6"/>
        <w:numPr>
          <w:ilvl w:val="5"/>
          <w:numId w:val="1"/>
        </w:numPr>
        <w:rPr/>
      </w:pPr>
      <w:bookmarkStart w:id="79" w:name="__RefHeading___Toc6281465_3224264995"/>
      <w:bookmarkStart w:id="80" w:name="_Toc34"/>
      <w:bookmarkEnd w:id="79"/>
      <w:r>
        <w:rPr/>
        <w:t>1</w:t>
      </w:r>
      <w:r>
        <w:rPr>
          <w:rtl w:val="true"/>
        </w:rPr>
        <w:t xml:space="preserve">- </w:t>
      </w:r>
      <w:r>
        <w:rPr>
          <w:rtl w:val="true"/>
        </w:rPr>
        <w:t>سراج العباد</w:t>
      </w:r>
      <w:r>
        <w:rPr>
          <w:rtl w:val="true"/>
        </w:rPr>
        <w:t>:</w:t>
      </w:r>
      <w:bookmarkEnd w:id="80"/>
    </w:p>
    <w:p>
      <w:pPr>
        <w:pStyle w:val="BookText"/>
        <w:rPr/>
      </w:pPr>
      <w:r>
        <w:rPr>
          <w:rFonts w:ascii="IRNazanin" w:hAnsi="IRNazanin" w:eastAsia="IRNazanin"/>
          <w:color w:val="111111"/>
          <w:sz w:val="28"/>
          <w:sz w:val="28"/>
          <w:szCs w:val="28"/>
          <w:rtl w:val="true"/>
          <w:lang w:bidi="fa-IR"/>
        </w:rPr>
        <w:t>رسالة عملیّة باللغة الفارسیة، قال العلّامة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طبعت مکررا، منها فی بمبئی عام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حواشی المیرزا محمد حسن الشیرازی، و منها المطبوع فی عصره عام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مع إمضائه و خاتمه بخطّه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 w:name="__RefHeading___Toc6281467_3224264995"/>
      <w:bookmarkStart w:id="82" w:name="_Toc35"/>
      <w:bookmarkEnd w:id="81"/>
      <w:r>
        <w:rPr/>
        <w:t>2</w:t>
      </w:r>
      <w:r>
        <w:rPr>
          <w:rtl w:val="true"/>
        </w:rPr>
        <w:t xml:space="preserve">- </w:t>
      </w:r>
      <w:r>
        <w:rPr>
          <w:rtl w:val="true"/>
        </w:rPr>
        <w:t>سراج العباد</w:t>
      </w:r>
      <w:r>
        <w:rPr>
          <w:rtl w:val="true"/>
        </w:rPr>
        <w:t>:</w:t>
      </w:r>
      <w:bookmarkEnd w:id="8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الطهرانی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 العباد المعرّب من سراج العباد الفارسی، المطابق لفتاوی الشیخ الأنصاری، و علی المعرّب حاشیة المیرزا الشیرازی، و المیرزا حبیب اللّٰه الرشتی، و الشیخ محمد طه نجف، رأیته مخطوطا</w:t>
      </w:r>
      <w:bookmarkStart w:id="83" w:name="pg13031_131689"/>
    </w:p>
    <w:p>
      <w:pPr>
        <w:pStyle w:val="BookText"/>
        <w:rPr/>
      </w:pPr>
      <w:bookmarkEnd w:id="83"/>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 w:name="__RefHeading___Toc6281469_3224264995"/>
      <w:bookmarkStart w:id="85" w:name="_Toc36"/>
      <w:bookmarkEnd w:id="84"/>
      <w:r>
        <w:rPr/>
        <w:t>3</w:t>
      </w:r>
      <w:r>
        <w:rPr>
          <w:rtl w:val="true"/>
        </w:rPr>
        <w:t xml:space="preserve">- </w:t>
      </w:r>
      <w:r>
        <w:rPr>
          <w:rtl w:val="true"/>
        </w:rPr>
        <w:t>صراط النجاة</w:t>
      </w:r>
      <w:r>
        <w:rPr>
          <w:rtl w:val="true"/>
        </w:rPr>
        <w:t>:</w:t>
      </w:r>
      <w:bookmarkEnd w:id="85"/>
    </w:p>
    <w:p>
      <w:pPr>
        <w:pStyle w:val="BookText"/>
        <w:rPr/>
      </w:pPr>
      <w:r>
        <w:rPr>
          <w:rFonts w:ascii="IRNazanin" w:hAnsi="IRNazanin" w:eastAsia="IRNazanin"/>
          <w:color w:val="111111"/>
          <w:sz w:val="28"/>
          <w:sz w:val="28"/>
          <w:szCs w:val="28"/>
          <w:rtl w:val="true"/>
          <w:lang w:bidi="fa-IR"/>
        </w:rPr>
        <w:t>و هی رسالة عملیة فارسیة جمعها الحاج محمد علی الیزدی، و قال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مطبوعة مکررا و علیها حواش کثیرة </w:t>
      </w:r>
      <w:r>
        <w:rPr>
          <w:rStyle w:val="FootnoteAnchor"/>
          <w:rtl w:val="true"/>
        </w:rPr>
        <w:footnoteReference w:id="14"/>
      </w:r>
      <w:r>
        <w:rPr>
          <w:rFonts w:ascii="IRNazanin" w:hAnsi="IRNazanin" w:eastAsia="IRNazanin"/>
          <w:color w:val="111111"/>
          <w:sz w:val="28"/>
          <w:sz w:val="28"/>
          <w:szCs w:val="28"/>
          <w:rtl w:val="true"/>
          <w:lang w:bidi="fa-IR"/>
        </w:rPr>
        <w:t xml:space="preserve">، و توجد لدینا منه نسخة علیها هوامش المیرزا حسن الشیرازی، و المیرزا محمد تقی الشیرازی، و السید إسماعیل الصدر، و السید محمد کاظم الطباطبائی الیزدی، و الآخوند محمد کاظم الخراسانی، قدس اللّٰه سرهم و قد تمّ طبعها عام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مصوّرة نسخة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مکتبة الإمام الرضا علیه السلام برقم </w:t>
      </w:r>
      <w:r>
        <w:rPr>
          <w:rFonts w:eastAsia="IRNazanin" w:cs="IRNazanin"/>
          <w:color w:val="111111"/>
          <w:sz w:val="28"/>
          <w:szCs w:val="28"/>
          <w:rtl w:val="true"/>
          <w:lang w:bidi="fa-IR"/>
        </w:rPr>
        <w:t>(</w:t>
      </w: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 فی الصید و الذباحة، و کتب علی الصفحة الأخیرة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اینجا بنظر جناب شیخ سلّمه اللّٰه رسیده است</w:t>
      </w:r>
      <w:r>
        <w:rPr>
          <w:rFonts w:eastAsia="IRNazanin" w:cs="IRNazanin"/>
          <w:color w:val="111111"/>
          <w:sz w:val="28"/>
          <w:szCs w:val="28"/>
          <w:rtl w:val="true"/>
          <w:lang w:bidi="fa-IR"/>
        </w:rPr>
        <w:t>».</w:t>
      </w:r>
    </w:p>
    <w:p>
      <w:pPr>
        <w:pStyle w:val="Heading6"/>
        <w:numPr>
          <w:ilvl w:val="5"/>
          <w:numId w:val="1"/>
        </w:numPr>
        <w:rPr/>
      </w:pPr>
      <w:bookmarkStart w:id="86" w:name="__RefHeading___Toc6281471_3224264995"/>
      <w:bookmarkStart w:id="87" w:name="_Toc37"/>
      <w:bookmarkEnd w:id="86"/>
      <w:r>
        <w:rPr/>
        <w:t>4</w:t>
      </w:r>
      <w:r>
        <w:rPr>
          <w:rtl w:val="true"/>
        </w:rPr>
        <w:t xml:space="preserve">- </w:t>
      </w:r>
      <w:r>
        <w:rPr>
          <w:rtl w:val="true"/>
        </w:rPr>
        <w:t>صراط النجاة</w:t>
      </w:r>
      <w:r>
        <w:rPr>
          <w:rtl w:val="true"/>
        </w:rPr>
        <w:t>:</w:t>
      </w:r>
      <w:bookmarkEnd w:id="8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تعریب الرسالة السابقة، علیه حاشیة المیرزا الشیرازی، و المیرزا حبیب اللّٰه الرشتی، و الشیخ محمد طه نجف قدس سرهم، مرتب علی مقدمة فی التقلید و فصول و خاتمة، توجد منه نسخة فی مکتبة أمیر المؤمنین علیه السلام العامّة فی النجف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88" w:name="pg13031_131690"/>
    </w:p>
    <w:p>
      <w:pPr>
        <w:pStyle w:val="Heading6"/>
        <w:numPr>
          <w:ilvl w:val="5"/>
          <w:numId w:val="1"/>
        </w:numPr>
        <w:rPr/>
      </w:pPr>
      <w:bookmarkStart w:id="89" w:name="__RefHeading___Toc6281473_3224264995"/>
      <w:bookmarkStart w:id="90" w:name="_Toc38"/>
      <w:bookmarkEnd w:id="88"/>
      <w:bookmarkEnd w:id="89"/>
      <w:r>
        <w:rPr/>
        <w:t>5</w:t>
      </w:r>
      <w:r>
        <w:rPr>
          <w:rtl w:val="true"/>
        </w:rPr>
        <w:t xml:space="preserve">- </w:t>
      </w:r>
      <w:r>
        <w:rPr>
          <w:rtl w:val="true"/>
        </w:rPr>
        <w:t xml:space="preserve">رسالة </w:t>
      </w:r>
      <w:r>
        <w:rPr>
          <w:rtl w:val="true"/>
        </w:rPr>
        <w:t>«</w:t>
      </w:r>
      <w:r>
        <w:rPr>
          <w:rtl w:val="true"/>
        </w:rPr>
        <w:t>النخبة</w:t>
      </w:r>
      <w:r>
        <w:rPr>
          <w:rtl w:val="true"/>
        </w:rPr>
        <w:t>»:</w:t>
      </w:r>
      <w:bookmarkEnd w:id="90"/>
    </w:p>
    <w:p>
      <w:pPr>
        <w:pStyle w:val="BookText"/>
        <w:rPr/>
      </w:pPr>
      <w:r>
        <w:rPr>
          <w:rFonts w:ascii="IRNazanin" w:hAnsi="IRNazanin" w:eastAsia="IRNazanin"/>
          <w:color w:val="111111"/>
          <w:sz w:val="28"/>
          <w:sz w:val="28"/>
          <w:szCs w:val="28"/>
          <w:rtl w:val="true"/>
          <w:lang w:bidi="fa-IR"/>
        </w:rPr>
        <w:t>رسالة فارسیّة من أول الطهارة إلی آخر مبطلات الصوم، فی مقاصد و أبواب جمعها محمد إبراهیم الأصفهانی، و للشیخ قدس سره حواش علیها، و کتب مقرّضا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البینة العادلة علی مقابلتها و تصحیحها، فلا بأس بالعمل بها، حرّره الأحقر مرتضی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خاتمه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هامش هذه الرسالة، رسالة أخری هی بشکل سؤال و جواب من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طبعت الرسالة عام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حیاة الشیخ قدس سره، و توجد لدینا منها نسخة</w:t>
      </w:r>
      <w:r>
        <w:rPr>
          <w:rFonts w:eastAsia="IRNazanin" w:cs="IRNazanin"/>
          <w:color w:val="111111"/>
          <w:sz w:val="28"/>
          <w:szCs w:val="28"/>
          <w:rtl w:val="true"/>
          <w:lang w:bidi="fa-IR"/>
        </w:rPr>
        <w:t>.</w:t>
      </w:r>
    </w:p>
    <w:p>
      <w:pPr>
        <w:pStyle w:val="Heading6"/>
        <w:numPr>
          <w:ilvl w:val="5"/>
          <w:numId w:val="1"/>
        </w:numPr>
        <w:rPr/>
      </w:pPr>
      <w:bookmarkStart w:id="91" w:name="__RefHeading___Toc6281475_3224264995"/>
      <w:bookmarkStart w:id="92" w:name="_Toc39"/>
      <w:bookmarkEnd w:id="91"/>
      <w:r>
        <w:rPr/>
        <w:t>6</w:t>
      </w:r>
      <w:r>
        <w:rPr>
          <w:rtl w:val="true"/>
        </w:rPr>
        <w:t xml:space="preserve">- </w:t>
      </w:r>
      <w:r>
        <w:rPr>
          <w:rtl w:val="true"/>
        </w:rPr>
        <w:t>الرسالة العملیّة</w:t>
      </w:r>
      <w:r>
        <w:rPr>
          <w:rtl w:val="true"/>
        </w:rPr>
        <w:t>:</w:t>
      </w:r>
      <w:bookmarkEnd w:id="92"/>
    </w:p>
    <w:p>
      <w:pPr>
        <w:pStyle w:val="BookText"/>
        <w:rPr/>
      </w:pPr>
      <w:r>
        <w:rPr>
          <w:rFonts w:ascii="IRNazanin" w:hAnsi="IRNazanin" w:eastAsia="IRNazanin"/>
          <w:color w:val="111111"/>
          <w:sz w:val="28"/>
          <w:sz w:val="28"/>
          <w:szCs w:val="28"/>
          <w:rtl w:val="true"/>
          <w:lang w:bidi="fa-IR"/>
        </w:rPr>
        <w:t>و هی رسالة فارسیّة فی العبادات طبعت مکررا،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الذریعة </w:t>
      </w:r>
      <w:r>
        <w:rPr>
          <w:rStyle w:val="FootnoteAnchor"/>
          <w:rtl w:val="true"/>
        </w:rPr>
        <w:footnoteReference w:id="16"/>
      </w:r>
      <w:r>
        <w:rPr>
          <w:rFonts w:ascii="IRNazanin" w:hAnsi="IRNazanin" w:eastAsia="IRNazanin"/>
          <w:color w:val="111111"/>
          <w:sz w:val="28"/>
          <w:sz w:val="28"/>
          <w:szCs w:val="28"/>
          <w:rtl w:val="true"/>
          <w:lang w:bidi="fa-IR"/>
        </w:rPr>
        <w:t>، و یحتمل اتحادها مع ما تقدم</w:t>
      </w:r>
      <w:r>
        <w:rPr>
          <w:rFonts w:eastAsia="IRNazanin" w:cs="IRNazanin"/>
          <w:color w:val="111111"/>
          <w:sz w:val="28"/>
          <w:szCs w:val="28"/>
          <w:rtl w:val="true"/>
          <w:lang w:bidi="fa-IR"/>
        </w:rPr>
        <w:t>.</w:t>
      </w:r>
    </w:p>
    <w:p>
      <w:pPr>
        <w:pStyle w:val="Heading6"/>
        <w:numPr>
          <w:ilvl w:val="5"/>
          <w:numId w:val="1"/>
        </w:numPr>
        <w:rPr/>
      </w:pPr>
      <w:bookmarkStart w:id="93" w:name="__RefHeading___Toc6281477_3224264995"/>
      <w:bookmarkStart w:id="94" w:name="_Toc40"/>
      <w:bookmarkEnd w:id="93"/>
      <w:r>
        <w:rPr/>
        <w:t>7</w:t>
      </w:r>
      <w:r>
        <w:rPr>
          <w:rtl w:val="true"/>
        </w:rPr>
        <w:t xml:space="preserve">- </w:t>
      </w:r>
      <w:r>
        <w:rPr>
          <w:rtl w:val="true"/>
        </w:rPr>
        <w:t>رسالة عملیّة أخری</w:t>
      </w:r>
      <w:r>
        <w:rPr>
          <w:rtl w:val="true"/>
        </w:rPr>
        <w:t>:</w:t>
      </w:r>
      <w:bookmarkEnd w:id="9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رسالة عملیّة أخری علی شکل سؤال و جواب باللغة الفارسیة تشتمل علی أبواب الطهارة و الصلاة، و هی من جمع المولی محمد یوسف الأسترآبادی الحائری، طبعت مکررة فی سنة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95" w:name="pg13031_131691"/>
    </w:p>
    <w:p>
      <w:pPr>
        <w:pStyle w:val="Heading6"/>
        <w:numPr>
          <w:ilvl w:val="5"/>
          <w:numId w:val="1"/>
        </w:numPr>
        <w:rPr/>
      </w:pPr>
      <w:bookmarkStart w:id="96" w:name="__RefHeading___Toc6281479_3224264995"/>
      <w:bookmarkStart w:id="97" w:name="_Toc41"/>
      <w:bookmarkEnd w:id="95"/>
      <w:bookmarkEnd w:id="96"/>
      <w:r>
        <w:rPr/>
        <w:t>8</w:t>
      </w:r>
      <w:r>
        <w:rPr>
          <w:rtl w:val="true"/>
        </w:rPr>
        <w:t xml:space="preserve">- </w:t>
      </w:r>
      <w:r>
        <w:rPr>
          <w:rtl w:val="true"/>
        </w:rPr>
        <w:t>ذخیرة المعاد</w:t>
      </w:r>
      <w:r>
        <w:rPr>
          <w:rtl w:val="true"/>
        </w:rPr>
        <w:t>:</w:t>
      </w:r>
      <w:bookmarkEnd w:id="97"/>
    </w:p>
    <w:p>
      <w:pPr>
        <w:pStyle w:val="BookText"/>
        <w:rPr/>
      </w:pPr>
      <w:r>
        <w:rPr>
          <w:rFonts w:ascii="IRNazanin" w:hAnsi="IRNazanin" w:eastAsia="IRNazanin"/>
          <w:color w:val="111111"/>
          <w:sz w:val="28"/>
          <w:sz w:val="28"/>
          <w:szCs w:val="28"/>
          <w:rtl w:val="true"/>
          <w:lang w:bidi="fa-IR"/>
        </w:rPr>
        <w:t xml:space="preserve">رسالة عملیّة فارسیة من الطهارة إلی آخر الاعتکاف جمعها، المولی علی بن محمد التستری، رأی العلّامة الطهرانی نسخة منها فی مکتبة السید الشیرازی فی سامراء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6281481_3224264995"/>
      <w:bookmarkStart w:id="99" w:name="_Toc42"/>
      <w:bookmarkEnd w:id="98"/>
      <w:r>
        <w:rPr/>
        <w:t>26</w:t>
      </w:r>
      <w:r>
        <w:rPr>
          <w:rtl w:val="true"/>
        </w:rPr>
        <w:t xml:space="preserve">- </w:t>
      </w:r>
      <w:r>
        <w:rPr>
          <w:rtl w:val="true"/>
        </w:rPr>
        <w:t>حاشیة علی نجاة العباد</w:t>
      </w:r>
      <w:r>
        <w:rPr>
          <w:rtl w:val="true"/>
        </w:rPr>
        <w:t>:</w:t>
      </w:r>
      <w:bookmarkEnd w:id="99"/>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عملیة لصاحب الجواهر قدس سره قام بتحشیتها جملة من العلماء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الذریعة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الأنصاری قدس سره</w:t>
      </w:r>
      <w:r>
        <w:rPr>
          <w:rFonts w:eastAsia="IRNazanin" w:cs="IRNazanin"/>
          <w:color w:val="111111"/>
          <w:sz w:val="28"/>
          <w:szCs w:val="28"/>
          <w:rtl w:val="true"/>
          <w:lang w:bidi="fa-IR"/>
        </w:rPr>
        <w:t>.</w:t>
      </w:r>
    </w:p>
    <w:p>
      <w:pPr>
        <w:pStyle w:val="Heading5"/>
        <w:numPr>
          <w:ilvl w:val="4"/>
          <w:numId w:val="1"/>
        </w:numPr>
        <w:rPr/>
      </w:pPr>
      <w:bookmarkStart w:id="100" w:name="__RefHeading___Toc6281483_3224264995"/>
      <w:bookmarkStart w:id="101" w:name="_Toc43"/>
      <w:bookmarkEnd w:id="100"/>
      <w:r>
        <w:rPr/>
        <w:t>27</w:t>
      </w:r>
      <w:r>
        <w:rPr>
          <w:rtl w:val="true"/>
        </w:rPr>
        <w:t xml:space="preserve">- </w:t>
      </w:r>
      <w:r>
        <w:rPr>
          <w:rtl w:val="true"/>
        </w:rPr>
        <w:t>حاشیة علی بغیة الطالب</w:t>
      </w:r>
      <w:r>
        <w:rPr>
          <w:rtl w:val="true"/>
        </w:rPr>
        <w:t>:</w:t>
      </w:r>
      <w:bookmarkEnd w:id="10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اسمها 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بغیة الطالب فی معرفة المفروض 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رسالة عملیّة اقتصر فیها علی ذکر مجرد الفتاوی، للشیخ الکبیر الشیخ جعفر کاشف الغطاء المتوفّی عام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علیها حواش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الشیخ الأنصاری قدس سره کما فی الذریعة </w:t>
      </w:r>
      <w:r>
        <w:rPr>
          <w:rStyle w:val="FootnoteAnchor"/>
          <w:rtl w:val="true"/>
        </w:rPr>
        <w:footnoteReference w:id="20"/>
      </w:r>
      <w:r>
        <w:rPr>
          <w:rFonts w:ascii="IRNazanin" w:hAnsi="IRNazanin" w:eastAsia="IRNazanin"/>
          <w:color w:val="111111"/>
          <w:sz w:val="28"/>
          <w:sz w:val="28"/>
          <w:szCs w:val="28"/>
          <w:rtl w:val="true"/>
          <w:lang w:bidi="fa-IR"/>
        </w:rPr>
        <w:t>، و یظهر من موضع آخر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للشیخ حاشیة علی حاشیة البغیة لابن المؤلف الشیخ موسی بن الشیخ جعفر کاشف الغطاء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102" w:name="pg13031_131692"/>
    </w:p>
    <w:p>
      <w:pPr>
        <w:pStyle w:val="Heading5"/>
        <w:numPr>
          <w:ilvl w:val="4"/>
          <w:numId w:val="1"/>
        </w:numPr>
        <w:rPr/>
      </w:pPr>
      <w:bookmarkStart w:id="103" w:name="__RefHeading___Toc6281485_3224264995"/>
      <w:bookmarkStart w:id="104" w:name="_Toc44"/>
      <w:bookmarkEnd w:id="102"/>
      <w:bookmarkEnd w:id="103"/>
      <w:r>
        <w:rPr/>
        <w:t>28</w:t>
      </w:r>
      <w:r>
        <w:rPr>
          <w:rtl w:val="true"/>
        </w:rPr>
        <w:t xml:space="preserve">- </w:t>
      </w:r>
      <w:r>
        <w:rPr>
          <w:rtl w:val="true"/>
        </w:rPr>
        <w:t>الحواشی علی عوائد الأیّام</w:t>
      </w:r>
      <w:r>
        <w:rPr>
          <w:rtl w:val="true"/>
        </w:rPr>
        <w:t>:</w:t>
      </w:r>
      <w:bookmarkEnd w:id="104"/>
    </w:p>
    <w:p>
      <w:pPr>
        <w:pStyle w:val="BookText"/>
        <w:rPr/>
      </w:pPr>
      <w:r>
        <w:rPr>
          <w:rFonts w:ascii="IRNazanin" w:hAnsi="IRNazanin" w:eastAsia="IRNazanin"/>
          <w:color w:val="111111"/>
          <w:sz w:val="28"/>
          <w:sz w:val="28"/>
          <w:szCs w:val="28"/>
          <w:rtl w:val="true"/>
          <w:lang w:bidi="fa-IR"/>
        </w:rPr>
        <w:t xml:space="preserve">و العوائد هو للمولی أحمد بن مهدی بن أبی ذر النراقی الکاشانی قدس سره المتوفّی عام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للشیخ الأنصاری قدس سره حواش علیه، طبعت معها فی إیران عام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 و توجد منه 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قم برقم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Heading5"/>
        <w:numPr>
          <w:ilvl w:val="4"/>
          <w:numId w:val="1"/>
        </w:numPr>
        <w:rPr/>
      </w:pPr>
      <w:bookmarkStart w:id="105" w:name="__RefHeading___Toc6281487_3224264995"/>
      <w:bookmarkStart w:id="106" w:name="_Toc45"/>
      <w:bookmarkEnd w:id="105"/>
      <w:r>
        <w:rPr/>
        <w:t>29</w:t>
      </w:r>
      <w:r>
        <w:rPr>
          <w:rtl w:val="true"/>
        </w:rPr>
        <w:t xml:space="preserve">- </w:t>
      </w:r>
      <w:r>
        <w:rPr>
          <w:rtl w:val="true"/>
        </w:rPr>
        <w:t>أجوبة الحاج محمد أمین کبّة</w:t>
      </w:r>
      <w:r>
        <w:rPr>
          <w:rtl w:val="true"/>
        </w:rPr>
        <w:t>:</w:t>
      </w:r>
      <w:bookmarkEnd w:id="106"/>
    </w:p>
    <w:p>
      <w:pPr>
        <w:pStyle w:val="BookText"/>
        <w:rPr/>
      </w:pPr>
      <w:r>
        <w:rPr>
          <w:rFonts w:ascii="IRNazanin" w:hAnsi="IRNazanin" w:eastAsia="IRNazanin"/>
          <w:color w:val="111111"/>
          <w:sz w:val="28"/>
          <w:sz w:val="28"/>
          <w:szCs w:val="28"/>
          <w:rtl w:val="true"/>
          <w:lang w:bidi="fa-IR"/>
        </w:rPr>
        <w:t xml:space="preserve">و هی مجموعة أجوبة أجاب بها الشیخ قدس سره عن أسئلة سألها الحاج محمد أمین کبّة، جمعها و دوّنها الشیخ محمد بن عیسی بن الشیخ حیدر الشروقی المتوفّی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عرضها علی الشیخ محمد طه نجف و طابقها مع فتاواه ثم أضاف إلیها جملة من جوابات الشیخ محمد طه عن المسائل التی سأل هو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 العلّامة الطهرانی فی الذریعة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6281489_3224264995"/>
      <w:bookmarkStart w:id="108" w:name="_Toc46"/>
      <w:bookmarkEnd w:id="107"/>
      <w:r>
        <w:rPr/>
        <w:t>30</w:t>
      </w:r>
      <w:r>
        <w:rPr>
          <w:rtl w:val="true"/>
        </w:rPr>
        <w:t xml:space="preserve">- </w:t>
      </w:r>
      <w:r>
        <w:rPr>
          <w:rtl w:val="true"/>
        </w:rPr>
        <w:t>اللقطة</w:t>
      </w:r>
      <w:r>
        <w:rPr>
          <w:rtl w:val="true"/>
        </w:rPr>
        <w:t>:</w:t>
      </w:r>
      <w:bookmarkEnd w:id="108"/>
    </w:p>
    <w:p>
      <w:pPr>
        <w:pStyle w:val="BookText"/>
        <w:rPr/>
      </w:pPr>
      <w:r>
        <w:rPr>
          <w:rFonts w:ascii="IRNazanin" w:hAnsi="IRNazanin" w:eastAsia="IRNazanin"/>
          <w:color w:val="111111"/>
          <w:sz w:val="28"/>
          <w:sz w:val="28"/>
          <w:szCs w:val="28"/>
          <w:rtl w:val="true"/>
          <w:lang w:bidi="fa-IR"/>
        </w:rPr>
        <w:t>نسب ذلک إلیه،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موجودة فی معهد الدراسات الإسلامیة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6281491_3224264995"/>
      <w:bookmarkStart w:id="110" w:name="_Toc47"/>
      <w:bookmarkEnd w:id="109"/>
      <w:r>
        <w:rPr/>
        <w:t>31</w:t>
      </w:r>
      <w:r>
        <w:rPr>
          <w:rtl w:val="true"/>
        </w:rPr>
        <w:t xml:space="preserve">- </w:t>
      </w:r>
      <w:r>
        <w:rPr>
          <w:rtl w:val="true"/>
        </w:rPr>
        <w:t>الوقوف و الصدقات</w:t>
      </w:r>
      <w:r>
        <w:rPr>
          <w:rtl w:val="true"/>
        </w:rPr>
        <w:t>:</w:t>
      </w:r>
      <w:bookmarkEnd w:id="11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ذلک إلیه،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موجودة فی معهد الدراسات الإسلامیة</w:t>
      </w:r>
      <w:bookmarkStart w:id="111" w:name="pg13031_131693"/>
    </w:p>
    <w:p>
      <w:pPr>
        <w:pStyle w:val="BookText"/>
        <w:rPr/>
      </w:pPr>
      <w:bookmarkEnd w:id="111"/>
      <w:r>
        <w:rPr>
          <w:rFonts w:ascii="IRNazanin" w:hAnsi="IRNazanin" w:eastAsia="IRNazanin"/>
          <w:color w:val="111111"/>
          <w:sz w:val="28"/>
          <w:sz w:val="28"/>
          <w:szCs w:val="28"/>
          <w:rtl w:val="true"/>
          <w:lang w:bidi="fa-IR"/>
        </w:rPr>
        <w:t>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6281493_3224264995"/>
      <w:bookmarkStart w:id="113" w:name="_Toc48"/>
      <w:bookmarkEnd w:id="112"/>
      <w:r>
        <w:rPr/>
        <w:t>32</w:t>
      </w:r>
      <w:r>
        <w:rPr>
          <w:rtl w:val="true"/>
        </w:rPr>
        <w:t xml:space="preserve">- </w:t>
      </w:r>
      <w:r>
        <w:rPr>
          <w:rtl w:val="true"/>
        </w:rPr>
        <w:t>رسالة فی القرعة</w:t>
      </w:r>
      <w:r>
        <w:rPr>
          <w:rtl w:val="true"/>
        </w:rPr>
        <w:t>:</w:t>
      </w:r>
      <w:bookmarkEnd w:id="113"/>
    </w:p>
    <w:p>
      <w:pPr>
        <w:pStyle w:val="BookText"/>
        <w:rPr/>
      </w:pPr>
      <w:r>
        <w:rPr>
          <w:rFonts w:ascii="IRNazanin" w:hAnsi="IRNazanin" w:eastAsia="IRNazanin"/>
          <w:color w:val="111111"/>
          <w:sz w:val="28"/>
          <w:sz w:val="28"/>
          <w:szCs w:val="28"/>
          <w:rtl w:val="true"/>
          <w:lang w:bidi="fa-IR"/>
        </w:rPr>
        <w:t>نسب ذلک إلیه فی مقدمة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جامعة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له علی مستند غیره</w:t>
      </w:r>
      <w:r>
        <w:rPr>
          <w:rFonts w:eastAsia="IRNazanin" w:cs="IRNazanin"/>
          <w:color w:val="111111"/>
          <w:sz w:val="28"/>
          <w:szCs w:val="28"/>
          <w:rtl w:val="true"/>
          <w:lang w:bidi="fa-IR"/>
        </w:rPr>
        <w:t>.</w:t>
      </w:r>
    </w:p>
    <w:p>
      <w:pPr>
        <w:pStyle w:val="Heading4"/>
        <w:numPr>
          <w:ilvl w:val="3"/>
          <w:numId w:val="1"/>
        </w:numPr>
        <w:rPr/>
      </w:pPr>
      <w:bookmarkStart w:id="114" w:name="__RefHeading___Toc6281495_3224264995"/>
      <w:bookmarkStart w:id="115" w:name="_Toc49"/>
      <w:bookmarkEnd w:id="114"/>
      <w:r>
        <w:rPr>
          <w:rtl w:val="true"/>
        </w:rPr>
        <w:t>ثانیا</w:t>
      </w:r>
      <w:r>
        <w:rPr>
          <w:rtl w:val="true"/>
        </w:rPr>
        <w:t xml:space="preserve">- </w:t>
      </w:r>
      <w:r>
        <w:rPr>
          <w:rtl w:val="true"/>
        </w:rPr>
        <w:t>المکتبة الأصولیة</w:t>
      </w:r>
      <w:r>
        <w:rPr>
          <w:rtl w:val="true"/>
        </w:rPr>
        <w:t>:</w:t>
      </w:r>
      <w:bookmarkEnd w:id="115"/>
    </w:p>
    <w:p>
      <w:pPr>
        <w:pStyle w:val="Heading5"/>
        <w:numPr>
          <w:ilvl w:val="4"/>
          <w:numId w:val="1"/>
        </w:numPr>
        <w:rPr/>
      </w:pPr>
      <w:bookmarkStart w:id="116" w:name="__RefHeading___Toc6281497_3224264995"/>
      <w:bookmarkStart w:id="117" w:name="_Toc50"/>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تضمّ المکتبة الأصولیة للشیخ الأنصاری قدس سره تراثا ضخما من هذا العلم الذی أحکمت قواعده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یلی نشیر إلی ما ثبت أو نسب إلیه من آثار فی هذا الموضوع</w:t>
      </w:r>
      <w:r>
        <w:rPr>
          <w:rFonts w:eastAsia="IRNazanin" w:cs="IRNazanin"/>
          <w:color w:val="111111"/>
          <w:sz w:val="28"/>
          <w:szCs w:val="28"/>
          <w:rtl w:val="true"/>
          <w:lang w:bidi="fa-IR"/>
        </w:rPr>
        <w:t>:</w:t>
      </w:r>
    </w:p>
    <w:p>
      <w:pPr>
        <w:pStyle w:val="Heading5"/>
        <w:numPr>
          <w:ilvl w:val="4"/>
          <w:numId w:val="1"/>
        </w:numPr>
        <w:rPr/>
      </w:pPr>
      <w:bookmarkStart w:id="118" w:name="__RefHeading___Toc6281499_3224264995"/>
      <w:bookmarkStart w:id="119" w:name="_Toc51"/>
      <w:bookmarkEnd w:id="118"/>
      <w:r>
        <w:rPr/>
        <w:t>1</w:t>
      </w:r>
      <w:r>
        <w:rPr>
          <w:rtl w:val="true"/>
        </w:rPr>
        <w:t xml:space="preserve">- </w:t>
      </w:r>
      <w:r>
        <w:rPr>
          <w:rtl w:val="true"/>
        </w:rPr>
        <w:t>فرائد الأصول</w:t>
      </w:r>
      <w:r>
        <w:rPr>
          <w:rtl w:val="true"/>
        </w:rPr>
        <w:t>:</w:t>
      </w:r>
      <w:bookmarkEnd w:id="1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المشهور بالرسائل، قال عنه العلّامة الطهرانی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مشهور متداول لم یکتب مثله فی الأواخر و الأوائل، محتو علی خمس رسائل فی القطع، و الظن، و البراءة، و الاستصحاب، و التعادل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 فی هذه المباحث تأسیسا نسخ به الأصول الکربلائیة فصارت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بقیعة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نسج علی منواله المتأخرون حتّی صار الفخر فی فهم مراده، و کتب کلّ شرحا أو حاشیة علیه بقدر ما غمر فیه فکره و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فرائد الأصول</w:t>
      </w:r>
      <w:r>
        <w:rPr>
          <w:rFonts w:eastAsia="IRNazanin" w:cs="IRNazanin"/>
          <w:color w:val="111111"/>
          <w:sz w:val="28"/>
          <w:szCs w:val="28"/>
          <w:rtl w:val="true"/>
          <w:lang w:bidi="fa-IR"/>
        </w:rPr>
        <w:t>»</w:t>
      </w:r>
      <w:bookmarkStart w:id="120" w:name="pg13031_131694"/>
    </w:p>
    <w:p>
      <w:pPr>
        <w:pStyle w:val="BookText"/>
        <w:rPr/>
      </w:pPr>
      <w:bookmarkEnd w:id="120"/>
      <w:r>
        <w:rPr>
          <w:rFonts w:ascii="IRNazanin" w:hAnsi="IRNazanin" w:eastAsia="IRNazanin"/>
          <w:color w:val="111111"/>
          <w:sz w:val="28"/>
          <w:sz w:val="28"/>
          <w:szCs w:val="28"/>
          <w:rtl w:val="true"/>
          <w:lang w:bidi="fa-IR"/>
        </w:rPr>
        <w:t xml:space="preserve">للسید محمد صالح بن محمد الموسوی الخلخالی 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6281501_3224264995"/>
      <w:bookmarkStart w:id="122" w:name="_Toc52"/>
      <w:bookmarkEnd w:id="121"/>
      <w:r>
        <w:rPr/>
        <w:t>2</w:t>
      </w:r>
      <w:r>
        <w:rPr>
          <w:rtl w:val="true"/>
        </w:rPr>
        <w:t xml:space="preserve">- </w:t>
      </w:r>
      <w:r>
        <w:rPr>
          <w:rtl w:val="true"/>
        </w:rPr>
        <w:t>کتاب الفوائد الأصولیة</w:t>
      </w:r>
      <w:r>
        <w:rPr>
          <w:rtl w:val="true"/>
        </w:rPr>
        <w:t>:</w:t>
      </w:r>
      <w:bookmarkEnd w:id="122"/>
    </w:p>
    <w:p>
      <w:pPr>
        <w:pStyle w:val="BookText"/>
        <w:rPr/>
      </w:pPr>
      <w:r>
        <w:rPr>
          <w:rFonts w:ascii="IRNazanin" w:hAnsi="IRNazanin" w:eastAsia="IRNazanin"/>
          <w:color w:val="111111"/>
          <w:sz w:val="28"/>
          <w:sz w:val="28"/>
          <w:szCs w:val="28"/>
          <w:rtl w:val="true"/>
          <w:lang w:bidi="fa-IR"/>
        </w:rPr>
        <w:t>ذکره العلّامة الطهرانی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غوامض المسائل الأصولیة کالواجب المشروط، مقدّمة الواجب، الضد و الاجتماع، بعض المفاهیم، المطلق و المقید، العمل بالعموم، الحسن و القبح، الملازمة، الاجتهاد و التقلید و غیر ذلک، و النسخة فی خزانة کتب سیدنا 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الشیخ علی التویسرکانی عن خطّ المیرزا محسن التویسرکانی الذی هو من أجلّاء تلامذة الشیخ الأنصاری، و قد کتبه المیرزا محسن عن خطّ أستاذه الشیخ الأنصاری، یقرب من عشرة آلاف بیت</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العبارة أنّه من تألیفاته لا من تقریرات أبحاثه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مهما یکن، فلم یصل الکتاب إلی أیدینا فعلا</w:t>
      </w:r>
      <w:r>
        <w:rPr>
          <w:rFonts w:eastAsia="IRNazanin" w:cs="IRNazanin"/>
          <w:color w:val="111111"/>
          <w:sz w:val="28"/>
          <w:szCs w:val="28"/>
          <w:rtl w:val="true"/>
          <w:lang w:bidi="fa-IR"/>
        </w:rPr>
        <w:t>.</w:t>
      </w:r>
    </w:p>
    <w:p>
      <w:pPr>
        <w:pStyle w:val="Heading5"/>
        <w:numPr>
          <w:ilvl w:val="4"/>
          <w:numId w:val="1"/>
        </w:numPr>
        <w:rPr/>
      </w:pPr>
      <w:bookmarkStart w:id="123" w:name="__RefHeading___Toc6281503_3224264995"/>
      <w:bookmarkStart w:id="124" w:name="_Toc53"/>
      <w:bookmarkEnd w:id="123"/>
      <w:r>
        <w:rPr/>
        <w:t>3</w:t>
      </w:r>
      <w:r>
        <w:rPr>
          <w:rtl w:val="true"/>
        </w:rPr>
        <w:t xml:space="preserve">- </w:t>
      </w:r>
      <w:r>
        <w:rPr>
          <w:rtl w:val="true"/>
        </w:rPr>
        <w:t>أصول الفقه</w:t>
      </w:r>
      <w:r>
        <w:rPr>
          <w:rtl w:val="true"/>
        </w:rPr>
        <w:t>:</w:t>
      </w:r>
      <w:bookmarkEnd w:id="1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العلّامة الطهرانی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مجلّد ضخم محتو علی اثنین و ستین مبحثا من الأصول الفقهیة فی مباحث الألفاظ و الأدلّة العقلیة جمیعا، رأیت النسخة المنتسخة عن خطّ المؤلّف فی خزانة آیة اللّٰه المجدّد الشیرازی</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125" w:name="pg13031_131695"/>
    </w:p>
    <w:p>
      <w:pPr>
        <w:pStyle w:val="BookText"/>
        <w:rPr/>
      </w:pPr>
      <w:bookmarkEnd w:id="125"/>
      <w:r>
        <w:rPr>
          <w:rFonts w:ascii="IRNazanin" w:hAnsi="IRNazanin" w:eastAsia="IRNazanin"/>
          <w:color w:val="111111"/>
          <w:sz w:val="28"/>
          <w:sz w:val="28"/>
          <w:szCs w:val="28"/>
          <w:rtl w:val="true"/>
          <w:lang w:bidi="fa-IR"/>
        </w:rPr>
        <w:t>و لیس من الواضح أنّ هذا الکتاب هل هو کتاب مستقل أو هو مجموع فرائد الأصول مع الفوائد الأصولیة أو غیر ذلک، لعدم توفر النسخة لدینا</w:t>
      </w:r>
      <w:r>
        <w:rPr>
          <w:rFonts w:eastAsia="IRNazanin" w:cs="IRNazanin"/>
          <w:color w:val="111111"/>
          <w:sz w:val="28"/>
          <w:szCs w:val="28"/>
          <w:rtl w:val="true"/>
          <w:lang w:bidi="fa-IR"/>
        </w:rPr>
        <w:t>.</w:t>
      </w:r>
    </w:p>
    <w:p>
      <w:pPr>
        <w:pStyle w:val="Heading5"/>
        <w:numPr>
          <w:ilvl w:val="4"/>
          <w:numId w:val="1"/>
        </w:numPr>
        <w:rPr/>
      </w:pPr>
      <w:bookmarkStart w:id="126" w:name="__RefHeading___Toc6281505_3224264995"/>
      <w:bookmarkStart w:id="127" w:name="_Toc54"/>
      <w:bookmarkEnd w:id="126"/>
      <w:r>
        <w:rPr/>
        <w:t>4</w:t>
      </w:r>
      <w:r>
        <w:rPr>
          <w:rtl w:val="true"/>
        </w:rPr>
        <w:t xml:space="preserve">- </w:t>
      </w:r>
      <w:r>
        <w:rPr>
          <w:rtl w:val="true"/>
        </w:rPr>
        <w:t>حجیّة ظواهر الکتاب</w:t>
      </w:r>
      <w:r>
        <w:rPr>
          <w:rtl w:val="true"/>
        </w:rPr>
        <w:t>:</w:t>
      </w:r>
      <w:bookmarkEnd w:id="127"/>
    </w:p>
    <w:p>
      <w:pPr>
        <w:pStyle w:val="BookText"/>
        <w:rPr/>
      </w:pPr>
      <w:r>
        <w:rPr>
          <w:rFonts w:ascii="IRNazanin" w:hAnsi="IRNazanin" w:eastAsia="IRNazanin"/>
          <w:color w:val="111111"/>
          <w:sz w:val="28"/>
          <w:sz w:val="28"/>
          <w:szCs w:val="28"/>
          <w:rtl w:val="true"/>
          <w:lang w:bidi="fa-IR"/>
        </w:rPr>
        <w:t>قال العلّامة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توجد نسخته فی مکتبة التستریة</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 لم یشر هل أنّها رسالة مستقلة أو جزء من فرائد الأصول</w:t>
      </w:r>
      <w:r>
        <w:rPr>
          <w:rFonts w:eastAsia="IRNazanin" w:cs="IRNazanin"/>
          <w:color w:val="111111"/>
          <w:sz w:val="28"/>
          <w:szCs w:val="28"/>
          <w:rtl w:val="true"/>
          <w:lang w:bidi="fa-IR"/>
        </w:rPr>
        <w:t>.</w:t>
      </w:r>
    </w:p>
    <w:p>
      <w:pPr>
        <w:pStyle w:val="Heading5"/>
        <w:numPr>
          <w:ilvl w:val="4"/>
          <w:numId w:val="1"/>
        </w:numPr>
        <w:rPr/>
      </w:pPr>
      <w:bookmarkStart w:id="128" w:name="__RefHeading___Toc6281507_3224264995"/>
      <w:bookmarkStart w:id="129" w:name="_Toc55"/>
      <w:bookmarkEnd w:id="128"/>
      <w:r>
        <w:rPr/>
        <w:t>5</w:t>
      </w:r>
      <w:r>
        <w:rPr>
          <w:rtl w:val="true"/>
        </w:rPr>
        <w:t xml:space="preserve">- </w:t>
      </w:r>
      <w:r>
        <w:rPr>
          <w:rtl w:val="true"/>
        </w:rPr>
        <w:t>حجیّة المظنة</w:t>
      </w:r>
      <w:r>
        <w:rPr>
          <w:rtl w:val="true"/>
        </w:rPr>
        <w:t>:</w:t>
      </w:r>
      <w:bookmarkEnd w:id="129"/>
    </w:p>
    <w:p>
      <w:pPr>
        <w:pStyle w:val="BookText"/>
        <w:rPr/>
      </w:pPr>
      <w:r>
        <w:rPr>
          <w:rFonts w:ascii="IRNazanin" w:hAnsi="IRNazanin" w:eastAsia="IRNazanin"/>
          <w:color w:val="111111"/>
          <w:sz w:val="28"/>
          <w:sz w:val="28"/>
          <w:szCs w:val="28"/>
          <w:rtl w:val="true"/>
          <w:lang w:bidi="fa-IR"/>
        </w:rPr>
        <w:t>قال العلّامة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من أجزاء الرسائل الموسوم بالفرائد، لکنّه طبع مستقلا فی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ذکر أنّ علیه حواش و تعلیقات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6281509_3224264995"/>
      <w:bookmarkStart w:id="131" w:name="_Toc56"/>
      <w:bookmarkEnd w:id="130"/>
      <w:r>
        <w:rPr/>
        <w:t>6</w:t>
      </w:r>
      <w:r>
        <w:rPr>
          <w:rtl w:val="true"/>
        </w:rPr>
        <w:t xml:space="preserve">- </w:t>
      </w:r>
      <w:r>
        <w:rPr>
          <w:rtl w:val="true"/>
        </w:rPr>
        <w:t>الحاشیة علی قوانین الأصول</w:t>
      </w:r>
      <w:r>
        <w:rPr>
          <w:rtl w:val="true"/>
        </w:rPr>
        <w:t>:</w:t>
      </w:r>
      <w:bookmarkEnd w:id="131"/>
    </w:p>
    <w:p>
      <w:pPr>
        <w:pStyle w:val="BookText"/>
        <w:rPr/>
      </w:pPr>
      <w:r>
        <w:rPr>
          <w:rFonts w:ascii="IRNazanin" w:hAnsi="IRNazanin" w:eastAsia="IRNazanin"/>
          <w:color w:val="111111"/>
          <w:sz w:val="28"/>
          <w:sz w:val="28"/>
          <w:szCs w:val="28"/>
          <w:rtl w:val="true"/>
          <w:lang w:bidi="fa-IR"/>
        </w:rPr>
        <w:t>قال العلّامة الطهرانی فی الذریعة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سیدنا الحسن صدر الدین فی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نسخة خطّه، و هی من أول حجیّة الخبر إلی تمام الأدلة العقلیة، و کأنّ الرسائل منتزعة عنها</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6281511_3224264995"/>
      <w:bookmarkStart w:id="133" w:name="_Toc57"/>
      <w:bookmarkEnd w:id="132"/>
      <w:r>
        <w:rPr/>
        <w:t>7</w:t>
      </w:r>
      <w:r>
        <w:rPr>
          <w:rtl w:val="true"/>
        </w:rPr>
        <w:t xml:space="preserve">- </w:t>
      </w:r>
      <w:r>
        <w:rPr>
          <w:rtl w:val="true"/>
        </w:rPr>
        <w:t>الحاشیة علی استصحاب القوانین</w:t>
      </w:r>
      <w:r>
        <w:rPr>
          <w:rtl w:val="true"/>
        </w:rPr>
        <w:t>:</w:t>
      </w:r>
      <w:bookmarkEnd w:id="1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حاشیة علی استصحاب قوانین الأصول للمحقق القمّی قدس سره</w:t>
      </w:r>
      <w:bookmarkStart w:id="134" w:name="pg13031_131696"/>
    </w:p>
    <w:p>
      <w:pPr>
        <w:pStyle w:val="BookText"/>
        <w:rPr/>
      </w:pPr>
      <w:bookmarkEnd w:id="134"/>
      <w:r>
        <w:rPr>
          <w:rFonts w:ascii="IRNazanin" w:hAnsi="IRNazanin" w:eastAsia="IRNazanin"/>
          <w:color w:val="111111"/>
          <w:sz w:val="28"/>
          <w:sz w:val="28"/>
          <w:szCs w:val="28"/>
          <w:rtl w:val="true"/>
          <w:lang w:bidi="fa-IR"/>
        </w:rPr>
        <w:t>تفضّل بمخطوطتها سماحة آیة اللّٰه الشیخ أحمد سبط الشیخ الأنصاری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بخطّ الشیخ قدس سره، و قد تمّ تحقیقها، و طبعها بحمد اللّٰه</w:t>
      </w:r>
      <w:r>
        <w:rPr>
          <w:rFonts w:eastAsia="IRNazanin" w:cs="IRNazanin"/>
          <w:color w:val="111111"/>
          <w:sz w:val="28"/>
          <w:szCs w:val="28"/>
          <w:rtl w:val="true"/>
          <w:lang w:bidi="fa-IR"/>
        </w:rPr>
        <w:t>.</w:t>
      </w:r>
    </w:p>
    <w:p>
      <w:pPr>
        <w:pStyle w:val="Heading5"/>
        <w:numPr>
          <w:ilvl w:val="4"/>
          <w:numId w:val="1"/>
        </w:numPr>
        <w:rPr/>
      </w:pPr>
      <w:bookmarkStart w:id="135" w:name="__RefHeading___Toc6281513_3224264995"/>
      <w:bookmarkStart w:id="136" w:name="_Toc58"/>
      <w:bookmarkEnd w:id="135"/>
      <w:r>
        <w:rPr/>
        <w:t>8</w:t>
      </w:r>
      <w:r>
        <w:rPr>
          <w:rtl w:val="true"/>
        </w:rPr>
        <w:t xml:space="preserve">- </w:t>
      </w:r>
      <w:r>
        <w:rPr>
          <w:rtl w:val="true"/>
        </w:rPr>
        <w:t>رسالة فی المشتق</w:t>
      </w:r>
      <w:r>
        <w:rPr>
          <w:rtl w:val="true"/>
        </w:rPr>
        <w:t>:</w:t>
      </w:r>
      <w:bookmarkEnd w:id="136"/>
    </w:p>
    <w:p>
      <w:pPr>
        <w:pStyle w:val="BookText"/>
        <w:rPr/>
      </w:pPr>
      <w:r>
        <w:rPr>
          <w:rFonts w:ascii="IRNazanin" w:hAnsi="IRNazanin" w:eastAsia="IRNazanin"/>
          <w:color w:val="111111"/>
          <w:sz w:val="28"/>
          <w:sz w:val="28"/>
          <w:szCs w:val="28"/>
          <w:rtl w:val="true"/>
          <w:lang w:bidi="fa-IR"/>
        </w:rPr>
        <w:t>قال العلّامة الطهرانی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مطبوعة عام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بعض الفضلاء، و لیست هی المطبوعة فی تلک السنة من تقریر بحث المجدّد الشیرازی، کما مرّ</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6281515_3224264995"/>
      <w:bookmarkStart w:id="138" w:name="_Toc59"/>
      <w:bookmarkEnd w:id="137"/>
      <w:r>
        <w:rPr/>
        <w:t>9</w:t>
      </w:r>
      <w:r>
        <w:rPr>
          <w:rtl w:val="true"/>
        </w:rPr>
        <w:t xml:space="preserve">- </w:t>
      </w:r>
      <w:r>
        <w:rPr>
          <w:rtl w:val="true"/>
        </w:rPr>
        <w:t xml:space="preserve">رسالة فی قاعدة </w:t>
      </w:r>
      <w:r>
        <w:rPr>
          <w:rtl w:val="true"/>
        </w:rPr>
        <w:t>«</w:t>
      </w:r>
      <w:r>
        <w:rPr>
          <w:rtl w:val="true"/>
        </w:rPr>
        <w:t>التسامح فی أدلّة السنن</w:t>
      </w:r>
      <w:r>
        <w:rPr>
          <w:rtl w:val="true"/>
        </w:rPr>
        <w:t>»:</w:t>
      </w:r>
      <w:bookmarkEnd w:id="138"/>
    </w:p>
    <w:p>
      <w:pPr>
        <w:pStyle w:val="BookText"/>
        <w:rPr/>
      </w:pPr>
      <w:r>
        <w:rPr>
          <w:rFonts w:ascii="IRNazanin" w:hAnsi="IRNazanin" w:eastAsia="IRNazanin"/>
          <w:color w:val="111111"/>
          <w:sz w:val="28"/>
          <w:sz w:val="28"/>
          <w:szCs w:val="28"/>
          <w:rtl w:val="true"/>
          <w:lang w:bidi="fa-IR"/>
        </w:rPr>
        <w:t xml:space="preserve">و هی رسالة تبحث عن قاعدة التسامح فی أدلّة السنن، ذکرها العلّامة الطهرانی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التسامح فی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ذکرها فی حرف التّاء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طبع مکررا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توجد منه نسخة خطیّة فی مکتبة الإمام الرضا علیه السلام برقم </w:t>
      </w:r>
      <w:r>
        <w:rPr>
          <w:rFonts w:eastAsia="IRNazanin" w:cs="IRNazanin"/>
          <w:color w:val="111111"/>
          <w:sz w:val="28"/>
          <w:szCs w:val="28"/>
          <w:rtl w:val="true"/>
          <w:lang w:bidi="fa-IR"/>
        </w:rPr>
        <w:t>(</w:t>
      </w:r>
      <w:r>
        <w:rPr>
          <w:rFonts w:eastAsia="IRNazanin" w:cs="IRNazanin"/>
          <w:color w:val="111111"/>
          <w:sz w:val="28"/>
          <w:szCs w:val="28"/>
          <w:lang w:bidi="fa-IR"/>
        </w:rPr>
        <w:t>8843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خطیة أخری فی مکتبة مجلس الشوری الإسلامی برقم </w:t>
      </w:r>
      <w:r>
        <w:rPr>
          <w:rFonts w:eastAsia="IRNazanin" w:cs="IRNazanin"/>
          <w:color w:val="111111"/>
          <w:sz w:val="28"/>
          <w:szCs w:val="28"/>
          <w:rtl w:val="true"/>
          <w:lang w:bidi="fa-IR"/>
        </w:rPr>
        <w:t>(</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یبدو منها أنّها کانت بید العلّامة الشیخ فضل اللّٰه النوری قدس سره مع رسالة التقلید، کما أنّها طبعت ضمن مجموعة رسائل أصولیة اخری عام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5"/>
        <w:numPr>
          <w:ilvl w:val="4"/>
          <w:numId w:val="1"/>
        </w:numPr>
        <w:rPr/>
      </w:pPr>
      <w:bookmarkStart w:id="139" w:name="__RefHeading___Toc6281517_3224264995"/>
      <w:bookmarkStart w:id="140" w:name="_Toc60"/>
      <w:bookmarkEnd w:id="139"/>
      <w:r>
        <w:rPr/>
        <w:t>10</w:t>
      </w:r>
      <w:r>
        <w:rPr>
          <w:rtl w:val="true"/>
        </w:rPr>
        <w:t xml:space="preserve">- </w:t>
      </w:r>
      <w:r>
        <w:rPr>
          <w:rtl w:val="true"/>
        </w:rPr>
        <w:t>رسالة فی التقلید</w:t>
      </w:r>
      <w:r>
        <w:rPr>
          <w:rtl w:val="true"/>
        </w:rPr>
        <w:t>:</w:t>
      </w:r>
      <w:bookmarkEnd w:id="1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اشتهرت هذه الرسالة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خطأ، لأنّه</w:t>
      </w:r>
      <w:bookmarkStart w:id="141" w:name="pg13031_131697"/>
    </w:p>
    <w:p>
      <w:pPr>
        <w:pStyle w:val="BookText"/>
        <w:rPr/>
      </w:pPr>
      <w:bookmarkEnd w:id="141"/>
      <w:r>
        <w:rPr>
          <w:rFonts w:ascii="IRNazanin" w:hAnsi="IRNazanin" w:eastAsia="IRNazanin"/>
          <w:color w:val="111111"/>
          <w:sz w:val="28"/>
          <w:sz w:val="28"/>
          <w:szCs w:val="28"/>
          <w:rtl w:val="true"/>
          <w:lang w:bidi="fa-IR"/>
        </w:rPr>
        <w:t>لم یبحث فیها عن الاجتهاد و إنّما اقتصر علی البحث عن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الطهرانی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الاجتهاد و التقلید للعلّامة الأنصاری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کتب تلمیذه الأجل آیة اللّٰه المجدّد میرزا محمد حسن الشیرازی بسامرّاء،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التقلید لغة جعل الغیر ذا قلادة و منه تقلید الهدی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توجد منها نسخة خطیة فی مکتبة مجلس الشوری الإسلامی برقم </w:t>
      </w:r>
      <w:r>
        <w:rPr>
          <w:rFonts w:eastAsia="IRNazanin" w:cs="IRNazanin"/>
          <w:color w:val="111111"/>
          <w:sz w:val="28"/>
          <w:szCs w:val="28"/>
          <w:rtl w:val="true"/>
          <w:lang w:bidi="fa-IR"/>
        </w:rPr>
        <w:t>(</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رسالة التسامح فی أدلّة السنن، و یظهر منها أنها کانت بید العلّامة الشیخ فضل اللّٰه النوری قدس سره الذی کان من تلامذة المجدد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 طبعت مع عدة رسائل أصولیة اخری عام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5"/>
        <w:numPr>
          <w:ilvl w:val="4"/>
          <w:numId w:val="1"/>
        </w:numPr>
        <w:rPr/>
      </w:pPr>
      <w:bookmarkStart w:id="142" w:name="__RefHeading___Toc6281519_3224264995"/>
      <w:bookmarkStart w:id="143" w:name="_Toc61"/>
      <w:bookmarkEnd w:id="142"/>
      <w:r>
        <w:rPr/>
        <w:t>11</w:t>
      </w:r>
      <w:r>
        <w:rPr>
          <w:rtl w:val="true"/>
        </w:rPr>
        <w:t xml:space="preserve">- </w:t>
      </w:r>
      <w:r>
        <w:rPr>
          <w:rtl w:val="true"/>
        </w:rPr>
        <w:t xml:space="preserve">رسالة فی قاعدة </w:t>
      </w:r>
      <w:r>
        <w:rPr>
          <w:rtl w:val="true"/>
        </w:rPr>
        <w:t>«</w:t>
      </w:r>
      <w:r>
        <w:rPr>
          <w:rtl w:val="true"/>
        </w:rPr>
        <w:t>نفی الضرر</w:t>
      </w:r>
      <w:r>
        <w:rPr>
          <w:rtl w:val="true"/>
        </w:rPr>
        <w:t>»:</w:t>
      </w:r>
      <w:bookmarkEnd w:id="143"/>
    </w:p>
    <w:p>
      <w:pPr>
        <w:pStyle w:val="BookText"/>
        <w:rPr/>
      </w:pPr>
      <w:r>
        <w:rPr>
          <w:rFonts w:ascii="IRNazanin" w:hAnsi="IRNazanin" w:eastAsia="IRNazanin"/>
          <w:color w:val="111111"/>
          <w:sz w:val="28"/>
          <w:sz w:val="28"/>
          <w:szCs w:val="28"/>
          <w:rtl w:val="true"/>
          <w:lang w:bidi="fa-IR"/>
        </w:rPr>
        <w:t xml:space="preserve">و هی رسالة تبحث عن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غیر ما هو مبحوث عنه فی فرائد الأصول، طبعت مع بعض طبعات المکاسب و الطهارة، و توجد منه نسخة خطیّة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برقم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6479</w:t>
      </w:r>
      <w:r>
        <w:rPr>
          <w:rFonts w:eastAsia="IRNazanin" w:cs="IRNazanin"/>
          <w:color w:val="111111"/>
          <w:sz w:val="28"/>
          <w:szCs w:val="28"/>
          <w:rtl w:val="true"/>
          <w:lang w:bidi="fa-IR"/>
        </w:rPr>
        <w:t>).</w:t>
      </w:r>
    </w:p>
    <w:p>
      <w:pPr>
        <w:pStyle w:val="Heading5"/>
        <w:numPr>
          <w:ilvl w:val="4"/>
          <w:numId w:val="1"/>
        </w:numPr>
        <w:rPr/>
      </w:pPr>
      <w:bookmarkStart w:id="144" w:name="__RefHeading___Toc6281521_3224264995"/>
      <w:bookmarkStart w:id="145" w:name="_Toc62"/>
      <w:bookmarkEnd w:id="144"/>
      <w:r>
        <w:rPr/>
        <w:t>12</w:t>
      </w:r>
      <w:r>
        <w:rPr>
          <w:rtl w:val="true"/>
        </w:rPr>
        <w:t xml:space="preserve">- </w:t>
      </w:r>
      <w:r>
        <w:rPr>
          <w:rtl w:val="true"/>
        </w:rPr>
        <w:t>رسالة فی باب حجیّة الأخبار</w:t>
      </w:r>
      <w:r>
        <w:rPr>
          <w:rtl w:val="true"/>
        </w:rPr>
        <w:t>:</w:t>
      </w:r>
      <w:bookmarkEnd w:id="145"/>
    </w:p>
    <w:p>
      <w:pPr>
        <w:pStyle w:val="BookText"/>
        <w:rPr/>
      </w:pPr>
      <w:r>
        <w:rPr>
          <w:rFonts w:ascii="IRNazanin" w:hAnsi="IRNazanin" w:eastAsia="IRNazanin"/>
          <w:color w:val="111111"/>
          <w:sz w:val="28"/>
          <w:sz w:val="28"/>
          <w:szCs w:val="28"/>
          <w:rtl w:val="true"/>
          <w:lang w:bidi="fa-IR"/>
        </w:rPr>
        <w:t>نسبت إلیه و لم نقف علی مستند للنسبة</w:t>
      </w:r>
      <w:r>
        <w:rPr>
          <w:rFonts w:eastAsia="IRNazanin" w:cs="IRNazanin"/>
          <w:color w:val="111111"/>
          <w:sz w:val="28"/>
          <w:szCs w:val="28"/>
          <w:rtl w:val="true"/>
          <w:lang w:bidi="fa-IR"/>
        </w:rPr>
        <w:t>.</w:t>
      </w:r>
    </w:p>
    <w:p>
      <w:pPr>
        <w:pStyle w:val="Heading5"/>
        <w:numPr>
          <w:ilvl w:val="4"/>
          <w:numId w:val="1"/>
        </w:numPr>
        <w:rPr/>
      </w:pPr>
      <w:bookmarkStart w:id="146" w:name="__RefHeading___Toc6281523_3224264995"/>
      <w:bookmarkStart w:id="147" w:name="_Toc63"/>
      <w:bookmarkEnd w:id="146"/>
      <w:r>
        <w:rPr/>
        <w:t>13</w:t>
      </w:r>
      <w:r>
        <w:rPr>
          <w:rtl w:val="true"/>
        </w:rPr>
        <w:t xml:space="preserve">- </w:t>
      </w:r>
      <w:r>
        <w:rPr>
          <w:rtl w:val="true"/>
        </w:rPr>
        <w:t>رسالة فی الردّ علی من قال بأنّ الأخبار قطعیّة الصدور</w:t>
      </w:r>
      <w:r>
        <w:rPr>
          <w:rtl w:val="true"/>
        </w:rPr>
        <w:t>:</w:t>
      </w:r>
      <w:bookmarkEnd w:id="14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إلیه أیضا و لم نقف علی مستند ذلک</w:t>
      </w:r>
      <w:r>
        <w:rPr>
          <w:rFonts w:eastAsia="IRNazanin" w:cs="IRNazanin"/>
          <w:color w:val="111111"/>
          <w:sz w:val="28"/>
          <w:szCs w:val="28"/>
          <w:rtl w:val="true"/>
          <w:lang w:bidi="fa-IR"/>
        </w:rPr>
        <w:t>.</w:t>
      </w:r>
      <w:bookmarkStart w:id="148" w:name="pg13031_131698"/>
    </w:p>
    <w:p>
      <w:pPr>
        <w:pStyle w:val="Heading4"/>
        <w:numPr>
          <w:ilvl w:val="3"/>
          <w:numId w:val="1"/>
        </w:numPr>
        <w:rPr/>
      </w:pPr>
      <w:bookmarkStart w:id="149" w:name="__RefHeading___Toc6281525_3224264995"/>
      <w:bookmarkStart w:id="150" w:name="_Toc64"/>
      <w:bookmarkEnd w:id="148"/>
      <w:bookmarkEnd w:id="149"/>
      <w:r>
        <w:rPr>
          <w:rtl w:val="true"/>
        </w:rPr>
        <w:t>ثالثا</w:t>
      </w:r>
      <w:r>
        <w:rPr>
          <w:rtl w:val="true"/>
        </w:rPr>
        <w:t xml:space="preserve">- </w:t>
      </w:r>
      <w:r>
        <w:rPr>
          <w:rtl w:val="true"/>
        </w:rPr>
        <w:t>غیر الفقه و الأصول</w:t>
      </w:r>
      <w:r>
        <w:rPr>
          <w:rtl w:val="true"/>
        </w:rPr>
        <w:t>:</w:t>
      </w:r>
      <w:bookmarkEnd w:id="150"/>
    </w:p>
    <w:p>
      <w:pPr>
        <w:pStyle w:val="Heading5"/>
        <w:numPr>
          <w:ilvl w:val="4"/>
          <w:numId w:val="1"/>
        </w:numPr>
        <w:rPr/>
      </w:pPr>
      <w:bookmarkStart w:id="151" w:name="__RefHeading___Toc6281527_3224264995"/>
      <w:bookmarkStart w:id="152" w:name="_Toc65"/>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کل ما تقدم کان فی المجالین الفقهی و الأصولی، و للشیخ الأنصاری قدس سره تألیفات فی مجالات اخری نشیر إلی ما توصلنا إلیه فیما یلی</w:t>
      </w:r>
      <w:r>
        <w:rPr>
          <w:rFonts w:eastAsia="IRNazanin" w:cs="IRNazanin"/>
          <w:color w:val="111111"/>
          <w:sz w:val="28"/>
          <w:szCs w:val="28"/>
          <w:rtl w:val="true"/>
          <w:lang w:bidi="fa-IR"/>
        </w:rPr>
        <w:t>:</w:t>
      </w:r>
    </w:p>
    <w:p>
      <w:pPr>
        <w:pStyle w:val="Heading5"/>
        <w:numPr>
          <w:ilvl w:val="4"/>
          <w:numId w:val="1"/>
        </w:numPr>
        <w:rPr/>
      </w:pPr>
      <w:bookmarkStart w:id="153" w:name="__RefHeading___Toc6281529_3224264995"/>
      <w:bookmarkStart w:id="154" w:name="_Toc66"/>
      <w:bookmarkEnd w:id="153"/>
      <w:r>
        <w:rPr/>
        <w:t>1</w:t>
      </w:r>
      <w:r>
        <w:rPr>
          <w:rtl w:val="true"/>
        </w:rPr>
        <w:t xml:space="preserve">- </w:t>
      </w:r>
      <w:r>
        <w:rPr>
          <w:rtl w:val="true"/>
        </w:rPr>
        <w:t>کتاب الرجال</w:t>
      </w:r>
      <w:r>
        <w:rPr>
          <w:rtl w:val="true"/>
        </w:rPr>
        <w:t>:</w:t>
      </w:r>
      <w:bookmarkEnd w:id="154"/>
    </w:p>
    <w:p>
      <w:pPr>
        <w:pStyle w:val="BookText"/>
        <w:rPr/>
      </w:pPr>
      <w:r>
        <w:rPr>
          <w:rFonts w:ascii="IRNazanin" w:hAnsi="IRNazanin" w:eastAsia="IRNazanin"/>
          <w:color w:val="111111"/>
          <w:sz w:val="28"/>
          <w:sz w:val="28"/>
          <w:szCs w:val="28"/>
          <w:rtl w:val="true"/>
          <w:lang w:bidi="fa-IR"/>
        </w:rPr>
        <w:t>قال عنه العلّامة الطهرانی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ستة آلاف بیت، جمع فیه الثقات و الممدوحین الذین کان یعمل بروایاتهم، و لم یزد فیه علی ما نقل عن کتب الأصول الخمسة الرجالیة شیئا، ذکره شیخنا النوری، و رأیت النسخة فی کتب سیدنا الشیرازی بسامراء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الصلاة و السلام علی محمد و آله الطاهرین و لعنة اللّٰه علی أعدائهم أجمعین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بن إسحاق بن آدم بن عبد اللّٰه بن سعد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الأسماء علی الترتیب المألوف ثم الکنی، ثم الألقاب، ثم یذکر مشیخة التهذیب و الفقیه، و فوائد أخری فی آخره، و مقداره یزید عن خلاصة العلّامة و رأیت نسخة اخری بخط تلمیذه المولی محمد حسین بن محمد قاسم القمشه‌ای النجفی کتبها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سنة وفاة المصنف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منه نسخة اخری فی مکتبة الإمام الرضا علیه السلام برقم </w:t>
      </w:r>
      <w:r>
        <w:rPr>
          <w:rFonts w:eastAsia="IRNazanin" w:cs="IRNazanin"/>
          <w:color w:val="111111"/>
          <w:sz w:val="28"/>
          <w:szCs w:val="28"/>
          <w:rtl w:val="true"/>
          <w:lang w:bidi="fa-IR"/>
        </w:rPr>
        <w:t>(</w:t>
      </w:r>
      <w:r>
        <w:rPr>
          <w:rFonts w:eastAsia="IRNazanin" w:cs="IRNazanin"/>
          <w:color w:val="111111"/>
          <w:sz w:val="28"/>
          <w:szCs w:val="28"/>
          <w:lang w:bidi="fa-IR"/>
        </w:rPr>
        <w:t>3617</w:t>
      </w:r>
      <w:r>
        <w:rPr>
          <w:rFonts w:eastAsia="IRNazanin" w:cs="IRNazanin"/>
          <w:color w:val="111111"/>
          <w:sz w:val="28"/>
          <w:szCs w:val="28"/>
          <w:rtl w:val="true"/>
          <w:lang w:bidi="fa-IR"/>
        </w:rPr>
        <w:t>)</w:t>
      </w:r>
      <w:bookmarkStart w:id="155" w:name="pg13031_131699"/>
    </w:p>
    <w:p>
      <w:pPr>
        <w:pStyle w:val="BookText"/>
        <w:rPr/>
      </w:pPr>
      <w:bookmarkEnd w:id="155"/>
      <w:r>
        <w:rPr>
          <w:rFonts w:ascii="IRNazanin" w:hAnsi="IRNazanin" w:eastAsia="IRNazanin"/>
          <w:color w:val="111111"/>
          <w:sz w:val="28"/>
          <w:sz w:val="28"/>
          <w:szCs w:val="28"/>
          <w:rtl w:val="true"/>
          <w:lang w:bidi="fa-IR"/>
        </w:rPr>
        <w:t>و عندنا مصوّرتها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نسخة اخری فی مکتبة آیة اللّٰه المرعشی قدس سره فی قم برقم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6281531_3224264995"/>
      <w:bookmarkStart w:id="157" w:name="_Toc67"/>
      <w:bookmarkEnd w:id="156"/>
      <w:r>
        <w:rPr/>
        <w:t>2</w:t>
      </w:r>
      <w:r>
        <w:rPr>
          <w:rtl w:val="true"/>
        </w:rPr>
        <w:t xml:space="preserve">- </w:t>
      </w:r>
      <w:r>
        <w:rPr>
          <w:rtl w:val="true"/>
        </w:rPr>
        <w:t>أصول الدین و جملة من فروعه</w:t>
      </w:r>
      <w:r>
        <w:rPr>
          <w:rtl w:val="true"/>
        </w:rPr>
        <w:t>:</w:t>
      </w:r>
      <w:bookmarkEnd w:id="157"/>
    </w:p>
    <w:p>
      <w:pPr>
        <w:pStyle w:val="BookText"/>
        <w:rPr/>
      </w:pPr>
      <w:r>
        <w:rPr>
          <w:rFonts w:ascii="IRNazanin" w:hAnsi="IRNazanin" w:eastAsia="IRNazanin"/>
          <w:color w:val="111111"/>
          <w:sz w:val="28"/>
          <w:sz w:val="28"/>
          <w:szCs w:val="28"/>
          <w:rtl w:val="true"/>
          <w:lang w:bidi="fa-IR"/>
        </w:rPr>
        <w:t>ذکره العلّامة الطهرانی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فتاوی العلّامة الأنصاری، فارسی، جمعها میرزا علی بن رستم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عام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یتضح لدینا أنّ الذی من نظرات الشیخ الأنصاری قدس سره هل هو خصوص الفروع أو هی و الأصول معا، و الکتاب لیس بأیدینا</w:t>
      </w:r>
      <w:r>
        <w:rPr>
          <w:rFonts w:eastAsia="IRNazanin" w:cs="IRNazanin"/>
          <w:color w:val="111111"/>
          <w:sz w:val="28"/>
          <w:szCs w:val="28"/>
          <w:rtl w:val="true"/>
          <w:lang w:bidi="fa-IR"/>
        </w:rPr>
        <w:t>.</w:t>
      </w:r>
    </w:p>
    <w:p>
      <w:pPr>
        <w:pStyle w:val="Heading5"/>
        <w:numPr>
          <w:ilvl w:val="4"/>
          <w:numId w:val="1"/>
        </w:numPr>
        <w:rPr/>
      </w:pPr>
      <w:bookmarkStart w:id="158" w:name="__RefHeading___Toc6281533_3224264995"/>
      <w:bookmarkStart w:id="159" w:name="_Toc68"/>
      <w:bookmarkEnd w:id="158"/>
      <w:r>
        <w:rPr/>
        <w:t>3</w:t>
      </w:r>
      <w:r>
        <w:rPr>
          <w:rtl w:val="true"/>
        </w:rPr>
        <w:t xml:space="preserve">- </w:t>
      </w:r>
      <w:r>
        <w:rPr>
          <w:rtl w:val="true"/>
        </w:rPr>
        <w:t>رسالة فی إجازته لتلمیذه</w:t>
      </w:r>
      <w:r>
        <w:rPr>
          <w:rtl w:val="true"/>
        </w:rPr>
        <w:t>:</w:t>
      </w:r>
      <w:bookmarkEnd w:id="159"/>
    </w:p>
    <w:p>
      <w:pPr>
        <w:pStyle w:val="BookText"/>
        <w:rPr/>
      </w:pPr>
      <w:r>
        <w:rPr>
          <w:rFonts w:ascii="IRNazanin" w:hAnsi="IRNazanin" w:eastAsia="IRNazanin"/>
          <w:color w:val="111111"/>
          <w:sz w:val="28"/>
          <w:sz w:val="28"/>
          <w:szCs w:val="28"/>
          <w:rtl w:val="true"/>
          <w:lang w:bidi="fa-IR"/>
        </w:rPr>
        <w:t>ذکرها العلّامة الطهرانی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لتلمیذه المیرزا أحمد بن المیرزا محسن الفیض الکاشانی،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توجد بخط الشیخ الأنصاری فی ظهر تقریرات المجاز لدرس شیخه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تأریخها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المعروف أنّه قدس اللّٰه سره قد استنسخ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الشریف</w:t>
      </w:r>
      <w:r>
        <w:rPr>
          <w:rFonts w:eastAsia="IRNazanin" w:cs="IRNazanin"/>
          <w:color w:val="111111"/>
          <w:sz w:val="28"/>
          <w:szCs w:val="28"/>
          <w:rtl w:val="true"/>
          <w:lang w:bidi="fa-IR"/>
        </w:rPr>
        <w:t>.</w:t>
      </w:r>
      <w:bookmarkStart w:id="160" w:name="pg13031_131700"/>
    </w:p>
    <w:p>
      <w:pPr>
        <w:pStyle w:val="Heading4"/>
        <w:numPr>
          <w:ilvl w:val="3"/>
          <w:numId w:val="1"/>
        </w:numPr>
        <w:rPr/>
      </w:pPr>
      <w:bookmarkStart w:id="161" w:name="__RefHeading___Toc6281535_3224264995"/>
      <w:bookmarkStart w:id="162" w:name="_Toc69"/>
      <w:bookmarkEnd w:id="160"/>
      <w:bookmarkEnd w:id="161"/>
      <w:r>
        <w:rPr>
          <w:rtl w:val="true"/>
        </w:rPr>
        <w:t>رابعا</w:t>
      </w:r>
      <w:r>
        <w:rPr>
          <w:rtl w:val="true"/>
        </w:rPr>
        <w:t xml:space="preserve">- </w:t>
      </w:r>
      <w:r>
        <w:rPr>
          <w:rtl w:val="true"/>
        </w:rPr>
        <w:t>التقریرات</w:t>
      </w:r>
      <w:bookmarkEnd w:id="162"/>
    </w:p>
    <w:p>
      <w:pPr>
        <w:pStyle w:val="Heading5"/>
        <w:numPr>
          <w:ilvl w:val="4"/>
          <w:numId w:val="1"/>
        </w:numPr>
        <w:rPr/>
      </w:pPr>
      <w:bookmarkStart w:id="163" w:name="__RefHeading___Toc6281537_3224264995"/>
      <w:bookmarkStart w:id="164" w:name="_Toc70"/>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التقریرات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کلّ ما تقدم کان بالنسبة إلی ما کتبه هو قدس سره، و أمّا ما کتبه تلامذته تقریرا لبحوثه فهی کثیرة جدا و لا یمکن إحصاؤها فعلا لتفرّقها و عدم التمکّن من الوصول إلیها، و من 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کتبه تلمیذه الحاج میرزا أبو القاسم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 لأبحاثه الأصولیة بقسمیها اللفظیّة و العقلیّة، و اشتهر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طبعه ولده المتوفّی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لدینا قائمة عن أسماء بعض التقریرات نشیر فیما یلی إلیها، و نحیل</w:t>
      </w:r>
      <w:bookmarkStart w:id="165" w:name="pg13031_131701"/>
    </w:p>
    <w:p>
      <w:pPr>
        <w:pStyle w:val="BookText"/>
        <w:rPr/>
      </w:pPr>
      <w:bookmarkEnd w:id="165"/>
      <w:r>
        <w:rPr>
          <w:rFonts w:ascii="IRNazanin" w:hAnsi="IRNazanin" w:eastAsia="IRNazanin"/>
          <w:color w:val="111111"/>
          <w:sz w:val="28"/>
          <w:sz w:val="28"/>
          <w:szCs w:val="28"/>
          <w:rtl w:val="true"/>
          <w:lang w:bidi="fa-IR"/>
        </w:rPr>
        <w:t>التفصیل إلی فرصة اخری رجاء الحصول علی معلومات أکثر</w:t>
      </w:r>
      <w:r>
        <w:rPr>
          <w:rFonts w:eastAsia="IRNazanin" w:cs="IRNazanin"/>
          <w:color w:val="111111"/>
          <w:sz w:val="28"/>
          <w:szCs w:val="28"/>
          <w:rtl w:val="true"/>
          <w:lang w:bidi="fa-IR"/>
        </w:rPr>
        <w:t>:</w:t>
      </w:r>
    </w:p>
    <w:p>
      <w:pPr>
        <w:pStyle w:val="Heading5"/>
        <w:numPr>
          <w:ilvl w:val="4"/>
          <w:numId w:val="1"/>
        </w:numPr>
        <w:rPr/>
      </w:pPr>
      <w:bookmarkStart w:id="166" w:name="__RefHeading___Toc6281539_3224264995"/>
      <w:bookmarkStart w:id="167" w:name="_Toc71"/>
      <w:bookmarkEnd w:id="166"/>
      <w:r>
        <w:rPr/>
        <w:t>1</w:t>
      </w:r>
      <w:r>
        <w:rPr>
          <w:rtl w:val="true"/>
        </w:rPr>
        <w:t xml:space="preserve">- </w:t>
      </w:r>
      <w:r>
        <w:rPr>
          <w:rtl w:val="true"/>
        </w:rPr>
        <w:t>التقریرات</w:t>
      </w:r>
      <w:r>
        <w:rPr>
          <w:rtl w:val="true"/>
        </w:rPr>
        <w:t>:</w:t>
      </w:r>
      <w:bookmarkEnd w:id="167"/>
    </w:p>
    <w:p>
      <w:pPr>
        <w:pStyle w:val="BookText"/>
        <w:rPr/>
      </w:pPr>
      <w:r>
        <w:rPr>
          <w:rFonts w:ascii="IRNazanin" w:hAnsi="IRNazanin" w:eastAsia="IRNazanin"/>
          <w:color w:val="111111"/>
          <w:sz w:val="28"/>
          <w:sz w:val="28"/>
          <w:szCs w:val="28"/>
          <w:rtl w:val="true"/>
          <w:lang w:bidi="fa-IR"/>
        </w:rPr>
        <w:t>قال العلّامة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التقریرات للشیخ الأجل الحاج میرزا محمد حسن الآشتیانی، مؤلف بحر الفوائد، و قد کتب أیضا من بحث أستاده العلّامة الأنصاری عدّة مجلدات، رأیت ثلاثة منها فی کتب المرحوم السید محمد اللواسانی و هی فی القضاء، و الخلل، و الوقف، و إحیاء الموات، و الإجارة</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6281541_3224264995"/>
      <w:bookmarkStart w:id="169" w:name="_Toc72"/>
      <w:bookmarkEnd w:id="168"/>
      <w:r>
        <w:rPr/>
        <w:t>2</w:t>
      </w:r>
      <w:r>
        <w:rPr>
          <w:rtl w:val="true"/>
        </w:rPr>
        <w:t xml:space="preserve">- </w:t>
      </w:r>
      <w:r>
        <w:rPr>
          <w:rtl w:val="true"/>
        </w:rPr>
        <w:t>التقریرات</w:t>
      </w:r>
      <w:r>
        <w:rPr>
          <w:rtl w:val="true"/>
        </w:rPr>
        <w:t>:</w:t>
      </w:r>
      <w:bookmarkEnd w:id="1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للأستاذ الکبیر الحاج میرزا حبیب اللّٰه الرشتی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من تقریر بحث أستاذه العلّامة الأنصاری عدّة مجلدات فی الفقه و الأصول، رأیت منها مجلدا فی مباحث الخلل، و صلاة المسافر، و الوقف یقرب من اثنی عشر ألف بیت، کان فی خزانة آیة اللّٰه المجدّد الشیرازی بسامراء، و منها مجلدان فی تمام دورة الأصول من المباحث اللفظیّة و الأدلّة العقلیّة یوجد فی مکتبة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تقریبه لمسألتی تقلید المیت و تقلید الأعلم و قد طبعا فی آخر کتاب الغصب له 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نسخة فی خزانة کتب سیدنا آیة اللّٰه الشیرازی بسامراء تاریخ کتابتها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170" w:name="pg13031_131702"/>
    </w:p>
    <w:p>
      <w:pPr>
        <w:pStyle w:val="Heading5"/>
        <w:numPr>
          <w:ilvl w:val="4"/>
          <w:numId w:val="1"/>
        </w:numPr>
        <w:rPr/>
      </w:pPr>
      <w:bookmarkStart w:id="171" w:name="__RefHeading___Toc6281543_3224264995"/>
      <w:bookmarkStart w:id="172" w:name="_Toc73"/>
      <w:bookmarkEnd w:id="170"/>
      <w:bookmarkEnd w:id="171"/>
      <w:r>
        <w:rPr/>
        <w:t>3</w:t>
      </w:r>
      <w:r>
        <w:rPr>
          <w:rtl w:val="true"/>
        </w:rPr>
        <w:t xml:space="preserve">- </w:t>
      </w:r>
      <w:r>
        <w:rPr>
          <w:rtl w:val="true"/>
        </w:rPr>
        <w:t>تقریرات المجدد المیرزا محمد حسن الشیرازی قدس سره</w:t>
      </w:r>
      <w:r>
        <w:rPr>
          <w:rtl w:val="true"/>
        </w:rPr>
        <w:t>:</w:t>
      </w:r>
      <w:bookmarkEnd w:id="172"/>
    </w:p>
    <w:p>
      <w:pPr>
        <w:pStyle w:val="BookText"/>
        <w:rPr/>
      </w:pPr>
      <w:r>
        <w:rPr>
          <w:rFonts w:ascii="IRNazanin" w:hAnsi="IRNazanin" w:eastAsia="IRNazanin"/>
          <w:color w:val="111111"/>
          <w:sz w:val="28"/>
          <w:sz w:val="28"/>
          <w:szCs w:val="28"/>
          <w:rtl w:val="true"/>
          <w:lang w:bidi="fa-IR"/>
        </w:rPr>
        <w:t xml:space="preserve">و هو تلخیص إفادات الشیخ الأنصاری قدس سره فی الأصول من أوّله إلی آخره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6281545_3224264995"/>
      <w:bookmarkStart w:id="174" w:name="_Toc74"/>
      <w:bookmarkEnd w:id="173"/>
      <w:r>
        <w:rPr/>
        <w:t>4</w:t>
      </w:r>
      <w:r>
        <w:rPr>
          <w:rtl w:val="true"/>
        </w:rPr>
        <w:t xml:space="preserve">- </w:t>
      </w:r>
      <w:r>
        <w:rPr>
          <w:rtl w:val="true"/>
        </w:rPr>
        <w:t>التقریرات</w:t>
      </w:r>
      <w:r>
        <w:rPr>
          <w:rtl w:val="true"/>
        </w:rPr>
        <w:t>:</w:t>
      </w:r>
      <w:bookmarkEnd w:id="174"/>
    </w:p>
    <w:p>
      <w:pPr>
        <w:pStyle w:val="BookText"/>
        <w:rPr/>
      </w:pPr>
      <w:r>
        <w:rPr>
          <w:rFonts w:ascii="IRNazanin" w:hAnsi="IRNazanin" w:eastAsia="IRNazanin"/>
          <w:color w:val="111111"/>
          <w:sz w:val="28"/>
          <w:sz w:val="28"/>
          <w:szCs w:val="28"/>
          <w:rtl w:val="true"/>
          <w:lang w:bidi="fa-IR"/>
        </w:rPr>
        <w:t>قال العلّامة الطهرانی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التقریرات المیرزا أحمد الفیضی النجفی من أحفاد المحدث الفیض الکاشانی، کان من تلامیذ العلّامة الأنصاری، و کتب کثیرا من تقریراته، رأیت فی مکتبة المولی علی محمد النجف‌آبادی مجلدا منه فی الغصب و الوصیة</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6281547_3224264995"/>
      <w:bookmarkStart w:id="176" w:name="_Toc75"/>
      <w:bookmarkEnd w:id="175"/>
      <w:r>
        <w:rPr/>
        <w:t>5</w:t>
      </w:r>
      <w:r>
        <w:rPr>
          <w:rtl w:val="true"/>
        </w:rPr>
        <w:t xml:space="preserve">- </w:t>
      </w:r>
      <w:r>
        <w:rPr>
          <w:rtl w:val="true"/>
        </w:rPr>
        <w:t>التقریرات</w:t>
      </w:r>
      <w:r>
        <w:rPr>
          <w:rtl w:val="true"/>
        </w:rPr>
        <w:t>:</w:t>
      </w:r>
      <w:bookmarkEnd w:id="176"/>
    </w:p>
    <w:p>
      <w:pPr>
        <w:pStyle w:val="BookText"/>
        <w:rPr/>
      </w:pPr>
      <w:r>
        <w:rPr>
          <w:rFonts w:ascii="IRNazanin" w:hAnsi="IRNazanin" w:eastAsia="IRNazanin"/>
          <w:color w:val="111111"/>
          <w:sz w:val="28"/>
          <w:sz w:val="28"/>
          <w:szCs w:val="28"/>
          <w:rtl w:val="true"/>
          <w:lang w:bidi="fa-IR"/>
        </w:rPr>
        <w:t>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التقریرات للمولی حسین قلی الهمدانی کان من أجلاء تلامیذ العلّامة الأنصاری، و کتب من تقریر بحثه فی الفقه و الأصول کثیرا، و کان یدرّس فیها تلامیذه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6281549_3224264995"/>
      <w:bookmarkStart w:id="178" w:name="_Toc76"/>
      <w:bookmarkEnd w:id="177"/>
      <w:r>
        <w:rPr/>
        <w:t>6</w:t>
      </w:r>
      <w:r>
        <w:rPr>
          <w:rtl w:val="true"/>
        </w:rPr>
        <w:t xml:space="preserve">- </w:t>
      </w:r>
      <w:r>
        <w:rPr>
          <w:rtl w:val="true"/>
        </w:rPr>
        <w:t>التقریرات</w:t>
      </w:r>
      <w:r>
        <w:rPr>
          <w:rtl w:val="true"/>
        </w:rPr>
        <w:t>:</w:t>
      </w:r>
      <w:bookmarkEnd w:id="17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التقریرات للسید محمد طاهر بن السید إسماعیل الموسوی الدزفولی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النجف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 العلّامة الأنصاری</w:t>
      </w:r>
      <w:bookmarkStart w:id="179" w:name="pg13031_131703"/>
    </w:p>
    <w:p>
      <w:pPr>
        <w:pStyle w:val="BookText"/>
        <w:rPr/>
      </w:pPr>
      <w:bookmarkEnd w:id="179"/>
      <w:r>
        <w:rPr>
          <w:rFonts w:ascii="IRNazanin" w:hAnsi="IRNazanin" w:eastAsia="IRNazanin"/>
          <w:color w:val="111111"/>
          <w:sz w:val="28"/>
          <w:sz w:val="28"/>
          <w:szCs w:val="28"/>
          <w:rtl w:val="true"/>
          <w:lang w:bidi="fa-IR"/>
        </w:rPr>
        <w:t>و زوج ابنته، و کتب من تقریره تمام دورة الأصول، و من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الصلاة و المواریث و غیرها، و کان جمیعها موجودا عند ابنه السید أحمد المعروف بسبط الشیخ</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6281551_3224264995"/>
      <w:bookmarkStart w:id="181" w:name="_Toc77"/>
      <w:bookmarkEnd w:id="180"/>
      <w:r>
        <w:rPr/>
        <w:t>7</w:t>
      </w:r>
      <w:r>
        <w:rPr>
          <w:rtl w:val="true"/>
        </w:rPr>
        <w:t xml:space="preserve">- </w:t>
      </w:r>
      <w:r>
        <w:rPr>
          <w:rtl w:val="true"/>
        </w:rPr>
        <w:t>التقریرات</w:t>
      </w:r>
      <w:r>
        <w:rPr>
          <w:rtl w:val="true"/>
        </w:rPr>
        <w:t>:</w:t>
      </w:r>
      <w:bookmarkEnd w:id="181"/>
    </w:p>
    <w:p>
      <w:pPr>
        <w:pStyle w:val="BookText"/>
        <w:rPr/>
      </w:pPr>
      <w:r>
        <w:rPr>
          <w:rFonts w:ascii="IRNazanin" w:hAnsi="IRNazanin" w:eastAsia="IRNazanin"/>
          <w:color w:val="111111"/>
          <w:sz w:val="28"/>
          <w:sz w:val="28"/>
          <w:szCs w:val="28"/>
          <w:rtl w:val="true"/>
          <w:lang w:bidi="fa-IR"/>
        </w:rPr>
        <w:t xml:space="preserve">للشیخ منصور بن المولی محمد أمین الدزفولی أخ العلّامة الأنصاری و تلمیذه، فإنه کتب تقریرات بحث أخیه أصولا و فقها فی عدّة مجلدات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6281553_3224264995"/>
      <w:bookmarkStart w:id="183" w:name="_Toc78"/>
      <w:bookmarkEnd w:id="182"/>
      <w:r>
        <w:rPr/>
        <w:t>8</w:t>
      </w:r>
      <w:r>
        <w:rPr>
          <w:rtl w:val="true"/>
        </w:rPr>
        <w:t xml:space="preserve">- </w:t>
      </w:r>
      <w:r>
        <w:rPr>
          <w:rtl w:val="true"/>
        </w:rPr>
        <w:t>التقریرات</w:t>
      </w:r>
      <w:r>
        <w:rPr>
          <w:rtl w:val="true"/>
        </w:rPr>
        <w:t>:</w:t>
      </w:r>
      <w:bookmarkEnd w:id="183"/>
    </w:p>
    <w:p>
      <w:pPr>
        <w:pStyle w:val="BookText"/>
        <w:rPr/>
      </w:pPr>
      <w:r>
        <w:rPr>
          <w:rFonts w:ascii="IRNazanin" w:hAnsi="IRNazanin" w:eastAsia="IRNazanin"/>
          <w:color w:val="111111"/>
          <w:sz w:val="28"/>
          <w:sz w:val="28"/>
          <w:szCs w:val="28"/>
          <w:rtl w:val="true"/>
          <w:lang w:bidi="fa-IR"/>
        </w:rPr>
        <w:t xml:space="preserve">للآخوند المولی لطف اللّٰه الأسکی اللاریجانی،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الفقه و الأصول، لکنه حکی لتلمیذه السید أبی تراب الخوانساری أنه ضاع منه تقریراته الأصولیة، کما فی الذریعة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6281555_3224264995"/>
      <w:bookmarkStart w:id="185" w:name="_Toc79"/>
      <w:bookmarkEnd w:id="184"/>
      <w:r>
        <w:rPr/>
        <w:t>9</w:t>
      </w:r>
      <w:r>
        <w:rPr>
          <w:rtl w:val="true"/>
        </w:rPr>
        <w:t xml:space="preserve">- </w:t>
      </w:r>
      <w:r>
        <w:rPr>
          <w:rtl w:val="true"/>
        </w:rPr>
        <w:t>التقریرات</w:t>
      </w:r>
      <w:r>
        <w:rPr>
          <w:rtl w:val="true"/>
        </w:rPr>
        <w:t>:</w:t>
      </w:r>
      <w:bookmarkEnd w:id="185"/>
    </w:p>
    <w:p>
      <w:pPr>
        <w:pStyle w:val="BookText"/>
        <w:rPr/>
      </w:pPr>
      <w:r>
        <w:rPr>
          <w:rFonts w:ascii="IRNazanin" w:hAnsi="IRNazanin" w:eastAsia="IRNazanin"/>
          <w:color w:val="111111"/>
          <w:sz w:val="28"/>
          <w:sz w:val="28"/>
          <w:szCs w:val="28"/>
          <w:rtl w:val="true"/>
          <w:lang w:bidi="fa-IR"/>
        </w:rPr>
        <w:t>للمولی علی الخوئی، و کان من أجلّاء تلامیذ العلّامة الأنصاری و کاتب تقریراته، قال العلّامة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منها ثلاثة أجزاء</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الواحد،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المثبت،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المسائل الأصولیة، کلها توجد فی مکتبة الحسینیة</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186" w:name="pg13031_131704"/>
    </w:p>
    <w:p>
      <w:pPr>
        <w:pStyle w:val="Heading5"/>
        <w:numPr>
          <w:ilvl w:val="4"/>
          <w:numId w:val="1"/>
        </w:numPr>
        <w:rPr/>
      </w:pPr>
      <w:bookmarkStart w:id="187" w:name="__RefHeading___Toc6281557_3224264995"/>
      <w:bookmarkStart w:id="188" w:name="_Toc80"/>
      <w:bookmarkEnd w:id="186"/>
      <w:bookmarkEnd w:id="187"/>
      <w:r>
        <w:rPr/>
        <w:t>10</w:t>
      </w:r>
      <w:r>
        <w:rPr>
          <w:rtl w:val="true"/>
        </w:rPr>
        <w:t xml:space="preserve">- </w:t>
      </w:r>
      <w:r>
        <w:rPr>
          <w:rtl w:val="true"/>
        </w:rPr>
        <w:t>التقریرات</w:t>
      </w:r>
      <w:r>
        <w:rPr>
          <w:rtl w:val="true"/>
        </w:rPr>
        <w:t>:</w:t>
      </w:r>
      <w:bookmarkEnd w:id="188"/>
    </w:p>
    <w:p>
      <w:pPr>
        <w:pStyle w:val="BookText"/>
        <w:rPr/>
      </w:pPr>
      <w:r>
        <w:rPr>
          <w:rFonts w:ascii="IRNazanin" w:hAnsi="IRNazanin" w:eastAsia="IRNazanin"/>
          <w:color w:val="111111"/>
          <w:sz w:val="28"/>
          <w:sz w:val="28"/>
          <w:szCs w:val="28"/>
          <w:rtl w:val="true"/>
          <w:lang w:bidi="fa-IR"/>
        </w:rPr>
        <w:t xml:space="preserve">المولی علی الخوانساری کان من تلامیذ العلّامة الأنصاری، و له تقریرات فی الفقه، منه مجلّد فی صلاة المسافر، و آخر فی الغصب و غیره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6281559_3224264995"/>
      <w:bookmarkStart w:id="190" w:name="_Toc81"/>
      <w:bookmarkEnd w:id="189"/>
      <w:r>
        <w:rPr/>
        <w:t>11</w:t>
      </w:r>
      <w:r>
        <w:rPr>
          <w:rtl w:val="true"/>
        </w:rPr>
        <w:t xml:space="preserve">- </w:t>
      </w:r>
      <w:r>
        <w:rPr>
          <w:rtl w:val="true"/>
        </w:rPr>
        <w:t>التقریرات</w:t>
      </w:r>
      <w:r>
        <w:rPr>
          <w:rtl w:val="true"/>
        </w:rPr>
        <w:t>:</w:t>
      </w:r>
      <w:bookmarkEnd w:id="190"/>
    </w:p>
    <w:p>
      <w:pPr>
        <w:pStyle w:val="BookText"/>
        <w:rPr/>
      </w:pPr>
      <w:r>
        <w:rPr>
          <w:rFonts w:ascii="IRNazanin" w:hAnsi="IRNazanin" w:eastAsia="IRNazanin"/>
          <w:color w:val="111111"/>
          <w:sz w:val="28"/>
          <w:sz w:val="28"/>
          <w:szCs w:val="28"/>
          <w:rtl w:val="true"/>
          <w:lang w:bidi="fa-IR"/>
        </w:rPr>
        <w:t xml:space="preserve">فی الأصول و الفقه، للسید محمد تقی بن محمد کاظم الحسینی السبزواری المتوفّی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 مجلدات، مجلّد منها فی تمام مباحث الألفاظ و الاجتهاد و التقلید، و بعض حجیة الظن و الاستصحاب، و ثلاث مجلدات فی الفقه،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إلی آخر باب السجود، ثم الجماعة إلی تبیّن فسق الإمام، و الصوم إلی الکفارات، 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خلل الصلاة و صلاة المسافر إلی الخروج لما دون المسافة، ثم الوقف و الإجارة و الرهن، 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إحیاء الموات و المتاجر إلی تصریة الحیوان فی خیار التدلیس، کلها بخطه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6281561_3224264995"/>
      <w:bookmarkStart w:id="192" w:name="_Toc82"/>
      <w:bookmarkEnd w:id="191"/>
      <w:r>
        <w:rPr/>
        <w:t>12</w:t>
      </w:r>
      <w:r>
        <w:rPr>
          <w:rtl w:val="true"/>
        </w:rPr>
        <w:t xml:space="preserve">- </w:t>
      </w:r>
      <w:r>
        <w:rPr>
          <w:rtl w:val="true"/>
        </w:rPr>
        <w:t>التقریرات</w:t>
      </w:r>
      <w:r>
        <w:rPr>
          <w:rtl w:val="true"/>
        </w:rPr>
        <w:t>:</w:t>
      </w:r>
      <w:bookmarkEnd w:id="19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بن عبد الوهاب بن داود الهمدانی، المتوفّی بالکاظمیة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193" w:name="pg13031_131705"/>
    </w:p>
    <w:p>
      <w:pPr>
        <w:pStyle w:val="Heading5"/>
        <w:numPr>
          <w:ilvl w:val="4"/>
          <w:numId w:val="1"/>
        </w:numPr>
        <w:rPr/>
      </w:pPr>
      <w:bookmarkStart w:id="194" w:name="__RefHeading___Toc6281563_3224264995"/>
      <w:bookmarkStart w:id="195" w:name="_Toc83"/>
      <w:bookmarkEnd w:id="193"/>
      <w:bookmarkEnd w:id="194"/>
      <w:r>
        <w:rPr/>
        <w:t>13</w:t>
      </w:r>
      <w:r>
        <w:rPr>
          <w:rtl w:val="true"/>
        </w:rPr>
        <w:t xml:space="preserve">- </w:t>
      </w:r>
      <w:r>
        <w:rPr>
          <w:rtl w:val="true"/>
        </w:rPr>
        <w:t>التقریرات</w:t>
      </w:r>
      <w:r>
        <w:rPr>
          <w:rtl w:val="true"/>
        </w:rPr>
        <w:t>:</w:t>
      </w:r>
      <w:bookmarkEnd w:id="195"/>
    </w:p>
    <w:p>
      <w:pPr>
        <w:pStyle w:val="BookText"/>
        <w:rPr/>
      </w:pPr>
      <w:r>
        <w:rPr>
          <w:rFonts w:ascii="IRNazanin" w:hAnsi="IRNazanin" w:eastAsia="IRNazanin"/>
          <w:color w:val="111111"/>
          <w:sz w:val="28"/>
          <w:sz w:val="28"/>
          <w:szCs w:val="28"/>
          <w:rtl w:val="true"/>
          <w:lang w:bidi="fa-IR"/>
        </w:rPr>
        <w:t xml:space="preserve">للسید محمد بن السید هاشم بن الأمیر شجاعت علی الموسوی الرضوی التقوی الهندی، المتوفّی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عرضه علی أستاذه العلّامة الأنصاری قدس سره فکتب بخطه تعلیقات علیه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6281565_3224264995"/>
      <w:bookmarkStart w:id="197" w:name="_Toc84"/>
      <w:bookmarkEnd w:id="196"/>
      <w:r>
        <w:rPr/>
        <w:t>14</w:t>
      </w:r>
      <w:r>
        <w:rPr>
          <w:rtl w:val="true"/>
        </w:rPr>
        <w:t xml:space="preserve">- </w:t>
      </w:r>
      <w:r>
        <w:rPr>
          <w:rtl w:val="true"/>
        </w:rPr>
        <w:t>التقریرات</w:t>
      </w:r>
      <w:r>
        <w:rPr>
          <w:rtl w:val="true"/>
        </w:rPr>
        <w:t>:</w:t>
      </w:r>
      <w:bookmarkEnd w:id="197"/>
    </w:p>
    <w:p>
      <w:pPr>
        <w:pStyle w:val="BookText"/>
        <w:rPr/>
      </w:pPr>
      <w:r>
        <w:rPr>
          <w:rFonts w:ascii="IRNazanin" w:hAnsi="IRNazanin" w:eastAsia="IRNazanin"/>
          <w:color w:val="111111"/>
          <w:sz w:val="28"/>
          <w:sz w:val="28"/>
          <w:szCs w:val="28"/>
          <w:rtl w:val="true"/>
          <w:lang w:bidi="fa-IR"/>
        </w:rPr>
        <w:t xml:space="preserve">لبعض تلامیذ العلّامة الأنصاری، مجلّد فی الإجارة، فی مکتبة المولی محمد علی الخوانساری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6281567_3224264995"/>
      <w:bookmarkStart w:id="199" w:name="_Toc85"/>
      <w:bookmarkEnd w:id="198"/>
      <w:r>
        <w:rPr/>
        <w:t>15</w:t>
      </w:r>
      <w:r>
        <w:rPr>
          <w:rtl w:val="true"/>
        </w:rPr>
        <w:t xml:space="preserve">- </w:t>
      </w:r>
      <w:r>
        <w:rPr>
          <w:rtl w:val="true"/>
        </w:rPr>
        <w:t>التقریرات</w:t>
      </w:r>
      <w:r>
        <w:rPr>
          <w:rtl w:val="true"/>
        </w:rPr>
        <w:t>:</w:t>
      </w:r>
      <w:bookmarkEnd w:id="199"/>
    </w:p>
    <w:p>
      <w:pPr>
        <w:pStyle w:val="BookText"/>
        <w:rPr/>
      </w:pPr>
      <w:r>
        <w:rPr>
          <w:rFonts w:ascii="IRNazanin" w:hAnsi="IRNazanin" w:eastAsia="IRNazanin"/>
          <w:color w:val="111111"/>
          <w:sz w:val="28"/>
          <w:sz w:val="28"/>
          <w:szCs w:val="28"/>
          <w:rtl w:val="true"/>
          <w:lang w:bidi="fa-IR"/>
        </w:rPr>
        <w:t xml:space="preserve">لبعض تلامیذ العلّامة الأنصاری أیضا، مجلد فی اللقطة، فی مکتبة المجدّد الشیرازی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6281569_3224264995"/>
      <w:bookmarkStart w:id="201" w:name="_Toc86"/>
      <w:bookmarkEnd w:id="200"/>
      <w:r>
        <w:rPr/>
        <w:t>16</w:t>
      </w:r>
      <w:r>
        <w:rPr>
          <w:rtl w:val="true"/>
        </w:rPr>
        <w:t xml:space="preserve">- </w:t>
      </w:r>
      <w:r>
        <w:rPr>
          <w:rtl w:val="true"/>
        </w:rPr>
        <w:t>التقریرات</w:t>
      </w:r>
      <w:r>
        <w:rPr>
          <w:rtl w:val="true"/>
        </w:rPr>
        <w:t>:</w:t>
      </w:r>
      <w:bookmarkEnd w:id="201"/>
    </w:p>
    <w:p>
      <w:pPr>
        <w:pStyle w:val="BookText"/>
        <w:rPr/>
      </w:pPr>
      <w:r>
        <w:rPr>
          <w:rFonts w:ascii="IRNazanin" w:hAnsi="IRNazanin" w:eastAsia="IRNazanin"/>
          <w:color w:val="111111"/>
          <w:sz w:val="28"/>
          <w:sz w:val="28"/>
          <w:szCs w:val="28"/>
          <w:rtl w:val="true"/>
          <w:lang w:bidi="fa-IR"/>
        </w:rPr>
        <w:t xml:space="preserve">لبعض تلامیذ العلّامة الأنصاری فی الزکاة، مجلد کبیر بخط الشیخ جعفر الرشتی، عام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6281571_3224264995"/>
      <w:bookmarkStart w:id="203" w:name="_Toc87"/>
      <w:bookmarkEnd w:id="202"/>
      <w:r>
        <w:rPr/>
        <w:t>17</w:t>
      </w:r>
      <w:r>
        <w:rPr>
          <w:rtl w:val="true"/>
        </w:rPr>
        <w:t xml:space="preserve">- </w:t>
      </w:r>
      <w:r>
        <w:rPr>
          <w:rtl w:val="true"/>
        </w:rPr>
        <w:t>التقریرات</w:t>
      </w:r>
      <w:r>
        <w:rPr>
          <w:rtl w:val="true"/>
        </w:rPr>
        <w:t>:</w:t>
      </w:r>
      <w:bookmarkEnd w:id="20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لبعض تلامیذ العلّامة الأنصاری فی الخلل و صلاة المسافر</w:t>
      </w:r>
      <w:bookmarkStart w:id="204" w:name="pg13031_131706"/>
    </w:p>
    <w:p>
      <w:pPr>
        <w:pStyle w:val="BookText"/>
        <w:rPr/>
      </w:pPr>
      <w:bookmarkEnd w:id="204"/>
      <w:r>
        <w:rPr>
          <w:rFonts w:ascii="IRNazanin" w:hAnsi="IRNazanin" w:eastAsia="IRNazanin"/>
          <w:color w:val="111111"/>
          <w:sz w:val="28"/>
          <w:sz w:val="28"/>
          <w:szCs w:val="28"/>
          <w:rtl w:val="true"/>
          <w:lang w:bidi="fa-IR"/>
        </w:rPr>
        <w:t xml:space="preserve">و الوقف و القضاء، مجلّد واحد موجود فی مکتبة أبی محمد الحسن صدر الدین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6281573_3224264995"/>
      <w:bookmarkStart w:id="206" w:name="_Toc88"/>
      <w:bookmarkEnd w:id="205"/>
      <w:r>
        <w:rPr/>
        <w:t>18</w:t>
      </w:r>
      <w:r>
        <w:rPr>
          <w:rtl w:val="true"/>
        </w:rPr>
        <w:t xml:space="preserve">- </w:t>
      </w:r>
      <w:r>
        <w:rPr>
          <w:rtl w:val="true"/>
        </w:rPr>
        <w:t>التقریرات</w:t>
      </w:r>
      <w:r>
        <w:rPr>
          <w:rtl w:val="true"/>
        </w:rPr>
        <w:t>:</w:t>
      </w:r>
      <w:bookmarkEnd w:id="206"/>
    </w:p>
    <w:p>
      <w:pPr>
        <w:pStyle w:val="BookText"/>
        <w:rPr/>
      </w:pPr>
      <w:r>
        <w:rPr>
          <w:rFonts w:ascii="IRNazanin" w:hAnsi="IRNazanin" w:eastAsia="IRNazanin"/>
          <w:color w:val="111111"/>
          <w:sz w:val="28"/>
          <w:sz w:val="28"/>
          <w:szCs w:val="28"/>
          <w:rtl w:val="true"/>
          <w:lang w:bidi="fa-IR"/>
        </w:rPr>
        <w:t xml:space="preserve">الشیخ محمد علی الطالقانی لأبحاث أستاذه العلّامة الأنصاری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6281575_3224264995"/>
      <w:bookmarkStart w:id="208" w:name="_Toc89"/>
      <w:bookmarkEnd w:id="207"/>
      <w:r>
        <w:rPr/>
        <w:t>19</w:t>
      </w:r>
      <w:r>
        <w:rPr>
          <w:rtl w:val="true"/>
        </w:rPr>
        <w:t xml:space="preserve">- </w:t>
      </w:r>
      <w:r>
        <w:rPr>
          <w:rtl w:val="true"/>
        </w:rPr>
        <w:t>التقریرات</w:t>
      </w:r>
      <w:r>
        <w:rPr>
          <w:rtl w:val="true"/>
        </w:rPr>
        <w:t>:</w:t>
      </w:r>
      <w:bookmarkEnd w:id="208"/>
    </w:p>
    <w:p>
      <w:pPr>
        <w:pStyle w:val="BookText"/>
        <w:rPr/>
      </w:pPr>
      <w:r>
        <w:rPr>
          <w:rFonts w:ascii="IRNazanin" w:hAnsi="IRNazanin" w:eastAsia="IRNazanin"/>
          <w:color w:val="111111"/>
          <w:sz w:val="28"/>
          <w:sz w:val="28"/>
          <w:szCs w:val="28"/>
          <w:rtl w:val="true"/>
          <w:lang w:bidi="fa-IR"/>
        </w:rPr>
        <w:t xml:space="preserve">السید حسین الکاشانی لأبحاث أستاذه العلّامة الأنصاری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6281577_3224264995"/>
      <w:bookmarkStart w:id="210" w:name="_Toc90"/>
      <w:bookmarkEnd w:id="209"/>
      <w:r>
        <w:rPr/>
        <w:t>20</w:t>
      </w:r>
      <w:r>
        <w:rPr>
          <w:rtl w:val="true"/>
        </w:rPr>
        <w:t xml:space="preserve">- </w:t>
      </w:r>
      <w:r>
        <w:rPr>
          <w:rtl w:val="true"/>
        </w:rPr>
        <w:t>التقریرات</w:t>
      </w:r>
      <w:r>
        <w:rPr>
          <w:rtl w:val="true"/>
        </w:rPr>
        <w:t>:</w:t>
      </w:r>
      <w:bookmarkEnd w:id="210"/>
    </w:p>
    <w:p>
      <w:pPr>
        <w:pStyle w:val="BookText"/>
        <w:rPr/>
      </w:pPr>
      <w:r>
        <w:rPr>
          <w:rFonts w:ascii="IRNazanin" w:hAnsi="IRNazanin" w:eastAsia="IRNazanin"/>
          <w:color w:val="111111"/>
          <w:sz w:val="28"/>
          <w:sz w:val="28"/>
          <w:szCs w:val="28"/>
          <w:rtl w:val="true"/>
          <w:lang w:bidi="fa-IR"/>
        </w:rPr>
        <w:t xml:space="preserve">المولی الشیخ محمد باقر الکرهرودی، و کان من تلامذة الشیخ الأنصاری قدس سره، کما فی نقباء البشر </w:t>
      </w:r>
      <w:r>
        <w:rPr>
          <w:rStyle w:val="FootnoteAnchor"/>
          <w:rtl w:val="true"/>
        </w:rPr>
        <w:footnoteReference w:id="60"/>
      </w:r>
      <w:r>
        <w:rPr>
          <w:rFonts w:ascii="IRNazanin" w:hAnsi="IRNazanin" w:eastAsia="IRNazanin"/>
          <w:color w:val="111111"/>
          <w:sz w:val="28"/>
          <w:sz w:val="28"/>
          <w:szCs w:val="28"/>
          <w:rtl w:val="true"/>
          <w:lang w:bidi="fa-IR"/>
        </w:rPr>
        <w:t>، أخبرنا بتقریراته بعض أحفاده</w:t>
      </w:r>
      <w:r>
        <w:rPr>
          <w:rFonts w:eastAsia="IRNazanin" w:cs="IRNazanin"/>
          <w:color w:val="111111"/>
          <w:sz w:val="28"/>
          <w:szCs w:val="28"/>
          <w:rtl w:val="true"/>
          <w:lang w:bidi="fa-IR"/>
        </w:rPr>
        <w:t>.</w:t>
      </w:r>
    </w:p>
    <w:p>
      <w:pPr>
        <w:pStyle w:val="Heading5"/>
        <w:numPr>
          <w:ilvl w:val="4"/>
          <w:numId w:val="1"/>
        </w:numPr>
        <w:rPr/>
      </w:pPr>
      <w:bookmarkStart w:id="211" w:name="__RefHeading___Toc6281579_3224264995"/>
      <w:bookmarkStart w:id="212" w:name="_Toc91"/>
      <w:bookmarkEnd w:id="211"/>
      <w:r>
        <w:rPr/>
        <w:t>21</w:t>
      </w:r>
      <w:r>
        <w:rPr>
          <w:rtl w:val="true"/>
        </w:rPr>
        <w:t xml:space="preserve">- </w:t>
      </w:r>
      <w:r>
        <w:rPr>
          <w:rtl w:val="true"/>
        </w:rPr>
        <w:t>تقلید الأعلم</w:t>
      </w:r>
      <w:r>
        <w:rPr>
          <w:rtl w:val="true"/>
        </w:rPr>
        <w:t>:</w:t>
      </w:r>
      <w:bookmarkEnd w:id="21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تقریرات أبحاث الشیخ الأنصاری، للشیخ المیرزا أبی القاسم بن المیرزا محمد علی التاجر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الکلانتری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213" w:name="pg13031_131707"/>
    </w:p>
    <w:p>
      <w:pPr>
        <w:pStyle w:val="Heading5"/>
        <w:numPr>
          <w:ilvl w:val="4"/>
          <w:numId w:val="1"/>
        </w:numPr>
        <w:rPr/>
      </w:pPr>
      <w:bookmarkStart w:id="214" w:name="__RefHeading___Toc6281581_3224264995"/>
      <w:bookmarkStart w:id="215" w:name="_Toc92"/>
      <w:bookmarkEnd w:id="213"/>
      <w:bookmarkEnd w:id="214"/>
      <w:r>
        <w:rPr/>
        <w:t>22</w:t>
      </w:r>
      <w:r>
        <w:rPr>
          <w:rtl w:val="true"/>
        </w:rPr>
        <w:t xml:space="preserve">- </w:t>
      </w:r>
      <w:r>
        <w:rPr>
          <w:rtl w:val="true"/>
        </w:rPr>
        <w:t>تقلید المیّت</w:t>
      </w:r>
      <w:r>
        <w:rPr>
          <w:rtl w:val="true"/>
        </w:rPr>
        <w:t>:</w:t>
      </w:r>
      <w:bookmarkEnd w:id="215"/>
    </w:p>
    <w:p>
      <w:pPr>
        <w:pStyle w:val="BookText"/>
        <w:rPr/>
      </w:pPr>
      <w:r>
        <w:rPr>
          <w:rFonts w:ascii="IRNazanin" w:hAnsi="IRNazanin" w:eastAsia="IRNazanin"/>
          <w:color w:val="111111"/>
          <w:sz w:val="28"/>
          <w:sz w:val="28"/>
          <w:szCs w:val="28"/>
          <w:rtl w:val="true"/>
          <w:lang w:bidi="fa-IR"/>
        </w:rPr>
        <w:t xml:space="preserve">للشیخ المیرزا أبی القاسم بن المیرزا محمد علی الکلانتری النوری، تقریرا عن شیخه الأنصاری قدس سره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طبع هذا و ما قبله ملحقا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سنة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5"/>
        <w:numPr>
          <w:ilvl w:val="4"/>
          <w:numId w:val="1"/>
        </w:numPr>
        <w:rPr/>
      </w:pPr>
      <w:bookmarkStart w:id="216" w:name="__RefHeading___Toc6281583_3224264995"/>
      <w:bookmarkStart w:id="217" w:name="_Toc93"/>
      <w:bookmarkEnd w:id="216"/>
      <w:r>
        <w:rPr/>
        <w:t>23</w:t>
      </w:r>
      <w:r>
        <w:rPr>
          <w:rtl w:val="true"/>
        </w:rPr>
        <w:t xml:space="preserve">- </w:t>
      </w:r>
      <w:r>
        <w:rPr>
          <w:rtl w:val="true"/>
        </w:rPr>
        <w:t>ذخائر الأصول</w:t>
      </w:r>
      <w:r>
        <w:rPr>
          <w:rtl w:val="true"/>
        </w:rPr>
        <w:t>:</w:t>
      </w:r>
      <w:bookmarkEnd w:id="217"/>
    </w:p>
    <w:p>
      <w:pPr>
        <w:pStyle w:val="BookText"/>
        <w:rPr/>
      </w:pPr>
      <w:r>
        <w:rPr>
          <w:rFonts w:ascii="IRNazanin" w:hAnsi="IRNazanin" w:eastAsia="IRNazanin"/>
          <w:color w:val="111111"/>
          <w:sz w:val="28"/>
          <w:sz w:val="28"/>
          <w:szCs w:val="28"/>
          <w:rtl w:val="true"/>
          <w:lang w:bidi="fa-IR"/>
        </w:rPr>
        <w:t xml:space="preserve">من تقریرات الشیخ الأنصاری قدس سرّه فی مقدمة الواجب، و اجتماع الأمر و النهی، و التعادل و التراجیح، و الاجتهاد و التقلید، للشیخ حسن بن محمد مهدی الشاة عبد العظیمی،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توصلنا إلیه، و ما عداه أکثر من ذلک بکثیر</w:t>
      </w:r>
      <w:r>
        <w:rPr>
          <w:rFonts w:eastAsia="IRNazanin" w:cs="IRNazanin"/>
          <w:color w:val="111111"/>
          <w:sz w:val="28"/>
          <w:szCs w:val="28"/>
          <w:rtl w:val="true"/>
          <w:lang w:bidi="fa-IR"/>
        </w:rPr>
        <w:t>.</w:t>
      </w:r>
      <w:bookmarkStart w:id="218" w:name="pg13031_131708"/>
    </w:p>
    <w:p>
      <w:pPr>
        <w:pStyle w:val="Heading3"/>
        <w:numPr>
          <w:ilvl w:val="2"/>
          <w:numId w:val="1"/>
        </w:numPr>
        <w:rPr/>
      </w:pPr>
      <w:bookmarkStart w:id="219" w:name="__RefHeading___Toc6281585_3224264995"/>
      <w:bookmarkStart w:id="220" w:name="_Toc94"/>
      <w:bookmarkEnd w:id="218"/>
      <w:bookmarkEnd w:id="219"/>
      <w:r>
        <w:rPr>
          <w:rtl w:val="true"/>
        </w:rPr>
        <w:t>نظرة عامة فی آثار الشیخ قدّس سرّه</w:t>
      </w:r>
      <w:bookmarkEnd w:id="220"/>
    </w:p>
    <w:p>
      <w:pPr>
        <w:pStyle w:val="BookText"/>
        <w:rPr/>
      </w:pPr>
      <w:r>
        <w:rPr>
          <w:rFonts w:ascii="IRNazanin" w:hAnsi="IRNazanin" w:eastAsia="IRNazanin"/>
          <w:color w:val="111111"/>
          <w:sz w:val="28"/>
          <w:sz w:val="28"/>
          <w:szCs w:val="28"/>
          <w:rtl w:val="true"/>
          <w:lang w:bidi="fa-IR"/>
        </w:rPr>
        <w:t>و لأجل أن یتّضح مدی ما لاقته لجنة التحقیق من صعوبات و مشاکل فی طریق التحقیق نری من اللازم أن نشیر إلی ما اتصفت به هذه الآثار بصورة عامّة، و سوف نشیر إلی خصوصیات کل کتاب فی محله إن شاء اللّٰه تعالی، و تلک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أغلب ما بقی من آثار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المکاسب و الرسائل 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شکل مسودّات غیر منتظمة، و هذا أدّی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ضیاع بعض الأوراق و المسودّات مما کتبه قدس سره، و لذلک نحسّ بالنقص من هذه الجهة فی بعض ما بأیدینا من الکتب و الرسائل المخطوطة أو المطبوعة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محل بعض الأوراق و الصفحات عند تجمیعها، فربما عثرنا علی ورقة لا ترتبط بما قبلها و لا بما بعدها، و لکن بعد الفحص و العناء الکثیرین لاحظنا أنّها ترتبط بأوراق اخری تفصل بینهما عشرات الأوراق، کما حدث فعلا فی کتاب الصلاة و القضاء و غیرهما، و قد واجهنا صفحات منفردة لم یدر النساخ أین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أدّی هذا الأمر إلی تخبّط الناسخین أحیانا، فنری تقدیما و تأخیرا فی بعض العبارات فی النسخ المختلفة تحکی عن تحیّر الناسخین و تخبّطهم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بعض ما کتبه الشیخ قدس سره إلی رسالات متعددة کما ربما یظهر ذلک من کتاب النکاح، فإنّه بدأ فیه بشرح النکاح من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ترک قسما أو 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بدأ بشرح المصاهرة و هی من أسباب التحریم، ثم الکفر، و هو سبب آخر منه، ثم ترک منه قسما ثم بدأ بشرح موجبات الخیار، و هذا أدّی إلی اشتهار القسم الأول منه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القسم الثانی المشتمل علی المصاهرة و الکفر من أسباب التحریم و موجبات الخیار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هذه الأمور من ملحقات النکاح أوّلا، و أنّ المصاهرة تکوّن جزء قلیلا من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کونها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کلّ ذلک متصلا بعضه مع بعض لم تعد حاجة إلی تسمیة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المصاهرة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لذلک قرّرنا درجهما مع رسالة الرضاع فی مجلّد واحد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المخطوطات التی وصلت إلی أیدینا من الشیخ قدس سره یغلب علیها الشطب علی العبارات و العدول من عبارة إلی أخری، و کان هذا یؤدّی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مشاکل اخری من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الدقّة فی المقدار المشطوب من العبارة، فربما زاد الشطب علی المقدار الذی کان عدل عنه، و ربما نقص، و کان هذا یؤدّی إلی خلل فی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کانت العبارة التی عدل إلیها أو زادها مکتوبة فی الهامش بصورة متشابکة من دون إشارة إلی محلّ الزیادة أو العدول، و قد أدّی ذلک إلی اختلاف النسخ أیضا، لأن کل واحد من النسّاخ کان یجعل العبارة الزائدة فی المحل الذی کان یرتئیه مناسبا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یتأمّل فی آثار الشیخ قدس سره یری أنه ربما کتب موضوعا واحدا أکثر من مرّة، و لکن قد تختلف رؤیته تجاه المسألة، فیدخل فی</w:t>
      </w:r>
    </w:p>
    <w:p>
      <w:pPr>
        <w:pStyle w:val="BookText"/>
        <w:rPr/>
      </w:pPr>
      <w:r>
        <w:rPr>
          <w:rFonts w:ascii="IRNazanin" w:hAnsi="IRNazanin" w:eastAsia="IRNazanin"/>
          <w:color w:val="111111"/>
          <w:sz w:val="28"/>
          <w:sz w:val="28"/>
          <w:szCs w:val="28"/>
          <w:rtl w:val="true"/>
          <w:lang w:bidi="fa-IR"/>
        </w:rPr>
        <w:t>الموضوع بنظرة اخری غیر ما دخل بها أوّل مرّة، کما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قسم من کتاب الصلاة، حیث کتب 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الاستقبال، و القیام، و النیة، و تکبیرة الإحرام، و القراءة، و أحکام الخلل، مرّتین، و کما حدث فی رسالة المیراث التی کتب فیها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المستغرق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بأنحاء ثلاثة فی ثلاثة مسائل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و الثامنة و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یکتب تارة بصورة مستقلة، و تارة شرحا لکتاب کالإرشاد و القواعد و الشرائع، کما حصل فی الزکاة و الصوم و الخمس و القضاء الذی حرره مرّتین، و لم یکمّل الموضوع فی کل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طریقة الشیخ قدس سره أن ینقل الروایات و أقوال الفقهاء بالمضمون أو بصورة مقطّعة و غیر کاملة، و لذلک قلّما نجد نصّا نقله بحرفة، و لمّا لم یمکن الإشارة إلی جمیع موارد الاختلاف، فلذلک اقتصرنا علی الإشارة إلی ما کان مؤثرا فی فهم النصّ بالخصوص و أعرضنا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نحرز أنّ الکلمة أو العبارة منقولة خطأ، أما إذا أحرزنا ذلک و لم نجد وجها لصحتها فکنّا نکتب الصحیح من دون إشارة إلی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من طریقته أیضا أن ینقل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بالواسطة، و کان هذا یؤدّی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مطابقة الحکایة مع المصدر المنقول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سبب نقله علی نحو الحکایة فمن المحتمل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قلّة المصادر لدیه، کما هو المعروف عنه، فإنه صرح فی موضع من کتاب الصوم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لم یوجد عنده من کتب الأخبار غیر الاستبصار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إمّا لعدم مباشرته للفحص عن الأقوال، حیث کان یحیل مسئولیة القیام بذلک إلی غیره، لضعف بصره، أو لعدم اتساع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نقله علی المناهل، و المستند، و مفتاح الکرامة، و جواهر الکلام، و إن لم یصرّح بذلک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من طریقته أیضا أن ینقل أقوالا من دون نسبة إلی قائلیها أو الکتاب الذی اعتمد علیه فی النقل، فربما استغرقت عدّة ساعات لاستخراج قول لم یصرّح الشیخ لا بقائله و لا بمحلّه، و ما أکثر ذلک فی منقولاته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أغلب ما کتبه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المکاسب و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تامّا، بل کان یکتب حول موضوع ما ثم یترکه قبل إتمامه و ینتقل إلی موضوع جدید، فنراه قد کتب فی کل من الصوم و الزکاة و الخمس تارة شرحا للإرشاد، و تارة بصورة مستقلة، و زاد فی الصوم شرح القواعد أیضا، و فی کل ذلک لم یکتمل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نری کثیرا ما یترک صفحة أو أزید أو أقل منها بیاضا، و لعلّه لاحتمال أن یضیف إلیه بعد ذلک ما یراه مناسبا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یتقیّد بالمتون التی قام بشرحها کالإرشاد و الشرائع و القواعد، بل ربما کان یقتصر علی بعض العبارات و یحذف بعضا آخر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کل ذلک فقد نهض الأفاضل من إخوتنا فی لجنة التحقیق بتحمل أعباء المسئولیة رغم الضغوط و الطلبات المتزایدة فی تسریع العمل</w:t>
      </w:r>
      <w:r>
        <w:rPr>
          <w:rFonts w:eastAsia="IRNazanin" w:cs="IRNazanin"/>
          <w:color w:val="111111"/>
          <w:sz w:val="28"/>
          <w:szCs w:val="28"/>
          <w:rtl w:val="true"/>
          <w:lang w:bidi="fa-IR"/>
        </w:rPr>
        <w:t>.</w:t>
      </w:r>
      <w:bookmarkStart w:id="221" w:name="pg13031_131712"/>
    </w:p>
    <w:p>
      <w:pPr>
        <w:pStyle w:val="Heading3"/>
        <w:numPr>
          <w:ilvl w:val="2"/>
          <w:numId w:val="1"/>
        </w:numPr>
        <w:rPr/>
      </w:pPr>
      <w:bookmarkStart w:id="222" w:name="__RefHeading___Toc6281587_3224264995"/>
      <w:bookmarkStart w:id="223" w:name="_Toc95"/>
      <w:bookmarkEnd w:id="221"/>
      <w:bookmarkEnd w:id="222"/>
      <w:r>
        <w:rPr>
          <w:rtl w:val="true"/>
        </w:rPr>
        <w:t>طریقتنا فی التحقیق</w:t>
      </w:r>
      <w:r>
        <w:rPr>
          <w:rtl w:val="true"/>
        </w:rPr>
        <w:t>:</w:t>
      </w:r>
      <w:bookmarkEnd w:id="223"/>
    </w:p>
    <w:p>
      <w:pPr>
        <w:pStyle w:val="BookText"/>
        <w:rPr/>
      </w:pPr>
      <w:r>
        <w:rPr>
          <w:rFonts w:ascii="IRNazanin" w:hAnsi="IRNazanin" w:eastAsia="IRNazanin"/>
          <w:color w:val="111111"/>
          <w:sz w:val="28"/>
          <w:sz w:val="28"/>
          <w:szCs w:val="28"/>
          <w:rtl w:val="true"/>
          <w:lang w:bidi="fa-IR"/>
        </w:rPr>
        <w:t>و المنهج الذی اتبعناه فی التحقیق بصورة عامة کان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الکتاب من نسخة ذات میزة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مقابلة المستنسخ مع جمیع النسخ، و بذلک کانت تتحقق مطابقة المستنسخ مع ما انتسخ منه، ثم ضبط اختلافات النسخة مع سائر النسخ مقدمة لتقویم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عثرنا بعد اجتیاز هذه المرحلة علی نسخة جدیدة لکنّا کنّا نکرر عملیة المقابلة معها أیضا حرصا علی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مصادر الروایات و الأقوال، و کانت عملیة الاستخراج 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الاستخراج الابتدائی حیث کان بعض الإخوة یقومون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الاستخراجات بدقة کاملة لیحصل الاطمئنان، و ربما دعت الحاجة إلی المراجعة أکثر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النص و ضبطه، و هنا کنّا نقدّم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الأصل أی مخطوطة المؤلف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فنجعلها فی المتن، و نشیر إلی اختلاف سائر النسخ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تکن نسخة الأصل موجودة، فکنّا نقدّم ما هو الصحیح فی رأینا و نشیر إلی ما سواه فی الهامش</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أن نشیر إلی أنّ النسخ کانت تتواجد فیها أخطاء إملائیة</w:t>
      </w:r>
    </w:p>
    <w:p>
      <w:pPr>
        <w:pStyle w:val="BookText"/>
        <w:rPr/>
      </w:pPr>
      <w:r>
        <w:rPr>
          <w:rFonts w:ascii="IRNazanin" w:hAnsi="IRNazanin" w:eastAsia="IRNazanin"/>
          <w:color w:val="111111"/>
          <w:sz w:val="28"/>
          <w:sz w:val="28"/>
          <w:szCs w:val="28"/>
          <w:rtl w:val="true"/>
          <w:lang w:bidi="fa-IR"/>
        </w:rPr>
        <w:t>و أدبیة، و کان من اللازم تصحیحها، و لم نر وجها للإشارة إلیها، نعم لو کان فیها محمل للصحة أثبتناها و أشرنا فی الهامش إلی ما هو الأصح فی رأینا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المتن و الهوامش تنظیما فنّیا و دقیقا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الکتاب مراجعة دقیقة و إعداده لصف الحروف، و کانت هذه المرحلة تتطلّب منا جهدا کبیرا لا یقل عن الجهد الأول حیث یقابل الکتاب عدّة مرات تزید فی الغالب علی العدد المتعارف فی طبع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صفّ الحروف و تنظیم الصفحات کانت تتم مراجعة الکتاب بصورة نهائیة و من جمیع النواحی، و ربما تکرّرت المراجعة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المرحلة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مرّة، بل ربما وصلت إلی أربع أو خمس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الفهارس الفنیّة و المفیدة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أضفناه خلافا للعادة الجاریة هو جعل عناوین جانبیة لموضوعات الکتاب، احترازا من جعل عناوین خارجة عن الکتاب فی متنه،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یساعد علی فهم الکتاب و العثور علی مواضیعه بسهولة من دون أن یحصل تصرف فی متنه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هذه هی المراحل التی کنّا نجتازها فی کل کتاب أو رسالة، و بدقّة خاصة، و بإشتراک مساعی الإخوة المحققین الحمیدة، و لا یمکننی الآن أن اجسّد مدی ما کان یلاقیه إخوتنا من الصعوبات الکثیرة، نسأل اللّٰه تعالی لنا و لهم مزید التوفیق لخدمة فقه أهل البیت علیهم السلام</w:t>
      </w:r>
      <w:r>
        <w:rPr>
          <w:rFonts w:eastAsia="IRNazanin" w:cs="IRNazanin"/>
          <w:color w:val="111111"/>
          <w:sz w:val="28"/>
          <w:szCs w:val="28"/>
          <w:rtl w:val="true"/>
          <w:lang w:bidi="fa-IR"/>
        </w:rPr>
        <w:t>.</w:t>
      </w:r>
      <w:bookmarkStart w:id="224" w:name="pg13031_131714"/>
    </w:p>
    <w:p>
      <w:pPr>
        <w:pStyle w:val="Heading3"/>
        <w:numPr>
          <w:ilvl w:val="2"/>
          <w:numId w:val="1"/>
        </w:numPr>
        <w:rPr/>
      </w:pPr>
      <w:bookmarkStart w:id="225" w:name="__RefHeading___Toc6281589_3224264995"/>
      <w:bookmarkStart w:id="226" w:name="_Toc96"/>
      <w:bookmarkEnd w:id="224"/>
      <w:bookmarkEnd w:id="225"/>
      <w:r>
        <w:rPr>
          <w:rtl w:val="true"/>
        </w:rPr>
        <w:t>هذا الکتاب</w:t>
      </w:r>
      <w:bookmarkEnd w:id="226"/>
    </w:p>
    <w:p>
      <w:pPr>
        <w:pStyle w:val="Heading4"/>
        <w:numPr>
          <w:ilvl w:val="3"/>
          <w:numId w:val="1"/>
        </w:numPr>
        <w:rPr/>
      </w:pPr>
      <w:bookmarkStart w:id="227" w:name="__RefHeading___Toc6281591_3224264995"/>
      <w:bookmarkStart w:id="228" w:name="_Toc97"/>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و أما 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الکتاب الذی نقدّم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کتب الشیخ الأعظم قدس سره المهمّة، و قد لا تقلّ أهمیّته عن المکاسب و الرسائل، لما احتواه من تحقیقات قیّمة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229" w:name="__RefHeading___Toc6281593_3224264995"/>
      <w:bookmarkStart w:id="230" w:name="_Toc98"/>
      <w:bookmarkEnd w:id="229"/>
      <w:r>
        <w:rPr>
          <w:rtl w:val="true"/>
        </w:rPr>
        <w:t>الکتاب مشتمل علی قسمین</w:t>
      </w:r>
      <w:r>
        <w:rPr>
          <w:rtl w:val="true"/>
        </w:rPr>
        <w:t>:</w:t>
      </w:r>
      <w:bookmarkEnd w:id="230"/>
    </w:p>
    <w:p>
      <w:pPr>
        <w:pStyle w:val="Heading5"/>
        <w:numPr>
          <w:ilvl w:val="4"/>
          <w:numId w:val="1"/>
        </w:numPr>
        <w:rPr/>
      </w:pPr>
      <w:bookmarkStart w:id="231" w:name="__RefHeading___Toc6281595_3224264995"/>
      <w:bookmarkStart w:id="232" w:name="_Toc99"/>
      <w:bookmarkEnd w:id="231"/>
      <w:r>
        <w:rPr>
          <w:rtl w:val="true"/>
        </w:rPr>
        <w:t>الأول</w:t>
      </w:r>
      <w:r>
        <w:rPr>
          <w:rtl w:val="true"/>
        </w:rPr>
        <w:t xml:space="preserve">- </w:t>
      </w:r>
      <w:r>
        <w:rPr>
          <w:rtl w:val="true"/>
        </w:rPr>
        <w:t>شرح الشرائع</w:t>
      </w:r>
      <w:r>
        <w:rPr>
          <w:rtl w:val="true"/>
        </w:rPr>
        <w:t>:</w:t>
      </w:r>
      <w:bookmarkEnd w:id="232"/>
    </w:p>
    <w:p>
      <w:pPr>
        <w:pStyle w:val="BookText"/>
        <w:rPr/>
      </w:pPr>
      <w:r>
        <w:rPr>
          <w:rFonts w:ascii="IRNazanin" w:hAnsi="IRNazanin" w:eastAsia="IRNazanin"/>
          <w:color w:val="111111"/>
          <w:sz w:val="28"/>
          <w:sz w:val="28"/>
          <w:szCs w:val="28"/>
          <w:rtl w:val="true"/>
          <w:lang w:bidi="fa-IR"/>
        </w:rPr>
        <w:t>و هو شرح مزجیّ لقسم من الشرائع یبتدئ من أول الطهارة و ینتهی فی بیان أحکام الجنابة</w:t>
      </w:r>
      <w:r>
        <w:rPr>
          <w:rFonts w:eastAsia="IRNazanin" w:cs="IRNazanin"/>
          <w:color w:val="111111"/>
          <w:sz w:val="28"/>
          <w:szCs w:val="28"/>
          <w:rtl w:val="true"/>
          <w:lang w:bidi="fa-IR"/>
        </w:rPr>
        <w:t>.</w:t>
      </w:r>
    </w:p>
    <w:p>
      <w:pPr>
        <w:pStyle w:val="Heading5"/>
        <w:numPr>
          <w:ilvl w:val="4"/>
          <w:numId w:val="1"/>
        </w:numPr>
        <w:rPr/>
      </w:pPr>
      <w:bookmarkStart w:id="233" w:name="__RefHeading___Toc6281597_3224264995"/>
      <w:bookmarkStart w:id="234" w:name="_Toc100"/>
      <w:bookmarkEnd w:id="233"/>
      <w:r>
        <w:rPr>
          <w:rtl w:val="true"/>
        </w:rPr>
        <w:t>الثانی</w:t>
      </w:r>
      <w:r>
        <w:rPr>
          <w:rtl w:val="true"/>
        </w:rPr>
        <w:t xml:space="preserve">- </w:t>
      </w:r>
      <w:r>
        <w:rPr>
          <w:rtl w:val="true"/>
        </w:rPr>
        <w:t>شرح الإرشاد</w:t>
      </w:r>
      <w:r>
        <w:rPr>
          <w:rtl w:val="true"/>
        </w:rPr>
        <w:t>:</w:t>
      </w:r>
      <w:bookmarkEnd w:id="23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شرح مزجیّ لکتاب إرشاد الأذهان للعلامة الحلی قدس سره یبتدئ من 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الحیض، إلی آخر کتاب الطهارة</w:t>
      </w:r>
      <w:r>
        <w:rPr>
          <w:rFonts w:eastAsia="IRNazanin" w:cs="IRNazanin"/>
          <w:color w:val="111111"/>
          <w:sz w:val="28"/>
          <w:szCs w:val="28"/>
          <w:rtl w:val="true"/>
          <w:lang w:bidi="fa-IR"/>
        </w:rPr>
        <w:t>.</w:t>
      </w:r>
      <w:bookmarkStart w:id="235" w:name="pg13031_131715"/>
    </w:p>
    <w:p>
      <w:pPr>
        <w:pStyle w:val="Heading4"/>
        <w:numPr>
          <w:ilvl w:val="3"/>
          <w:numId w:val="1"/>
        </w:numPr>
        <w:rPr/>
      </w:pPr>
      <w:bookmarkStart w:id="236" w:name="__RefHeading___Toc6281599_3224264995"/>
      <w:bookmarkStart w:id="237" w:name="_Toc101"/>
      <w:bookmarkEnd w:id="235"/>
      <w:bookmarkEnd w:id="236"/>
      <w:r>
        <w:rPr>
          <w:rtl w:val="true"/>
        </w:rPr>
        <w:t>طریقة التحقیق</w:t>
      </w:r>
      <w:r>
        <w:rPr>
          <w:rtl w:val="true"/>
        </w:rPr>
        <w:t>:</w:t>
      </w:r>
      <w:bookmarkEnd w:id="237"/>
    </w:p>
    <w:p>
      <w:pPr>
        <w:pStyle w:val="Heading5"/>
        <w:numPr>
          <w:ilvl w:val="4"/>
          <w:numId w:val="1"/>
        </w:numPr>
        <w:rPr/>
      </w:pPr>
      <w:bookmarkStart w:id="238" w:name="__RefHeading___Toc6281601_3224264995"/>
      <w:bookmarkStart w:id="239" w:name="_Toc102"/>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و لأجل أن یکون القرّاء الکرام علی علم بخصوصیات الکتاب و کیفیة تحقیقه نشیر إلی النکات التالیة</w:t>
      </w:r>
      <w:r>
        <w:rPr>
          <w:rFonts w:eastAsia="IRNazanin" w:cs="IRNazanin"/>
          <w:color w:val="111111"/>
          <w:sz w:val="28"/>
          <w:szCs w:val="28"/>
          <w:rtl w:val="true"/>
          <w:lang w:bidi="fa-IR"/>
        </w:rPr>
        <w:t>:</w:t>
      </w:r>
    </w:p>
    <w:p>
      <w:pPr>
        <w:pStyle w:val="Heading5"/>
        <w:numPr>
          <w:ilvl w:val="4"/>
          <w:numId w:val="1"/>
        </w:numPr>
        <w:rPr/>
      </w:pPr>
      <w:bookmarkStart w:id="240" w:name="__RefHeading___Toc6281603_3224264995"/>
      <w:bookmarkStart w:id="241" w:name="_Toc103"/>
      <w:bookmarkEnd w:id="240"/>
      <w:r>
        <w:rPr>
          <w:rtl w:val="true"/>
        </w:rPr>
        <w:t>أوّلا</w:t>
      </w:r>
      <w:r>
        <w:rPr>
          <w:rtl w:val="true"/>
        </w:rPr>
        <w:t xml:space="preserve">- </w:t>
      </w:r>
      <w:r>
        <w:rPr>
          <w:rtl w:val="true"/>
        </w:rPr>
        <w:t>النسخ المعتمد علیها</w:t>
      </w:r>
      <w:r>
        <w:rPr>
          <w:rtl w:val="true"/>
        </w:rPr>
        <w:t>:</w:t>
      </w:r>
      <w:bookmarkEnd w:id="241"/>
    </w:p>
    <w:p>
      <w:pPr>
        <w:pStyle w:val="Heading6"/>
        <w:numPr>
          <w:ilvl w:val="5"/>
          <w:numId w:val="1"/>
        </w:numPr>
        <w:rPr/>
      </w:pPr>
      <w:bookmarkStart w:id="242" w:name="__RefHeading___Toc6281605_3224264995"/>
      <w:bookmarkStart w:id="243" w:name="_Toc104"/>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 xml:space="preserve">لما کان کتاب الطهارة مطبوعا فی زمن الشیخ الأنصاری قدس سره و تعدّدت طبعاته، و لم نعثر علی المخطوطة الأصلیة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اکتفینا بما هو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عمدنا إلی جمع ما وقفنا علیه من النسخ المطبوعة لحدّ الآن و بلغت خمس نسخ، و هی کالآتی</w:t>
      </w:r>
      <w:r>
        <w:rPr>
          <w:rFonts w:eastAsia="IRNazanin" w:cs="IRNazanin"/>
          <w:color w:val="111111"/>
          <w:sz w:val="28"/>
          <w:szCs w:val="28"/>
          <w:rtl w:val="true"/>
          <w:lang w:bidi="fa-IR"/>
        </w:rPr>
        <w:t>:</w:t>
      </w:r>
    </w:p>
    <w:p>
      <w:pPr>
        <w:pStyle w:val="Heading6"/>
        <w:numPr>
          <w:ilvl w:val="5"/>
          <w:numId w:val="1"/>
        </w:numPr>
        <w:rPr/>
      </w:pPr>
      <w:bookmarkStart w:id="244" w:name="__RefHeading___Toc6281607_3224264995"/>
      <w:bookmarkStart w:id="245" w:name="_Toc105"/>
      <w:bookmarkEnd w:id="244"/>
      <w:r>
        <w:rPr>
          <w:rtl w:val="true"/>
        </w:rPr>
        <w:t>النسخة الاولی</w:t>
      </w:r>
      <w:r>
        <w:rPr>
          <w:rtl w:val="true"/>
        </w:rPr>
        <w:t>:</w:t>
      </w:r>
      <w:bookmarkEnd w:id="245"/>
    </w:p>
    <w:p>
      <w:pPr>
        <w:pStyle w:val="BookText"/>
        <w:rPr/>
      </w:pPr>
      <w:r>
        <w:rPr>
          <w:rFonts w:ascii="IRNazanin" w:hAnsi="IRNazanin" w:eastAsia="IRNazanin"/>
          <w:color w:val="111111"/>
          <w:sz w:val="28"/>
          <w:sz w:val="28"/>
          <w:szCs w:val="28"/>
          <w:rtl w:val="true"/>
          <w:lang w:bidi="fa-IR"/>
        </w:rPr>
        <w:t xml:space="preserve">و هی المطبوعة فی حیاة المؤلف قدس سره أی فی عام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جاء فی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رب العالمین، و الصلاة و السلام علی محمد و آله الطاهرین، و لعنة اللّٰه علی أعدائهم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الرکن الأول فی الماء المطلق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آخرها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عرفت ضعفه من حیث حکومة أدلّة نفی الضرر علی عموم، الناس مسلّطون علی أموالهم، و الحمد للّٰه أوّلا و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أضیفت العبارات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القائمین بطبع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للّٰه الذی لا یتمّ أمر دون حمده علی آلائه، و الصلاة علی خیر من بعث للرسالة و علی آله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فهذه المجموعة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الحاویة للدّرر الملتقطة و المؤلفة،</w:t>
      </w:r>
    </w:p>
    <w:p>
      <w:pPr>
        <w:pStyle w:val="BookText"/>
        <w:rPr/>
      </w:pPr>
      <w:r>
        <w:rPr>
          <w:rFonts w:ascii="IRNazanin" w:hAnsi="IRNazanin" w:eastAsia="IRNazanin"/>
          <w:color w:val="111111"/>
          <w:sz w:val="28"/>
          <w:sz w:val="28"/>
          <w:szCs w:val="28"/>
          <w:rtl w:val="true"/>
          <w:lang w:bidi="fa-IR"/>
        </w:rPr>
        <w:t xml:space="preserve">المشتملة للغرر المنتخبة فی أبواب الطهارة و سائر المسائل المتفرقة من تصنیفات النحریر المحقق و العلّامة المدقق فرید دهره و وحید عصره مؤسس العلوم بأحسن الأساس، و مقرّبها إلی أفهام ذوی النهی من الناس، من کلّت الألسن عن بیان صنوف فضائله، و عجزت أقلام الکتبة عن الوصول إلی نهایة محاسنه، بل أوائلها </w:t>
      </w:r>
      <w:r>
        <w:rPr>
          <w:rStyle w:val="FootnoteAnchor"/>
          <w:rtl w:val="true"/>
        </w:rPr>
        <w:footnoteReference w:id="66"/>
      </w:r>
      <w:r>
        <w:rPr>
          <w:rFonts w:ascii="IRNazanin" w:hAnsi="IRNazanin" w:eastAsia="IRNazanin"/>
          <w:color w:val="111111"/>
          <w:sz w:val="28"/>
          <w:sz w:val="28"/>
          <w:szCs w:val="28"/>
          <w:rtl w:val="true"/>
          <w:lang w:bidi="fa-IR"/>
        </w:rPr>
        <w:t xml:space="preserve">، الذی أکمل اللّٰه بوجوده الشریف، الحجة علی عامة البریّة، شیخنا و استاذنا کهف التقی، علم الهدی، الحاج الشیخ مرتضی الأنصاری دام عزه و علاه فی عقباه و أولاه لمّا کانت من أجلّ الکتب المصنّفة و المرغوبة عند أهل العلم و الفضل بحیث لم یف کتابة الکتاب لرفع الحاجة، قد ساعد التوفیق لجمع من العلماء الأذکیاء و الفضلاء لتکثیر نسخها بطریق الانطباع </w:t>
      </w:r>
      <w:r>
        <w:rPr>
          <w:rStyle w:val="FootnoteAnchor"/>
          <w:rtl w:val="true"/>
        </w:rPr>
        <w:footnoteReference w:id="67"/>
      </w:r>
      <w:r>
        <w:rPr>
          <w:rFonts w:ascii="IRNazanin" w:hAnsi="IRNazanin" w:eastAsia="IRNazanin"/>
          <w:color w:val="111111"/>
          <w:sz w:val="28"/>
          <w:sz w:val="28"/>
          <w:szCs w:val="28"/>
          <w:rtl w:val="true"/>
          <w:lang w:bidi="fa-IR"/>
        </w:rPr>
        <w:t>بعد صرف الهمّة و بذل السعة فی تصحیحها و إخراج الغث من سمینها مع النسخة المصحّحة بإملائه الشریف و نظره المنیف، و المرجو من اللّٰه أن ینتفع بها الطالبون و یستفید منه الراغبون إنّه القادر علی ما یشاء، و بیده أزمّة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طبعت مع هذه الطبعة من الطهارة الرسائل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عن المیّت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المواسعة و المضایقة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 و الضرار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رمزنا لهذه النسخة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تقدّمت مکتبة آیة اللّٰه المرعشی قدس سره بمصوّرة الکتاب مشکورة</w:t>
      </w:r>
      <w:r>
        <w:rPr>
          <w:rFonts w:eastAsia="IRNazanin" w:cs="IRNazanin"/>
          <w:color w:val="111111"/>
          <w:sz w:val="28"/>
          <w:szCs w:val="28"/>
          <w:rtl w:val="true"/>
          <w:lang w:bidi="fa-IR"/>
        </w:rPr>
        <w:t>.</w:t>
      </w:r>
      <w:bookmarkStart w:id="246" w:name="pg13031_131717"/>
    </w:p>
    <w:p>
      <w:pPr>
        <w:pStyle w:val="Heading6"/>
        <w:numPr>
          <w:ilvl w:val="5"/>
          <w:numId w:val="1"/>
        </w:numPr>
        <w:rPr/>
      </w:pPr>
      <w:bookmarkStart w:id="247" w:name="__RefHeading___Toc6281609_3224264995"/>
      <w:bookmarkStart w:id="248" w:name="_Toc106"/>
      <w:bookmarkEnd w:id="246"/>
      <w:bookmarkEnd w:id="247"/>
      <w:r>
        <w:rPr>
          <w:rtl w:val="true"/>
        </w:rPr>
        <w:t>النسخة الثانیة</w:t>
      </w:r>
      <w:r>
        <w:rPr>
          <w:rtl w:val="true"/>
        </w:rPr>
        <w:t>:</w:t>
      </w:r>
      <w:bookmarkEnd w:id="248"/>
    </w:p>
    <w:p>
      <w:pPr>
        <w:pStyle w:val="BookText"/>
        <w:rPr/>
      </w:pPr>
      <w:r>
        <w:rPr>
          <w:rFonts w:ascii="IRNazanin" w:hAnsi="IRNazanin" w:eastAsia="IRNazanin"/>
          <w:color w:val="111111"/>
          <w:sz w:val="28"/>
          <w:sz w:val="28"/>
          <w:szCs w:val="28"/>
          <w:rtl w:val="true"/>
          <w:lang w:bidi="fa-IR"/>
        </w:rPr>
        <w:t xml:space="preserve">و الظاهر أنها أول نسخة طبعت بعد وفاته أی عام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کالنسخة الأولی إلا أنّ فی ذیلها بدل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أکمل اللّٰه بوجوده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عزه و علاه فی عقباه و أولاه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مربّی الفضلاء الکرام بل أستاذ العلماء الأعلام، الراحل من دار الفناء الواصل إلی دار البقاء، مرتضی المصطفی، و مصطفی المرتضی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دالة علی أن طبع الکتاب تمّ بعد وفاته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الرسائل الملحقة بها هی نفس الرسائل الملحقة بالنسخة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تقدّمت مکتبة آیة اللّٰه المرعشی قدس سره بمصوّرة هذا الکتاب أیضا</w:t>
      </w:r>
      <w:r>
        <w:rPr>
          <w:rFonts w:eastAsia="IRNazanin" w:cs="IRNazanin"/>
          <w:color w:val="111111"/>
          <w:sz w:val="28"/>
          <w:szCs w:val="28"/>
          <w:rtl w:val="true"/>
          <w:lang w:bidi="fa-IR"/>
        </w:rPr>
        <w:t>.</w:t>
      </w:r>
    </w:p>
    <w:p>
      <w:pPr>
        <w:pStyle w:val="Heading6"/>
        <w:numPr>
          <w:ilvl w:val="5"/>
          <w:numId w:val="1"/>
        </w:numPr>
        <w:rPr/>
      </w:pPr>
      <w:bookmarkStart w:id="249" w:name="__RefHeading___Toc6281611_3224264995"/>
      <w:bookmarkStart w:id="250" w:name="_Toc107"/>
      <w:bookmarkEnd w:id="249"/>
      <w:r>
        <w:rPr>
          <w:rtl w:val="true"/>
        </w:rPr>
        <w:t>النسخة الثالثة</w:t>
      </w:r>
      <w:r>
        <w:rPr>
          <w:rtl w:val="true"/>
        </w:rPr>
        <w:t>:</w:t>
      </w:r>
      <w:bookmarkEnd w:id="250"/>
    </w:p>
    <w:p>
      <w:pPr>
        <w:pStyle w:val="BookText"/>
        <w:rPr/>
      </w:pPr>
      <w:r>
        <w:rPr>
          <w:rFonts w:ascii="IRNazanin" w:hAnsi="IRNazanin" w:eastAsia="IRNazanin"/>
          <w:color w:val="111111"/>
          <w:sz w:val="28"/>
          <w:sz w:val="28"/>
          <w:szCs w:val="28"/>
          <w:rtl w:val="true"/>
          <w:lang w:bidi="fa-IR"/>
        </w:rPr>
        <w:t xml:space="preserve">و هی نسخة مطبوعة عام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الزکاة و الخمس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Heading6"/>
        <w:numPr>
          <w:ilvl w:val="5"/>
          <w:numId w:val="1"/>
        </w:numPr>
        <w:rPr/>
      </w:pPr>
      <w:bookmarkStart w:id="251" w:name="__RefHeading___Toc6281613_3224264995"/>
      <w:bookmarkStart w:id="252" w:name="_Toc108"/>
      <w:bookmarkEnd w:id="251"/>
      <w:r>
        <w:rPr>
          <w:rtl w:val="true"/>
        </w:rPr>
        <w:t>النسخة الرابعة</w:t>
      </w:r>
      <w:r>
        <w:rPr>
          <w:rtl w:val="true"/>
        </w:rPr>
        <w:t>:</w:t>
      </w:r>
      <w:bookmarkEnd w:id="252"/>
    </w:p>
    <w:p>
      <w:pPr>
        <w:pStyle w:val="BookText"/>
        <w:rPr/>
      </w:pPr>
      <w:r>
        <w:rPr>
          <w:rFonts w:ascii="IRNazanin" w:hAnsi="IRNazanin" w:eastAsia="IRNazanin"/>
          <w:color w:val="111111"/>
          <w:sz w:val="28"/>
          <w:sz w:val="28"/>
          <w:szCs w:val="28"/>
          <w:rtl w:val="true"/>
          <w:lang w:bidi="fa-IR"/>
        </w:rPr>
        <w:t xml:space="preserve">و هی مطبوعة عام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تفضّل بهذه النسخة سماحة آیة اللّٰه السید محمد الرجائی 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تحتوی مضافا إلی الطهارة علی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و الخمس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Heading6"/>
        <w:numPr>
          <w:ilvl w:val="5"/>
          <w:numId w:val="1"/>
        </w:numPr>
        <w:rPr/>
      </w:pPr>
      <w:bookmarkStart w:id="253" w:name="__RefHeading___Toc6281615_3224264995"/>
      <w:bookmarkStart w:id="254" w:name="_Toc109"/>
      <w:bookmarkEnd w:id="253"/>
      <w:r>
        <w:rPr>
          <w:rtl w:val="true"/>
        </w:rPr>
        <w:t>النسخة الخامسة</w:t>
      </w:r>
      <w:r>
        <w:rPr>
          <w:rtl w:val="true"/>
        </w:rPr>
        <w:t>:</w:t>
      </w:r>
      <w:bookmarkEnd w:id="254"/>
    </w:p>
    <w:p>
      <w:pPr>
        <w:pStyle w:val="BookText"/>
        <w:rPr/>
      </w:pPr>
      <w:r>
        <w:rPr>
          <w:rFonts w:ascii="Amiri" w:hAnsi="Amiri" w:eastAsia="Amiri" w:cs="Amiri"/>
          <w:color w:val="111111"/>
          <w:sz w:val="28"/>
          <w:sz w:val="28"/>
          <w:szCs w:val="28"/>
          <w:rtl w:val="true"/>
          <w:lang w:bidi="ar-SA"/>
        </w:rPr>
        <w:t xml:space="preserve">و الظاهر أنها مستنسخة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مطبوعة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تفضّل بهذه النسخة صاحب الفضیلة المحقق سماحة حجة الإسلام</w:t>
      </w:r>
      <w:bookmarkStart w:id="255" w:name="pg13031_131718"/>
    </w:p>
    <w:p>
      <w:pPr>
        <w:pStyle w:val="BookText"/>
        <w:rPr/>
      </w:pPr>
      <w:bookmarkEnd w:id="255"/>
      <w:r>
        <w:rPr>
          <w:rFonts w:ascii="IRNazanin" w:hAnsi="IRNazanin" w:eastAsia="IRNazanin"/>
          <w:color w:val="111111"/>
          <w:sz w:val="28"/>
          <w:sz w:val="28"/>
          <w:szCs w:val="28"/>
          <w:rtl w:val="true"/>
          <w:lang w:bidi="fa-IR"/>
        </w:rPr>
        <w:t>و المسلمین الشیخ محمد باقر حسن‌پور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تحتوی کسابقتها علی کتب الزکاة و الخمس و 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رمزنا لهذه النسخة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تبیّن لنا خلال العمل أنّ النسخة الأخیرة، و هی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 من غیرها من النسخ، و لذلک اعتمدنا علیها أکثر من غیرها</w:t>
      </w:r>
      <w:r>
        <w:rPr>
          <w:rFonts w:eastAsia="IRNazanin" w:cs="IRNazanin"/>
          <w:color w:val="111111"/>
          <w:sz w:val="28"/>
          <w:szCs w:val="28"/>
          <w:rtl w:val="true"/>
          <w:lang w:bidi="fa-IR"/>
        </w:rPr>
        <w:t>.</w:t>
      </w:r>
    </w:p>
    <w:p>
      <w:pPr>
        <w:pStyle w:val="Heading6"/>
        <w:numPr>
          <w:ilvl w:val="5"/>
          <w:numId w:val="1"/>
        </w:numPr>
        <w:rPr/>
      </w:pPr>
      <w:bookmarkStart w:id="256" w:name="__RefHeading___Toc6281617_3224264995"/>
      <w:bookmarkStart w:id="257" w:name="_Toc110"/>
      <w:bookmarkEnd w:id="256"/>
      <w:r>
        <w:rPr>
          <w:rtl w:val="true"/>
        </w:rPr>
        <w:t>منهج التحقیق فی هذا الکتاب</w:t>
      </w:r>
      <w:r>
        <w:rPr>
          <w:rtl w:val="true"/>
        </w:rPr>
        <w:t>:</w:t>
      </w:r>
      <w:bookmarkEnd w:id="257"/>
    </w:p>
    <w:p>
      <w:pPr>
        <w:pStyle w:val="Heading6"/>
        <w:numPr>
          <w:ilvl w:val="5"/>
          <w:numId w:val="1"/>
        </w:numPr>
        <w:rPr/>
      </w:pPr>
      <w:bookmarkStart w:id="258" w:name="__RefHeading___Toc6281619_3224264995"/>
      <w:bookmarkStart w:id="259" w:name="_Toc111"/>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انتهجنا فی تحقیق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کتب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 لجان متعددة تقوم کلّ منها بمهمّتها الخاصة بها، فلذلک تشکّلت اللجان التالیة</w:t>
      </w:r>
      <w:r>
        <w:rPr>
          <w:rFonts w:eastAsia="IRNazanin" w:cs="IRNazanin"/>
          <w:color w:val="111111"/>
          <w:sz w:val="28"/>
          <w:szCs w:val="28"/>
          <w:rtl w:val="true"/>
          <w:lang w:bidi="fa-IR"/>
        </w:rPr>
        <w:t>:</w:t>
      </w:r>
    </w:p>
    <w:p>
      <w:pPr>
        <w:pStyle w:val="Heading6"/>
        <w:numPr>
          <w:ilvl w:val="5"/>
          <w:numId w:val="1"/>
        </w:numPr>
        <w:rPr/>
      </w:pPr>
      <w:bookmarkStart w:id="260" w:name="__RefHeading___Toc6281621_3224264995"/>
      <w:bookmarkStart w:id="261" w:name="_Toc112"/>
      <w:bookmarkEnd w:id="260"/>
      <w:r>
        <w:rPr>
          <w:rtl w:val="true"/>
        </w:rPr>
        <w:t>أولا</w:t>
      </w:r>
      <w:r>
        <w:rPr>
          <w:rtl w:val="true"/>
        </w:rPr>
        <w:t xml:space="preserve">- </w:t>
      </w:r>
      <w:r>
        <w:rPr>
          <w:rtl w:val="true"/>
        </w:rPr>
        <w:t>لجنة المقابلة</w:t>
      </w:r>
      <w:r>
        <w:rPr>
          <w:rtl w:val="true"/>
        </w:rPr>
        <w:t>:</w:t>
      </w:r>
      <w:bookmarkEnd w:id="261"/>
    </w:p>
    <w:p>
      <w:pPr>
        <w:pStyle w:val="BookText"/>
        <w:rPr/>
      </w:pPr>
      <w:r>
        <w:rPr>
          <w:rFonts w:ascii="IRNazanin" w:hAnsi="IRNazanin" w:eastAsia="IRNazanin"/>
          <w:color w:val="111111"/>
          <w:sz w:val="28"/>
          <w:sz w:val="28"/>
          <w:szCs w:val="28"/>
          <w:rtl w:val="true"/>
          <w:lang w:bidi="fa-IR"/>
        </w:rPr>
        <w:t>و کانت مهمة هذه اللجنة مقابلة النسخ بعضها مع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استنساخها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ضبط موارد الاختلاف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اشترک فی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السید هادی العظیمی، و حجة الإسلام الشیخ محمد نقی الراشدی، و الأخ صادق الحسّون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شارکهم فی ذلک آخرون فی فترات قصیرة</w:t>
      </w:r>
      <w:r>
        <w:rPr>
          <w:rFonts w:eastAsia="IRNazanin" w:cs="IRNazanin"/>
          <w:color w:val="111111"/>
          <w:sz w:val="28"/>
          <w:szCs w:val="28"/>
          <w:rtl w:val="true"/>
          <w:lang w:bidi="fa-IR"/>
        </w:rPr>
        <w:t>.</w:t>
      </w:r>
    </w:p>
    <w:p>
      <w:pPr>
        <w:pStyle w:val="Heading6"/>
        <w:numPr>
          <w:ilvl w:val="5"/>
          <w:numId w:val="1"/>
        </w:numPr>
        <w:rPr/>
      </w:pPr>
      <w:bookmarkStart w:id="262" w:name="__RefHeading___Toc6281623_3224264995"/>
      <w:bookmarkStart w:id="263" w:name="_Toc113"/>
      <w:bookmarkEnd w:id="262"/>
      <w:r>
        <w:rPr>
          <w:rtl w:val="true"/>
        </w:rPr>
        <w:t>ثانیا</w:t>
      </w:r>
      <w:r>
        <w:rPr>
          <w:rtl w:val="true"/>
        </w:rPr>
        <w:t xml:space="preserve">- </w:t>
      </w:r>
      <w:r>
        <w:rPr>
          <w:rtl w:val="true"/>
        </w:rPr>
        <w:t>لجنة الاستخراج</w:t>
      </w:r>
      <w:r>
        <w:rPr>
          <w:rtl w:val="true"/>
        </w:rPr>
        <w:t>:</w:t>
      </w:r>
      <w:bookmarkEnd w:id="263"/>
    </w:p>
    <w:p>
      <w:pPr>
        <w:pStyle w:val="BookText"/>
        <w:rPr/>
      </w:pPr>
      <w:r>
        <w:rPr>
          <w:rFonts w:ascii="IRNazanin" w:hAnsi="IRNazanin" w:eastAsia="IRNazanin"/>
          <w:color w:val="111111"/>
          <w:sz w:val="28"/>
          <w:sz w:val="28"/>
          <w:szCs w:val="28"/>
          <w:rtl w:val="true"/>
          <w:lang w:bidi="fa-IR"/>
        </w:rPr>
        <w:t>و کانت مسئولیة هذه اللجنة استخراج مصادر النصوص أی الآیات و الروایات و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تشکّلت اللجنة من أصحاب السماحة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 المسلمین السید یحیی الحسینی الأراکی الذی استخرج قسما وافرا من الکتاب</w:t>
      </w:r>
      <w:r>
        <w:rPr>
          <w:rFonts w:eastAsia="IRNazanin" w:cs="IRNazanin"/>
          <w:color w:val="111111"/>
          <w:sz w:val="28"/>
          <w:szCs w:val="28"/>
          <w:rtl w:val="true"/>
          <w:lang w:bidi="fa-IR"/>
        </w:rPr>
        <w:t>.</w:t>
      </w:r>
      <w:bookmarkStart w:id="264" w:name="pg13031_131719"/>
    </w:p>
    <w:p>
      <w:pPr>
        <w:pStyle w:val="BookText"/>
        <w:rPr/>
      </w:pPr>
      <w:bookmarkEnd w:id="26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 المسلمین الشیخ صادق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 المسلمین الشیخ حافظ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 المسلمین السید جواد الشفیعی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 المسلمین الشیخ علی أکبر محراب‌زاده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 المسلمین الشیخ مصطفی الهروی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 المسلمین الشیخ محمد نقی الراشدی</w:t>
      </w:r>
      <w:r>
        <w:rPr>
          <w:rFonts w:eastAsia="IRNazanin" w:cs="IRNazanin"/>
          <w:color w:val="111111"/>
          <w:sz w:val="28"/>
          <w:szCs w:val="28"/>
          <w:rtl w:val="true"/>
          <w:lang w:bidi="fa-IR"/>
        </w:rPr>
        <w:t>.</w:t>
      </w:r>
    </w:p>
    <w:p>
      <w:pPr>
        <w:pStyle w:val="Heading6"/>
        <w:numPr>
          <w:ilvl w:val="5"/>
          <w:numId w:val="1"/>
        </w:numPr>
        <w:rPr/>
      </w:pPr>
      <w:bookmarkStart w:id="265" w:name="__RefHeading___Toc6281625_3224264995"/>
      <w:bookmarkStart w:id="266" w:name="_Toc114"/>
      <w:bookmarkEnd w:id="265"/>
      <w:r>
        <w:rPr>
          <w:rtl w:val="true"/>
        </w:rPr>
        <w:t>ثالثا</w:t>
      </w:r>
      <w:r>
        <w:rPr>
          <w:rtl w:val="true"/>
        </w:rPr>
        <w:t xml:space="preserve">- </w:t>
      </w:r>
      <w:r>
        <w:rPr>
          <w:rtl w:val="true"/>
        </w:rPr>
        <w:t>لجنة مراجعة الاستخراجات</w:t>
      </w:r>
      <w:r>
        <w:rPr>
          <w:rtl w:val="true"/>
        </w:rPr>
        <w:t>:</w:t>
      </w:r>
      <w:bookmarkEnd w:id="266"/>
    </w:p>
    <w:p>
      <w:pPr>
        <w:pStyle w:val="BookText"/>
        <w:rPr/>
      </w:pPr>
      <w:r>
        <w:rPr>
          <w:rFonts w:ascii="IRNazanin" w:hAnsi="IRNazanin" w:eastAsia="IRNazanin"/>
          <w:color w:val="111111"/>
          <w:sz w:val="28"/>
          <w:sz w:val="28"/>
          <w:szCs w:val="28"/>
          <w:rtl w:val="true"/>
          <w:lang w:bidi="fa-IR"/>
        </w:rPr>
        <w:t>و تکفلت هذه اللجنة بمراجعة الاستخراجات مراجعة دقیقة للتأکّد من صحتها و استخراج ما تبقّی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تألفت هذه اللجنة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حجة الإسلام و المسلمین الشیخ محمد باقر حسن‌پور الذی بذل جهدا واسعا فی هذا المشروع بصورة عامة، و فی هذا الکتاب بصورة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حجة الإسلام و المسلمین الشیخ مرتضی الواعظی، الذی بذل جهده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المشروع، و فی هذا الکتاب بصورة خاصة</w:t>
      </w:r>
      <w:r>
        <w:rPr>
          <w:rFonts w:eastAsia="IRNazanin" w:cs="IRNazanin"/>
          <w:color w:val="111111"/>
          <w:sz w:val="28"/>
          <w:szCs w:val="28"/>
          <w:rtl w:val="true"/>
          <w:lang w:bidi="fa-IR"/>
        </w:rPr>
        <w:t>.</w:t>
      </w:r>
    </w:p>
    <w:p>
      <w:pPr>
        <w:pStyle w:val="Heading6"/>
        <w:numPr>
          <w:ilvl w:val="5"/>
          <w:numId w:val="1"/>
        </w:numPr>
        <w:rPr/>
      </w:pPr>
      <w:bookmarkStart w:id="267" w:name="__RefHeading___Toc6281627_3224264995"/>
      <w:bookmarkStart w:id="268" w:name="_Toc115"/>
      <w:bookmarkEnd w:id="267"/>
      <w:r>
        <w:rPr>
          <w:rtl w:val="true"/>
        </w:rPr>
        <w:t>رابعا</w:t>
      </w:r>
      <w:r>
        <w:rPr>
          <w:rtl w:val="true"/>
        </w:rPr>
        <w:t xml:space="preserve">- </w:t>
      </w:r>
      <w:r>
        <w:rPr>
          <w:rtl w:val="true"/>
        </w:rPr>
        <w:t>لجنة تقویم النصّ و المراجعة النهائیة</w:t>
      </w:r>
      <w:r>
        <w:rPr>
          <w:rtl w:val="true"/>
        </w:rPr>
        <w:t>:</w:t>
      </w:r>
      <w:bookmarkEnd w:id="268"/>
    </w:p>
    <w:p>
      <w:pPr>
        <w:pStyle w:val="BookText"/>
        <w:rPr/>
      </w:pPr>
      <w:r>
        <w:rPr>
          <w:rFonts w:ascii="IRNazanin" w:hAnsi="IRNazanin" w:eastAsia="IRNazanin"/>
          <w:color w:val="111111"/>
          <w:sz w:val="28"/>
          <w:sz w:val="28"/>
          <w:szCs w:val="28"/>
          <w:rtl w:val="true"/>
          <w:lang w:bidi="fa-IR"/>
        </w:rPr>
        <w:t>و کانت مهمّة هذه اللجنة تنظیم و عرض متن صحیح من الکتاب، من مجموع النسخ، و الإشارة إلی مواضع الاختلاف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تکوّنت هذه اللجنة من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حجة الإسلام و المسلمین الشیخ رحمة اللّٰه الرحمتی الذی کان له دور کبیر فی تحقیق متن هذا الکتاب و تقویم نصّه بالخصوص و کتب اخری کما سیشار إلی ذلک فی محلّه إن شاء اللّٰه تعالی</w:t>
      </w:r>
      <w:r>
        <w:rPr>
          <w:rFonts w:eastAsia="IRNazanin" w:cs="IRNazanin"/>
          <w:color w:val="111111"/>
          <w:sz w:val="28"/>
          <w:szCs w:val="28"/>
          <w:rtl w:val="true"/>
          <w:lang w:bidi="fa-IR"/>
        </w:rPr>
        <w:t>.</w:t>
      </w:r>
      <w:bookmarkStart w:id="269" w:name="pg13031_131720"/>
    </w:p>
    <w:p>
      <w:pPr>
        <w:pStyle w:val="BookText"/>
        <w:rPr/>
      </w:pPr>
      <w:bookmarkEnd w:id="26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حجة الإسلام و المسلمین السید محمد جواد الجلالی الذی قام بمراجعة الکتاب مراجعة عامّة من ناحیتین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المتن و الهوامش، و من الناحیة الفنیّة، کما تکفّل ذلک بالنسبة إلی غیر کتاب الطهارة أیضا</w:t>
      </w:r>
      <w:r>
        <w:rPr>
          <w:rFonts w:eastAsia="IRNazanin" w:cs="IRNazanin"/>
          <w:color w:val="111111"/>
          <w:sz w:val="28"/>
          <w:szCs w:val="28"/>
          <w:rtl w:val="true"/>
          <w:lang w:bidi="fa-IR"/>
        </w:rPr>
        <w:t>.</w:t>
      </w:r>
    </w:p>
    <w:p>
      <w:pPr>
        <w:pStyle w:val="Heading6"/>
        <w:numPr>
          <w:ilvl w:val="5"/>
          <w:numId w:val="1"/>
        </w:numPr>
        <w:rPr/>
      </w:pPr>
      <w:bookmarkStart w:id="270" w:name="__RefHeading___Toc6281629_3224264995"/>
      <w:bookmarkStart w:id="271" w:name="_Toc116"/>
      <w:bookmarkEnd w:id="270"/>
      <w:r>
        <w:rPr>
          <w:rtl w:val="true"/>
        </w:rPr>
        <w:t>و هنا نری من اللازم أن ننبّه إلی عدّة نقاط مهمّة، و هی</w:t>
      </w:r>
      <w:r>
        <w:rPr>
          <w:rtl w:val="true"/>
        </w:rPr>
        <w:t>:</w:t>
      </w:r>
      <w:bookmarkEnd w:id="27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تکن لدینا النسخة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مخطوطة المؤلف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الطهارة فلذلک قمنا بتصحیح بعض الکلمات التی کانت تبدو أنها مصحّفة أو محرّفة، أو کانت مخالفة للقواعد الأدبیّة من دون إشارة إلی ذلک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اختلافها مع سائر النسخ، فأثبتناها فی المتن، و أشرنا إلی غیرها فی الهامش فی صورة احتمال الصواب فیها، و أعرضنا عن ذلک فی صورة القطع بالخطإ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أغلب الروایات التی کان ینقلها الشیخ قدس سره لم تکن مطابقة للمصدر، و لما لم یمکن الإشارة إلی جمیع الاختلافات فلذلک لم نشر إلی الاختلافات الجزئیة و التی لا دخل لها فی معنی الحدیث، بل أثبتنا الحدیث طبقا لما هو موجود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الاختلافات المؤثّرة فی المعنی، فإن کانت المصادر الحدیثیة متفقة فیما بینها فأثبتنا ما هو المطابق لها و أعرضنا عن ذکر اختلاف النسخ و إن کانت المصادر مختلفة فیما بینها أیضا أثبتنا ما هو متفق مع إحدی النسخ و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بقیة النسخ فی صورة احتمال صحتها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الأقوال المنقولة فلمّا لم تکن منقولة بلفظها غالبا، بل منقولة إمّا بالمعنی، أو مع التلخیص، فلذلک لم نشر إلی الاختلافات فیها أیضا إلّا إذا</w:t>
      </w:r>
    </w:p>
    <w:p>
      <w:pPr>
        <w:pStyle w:val="BookText"/>
        <w:rPr/>
      </w:pPr>
      <w:r>
        <w:rPr>
          <w:rFonts w:ascii="IRNazanin" w:hAnsi="IRNazanin" w:eastAsia="IRNazanin"/>
          <w:color w:val="111111"/>
          <w:sz w:val="28"/>
          <w:sz w:val="28"/>
          <w:szCs w:val="28"/>
          <w:rtl w:val="true"/>
          <w:lang w:bidi="fa-IR"/>
        </w:rPr>
        <w:t>کانت مؤثرة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نشکر اللّٰه تعالی علی ما وفقنا له من تقدیم هذه الخدمة المتواضعة إلی المجالات العلمیة، کما و نسأله تعالی أن یزید فی توفیق إخوتنا الأعزاء فی لجنة التحقیق الذین بذلوا قصاری جهدهم فی هذا السبیل رغم الصعوبات و المشاکل التی واجهوها، کما و نشکر جمیع من کان لهم دور مباشر أو غیر مباشر فی إکمال المشروع بصورة عامة، و نخص منهم بالذکر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الإمام الرضا علیه السلام فی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النجفی المرعشی قدس سره 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المدرسة الفیضیة 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مجلس الشوری الإسلامی فی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جامعة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بفرعیها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لمساعدتها فی تحضیر النسخ الخطیّة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ولیّ العصر عجل اللّٰه فرجه الشریف فی خوانسار، حیث أمدّتنا بإمکانیاتها و بعض خرّیجیها فی بدء أعمالنا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الکلام التی قامت بصف الحروف</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الإسلامی الذی جعل جمیع إمکانیاته فی خدمة هذا المشروع، و خاصّة قسم الکمبیوتر منه، لما بذله من خدمات وافرة، و کما نشکر الأخ الفاضل سماحة حجة الإسلام و المسلمین الشیخ محمود دریاب لما بذله من تقدیم معلومات قیّمة حول نسخ</w:t>
      </w:r>
    </w:p>
    <w:p>
      <w:pPr>
        <w:pStyle w:val="BookText"/>
        <w:rPr/>
      </w:pPr>
      <w:r>
        <w:rPr>
          <w:rFonts w:ascii="IRNazanin" w:hAnsi="IRNazanin" w:eastAsia="IRNazanin"/>
          <w:color w:val="111111"/>
          <w:sz w:val="28"/>
          <w:sz w:val="28"/>
          <w:szCs w:val="28"/>
          <w:rtl w:val="true"/>
          <w:lang w:bidi="fa-IR"/>
        </w:rPr>
        <w:t>کتب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هؤلاء ممّن کان لهم دور ما فی إنجاز هذا المشروع، فلهم جمیعا جزیل الشکر، و نسأل اللّٰه تعالی لنا و لهم مزید التوفیق، کما و نسأله أن یتغمد الإمام الراحل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برحمته الواسعة، و یحفظ قائد الثورة الإسلامیة آیة اللّٰه السید علی الخامنئی دام ظله و یسدّد خطاه لیحرس به الدین، إنّه قریب مجیب</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لجنة التحقیق محمد علی الأنصاری</w:t>
      </w:r>
      <w:bookmarkStart w:id="272" w:name="pg13031_131730"/>
    </w:p>
    <w:p>
      <w:pPr>
        <w:pStyle w:val="Heading2"/>
        <w:numPr>
          <w:ilvl w:val="1"/>
          <w:numId w:val="1"/>
        </w:numPr>
        <w:rPr/>
      </w:pPr>
      <w:bookmarkStart w:id="273" w:name="__RefHeading___Toc6281631_3224264995"/>
      <w:bookmarkStart w:id="274" w:name="_Toc117"/>
      <w:bookmarkEnd w:id="272"/>
      <w:bookmarkEnd w:id="273"/>
      <w:r>
        <w:rPr>
          <w:rtl w:val="true"/>
        </w:rPr>
        <w:t>[</w:t>
      </w:r>
      <w:r>
        <w:rPr>
          <w:rtl w:val="true"/>
        </w:rPr>
        <w:t>شرح کتاب الطهارة من الشرائع</w:t>
      </w:r>
      <w:r>
        <w:rPr>
          <w:rtl w:val="true"/>
        </w:rPr>
        <w:t>]</w:t>
      </w:r>
      <w:bookmarkEnd w:id="274"/>
    </w:p>
    <w:p>
      <w:pPr>
        <w:pStyle w:val="Heading3"/>
        <w:numPr>
          <w:ilvl w:val="2"/>
          <w:numId w:val="1"/>
        </w:numPr>
        <w:rPr/>
      </w:pPr>
      <w:bookmarkStart w:id="275" w:name="__RefHeading___Toc6281633_3224264995"/>
      <w:bookmarkStart w:id="276" w:name="_Toc118"/>
      <w:bookmarkEnd w:id="275"/>
      <w:r>
        <w:rPr>
          <w:rtl w:val="true"/>
        </w:rPr>
        <w:t>اشارة</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للوضوء أو الغسل أو التیمم، علی وجه له تأثیر فی استباحة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منها ینقسم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لصلاة واجبة، أو طواف واجب أو لمس کتابة القرآن إن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المندوب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لأحد الأمور الثلاثة، أو لدخول المساجد أو القراءة العزائم إن وجبا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یجب إذا بقی لطلوع الفجر من یوم یجب صومه، بقدر ما یغتسل الجنب، و لصوم المستحاضة إذا غمس دمها القطنة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المندوب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من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لصلاة واجبة عند تضیّق وقتها، و للجنب فی أحد المسجدین، لیخرج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المندوب ما عداه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تجب الطهارة بنذر و شبهه</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6281635_3224264995"/>
      <w:bookmarkStart w:id="278" w:name="_Toc119"/>
      <w:bookmarkEnd w:id="277"/>
      <w:r>
        <w:rPr>
          <w:rtl w:val="true"/>
        </w:rPr>
        <w:t>[</w:t>
      </w:r>
      <w:r>
        <w:rPr>
          <w:rtl w:val="true"/>
        </w:rPr>
        <w:t>أرکان الکتاب</w:t>
      </w:r>
      <w:r>
        <w:rPr>
          <w:rtl w:val="true"/>
        </w:rPr>
        <w:t>]</w:t>
      </w:r>
      <w:bookmarkEnd w:id="278"/>
    </w:p>
    <w:p>
      <w:pPr>
        <w:pStyle w:val="Heading4"/>
        <w:numPr>
          <w:ilvl w:val="3"/>
          <w:numId w:val="1"/>
        </w:numPr>
        <w:rPr/>
      </w:pPr>
      <w:bookmarkStart w:id="279" w:name="__RefHeading___Toc6281637_3224264995"/>
      <w:bookmarkStart w:id="280" w:name="_Toc120"/>
      <w:bookmarkEnd w:id="279"/>
      <w:r>
        <w:rPr>
          <w:rtl w:val="true"/>
        </w:rPr>
        <w:t>اشارة</w:t>
      </w:r>
      <w:bookmarkEnd w:id="28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الکتاب یعتمد علی أربعة أرکان</w:t>
      </w:r>
      <w:r>
        <w:rPr>
          <w:rFonts w:eastAsia="IRNazanin" w:cs="IRNazanin"/>
          <w:color w:val="111111"/>
          <w:sz w:val="28"/>
          <w:szCs w:val="28"/>
          <w:rtl w:val="true"/>
          <w:lang w:bidi="fa-IR"/>
        </w:rPr>
        <w:t>.)</w:t>
      </w:r>
      <w:bookmarkStart w:id="281" w:name="pg13031_131732"/>
    </w:p>
    <w:p>
      <w:pPr>
        <w:pStyle w:val="Heading4"/>
        <w:numPr>
          <w:ilvl w:val="3"/>
          <w:numId w:val="1"/>
        </w:numPr>
        <w:rPr/>
      </w:pPr>
      <w:bookmarkStart w:id="282" w:name="__RefHeading___Toc6281639_3224264995"/>
      <w:bookmarkStart w:id="283" w:name="_Toc121"/>
      <w:bookmarkEnd w:id="281"/>
      <w:bookmarkEnd w:id="282"/>
      <w:r>
        <w:rPr>
          <w:rtl w:val="true"/>
        </w:rPr>
        <w:t>[</w:t>
      </w:r>
      <w:r>
        <w:rPr>
          <w:rtl w:val="true"/>
        </w:rPr>
        <w:t>الرکن الأوّل فی المیاه</w:t>
      </w:r>
      <w:r>
        <w:rPr>
          <w:rtl w:val="true"/>
        </w:rPr>
        <w:t>]</w:t>
      </w:r>
      <w:bookmarkEnd w:id="283"/>
    </w:p>
    <w:p>
      <w:pPr>
        <w:pStyle w:val="Heading5"/>
        <w:numPr>
          <w:ilvl w:val="4"/>
          <w:numId w:val="1"/>
        </w:numPr>
        <w:rPr/>
      </w:pPr>
      <w:bookmarkStart w:id="284" w:name="__RefHeading___Toc6281641_3224264995"/>
      <w:bookmarkStart w:id="285" w:name="_Toc122"/>
      <w:bookmarkEnd w:id="284"/>
      <w:r>
        <w:rPr>
          <w:rtl w:val="true"/>
        </w:rPr>
        <w:t>اشارة</w:t>
      </w:r>
      <w:bookmarkEnd w:id="285"/>
    </w:p>
    <w:p>
      <w:pPr>
        <w:pStyle w:val="BookText"/>
        <w:rPr/>
      </w:pPr>
      <w:r>
        <w:rPr>
          <w:rFonts w:ascii="IRNazanin" w:hAnsi="IRNazanin" w:eastAsia="IRNazanin"/>
          <w:color w:val="111111"/>
          <w:sz w:val="28"/>
          <w:sz w:val="28"/>
          <w:szCs w:val="28"/>
          <w:rtl w:val="true"/>
          <w:lang w:bidi="fa-IR"/>
        </w:rPr>
        <w:t xml:space="preserve">الرکن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المیاه</w:t>
      </w:r>
      <w:r>
        <w:rPr>
          <w:rFonts w:eastAsia="IRNazanin" w:cs="IRNazanin"/>
          <w:color w:val="111111"/>
          <w:sz w:val="28"/>
          <w:szCs w:val="28"/>
          <w:rtl w:val="true"/>
          <w:lang w:bidi="fa-IR"/>
        </w:rPr>
        <w:t>)</w:t>
      </w:r>
    </w:p>
    <w:p>
      <w:pPr>
        <w:pStyle w:val="Heading5"/>
        <w:numPr>
          <w:ilvl w:val="4"/>
          <w:numId w:val="1"/>
        </w:numPr>
        <w:rPr/>
      </w:pPr>
      <w:bookmarkStart w:id="286" w:name="__RefHeading___Toc6281643_3224264995"/>
      <w:bookmarkStart w:id="287" w:name="_Toc123"/>
      <w:bookmarkEnd w:id="286"/>
      <w:r>
        <w:rPr>
          <w:rtl w:val="true"/>
        </w:rPr>
        <w:t>[</w:t>
      </w:r>
      <w:r>
        <w:rPr>
          <w:rtl w:val="true"/>
        </w:rPr>
        <w:t>و فیه أطراف</w:t>
      </w:r>
      <w:r>
        <w:rPr>
          <w:rtl w:val="true"/>
        </w:rPr>
        <w:t>]</w:t>
      </w:r>
      <w:bookmarkEnd w:id="28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88" w:name="__RefHeading___Toc6281645_3224264995"/>
      <w:bookmarkStart w:id="289" w:name="_Toc124"/>
      <w:bookmarkEnd w:id="288"/>
      <w:r>
        <w:rPr>
          <w:rtl w:val="true"/>
        </w:rPr>
        <w:t>اشارة</w:t>
      </w:r>
      <w:bookmarkEnd w:id="28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Style w:val="FootnoteAnchor"/>
          <w:rtl w:val="true"/>
        </w:rPr>
        <w:footnoteReference w:id="68"/>
      </w:r>
      <w:r>
        <w:rPr>
          <w:rFonts w:ascii="IRNazanin" w:hAnsi="IRNazanin" w:eastAsia="IRNazanin"/>
          <w:color w:val="111111"/>
          <w:sz w:val="28"/>
          <w:sz w:val="28"/>
          <w:szCs w:val="28"/>
          <w:rtl w:val="true"/>
          <w:lang w:bidi="fa-IR"/>
        </w:rPr>
        <w:t>الحمد للّٰه ربّ العالمین و الصلاة و السلام علی محمّد و آله الطاهرین، و لعنة اللّٰه علی أعدائهم أجمعین إلی یوم الدین</w:t>
      </w:r>
      <w:r>
        <w:rPr>
          <w:rFonts w:eastAsia="IRNazanin" w:cs="IRNazanin"/>
          <w:color w:val="111111"/>
          <w:sz w:val="28"/>
          <w:szCs w:val="28"/>
          <w:rtl w:val="true"/>
          <w:lang w:bidi="fa-IR"/>
        </w:rPr>
        <w:t>.</w:t>
      </w:r>
      <w:bookmarkStart w:id="290" w:name="pg13031_131734"/>
    </w:p>
    <w:p>
      <w:pPr>
        <w:pStyle w:val="Heading6"/>
        <w:numPr>
          <w:ilvl w:val="5"/>
          <w:numId w:val="1"/>
        </w:numPr>
        <w:rPr/>
      </w:pPr>
      <w:bookmarkStart w:id="291" w:name="__RefHeading___Toc6281647_3224264995"/>
      <w:bookmarkStart w:id="292" w:name="_Toc125"/>
      <w:bookmarkEnd w:id="290"/>
      <w:bookmarkEnd w:id="291"/>
      <w:r>
        <w:rPr>
          <w:rtl w:val="true"/>
        </w:rPr>
        <w:t>[</w:t>
      </w:r>
      <w:r>
        <w:rPr>
          <w:rtl w:val="true"/>
        </w:rPr>
        <w:t>الطرف</w:t>
      </w:r>
      <w:r>
        <w:rPr>
          <w:rtl w:val="true"/>
        </w:rPr>
        <w:t xml:space="preserve">] </w:t>
      </w:r>
      <w:r>
        <w:rPr>
          <w:rtl w:val="true"/>
        </w:rPr>
        <w:t>الأوّل فی الماء المطلق</w:t>
      </w:r>
      <w:bookmarkEnd w:id="292"/>
    </w:p>
    <w:p>
      <w:pPr>
        <w:pStyle w:val="Heading6"/>
        <w:numPr>
          <w:ilvl w:val="5"/>
          <w:numId w:val="1"/>
        </w:numPr>
        <w:rPr/>
      </w:pPr>
      <w:bookmarkStart w:id="293" w:name="__RefHeading___Toc6281649_3224264995"/>
      <w:bookmarkStart w:id="294" w:name="_Toc126"/>
      <w:bookmarkEnd w:id="293"/>
      <w:r>
        <w:rPr>
          <w:rtl w:val="true"/>
        </w:rPr>
        <w:t>اشارة</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أوضح المفاهیم العرفیة، إلّا أنّ تعریف المصنّف قدّس سرّه کغیره له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یستحقّ </w:t>
      </w:r>
      <w:r>
        <w:rPr>
          <w:rStyle w:val="FootnoteAnchor"/>
          <w:rtl w:val="true"/>
        </w:rPr>
        <w:footnoteReference w:id="69"/>
      </w:r>
      <w:r>
        <w:rPr>
          <w:rFonts w:ascii="IRNazanin" w:hAnsi="IRNazanin" w:eastAsia="IRNazanin"/>
          <w:color w:val="111111"/>
          <w:sz w:val="28"/>
          <w:sz w:val="28"/>
          <w:szCs w:val="28"/>
          <w:rtl w:val="true"/>
          <w:lang w:bidi="fa-IR"/>
        </w:rPr>
        <w:t>إطلاق اسم الماء علیه من غیر 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الإشارة إلی امتیاز أفراده من أفراد غیره عند الاشتباه، و أنّ المائز کون الماء حقیقا بإطلاق الاسم المجرّد علیه، بمعنی بطلان سلبه عنه، فتقییده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الفرد، لا لقبح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شکّ فی تحقّق الضابط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فی الصدق أو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 طاهر مزیل للحدث و 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اجتماع شروط مفصّلة فی محالّها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شکّ فی شی‌ء منها عمل علی أصالة العدم، بناء علی عدم ثبوت</w:t>
      </w:r>
    </w:p>
    <w:p>
      <w:pPr>
        <w:pStyle w:val="BookText"/>
        <w:rPr/>
      </w:pPr>
      <w:r>
        <w:rPr>
          <w:rFonts w:ascii="IRNazanin" w:hAnsi="IRNazanin" w:eastAsia="IRNazanin"/>
          <w:color w:val="111111"/>
          <w:sz w:val="28"/>
          <w:sz w:val="28"/>
          <w:szCs w:val="28"/>
          <w:rtl w:val="true"/>
          <w:lang w:bidi="fa-IR"/>
        </w:rPr>
        <w:t>عموم یرجع إلیه، عدا إطلاق قوله علیه السلام فی روایة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یطهّر و لا یطهّر</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لا عموم له من حیث حذف المتعلّق، لوروده فی مقام الإهمال فی مقابل السلب الکلّی المستفاد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یحکم و لا یحکم علیه، و یعطی و لا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لا من حیث کیفیة التطهیر بالماء، لعدم سوقه لبیان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ثبت الأمر الأوّل أمکن دعوی کون کیفیة التطهیر بالماء مبیّنة عند العرف، و حصوله عندهم بغلبة الماء علی المحلّ القذر بحیث یزیل عین القذارة عن المحلّ القذر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طهارة المائعات النجسة بالاستهلاک فیه، ففی عدّه تطهیرا فی العرف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حکم الماء بحسب أصل الخلقة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وقوع النجاسة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بعد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أقسام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 و محقون و ماء بئر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تثلیث الأقسام بماء البئر عند القدماء واضح، و أمّا عند غیرهم فباعتبار بعض الأحکام المختصّة به بعد وقوع النجاسة فیه</w:t>
      </w:r>
      <w:r>
        <w:rPr>
          <w:rFonts w:eastAsia="IRNazanin" w:cs="IRNazanin"/>
          <w:color w:val="111111"/>
          <w:sz w:val="28"/>
          <w:szCs w:val="28"/>
          <w:rtl w:val="true"/>
          <w:lang w:bidi="fa-IR"/>
        </w:rPr>
        <w:t>.</w:t>
      </w:r>
      <w:bookmarkStart w:id="295" w:name="pg13031_131736"/>
    </w:p>
    <w:p>
      <w:pPr>
        <w:pStyle w:val="Heading6"/>
        <w:numPr>
          <w:ilvl w:val="5"/>
          <w:numId w:val="1"/>
        </w:numPr>
        <w:rPr/>
      </w:pPr>
      <w:bookmarkStart w:id="296" w:name="__RefHeading___Toc6281651_3224264995"/>
      <w:bookmarkStart w:id="297" w:name="_Toc127"/>
      <w:bookmarkEnd w:id="295"/>
      <w:bookmarkEnd w:id="296"/>
      <w:r>
        <w:rPr>
          <w:rtl w:val="true"/>
        </w:rPr>
        <w:t>[</w:t>
      </w:r>
      <w:r>
        <w:rPr>
          <w:rtl w:val="true"/>
        </w:rPr>
        <w:t>أقسام الماء المطلق</w:t>
      </w:r>
      <w:r>
        <w:rPr>
          <w:rtl w:val="true"/>
        </w:rPr>
        <w:t>]</w:t>
      </w:r>
      <w:bookmarkEnd w:id="297"/>
    </w:p>
    <w:p>
      <w:pPr>
        <w:pStyle w:val="Heading6"/>
        <w:numPr>
          <w:ilvl w:val="5"/>
          <w:numId w:val="1"/>
        </w:numPr>
        <w:rPr/>
      </w:pPr>
      <w:bookmarkStart w:id="298" w:name="__RefHeading___Toc6281653_3224264995"/>
      <w:bookmarkStart w:id="299" w:name="_Toc128"/>
      <w:bookmarkEnd w:id="298"/>
      <w:r>
        <w:rPr>
          <w:rtl w:val="true"/>
        </w:rPr>
        <w:t xml:space="preserve">القسم الأول </w:t>
      </w:r>
      <w:r>
        <w:rPr>
          <w:rtl w:val="true"/>
        </w:rPr>
        <w:t>[</w:t>
      </w:r>
      <w:r>
        <w:rPr>
          <w:rtl w:val="true"/>
        </w:rPr>
        <w:t>الماء الجاری</w:t>
      </w:r>
      <w:r>
        <w:rPr>
          <w:rtl w:val="true"/>
        </w:rPr>
        <w:t>]</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عن مادّة، لا النابع مطلقا، و لا السائل کذلک، خلافا فی الأوّل لصریح شیخنا الشهید الثانی قدّس سرّه </w:t>
      </w:r>
      <w:r>
        <w:rPr>
          <w:rStyle w:val="FootnoteAnchor"/>
          <w:rtl w:val="true"/>
        </w:rPr>
        <w:footnoteReference w:id="71"/>
      </w:r>
      <w:r>
        <w:rPr>
          <w:rFonts w:ascii="Amiri" w:hAnsi="Amiri" w:eastAsia="Amiri" w:cs="Amiri"/>
          <w:color w:val="111111"/>
          <w:sz w:val="28"/>
          <w:sz w:val="28"/>
          <w:szCs w:val="28"/>
          <w:rtl w:val="true"/>
          <w:lang w:bidi="ar-SA"/>
        </w:rPr>
        <w:t xml:space="preserve">و ظاهر جماعة </w:t>
      </w:r>
      <w:r>
        <w:rPr>
          <w:rStyle w:val="FootnoteAnchor"/>
          <w:rtl w:val="true"/>
        </w:rPr>
        <w:footnoteReference w:id="72"/>
      </w:r>
      <w:r>
        <w:rPr>
          <w:rFonts w:ascii="IRNazanin" w:hAnsi="IRNazanin" w:eastAsia="IRNazanin"/>
          <w:color w:val="111111"/>
          <w:sz w:val="28"/>
          <w:sz w:val="28"/>
          <w:szCs w:val="28"/>
          <w:rtl w:val="true"/>
          <w:lang w:bidi="fa-IR"/>
        </w:rPr>
        <w:t>من جعل النابع مطلقا محکوما علیه بحکم الجاری مع حصر الماء فی الأقسام الثلاثة، فیکون وصفه بالجریان للغلبة، أو لجریان الاصطلاح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الغلبة لا توجب مخالفة العرف و اللغة، خصوصا فی مقام حصر الأقسام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جریان الاصطلاح،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عبارات أکثر من تقدّم علی</w:t>
      </w:r>
    </w:p>
    <w:p>
      <w:pPr>
        <w:pStyle w:val="BookText"/>
        <w:rPr/>
      </w:pPr>
      <w:r>
        <w:rPr>
          <w:rFonts w:ascii="IRNazanin" w:hAnsi="IRNazanin" w:eastAsia="IRNazanin"/>
          <w:color w:val="111111"/>
          <w:sz w:val="28"/>
          <w:sz w:val="28"/>
          <w:szCs w:val="28"/>
          <w:rtl w:val="true"/>
          <w:lang w:bidi="fa-IR"/>
        </w:rPr>
        <w:t>المحقّق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کالمقنعة </w:t>
      </w:r>
      <w:r>
        <w:rPr>
          <w:rStyle w:val="FootnoteAnchor"/>
          <w:rtl w:val="true"/>
        </w:rPr>
        <w:footnoteReference w:id="73"/>
      </w:r>
      <w:r>
        <w:rPr>
          <w:rFonts w:ascii="IRNazanin" w:hAnsi="IRNazanin" w:eastAsia="IRNazanin"/>
          <w:color w:val="111111"/>
          <w:sz w:val="28"/>
          <w:sz w:val="28"/>
          <w:szCs w:val="28"/>
          <w:rtl w:val="true"/>
          <w:lang w:bidi="fa-IR"/>
        </w:rPr>
        <w:t xml:space="preserve">و المبسوط </w:t>
      </w:r>
      <w:r>
        <w:rPr>
          <w:rStyle w:val="FootnoteAnchor"/>
          <w:rtl w:val="true"/>
        </w:rPr>
        <w:footnoteReference w:id="74"/>
      </w:r>
      <w:r>
        <w:rPr>
          <w:rFonts w:ascii="IRNazanin" w:hAnsi="IRNazanin" w:eastAsia="IRNazanin"/>
          <w:color w:val="111111"/>
          <w:sz w:val="28"/>
          <w:sz w:val="28"/>
          <w:szCs w:val="28"/>
          <w:rtl w:val="true"/>
          <w:lang w:bidi="fa-IR"/>
        </w:rPr>
        <w:t xml:space="preserve">و السرائر </w:t>
      </w:r>
      <w:r>
        <w:rPr>
          <w:rStyle w:val="FootnoteAnchor"/>
          <w:rtl w:val="true"/>
        </w:rPr>
        <w:footnoteReference w:id="75"/>
      </w:r>
      <w:r>
        <w:rPr>
          <w:rFonts w:ascii="IRNazanin" w:hAnsi="IRNazanin" w:eastAsia="IRNazanin"/>
          <w:color w:val="111111"/>
          <w:sz w:val="28"/>
          <w:sz w:val="28"/>
          <w:szCs w:val="28"/>
          <w:rtl w:val="true"/>
          <w:lang w:bidi="fa-IR"/>
        </w:rPr>
        <w:t xml:space="preserve">و الغنیة </w:t>
      </w:r>
      <w:r>
        <w:rPr>
          <w:rStyle w:val="FootnoteAnchor"/>
          <w:rtl w:val="true"/>
        </w:rPr>
        <w:footnoteReference w:id="76"/>
      </w:r>
      <w:r>
        <w:rPr>
          <w:rFonts w:ascii="IRNazanin" w:hAnsi="IRNazanin" w:eastAsia="IRNazanin"/>
          <w:color w:val="111111"/>
          <w:sz w:val="28"/>
          <w:sz w:val="28"/>
          <w:szCs w:val="28"/>
          <w:rtl w:val="true"/>
          <w:lang w:bidi="fa-IR"/>
        </w:rPr>
        <w:t xml:space="preserve">و الوسیلة </w:t>
      </w:r>
      <w:r>
        <w:rPr>
          <w:rStyle w:val="FootnoteAnchor"/>
          <w:rtl w:val="true"/>
        </w:rPr>
        <w:footnoteReference w:id="77"/>
      </w:r>
      <w:r>
        <w:rPr>
          <w:rFonts w:ascii="IRNazanin" w:hAnsi="IRNazanin" w:eastAsia="IRNazanin"/>
          <w:color w:val="111111"/>
          <w:sz w:val="28"/>
          <w:sz w:val="28"/>
          <w:szCs w:val="28"/>
          <w:rtl w:val="true"/>
          <w:lang w:bidi="fa-IR"/>
        </w:rPr>
        <w:t xml:space="preserve">و الکافی </w:t>
      </w:r>
      <w:r>
        <w:rPr>
          <w:rStyle w:val="FootnoteAnchor"/>
          <w:rtl w:val="true"/>
        </w:rPr>
        <w:footnoteReference w:id="78"/>
      </w:r>
      <w:r>
        <w:rPr>
          <w:rFonts w:ascii="IRNazanin" w:hAnsi="IRNazanin" w:eastAsia="IRNazanin"/>
          <w:color w:val="111111"/>
          <w:sz w:val="28"/>
          <w:sz w:val="28"/>
          <w:szCs w:val="28"/>
          <w:rtl w:val="true"/>
          <w:lang w:bidi="fa-IR"/>
        </w:rPr>
        <w:t xml:space="preserve">و شرح الجمل </w:t>
      </w:r>
      <w:r>
        <w:rPr>
          <w:rStyle w:val="FootnoteAnchor"/>
          <w:rtl w:val="true"/>
        </w:rPr>
        <w:footnoteReference w:id="79"/>
      </w:r>
      <w:r>
        <w:rPr>
          <w:rFonts w:ascii="IRNazanin" w:hAnsi="IRNazanin" w:eastAsia="IRNazanin"/>
          <w:color w:val="111111"/>
          <w:sz w:val="28"/>
          <w:sz w:val="28"/>
          <w:szCs w:val="28"/>
          <w:rtl w:val="true"/>
          <w:lang w:bidi="fa-IR"/>
        </w:rPr>
        <w:t xml:space="preserve">و المعتبر </w:t>
      </w:r>
      <w:r>
        <w:rPr>
          <w:rStyle w:val="FootnoteAnchor"/>
          <w:rtl w:val="true"/>
        </w:rPr>
        <w:footnoteReference w:id="80"/>
      </w:r>
      <w:r>
        <w:rPr>
          <w:rFonts w:ascii="Amiri" w:hAnsi="Amiri" w:eastAsia="Amiri" w:cs="Amiri"/>
          <w:color w:val="111111"/>
          <w:sz w:val="28"/>
          <w:sz w:val="28"/>
          <w:szCs w:val="28"/>
          <w:rtl w:val="true"/>
          <w:lang w:bidi="ar-SA"/>
        </w:rPr>
        <w:t xml:space="preserve">و أکثر کتب العلّامة رحمه اللّٰه </w:t>
      </w:r>
      <w:r>
        <w:rPr>
          <w:rStyle w:val="FootnoteAnchor"/>
          <w:rtl w:val="true"/>
        </w:rPr>
        <w:footnoteReference w:id="81"/>
      </w:r>
      <w:r>
        <w:rPr>
          <w:rFonts w:ascii="IRNazanin" w:hAnsi="IRNazanin" w:eastAsia="IRNazanin"/>
          <w:color w:val="111111"/>
          <w:sz w:val="28"/>
          <w:sz w:val="28"/>
          <w:szCs w:val="28"/>
          <w:rtl w:val="true"/>
          <w:lang w:bidi="fa-IR"/>
        </w:rPr>
        <w:t xml:space="preserve">و الدروس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بملاحظة عنواناتهم و استدلالاتهم علی دفع النجاسة و رفعها عن الجاری فی اعتبار السیلان،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 من أنّ النابع غیر البئر عندهم بحکم الجاری، فلم یعلم ذلک من المشهور، فیحتمل أن یکون عندهم فی حکم البئر، و هو ظاهر المحقّق </w:t>
      </w:r>
      <w:r>
        <w:rPr>
          <w:rStyle w:val="FootnoteAnchor"/>
          <w:rtl w:val="true"/>
        </w:rPr>
        <w:footnoteReference w:id="83"/>
      </w:r>
      <w:r>
        <w:rPr>
          <w:rFonts w:ascii="IRNazanin" w:hAnsi="IRNazanin" w:eastAsia="IRNazanin"/>
          <w:color w:val="111111"/>
          <w:sz w:val="28"/>
          <w:sz w:val="28"/>
          <w:szCs w:val="28"/>
          <w:rtl w:val="true"/>
          <w:lang w:bidi="fa-IR"/>
        </w:rPr>
        <w:t xml:space="preserve">حیث حکم بعدم تطهیر القلیل بالنبع من تحته، معلّلا بأنّ النابع ینجس بالملاقاة، و جعله کاشف اللثام </w:t>
      </w:r>
      <w:r>
        <w:rPr>
          <w:rStyle w:val="FootnoteAnchor"/>
          <w:rtl w:val="true"/>
        </w:rPr>
        <w:footnoteReference w:id="84"/>
      </w:r>
      <w:r>
        <w:rPr>
          <w:rFonts w:ascii="IRNazanin" w:hAnsi="IRNazanin" w:eastAsia="IRNazanin"/>
          <w:color w:val="111111"/>
          <w:sz w:val="28"/>
          <w:sz w:val="28"/>
          <w:szCs w:val="28"/>
          <w:rtl w:val="true"/>
          <w:lang w:bidi="fa-IR"/>
        </w:rPr>
        <w:t>أوضح الاحتمالین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المقنعة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التهذیب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انفعال القلیل من الغدیر النابع و تطهیره بالنزح و عدم انفعال الکثیر منه، بل فی مفتاح الکرامة </w:t>
      </w:r>
      <w:r>
        <w:rPr>
          <w:rStyle w:val="FootnoteAnchor"/>
          <w:rtl w:val="true"/>
        </w:rPr>
        <w:footnoteReference w:id="87"/>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المحقّق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النابع الراکد عند الفقهاء فی حکم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دخول هذا القسم فی الجاری أشبه بکلماتهم من دخوله فی البئر، و أبعد منهما کونه قسما ثالثا، لکنّه غیر مجد بعد اختصاص أدلّة أحکام الجاری عرفا و لغة بالسائل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ثبت حکم لذی المادّة عموما تعیّن جریانه فیه، کما أنّه لو قلنا بدلالة صحیحة ابن بزیع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الآتیة فی حکم ماء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انفعال مطلق ذی المادّة بما عدا التغییر أو علی ارتفاع النجاسة الحاصلة من التغییر عنه بمجرّد زواله مطلقا أو باختلاطه بما یخرج من المادّة و کذا لو ثبت طهارة ماء البئر، أمکن إلحاق هذا الفرد به بالإجماع المرکّب و إن لم یکن بئرا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طهارته علی تقدیر النجاسة بالنزح، فلم یثبت الإلحاق فیه، و إن جزم به بعض المعاصرین </w:t>
      </w:r>
      <w:r>
        <w:rPr>
          <w:rStyle w:val="FootnoteAnchor"/>
          <w:rtl w:val="true"/>
        </w:rPr>
        <w:footnoteReference w:id="89"/>
      </w:r>
      <w:r>
        <w:rPr>
          <w:rFonts w:ascii="IRNazanin" w:hAnsi="IRNazanin" w:eastAsia="IRNazanin"/>
          <w:color w:val="111111"/>
          <w:sz w:val="28"/>
          <w:sz w:val="28"/>
          <w:szCs w:val="28"/>
          <w:rtl w:val="true"/>
          <w:lang w:bidi="fa-IR"/>
        </w:rPr>
        <w:t>نافیا عنه الریب، لکنّه مستند فی ذلک إلی عموم التعلیل بالمادّة فی صحیحة ابن بزیع، لا إلی عدم التفصیل بینه و بین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کفایة مطلق السیلان و لو لا عن مادّة، فهو المحکیّ عن بعض متأخّری المتأخّرین </w:t>
      </w:r>
      <w:r>
        <w:rPr>
          <w:rStyle w:val="FootnoteAnchor"/>
          <w:rtl w:val="true"/>
        </w:rPr>
        <w:footnoteReference w:id="90"/>
      </w:r>
      <w:r>
        <w:rPr>
          <w:rFonts w:ascii="IRNazanin" w:hAnsi="IRNazanin" w:eastAsia="IRNazanin"/>
          <w:color w:val="111111"/>
          <w:sz w:val="28"/>
          <w:sz w:val="28"/>
          <w:szCs w:val="28"/>
          <w:rtl w:val="true"/>
          <w:lang w:bidi="fa-IR"/>
        </w:rPr>
        <w:t>مستندین إلی صدق الجاری علی المیاه الجاریة عن ذوبان الثلج خصوصا إذا لم ینقطع فی السنة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یردّه أنّ الإطلاق مجاز، لمشابهة تلک المیاه بمیاه الشطوط النابعة، و لذا لا یطّرد عرفا فی کلّ ما تلبّس بالجریان و لو کان قلیلا، للقطع بصحّة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الماء المنصبّ من الکوز و غیره من الآنیة، و لذا جعل فی</w:t>
      </w:r>
    </w:p>
    <w:p>
      <w:pPr>
        <w:pStyle w:val="BookText"/>
        <w:rPr/>
      </w:pPr>
      <w:r>
        <w:rPr>
          <w:rFonts w:ascii="IRNazanin" w:hAnsi="IRNazanin" w:eastAsia="IRNazanin"/>
          <w:color w:val="111111"/>
          <w:sz w:val="28"/>
          <w:sz w:val="28"/>
          <w:szCs w:val="28"/>
          <w:rtl w:val="true"/>
          <w:lang w:bidi="fa-IR"/>
        </w:rPr>
        <w:t xml:space="preserve">الأخبار ماء الحمّام إذا کانت له مادّة بمنزلة الجاری </w:t>
      </w:r>
      <w:r>
        <w:rPr>
          <w:rStyle w:val="FootnoteAnchor"/>
          <w:rtl w:val="true"/>
        </w:rPr>
        <w:footnoteReference w:id="91"/>
      </w:r>
      <w:r>
        <w:rPr>
          <w:rFonts w:ascii="IRNazanin" w:hAnsi="IRNazanin" w:eastAsia="IRNazanin"/>
          <w:color w:val="111111"/>
          <w:sz w:val="28"/>
          <w:sz w:val="28"/>
          <w:szCs w:val="28"/>
          <w:rtl w:val="true"/>
          <w:lang w:bidi="fa-IR"/>
        </w:rPr>
        <w:t>مع أنّه جار من المادّة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توصیف ماء الحمّام فی بعض أخباره بالجریان باعتبار المعنی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أغرب بعض من انتصر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w:t>
      </w:r>
      <w:r>
        <w:rPr>
          <w:rStyle w:val="FootnoteAnchor"/>
          <w:rtl w:val="true"/>
        </w:rPr>
        <w:footnoteReference w:id="92"/>
      </w:r>
      <w:r>
        <w:rPr>
          <w:rFonts w:ascii="IRNazanin" w:hAnsi="IRNazanin" w:eastAsia="IRNazanin"/>
          <w:color w:val="111111"/>
          <w:sz w:val="28"/>
          <w:sz w:val="28"/>
          <w:szCs w:val="28"/>
          <w:rtl w:val="true"/>
          <w:lang w:bidi="fa-IR"/>
        </w:rPr>
        <w:t xml:space="preserve">حیث استدلّ بروایة المیزابین الجاریین أحدهما بول و الآخر ماء المطر </w:t>
      </w:r>
      <w:r>
        <w:rPr>
          <w:rStyle w:val="FootnoteAnchor"/>
          <w:rtl w:val="true"/>
        </w:rPr>
        <w:footnoteReference w:id="93"/>
      </w:r>
      <w:r>
        <w:rPr>
          <w:rFonts w:ascii="IRNazanin" w:hAnsi="IRNazanin" w:eastAsia="IRNazanin"/>
          <w:color w:val="111111"/>
          <w:sz w:val="28"/>
          <w:sz w:val="28"/>
          <w:szCs w:val="28"/>
          <w:rtl w:val="true"/>
          <w:lang w:bidi="fa-IR"/>
        </w:rPr>
        <w:t>نظرا إلی شموله لماء المطر بعد انقطاعه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شکّ فی صدق الجاری لأجل الخلاف فی کفایة مجرّد النبع أو السیلان، أو لخفاء صدق النبع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 عن جماعة بالخروج من عین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بعمومات أحکام القلیل و الکثیر أو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یمنع شمول الأوّلین، لأنّ المتیقّن منهما ما لم یکن له مادّة، فیبقی المشکوک تحت عمومات عدم الانفعال إلّا بالتغیّر، و کذا شمول الثالث، لمنع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انصرافه، و لذا حکی فی الحدائق عن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تطهیر مثل هذه الآبار بالنزح، بل بإلقاء الکرّ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الأخیر حسن مع الشکّ فی الصدق، أو الانصراف، أو عدم عموم صحیحة ابن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تطهیر کلّ ذی مادّة بالنزح</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ممنوع جدّا، للإطلاق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الأدلّة، و لم یخرج</w:t>
      </w:r>
    </w:p>
    <w:p>
      <w:pPr>
        <w:pStyle w:val="BookText"/>
        <w:rPr/>
      </w:pPr>
      <w:r>
        <w:rPr>
          <w:rFonts w:ascii="IRNazanin" w:hAnsi="IRNazanin" w:eastAsia="IRNazanin"/>
          <w:color w:val="111111"/>
          <w:sz w:val="28"/>
          <w:sz w:val="28"/>
          <w:szCs w:val="28"/>
          <w:rtl w:val="true"/>
          <w:lang w:bidi="fa-IR"/>
        </w:rPr>
        <w:t>منه إلّا الفرد المتیقّن من الجاری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اختصّ عند المشهور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کثیره و لا قلیله بمجرّد الملاقاة، بل ادّعی الإجماع علی عدم الفرق صریحا فی الغنیة </w:t>
      </w:r>
      <w:r>
        <w:rPr>
          <w:rStyle w:val="FootnoteAnchor"/>
          <w:rtl w:val="true"/>
        </w:rPr>
        <w:footnoteReference w:id="96"/>
      </w:r>
      <w:r>
        <w:rPr>
          <w:rFonts w:ascii="IRNazanin" w:hAnsi="IRNazanin" w:eastAsia="IRNazanin"/>
          <w:color w:val="111111"/>
          <w:sz w:val="28"/>
          <w:sz w:val="28"/>
          <w:szCs w:val="28"/>
          <w:rtl w:val="true"/>
          <w:lang w:bidi="fa-IR"/>
        </w:rPr>
        <w:t xml:space="preserve">و شرح الجمل للقاضی </w:t>
      </w:r>
      <w:r>
        <w:rPr>
          <w:rStyle w:val="FootnoteAnchor"/>
          <w:rtl w:val="true"/>
        </w:rPr>
        <w:footnoteReference w:id="97"/>
      </w:r>
      <w:r>
        <w:rPr>
          <w:rFonts w:ascii="IRNazanin" w:hAnsi="IRNazanin" w:eastAsia="IRNazanin"/>
          <w:color w:val="111111"/>
          <w:sz w:val="28"/>
          <w:sz w:val="28"/>
          <w:szCs w:val="28"/>
          <w:rtl w:val="true"/>
          <w:lang w:bidi="fa-IR"/>
        </w:rPr>
        <w:t xml:space="preserve">و کالصریح فی المعتبر </w:t>
      </w:r>
      <w:r>
        <w:rPr>
          <w:rStyle w:val="FootnoteAnchor"/>
          <w:rtl w:val="true"/>
        </w:rPr>
        <w:footnoteReference w:id="98"/>
      </w:r>
      <w:r>
        <w:rPr>
          <w:rFonts w:ascii="IRNazanin" w:hAnsi="IRNazanin" w:eastAsia="IRNazanin"/>
          <w:color w:val="111111"/>
          <w:sz w:val="28"/>
          <w:sz w:val="28"/>
          <w:szCs w:val="28"/>
          <w:rtl w:val="true"/>
          <w:lang w:bidi="fa-IR"/>
        </w:rPr>
        <w:t xml:space="preserve">و ظاهرا کما عن ظاهر الخلاف </w:t>
      </w:r>
      <w:r>
        <w:rPr>
          <w:rStyle w:val="FootnoteAnchor"/>
          <w:rtl w:val="true"/>
        </w:rPr>
        <w:footnoteReference w:id="99"/>
      </w:r>
      <w:r>
        <w:rPr>
          <w:rFonts w:ascii="IRNazanin" w:hAnsi="IRNazanin" w:eastAsia="IRNazanin"/>
          <w:color w:val="111111"/>
          <w:sz w:val="28"/>
          <w:sz w:val="28"/>
          <w:szCs w:val="28"/>
          <w:rtl w:val="true"/>
          <w:lang w:bidi="fa-IR"/>
        </w:rPr>
        <w:t xml:space="preserve">و حواشی التحریر للمحقّق الثانی </w:t>
      </w:r>
      <w:r>
        <w:rPr>
          <w:rStyle w:val="FootnoteAnchor"/>
          <w:rtl w:val="true"/>
        </w:rPr>
        <w:footnoteReference w:id="100"/>
      </w:r>
      <w:r>
        <w:rPr>
          <w:rFonts w:ascii="IRNazanin" w:hAnsi="IRNazanin" w:eastAsia="IRNazanin"/>
          <w:color w:val="111111"/>
          <w:sz w:val="28"/>
          <w:sz w:val="28"/>
          <w:szCs w:val="28"/>
          <w:rtl w:val="true"/>
          <w:lang w:bidi="fa-IR"/>
        </w:rPr>
        <w:t xml:space="preserve">و مصابیح العلّامة الطباطبائی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علیه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للخلاف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دلّ علی نفی البأس عن البول فی الماء الجاری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بصحیحة ابن مسلم الواردة فی الثوب الّذی یصیبه البول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غسلته فی ماء جار فمرّة واحدة</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بناء علی أنّه یشترط فی الغسل بالماء المنفعل بالملاقاة ورود الماء علی النجاسة، و ظاهر الصحیحة إیراد الثوب علی الجاری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ماء الحمّام بمنزلة الجاری </w:t>
      </w:r>
      <w:r>
        <w:rPr>
          <w:rStyle w:val="FootnoteAnchor"/>
          <w:rtl w:val="true"/>
        </w:rPr>
        <w:footnoteReference w:id="105"/>
      </w:r>
      <w:r>
        <w:rPr>
          <w:rFonts w:ascii="IRNazanin" w:hAnsi="IRNazanin" w:eastAsia="IRNazanin"/>
          <w:color w:val="111111"/>
          <w:sz w:val="28"/>
          <w:sz w:val="28"/>
          <w:szCs w:val="28"/>
          <w:rtl w:val="true"/>
          <w:lang w:bidi="fa-IR"/>
        </w:rPr>
        <w:t>فإنّه ظاهر فی خصوصیة لمطلق الجاری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الحمّام کماء النهر یطهّر بعضه بعضا</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بناء علی شموله للنهر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البئر واسع لا یفسده شی‌ء، إلّا أن یتغیّر ریحه أو طعمه فینزح حتّی یذهب الریح و یطیب الطعم، لأنّ له مادّة</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بناء علی أنّ التعلیل إمّا راجع إلی الفقرة الأولی فیدلّ علی عدم انفعال کلّ ذی مادّة بما عدا التغیّر، و إمّا راجع إلی الفقرة الثانیة فیدلّ علی أنّ کلّ ذی مادّة متغیّر ترتفع نجاسته بزوال تغیّره بتجدّد الماء علیه من المادّة، بل بمطلق الزوال، و هذا لا یجتمع مع انفعال قلیله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عورضت هذه بظواهر انفعال الماء القلیل لزم علی تقدیر التکافؤ الرجوع إلی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اللّٰه الماء طهورا لا ینجّسه شی‌ء إلّا ما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و خصوص المرسل المحکیّ عن نوادر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الجاری لا ینجّسه شی‌ء</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عن دعائم الإسلام عن أمیر المؤمنین علیه السلام قال فی الماء الجاری یمرّ بالجیف و العذرة و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یتوضّأ و یشرب، و لیس ینجّسه شی‌ء ما لم یتغیّر أوصافه، طعمه و لونه و ریحه</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و صریح المحکیّ عن الفقه الرضویّ </w:t>
      </w:r>
      <w:r>
        <w:rPr>
          <w:rStyle w:val="FootnoteAnchor"/>
          <w:rtl w:val="true"/>
        </w:rPr>
        <w:footnoteReference w:id="111"/>
      </w:r>
      <w:r>
        <w:rPr>
          <w:rFonts w:ascii="IRNazanin" w:hAnsi="IRNazanin" w:eastAsia="IRNazanin"/>
          <w:color w:val="111111"/>
          <w:sz w:val="28"/>
          <w:sz w:val="28"/>
          <w:szCs w:val="28"/>
          <w:rtl w:val="true"/>
          <w:lang w:bidi="fa-IR"/>
        </w:rPr>
        <w:t>المنجبر جمیع ذلک بما عرفت، مضافا إلی استصحاب الطهارة و قاعدتها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یضاف إلی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ظاهرا فی أنّ طریق تطهیر</w:t>
      </w:r>
    </w:p>
    <w:p>
      <w:pPr>
        <w:pStyle w:val="BookText"/>
        <w:rPr/>
      </w:pPr>
      <w:r>
        <w:rPr>
          <w:rFonts w:ascii="IRNazanin" w:hAnsi="IRNazanin" w:eastAsia="IRNazanin"/>
          <w:color w:val="111111"/>
          <w:sz w:val="28"/>
          <w:sz w:val="28"/>
          <w:szCs w:val="28"/>
          <w:rtl w:val="true"/>
          <w:lang w:bidi="fa-IR"/>
        </w:rPr>
        <w:t>الجاری المتغیّر بتکاثر الماء من المادّة علیه، و النابع تحتها لا یبلغ الکرّ غالبا، و الصبر إلی أن یبلغه لا یجدی،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أکثر هذه الوجوه نظر، لقصورها دلالة أو سندا، لو لا الإجماعات المعتضدة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أخبار نفی البأس عن البول فی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فلورودها فی حکم البول فی الماء، لا الماء بعد البول، بل الروایة ساکتة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قوله علیه السلام فی بعض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یبول الرجل فی الماء الجاری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أن یبول فی الماء الراکد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لا ینافی انقسام الماء الراکد الّذی یبال فیه إلی ما ینفعل و إلی ما لا ینفعل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الماء الجاری و الراکد فی هذه الأخبار ما لا ینفعل، و أنّ الحکم بالکراهة بعد فرض عدم انفعالهما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تمسّک بروایة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الماء الجاری یبال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لم یخل من وجه، بناء علی ظهورها فی السؤال عن الماء، لا عن البول فیه،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صحیحة ابن سرحان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ماء الحمّام بمنزلة الجاری</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فهی أدلّ علی خلاف المطلب، بناء علی اشتراط بلوغ المادّة المعتبرة فی ماء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بضمیمة ما فی الحیاض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 لأنّ مقتضی التنزیل تساوی الشیئین فی الحکم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ماء الحمّام بعد تقییده بالکرّیة نازل منزلة مطلق الجاری، لثبت به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خلاف ظاهر إطلاق اللفظ، و دلیل اشتراط</w:t>
      </w:r>
    </w:p>
    <w:p>
      <w:pPr>
        <w:pStyle w:val="BookText"/>
        <w:rPr/>
      </w:pPr>
      <w:r>
        <w:rPr>
          <w:rFonts w:ascii="IRNazanin" w:hAnsi="IRNazanin" w:eastAsia="IRNazanin"/>
          <w:color w:val="111111"/>
          <w:sz w:val="28"/>
          <w:sz w:val="28"/>
          <w:szCs w:val="28"/>
          <w:rtl w:val="true"/>
          <w:lang w:bidi="fa-IR"/>
        </w:rPr>
        <w:t>الکرّیة فی ماء الحمّام لا یوجب ملاحظة التقیید فیه فی هذا التنزیل، بل لا وقع للتنزیل بعد أخذ الکرّیة فیه،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 بمنزلة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اعتبار الکرّیة فی ماء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تنزیله بمنزلة الجاری فی تجدّد الماء النظیف منه تدریجا، فترتفع القذارة المتوهّمة من ملاقاة بعضه للنجاسة، فإنّ الماء الراکد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لتوهّم استقرار القذارة المتوهّمة من الملاقاة فیه، فهذا التنزیل لدفع ما فی النفس من الاستقذار الناشئ من ملاقاة النجاسات، فلیس الکلام مسوقا لبیان حکم الجاری من حیث اعتبار الکثرة فیه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عدم صحّة الاستدلال بروایة ابن أبی یعفور المرسلة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الحمّام کماء النهر یطهّر بعضه بعضا</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فإنّ السؤال فیها عن حکم ماء الحمّام مع اغتسال الیهودیّ و شبهه فیه، فالمراد بالتطهیر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رفع القذارة المتوهّمة منه من الملاقاة، و إمّا دفع القذارة الشرعیة و اعتصامه عن الانفعال، فالمراد بالتطهیر حفظ الطهارة، کما فی آیة التطهیر </w:t>
      </w:r>
      <w:r>
        <w:rPr>
          <w:rStyle w:val="FootnoteAnchor"/>
          <w:rtl w:val="true"/>
        </w:rPr>
        <w:footnoteReference w:id="116"/>
      </w:r>
      <w:r>
        <w:rPr>
          <w:rFonts w:ascii="IRNazanin" w:hAnsi="IRNazanin" w:eastAsia="IRNazanin"/>
          <w:color w:val="111111"/>
          <w:sz w:val="28"/>
          <w:sz w:val="28"/>
          <w:szCs w:val="28"/>
          <w:rtl w:val="true"/>
          <w:lang w:bidi="fa-IR"/>
        </w:rPr>
        <w:t xml:space="preserve">و آیة تطهیر مریم </w:t>
      </w:r>
      <w:r>
        <w:rPr>
          <w:rStyle w:val="FootnoteAnchor"/>
          <w:rtl w:val="true"/>
        </w:rPr>
        <w:footnoteReference w:id="117"/>
      </w:r>
      <w:r>
        <w:rPr>
          <w:rFonts w:ascii="Amiri" w:hAnsi="Amiri" w:eastAsia="Amiri" w:cs="Amiri"/>
          <w:color w:val="111111"/>
          <w:sz w:val="28"/>
          <w:sz w:val="28"/>
          <w:szCs w:val="28"/>
          <w:rtl w:val="true"/>
          <w:lang w:bidi="ar-SA"/>
        </w:rPr>
        <w:t>، لا رفع النجاسة المتحقّقة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بعض الفحول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الرفع و یعلم حکم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الفحوی، فممّا یأباه الذوق السلیم، مع أنّ رفع النجاسة المتحقّقة فی بعض النهر أو بعض ماء الحمّام لا یکون بأیّ بعض و علی أیّ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ظاهر عموم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دفعها، فإنّ کلّ</w:t>
      </w:r>
    </w:p>
    <w:p>
      <w:pPr>
        <w:pStyle w:val="BookText"/>
        <w:rPr/>
      </w:pPr>
      <w:r>
        <w:rPr>
          <w:rFonts w:ascii="IRNazanin" w:hAnsi="IRNazanin" w:eastAsia="IRNazanin"/>
          <w:color w:val="111111"/>
          <w:sz w:val="28"/>
          <w:sz w:val="28"/>
          <w:szCs w:val="28"/>
          <w:rtl w:val="true"/>
          <w:lang w:bidi="fa-IR"/>
        </w:rPr>
        <w:t>بعض منه معتصم بالبعض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الروایة أدلّ علی خلاف المطلوب، حیث إنّ ظاهرها اعتصام ماء النهر بعضه ببعض لا بالمادّة، فیدلّ علی اعتبار کثرته فی اعتصامه، و أیضا فمقتضی المماثلة المساواة من الطرفین،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رفع النجاسة المتحقّقة فی ماء الحمّام لا یکون إلّا بالمادّة البالغة کرّا، فمقتضی المماثلة اعتبار ذلک فی الجاری إذا تنجّس بعضه، و هذا عین مذهب العلّامة فی الجاری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أنّ فی اختصاص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بالنابع ثمّ فی شموله لما دون الکرّ تأمّلا أو منعا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صحیحة ابن بزیع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فیها رجوع التعلیل إلی ترتّب ذهاب الریح و طیب الطعم علی النزح، لأنّ هذا الترتیب </w:t>
      </w:r>
      <w:r>
        <w:rPr>
          <w:rStyle w:val="FootnoteAnchor"/>
          <w:rtl w:val="true"/>
        </w:rPr>
        <w:footnoteReference w:id="121"/>
      </w:r>
      <w:r>
        <w:rPr>
          <w:rFonts w:ascii="IRNazanin" w:hAnsi="IRNazanin" w:eastAsia="IRNazanin"/>
          <w:color w:val="111111"/>
          <w:sz w:val="28"/>
          <w:sz w:val="28"/>
          <w:szCs w:val="28"/>
          <w:rtl w:val="true"/>
          <w:lang w:bidi="fa-IR"/>
        </w:rPr>
        <w:t>مستند إلی المادّة،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شیخنا البهائی فی الحبل المتین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قول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لازم غریمک حتّی یوفّیک حقّک، فإنّه </w:t>
      </w:r>
      <w:r>
        <w:rPr>
          <w:rStyle w:val="FootnoteAnchor"/>
          <w:rtl w:val="true"/>
        </w:rPr>
        <w:footnoteReference w:id="123"/>
      </w:r>
      <w:r>
        <w:rPr>
          <w:rFonts w:ascii="IRNazanin" w:hAnsi="IRNazanin" w:eastAsia="IRNazanin"/>
          <w:color w:val="111111"/>
          <w:sz w:val="28"/>
          <w:sz w:val="28"/>
          <w:szCs w:val="28"/>
          <w:rtl w:val="true"/>
          <w:lang w:bidi="fa-IR"/>
        </w:rPr>
        <w:t>یکره ملازمتک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ظهوره فی الرجوع إلی ما ذکر فی الاستدلال عریّة عن الشاهد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 فی طریق تطهیر الجاری إذا تنجّس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شی‌ء لم یذکره عدا من نصّ علی عدم انفعال القلیل من الجاری بالملاقاة، فلا یکون فیه حجّة علی من خالفهم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ذکره العلّامة أیضا فی المنتهی </w:t>
      </w:r>
      <w:r>
        <w:rPr>
          <w:rStyle w:val="FootnoteAnchor"/>
          <w:rtl w:val="true"/>
        </w:rPr>
        <w:footnoteReference w:id="125"/>
      </w:r>
      <w:r>
        <w:rPr>
          <w:rFonts w:ascii="IRNazanin" w:hAnsi="IRNazanin" w:eastAsia="IRNazanin"/>
          <w:color w:val="111111"/>
          <w:sz w:val="28"/>
          <w:sz w:val="28"/>
          <w:szCs w:val="28"/>
          <w:rtl w:val="true"/>
          <w:lang w:bidi="fa-IR"/>
        </w:rPr>
        <w:t>مع قوله بانفعال قلیل الجاری، و لا بدّ من حمل کلامه علی ما إذا علم کرّیة الطاهر الغالب علی المتنجّس المتغیّر و لو بضمیمة ما فی المادّة، فإنّ الظاهر أنّه یکفی عند مشترط الکثرة فی الجاری بلوغه مع ما فی المادّة کرّا، لکن علیه أن یراعی ما یعتبر فی اعتصام الکرّ من تساوی سطح الماء أو کون العالی 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صحیحة ابن مسلم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بها مبنیّ علی الفرق بین الورودین، و سیأتی الإشکال فیه، مع أنّها علی تقدیر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کالمحکیّ عن النوادر و الدعائم و الرضویّ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بإطلاق أدلّة إناطة الاعتصام بالکثرة، و التقیید فی إطلاقات الجاری إخراج للفرد النادر، لأنّ ما لا یبلغ مع ما فی المادّة بل بنفسه کرّا قلیل، بخلاف تقیید الماء بغیر الجاری فی أدلّة إناطة الاعتصام، فإنّه إخراج للفرد المتعارف</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الخارج عن أحد الإطلاقین هو الجاری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یتفاوت الحال بین خروجه عن إطلاقات الجاری أو عن تلک 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الخارج من أدلّة إناطة الاعتصام بالکثرة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قوله علیه السلام بعد السؤال عن الماء الّذی لا ینجّسه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الکرّ من الماء</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مطلق الجاری، فیکون المقسم فی هذه الأدلّة هو الماء الراکد، و هذا أبعد من</w:t>
      </w:r>
    </w:p>
    <w:p>
      <w:pPr>
        <w:pStyle w:val="BookText"/>
        <w:rPr/>
      </w:pPr>
      <w:r>
        <w:rPr>
          <w:rFonts w:ascii="IRNazanin" w:hAnsi="IRNazanin" w:eastAsia="IRNazanin"/>
          <w:color w:val="111111"/>
          <w:sz w:val="28"/>
          <w:sz w:val="28"/>
          <w:szCs w:val="28"/>
          <w:rtl w:val="true"/>
          <w:lang w:bidi="fa-IR"/>
        </w:rPr>
        <w:t>تقیید الجاری بما یبلغ الکرّ، کما لا یخفی علی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شهادة الاعتبار بأنّ المعیار فی عدم تأثیر النجاسة فی الماء هی غلبة الماء و استهلاکه لها، و النبع عن مادّة لا دخل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یوهن هذا الاعتبار ملاحظة حکم ماء المطر،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ذکر </w:t>
      </w:r>
      <w:r>
        <w:rPr>
          <w:rStyle w:val="FootnoteAnchor"/>
          <w:rtl w:val="true"/>
        </w:rPr>
        <w:footnoteReference w:id="130"/>
      </w:r>
      <w:r>
        <w:rPr>
          <w:rFonts w:ascii="IRNazanin" w:hAnsi="IRNazanin" w:eastAsia="IRNazanin"/>
          <w:color w:val="111111"/>
          <w:sz w:val="28"/>
          <w:sz w:val="28"/>
          <w:szCs w:val="28"/>
          <w:rtl w:val="true"/>
          <w:lang w:bidi="fa-IR"/>
        </w:rPr>
        <w:t xml:space="preserve">من الرجوع إلی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 طهورا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المرجع بعد التکافؤ </w:t>
      </w:r>
      <w:r>
        <w:rPr>
          <w:rStyle w:val="FootnoteAnchor"/>
          <w:rtl w:val="true"/>
        </w:rPr>
        <w:footnoteReference w:id="131"/>
      </w:r>
      <w:r>
        <w:rPr>
          <w:rFonts w:ascii="IRNazanin" w:hAnsi="IRNazanin" w:eastAsia="IRNazanin"/>
          <w:color w:val="111111"/>
          <w:sz w:val="28"/>
          <w:sz w:val="28"/>
          <w:szCs w:val="28"/>
          <w:rtl w:val="true"/>
          <w:lang w:bidi="fa-IR"/>
        </w:rPr>
        <w:t>فهو مبنیّ علی عدم کون الانفعال من مقتضیات نفس الملاقاة و کون الجریان کالکرّیة عاصما مانعا من 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فیه تأمّل، من ظهور 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الهّٰک الماء طهورا لا ینجّسه شی‌ء إلّا ما غیّر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فی أنّ الماء بنفسه غیر قابل للانفعال، خرج من ذلک الراکد حیث دلّت أدلّة الکرّیة علی أنّ اعتصامه و عدم انفعاله لأجل کرّیّته لا لنفسه، و من ضعف الروایة، فیجب العمل بمقتضی أدلّة الکرّیة الظاهرة فی کون الماء بنفسه قابلا للانفعال بالملاقاة إلّا إذا کان کرّا، فإنّ الکرّیة توجب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عدم التکافؤ الموجب للرجوع إلی الأصل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الشهید قدّس سرّه 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الکرّیة علی الأصحّ، نعم یشترط دوام النبع </w:t>
      </w:r>
      <w:r>
        <w:rPr>
          <w:rStyle w:val="FootnoteAnchor"/>
          <w:rtl w:val="true"/>
        </w:rPr>
        <w:footnoteReference w:id="13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یتّضح لمن تأخّر عنه مقصوده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النبع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ظاهره غیر مراد قطعا،</w:t>
      </w:r>
    </w:p>
    <w:p>
      <w:pPr>
        <w:pStyle w:val="BookText"/>
        <w:rPr/>
      </w:pPr>
      <w:r>
        <w:rPr>
          <w:rFonts w:ascii="IRNazanin" w:hAnsi="IRNazanin" w:eastAsia="IRNazanin"/>
          <w:color w:val="111111"/>
          <w:sz w:val="28"/>
          <w:sz w:val="28"/>
          <w:szCs w:val="28"/>
          <w:rtl w:val="true"/>
          <w:lang w:bidi="fa-IR"/>
        </w:rPr>
        <w:t>فیحتمل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یحترز بذلک عن العیون الّتی تجری فی الشتاء و تجفّ فی الصیف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یحترز به عن مثل الآبار، حیث إنّها تنبع حتّی یعلو الماء إلی مقابل النبع فیقف، فإذا نقص منه أخذ فی النبع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یحترز به عمّا ینقطع زمانا 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سدّ المادّة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فیعتبر الجریان حین ملاقاة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یحترز به عن العیون الصغار الّتی ترشّح آنا فآنا بحیث لا یتّصل نبعة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القابل للإرادة و المحتاج إلی البیان هو الاحتمال الثانی، فتکون العیون الراکدة عنده غیر ملحقة بالجاری، و یکون الجریان فعلا معتبرا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 علی تقدیر عدم اعتبار الکرّیة، لأنّه المتیقّن من الأدلّة السابقة و من معقد الشهرة و الإجماعات المتقدّمة، لما عرفت أنّ الجاری عندهم هو السائل عن 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مدرک الحکم صحیحة ابن بزیع عمّ الحکم لمطلق ذی المادّة بشرط اتصاله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فالجاری لا ینجس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ضمن متنجّس، علی ما هو الغالب من تغیّر الجزء البعید من الماء بالجزء القریب المتغیّر بعین النجاسة الواقعة فیه، بل و لو لم یقع فی الماء إلّا المتنجّس المتغیّر بعین النجاسة، کالماء المتلوّن من الدم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الأخبار لذلک و اختصاصها بما إذا وقع عین النجاسة فغیّرته و لو بالواسطة، یدفعها أنّ المناط تغیّر الماء بأثر النجاسة، لا تغییر عین النجاسة للماء، کما یشهد به صحیحة ابن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یفسده شی‌ء</w:t>
      </w:r>
    </w:p>
    <w:p>
      <w:pPr>
        <w:pStyle w:val="BookText"/>
        <w:rPr/>
      </w:pPr>
      <w:r>
        <w:rPr>
          <w:rFonts w:ascii="IRNazanin" w:hAnsi="IRNazanin" w:eastAsia="IRNazanin"/>
          <w:color w:val="111111"/>
          <w:sz w:val="28"/>
          <w:sz w:val="28"/>
          <w:szCs w:val="28"/>
          <w:rtl w:val="true"/>
          <w:lang w:bidi="fa-IR"/>
        </w:rPr>
        <w:t>إلّا أن یتغیّر ریحه أو طعمه</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 صحیحة حریز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غلب الماء علی ریح الجیفة فتوضّأ و اشرب، و إذا تغیّر الماء و تغیّر الطعم فلا تتوضّأ و لا تشرب</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احترز </w:t>
      </w:r>
      <w:r>
        <w:rPr>
          <w:rStyle w:val="FootnoteAnchor"/>
          <w:rtl w:val="true"/>
        </w:rPr>
        <w:footnoteReference w:id="136"/>
      </w:r>
      <w:r>
        <w:rPr>
          <w:rFonts w:ascii="IRNazanin" w:hAnsi="IRNazanin" w:eastAsia="IRNazanin"/>
          <w:color w:val="111111"/>
          <w:sz w:val="28"/>
          <w:sz w:val="28"/>
          <w:szCs w:val="28"/>
          <w:rtl w:val="true"/>
          <w:lang w:bidi="fa-IR"/>
        </w:rPr>
        <w:t xml:space="preserve">بعین النجاسة عن أثر المتنجّس، فإنّه لا یوجب الانفعال، لظهور الأدلّة فی الاختصاص، فإنّ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ینجّسه شی‌ء إلّا ما غیّر لونه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هو نجس العین، لأنّ المتنجّس إنّما ینجّس ما یلاقیه بواسطة نجس العین، مع أنّ بعض الأخبار مشتمل علی القرینة لذلک، مثل قوله علیه السلام فی صحیحة ابن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یفسده شی‌ء إلّا ما غیّر لونه أو طعمه، فینزح حتّی یطیب الطعم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یذهب اللون </w:t>
      </w:r>
      <w:r>
        <w:rPr>
          <w:rStyle w:val="FootnoteAnchor"/>
          <w:rtl w:val="true"/>
        </w:rPr>
        <w:footnoteReference w:id="138"/>
      </w:r>
      <w:r>
        <w:rPr>
          <w:rFonts w:ascii="IRNazanin" w:hAnsi="IRNazanin" w:eastAsia="IRNazanin"/>
          <w:color w:val="111111"/>
          <w:sz w:val="28"/>
          <w:sz w:val="28"/>
          <w:szCs w:val="28"/>
          <w:rtl w:val="true"/>
          <w:lang w:bidi="fa-IR"/>
        </w:rPr>
        <w:t>فانّ طیب الطعم</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قرینة علی إرادة نجس العین من الموصول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المبسوط </w:t>
      </w:r>
      <w:r>
        <w:rPr>
          <w:rStyle w:val="FootnoteAnchor"/>
          <w:rtl w:val="true"/>
        </w:rPr>
        <w:footnoteReference w:id="141"/>
      </w:r>
      <w:r>
        <w:rPr>
          <w:rFonts w:ascii="IRNazanin" w:hAnsi="IRNazanin" w:eastAsia="IRNazanin"/>
          <w:color w:val="111111"/>
          <w:sz w:val="28"/>
          <w:sz w:val="28"/>
          <w:szCs w:val="28"/>
          <w:rtl w:val="true"/>
          <w:lang w:bidi="fa-IR"/>
        </w:rPr>
        <w:t xml:space="preserve">و المعتبر </w:t>
      </w:r>
      <w:r>
        <w:rPr>
          <w:rStyle w:val="FootnoteAnchor"/>
          <w:rtl w:val="true"/>
        </w:rPr>
        <w:footnoteReference w:id="142"/>
      </w:r>
      <w:r>
        <w:rPr>
          <w:rFonts w:ascii="IRNazanin" w:hAnsi="IRNazanin" w:eastAsia="IRNazanin"/>
          <w:color w:val="111111"/>
          <w:sz w:val="28"/>
          <w:sz w:val="28"/>
          <w:szCs w:val="28"/>
          <w:rtl w:val="true"/>
          <w:lang w:bidi="fa-IR"/>
        </w:rPr>
        <w:t xml:space="preserve">و التحریر </w:t>
      </w:r>
      <w:r>
        <w:rPr>
          <w:rStyle w:val="FootnoteAnchor"/>
          <w:rtl w:val="true"/>
        </w:rPr>
        <w:footnoteReference w:id="143"/>
      </w:r>
      <w:r>
        <w:rPr>
          <w:rFonts w:ascii="Amiri" w:hAnsi="Amiri" w:eastAsia="Amiri" w:cs="Amiri"/>
          <w:color w:val="111111"/>
          <w:sz w:val="28"/>
          <w:sz w:val="28"/>
          <w:szCs w:val="28"/>
          <w:rtl w:val="true"/>
          <w:lang w:bidi="ar-SA"/>
        </w:rPr>
        <w:t>أنّ المضاف المتنجّس إذا</w:t>
      </w:r>
    </w:p>
    <w:p>
      <w:pPr>
        <w:pStyle w:val="BookText"/>
        <w:rPr/>
      </w:pPr>
      <w:r>
        <w:rPr>
          <w:rFonts w:ascii="IRNazanin" w:hAnsi="IRNazanin" w:eastAsia="IRNazanin"/>
          <w:color w:val="111111"/>
          <w:sz w:val="28"/>
          <w:sz w:val="28"/>
          <w:szCs w:val="28"/>
          <w:rtl w:val="true"/>
          <w:lang w:bidi="fa-IR"/>
        </w:rPr>
        <w:t>اختلط بالماء المطلق الکثیر و بقی أحد أوصاف المضاف لم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استفید من ذلک حکمهم بأنّ المتغیّر بالمتنجّس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الاستفادة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القول مشهور عن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فی الحکم بالطهارة أصالة عدم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عورضت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القی مائع متنجّس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بأصالة بقاء نجاسته، رجع بعد التساقط إلی قاعدة طهارة الماء، کما فی الماء المتنجّس </w:t>
      </w:r>
      <w:r>
        <w:rPr>
          <w:rStyle w:val="FootnoteAnchor"/>
          <w:rtl w:val="true"/>
        </w:rPr>
        <w:footnoteReference w:id="144"/>
      </w:r>
      <w:r>
        <w:rPr>
          <w:rFonts w:ascii="Amiri" w:hAnsi="Amiri" w:eastAsia="Amiri" w:cs="Amiri"/>
          <w:color w:val="111111"/>
          <w:sz w:val="28"/>
          <w:sz w:val="28"/>
          <w:szCs w:val="28"/>
          <w:rtl w:val="true"/>
          <w:lang w:bidi="ar-SA"/>
        </w:rPr>
        <w:t>المتمّم کرّا بطاهر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الانفعال بالاستیلاء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 أوصافه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المعهودة فی النصّ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الطعم و الریح و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ریب و لا خلاف فیه، و الأخبار بالأوّلین متواترة </w:t>
      </w:r>
      <w:r>
        <w:rPr>
          <w:rStyle w:val="FootnoteAnchor"/>
          <w:rtl w:val="true"/>
        </w:rPr>
        <w:footnoteReference w:id="145"/>
      </w:r>
      <w:r>
        <w:rPr>
          <w:rFonts w:ascii="IRNazanin" w:hAnsi="IRNazanin" w:eastAsia="IRNazanin"/>
          <w:color w:val="111111"/>
          <w:sz w:val="28"/>
          <w:sz w:val="28"/>
          <w:szCs w:val="28"/>
          <w:rtl w:val="true"/>
          <w:lang w:bidi="fa-IR"/>
        </w:rPr>
        <w:t xml:space="preserve">و فی الثالث مستفیضة </w:t>
      </w:r>
      <w:r>
        <w:rPr>
          <w:rStyle w:val="FootnoteAnchor"/>
          <w:rtl w:val="true"/>
        </w:rPr>
        <w:footnoteReference w:id="146"/>
      </w:r>
      <w:r>
        <w:rPr>
          <w:rFonts w:ascii="IRNazanin" w:hAnsi="IRNazanin" w:eastAsia="IRNazanin"/>
          <w:color w:val="111111"/>
          <w:sz w:val="28"/>
          <w:sz w:val="28"/>
          <w:szCs w:val="28"/>
          <w:rtl w:val="true"/>
          <w:lang w:bidi="fa-IR"/>
        </w:rPr>
        <w:t xml:space="preserve">و إن تأمّل فیه بعض </w:t>
      </w:r>
      <w:r>
        <w:rPr>
          <w:rStyle w:val="FootnoteAnchor"/>
          <w:rtl w:val="true"/>
        </w:rPr>
        <w:footnoteReference w:id="147"/>
      </w:r>
      <w:r>
        <w:rPr>
          <w:rFonts w:ascii="IRNazanin" w:hAnsi="IRNazanin" w:eastAsia="IRNazanin"/>
          <w:color w:val="111111"/>
          <w:sz w:val="28"/>
          <w:sz w:val="28"/>
          <w:szCs w:val="28"/>
          <w:rtl w:val="true"/>
          <w:lang w:bidi="fa-IR"/>
        </w:rPr>
        <w:t>لعدم عثوره فیه علی خبر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غیر الصحیح قد یبلغ بالجبر مرتبة الصحیح، فیکفی ما تقدّم عن دعائم الإسلام </w:t>
      </w:r>
      <w:r>
        <w:rPr>
          <w:rStyle w:val="FootnoteAnchor"/>
          <w:rtl w:val="true"/>
        </w:rPr>
        <w:footnoteReference w:id="148"/>
      </w:r>
      <w:r>
        <w:rPr>
          <w:rFonts w:ascii="IRNazanin" w:hAnsi="IRNazanin" w:eastAsia="IRNazanin"/>
          <w:color w:val="111111"/>
          <w:sz w:val="28"/>
          <w:sz w:val="28"/>
          <w:szCs w:val="28"/>
          <w:rtl w:val="true"/>
          <w:lang w:bidi="fa-IR"/>
        </w:rPr>
        <w:t>مضافا إلی غیره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الصحیح المحکیّ عن بصائر الدرجات بسنده عن شهاب بن عبد ربّه،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أبا عبد اللّٰه علیه السلام أسأله، فابتدأنی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فاسأل یا شهاب و إن شئت أخبرناک بما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جعلت</w:t>
      </w:r>
    </w:p>
    <w:p>
      <w:pPr>
        <w:pStyle w:val="BookText"/>
        <w:rPr/>
      </w:pPr>
      <w:r>
        <w:rPr>
          <w:rFonts w:ascii="IRNazanin" w:hAnsi="IRNazanin" w:eastAsia="IRNazanin"/>
          <w:color w:val="111111"/>
          <w:sz w:val="28"/>
          <w:sz w:val="28"/>
          <w:szCs w:val="28"/>
          <w:rtl w:val="true"/>
          <w:lang w:bidi="fa-IR"/>
        </w:rPr>
        <w:t>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السائل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تسألنی عن الماء الراکد الغدیر یکون فیه الجیفة أتوضّأ منه أو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من الجانب الآخر، إلّا أن یغلب علی الماء الریح فینتن، و جئت تسألنی عن الماء الراکد من البئر،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یکن فیه تغیّر أو ریح 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التغیّر؟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الصفرة، فتوضّأ منه، و کلّما غلب علیه کثرة الماء فهو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خصوص الصفرة لبیان اللّون الحاصل من الجیفة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العلاء بن فضیل عن الحیاض یبال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غلب لون الماء لون البول</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و لیس فیه إلّا محمّد بن سنان، و قد ذکر بعض المتأخّرین </w:t>
      </w:r>
      <w:r>
        <w:rPr>
          <w:rStyle w:val="FootnoteAnchor"/>
          <w:rtl w:val="true"/>
        </w:rPr>
        <w:footnoteReference w:id="151"/>
      </w:r>
      <w:r>
        <w:rPr>
          <w:rFonts w:ascii="IRNazanin" w:hAnsi="IRNazanin" w:eastAsia="IRNazanin"/>
          <w:color w:val="111111"/>
          <w:sz w:val="28"/>
          <w:sz w:val="28"/>
          <w:szCs w:val="28"/>
          <w:rtl w:val="true"/>
          <w:lang w:bidi="fa-IR"/>
        </w:rPr>
        <w:t>قرائن للاعتماد علی روایته، مثل روایة الأجلّاء عنه، خصوصا صفوان الّذی لا یروی إلّا عن ثقة، مع انجبار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بالإجماعات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 علی الانفعال بمطلق التغیّر، ففی روایة أبی بصیر عن الماء النقیع تبول فیه الدوابّ،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تغیّر الماء فلا تتوضّأ منه، و إن لم یتغیّر بأبوالها فتوضّأ منه، و کذلک الدم إذا سال فی الماء و أشباهه</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مقتضی إطلاق بعض الأخبار و إن کان کفایة مطلق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صحیحة ابن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البئر واسع لا یفسده شی‌ء</w:t>
      </w:r>
    </w:p>
    <w:p>
      <w:pPr>
        <w:pStyle w:val="BookText"/>
        <w:rPr/>
      </w:pPr>
      <w:r>
        <w:rPr>
          <w:rFonts w:ascii="IRNazanin" w:hAnsi="IRNazanin" w:eastAsia="IRNazanin"/>
          <w:color w:val="111111"/>
          <w:sz w:val="28"/>
          <w:sz w:val="28"/>
          <w:szCs w:val="28"/>
          <w:rtl w:val="true"/>
          <w:lang w:bidi="fa-IR"/>
        </w:rPr>
        <w:t>إلّا أن یتغیّر ریحه أو طعمه</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 غیرها، إلّا أنّ الظاهر منها و من غیرها وقوع الاستثناء عمّا یلاقی الماء لا عن کلّ شی‌ء، فإنّ الظاهر المتبادر المرکوز فی أذهان المتشرّعة من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ینجّس الماء أو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ذلک بالملاقاة، و لذا لم یحتمل أحد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لا ینجّسه شی‌ء</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حصول الانفعال للقلیل بمجاورة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بعض الجیفة عن الماء و علم استناد التغیّر إلی مجموع الداخل و الخارج، فالظاهر انفعاله، لصدق تغیّره بما وقع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 استناده إلی خصوص أحدهما، فالأصل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عبرة بغیر الأوصاف الثلاثة </w:t>
      </w:r>
      <w:r>
        <w:rPr>
          <w:rStyle w:val="FootnoteAnchor"/>
          <w:rtl w:val="true"/>
        </w:rPr>
        <w:footnoteReference w:id="155"/>
      </w:r>
      <w:r>
        <w:rPr>
          <w:rFonts w:ascii="IRNazanin" w:hAnsi="IRNazanin" w:eastAsia="IRNazanin"/>
          <w:color w:val="111111"/>
          <w:sz w:val="28"/>
          <w:sz w:val="28"/>
          <w:szCs w:val="28"/>
          <w:rtl w:val="true"/>
          <w:lang w:bidi="fa-IR"/>
        </w:rPr>
        <w:t xml:space="preserve">للإجماع الظاهر المصرّح به فی محکیّ الدلائل </w:t>
      </w:r>
      <w:r>
        <w:rPr>
          <w:rStyle w:val="FootnoteAnchor"/>
          <w:rtl w:val="true"/>
        </w:rPr>
        <w:footnoteReference w:id="156"/>
      </w:r>
      <w:r>
        <w:rPr>
          <w:rFonts w:ascii="IRNazanin" w:hAnsi="IRNazanin" w:eastAsia="IRNazanin"/>
          <w:color w:val="111111"/>
          <w:sz w:val="28"/>
          <w:sz w:val="28"/>
          <w:szCs w:val="28"/>
          <w:rtl w:val="true"/>
          <w:lang w:bidi="fa-IR"/>
        </w:rPr>
        <w:t xml:space="preserve">و شرح المفاتیح </w:t>
      </w:r>
      <w:r>
        <w:rPr>
          <w:rStyle w:val="FootnoteAnchor"/>
          <w:rtl w:val="true"/>
        </w:rPr>
        <w:footnoteReference w:id="157"/>
      </w:r>
      <w:r>
        <w:rPr>
          <w:rFonts w:ascii="IRNazanin" w:hAnsi="IRNazanin" w:eastAsia="IRNazanin"/>
          <w:color w:val="111111"/>
          <w:sz w:val="28"/>
          <w:sz w:val="28"/>
          <w:szCs w:val="28"/>
          <w:rtl w:val="true"/>
          <w:lang w:bidi="fa-IR"/>
        </w:rPr>
        <w:t>و استظهر من کلّ من اقتصر فی معقد إجماعه علی الأوصاف الثلاثة، مضافا إلی الحصر المستفاد من عموم الأخبار المتضمّنة لبیان الثلاثة أو بعضها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تغیّر ما لا ینفعل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کالسطح العالی المتغیّر بسبب وقوع النجاسة المغیّرة فی السافل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انفعاله، للعمومات </w:t>
      </w:r>
      <w:r>
        <w:rPr>
          <w:rStyle w:val="FootnoteAnchor"/>
          <w:rtl w:val="true"/>
        </w:rPr>
        <w:footnoteReference w:id="158"/>
      </w:r>
      <w:r>
        <w:rPr>
          <w:rFonts w:ascii="IRNazanin" w:hAnsi="IRNazanin" w:eastAsia="IRNazanin"/>
          <w:color w:val="111111"/>
          <w:sz w:val="28"/>
          <w:sz w:val="28"/>
          <w:szCs w:val="28"/>
          <w:rtl w:val="true"/>
          <w:lang w:bidi="fa-IR"/>
        </w:rPr>
        <w:t>و عدمه، لأنّ الظاهر أنّ التغیّر إنّما ینجّس ما یقبل الانفعال لو کان قلیلا، و العالی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تغیّر بالمجاورة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الأوّل، بناء علی صدق الماء</w:t>
      </w:r>
    </w:p>
    <w:p>
      <w:pPr>
        <w:pStyle w:val="BookText"/>
        <w:rPr/>
      </w:pPr>
      <w:r>
        <w:rPr>
          <w:rFonts w:ascii="IRNazanin" w:hAnsi="IRNazanin" w:eastAsia="IRNazanin"/>
          <w:color w:val="111111"/>
          <w:sz w:val="28"/>
          <w:sz w:val="28"/>
          <w:szCs w:val="28"/>
          <w:rtl w:val="true"/>
          <w:lang w:bidi="fa-IR"/>
        </w:rPr>
        <w:t>الواحد علی المجموع، و عدم انفعال بعضه العالی بملاقاة السافل للنجاسة إنّما هو بإجماع،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المراد من صفة الماء المتغیّرة أعمّ من صفة نوعه، أعنی اللون و الطعم و الریح الثابتة لطبیعة الماء، و إن کانت طبیعته خالیة عنها أو عن بعضها، لکنّ المراد بصفاتها الطبیعیة مقابل الصفات العارضة له، و من صفة صنفه کماء النفط و الزاج و الکبریت، و من صفة شخصه کالماء الأحمر، فإذا زالت حمرته بسبب ملاقاة عین النجاسة و صار ماء صافیا فالأظهر نجاسته، لحصول التغیّر عرفا، فإنّ هذا الصفاء هو صفاء النجاسة الواقعة فیه کالبول الصافی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لبعض </w:t>
      </w:r>
      <w:r>
        <w:rPr>
          <w:rStyle w:val="FootnoteAnchor"/>
          <w:rtl w:val="true"/>
        </w:rPr>
        <w:footnoteReference w:id="159"/>
      </w:r>
      <w:r>
        <w:rPr>
          <w:rFonts w:ascii="IRNazanin" w:hAnsi="IRNazanin" w:eastAsia="IRNazanin"/>
          <w:color w:val="111111"/>
          <w:sz w:val="28"/>
          <w:sz w:val="28"/>
          <w:szCs w:val="28"/>
          <w:rtl w:val="true"/>
          <w:lang w:bidi="fa-IR"/>
        </w:rPr>
        <w:t xml:space="preserve">فلم یعتدّ بالصفات العارضیة للماء، فزوالها بالنجاسة لا یوجب عنده تغیّره بها حتّی ینجس، و وجودها لا یمنع من تنجّس الماء بالنجاسة إذا کانت مغیّرة له لو لا هذه الصفات، کما سیأتی منه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الأظهر عندنا أنّ المستفاد من الأخبار إناطة نجاسة الماء بظهور أثر النجاسة فیه الموجب للتغییر و الاستقذار و إن کان بإزالة صفاته العارضة، و إناطة طهارته بعدم ظهور أثر النجاسة و لو للمانع العارضی فیه، کما لو فرضت مثل الحنّاء الّذی لونه أخضر قبل الرطوبة و أحمر بعدها، و من ذلک ما لو وقعت علی لون فأحدث لونا آخر، کما إذا وقع لون الزرقة علی الصفرة فیصیر أخضر، فإنّ هذا المحسوس هی الزرقة القائمة بجسم أصفر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الصفرة الحاصلة للماء من قلیل الدم، فإنّ لونی الحمرة</w:t>
      </w:r>
    </w:p>
    <w:p>
      <w:pPr>
        <w:pStyle w:val="BookText"/>
        <w:rPr/>
      </w:pPr>
      <w:r>
        <w:rPr>
          <w:rFonts w:ascii="IRNazanin" w:hAnsi="IRNazanin" w:eastAsia="IRNazanin"/>
          <w:color w:val="111111"/>
          <w:sz w:val="28"/>
          <w:sz w:val="28"/>
          <w:szCs w:val="28"/>
          <w:rtl w:val="true"/>
          <w:lang w:bidi="fa-IR"/>
        </w:rPr>
        <w:t>و البیاض إذا تأثّر کلّ منهما بالآخر فتحدث الصفرة، فالاستهلاک یحصل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إذا خالف النجاسة فی نوع اللّون أو شخصه، فتلوّنه بلونها لیس بانتقال نفس العرض منها إلیه، و إنّما هو بتلاشی أجزاء ذی اللون فی الماء فتری تلک الأجزاء کالمتّصل الواحد، فیحصل التأثیر و التأثّر من الطرفین، لکن قد یحصل الاستهلاک من أحدهما لغلبة اللون فیه و الحاصل من تأثیر الآخر لیس إلّا التخفیف فی اللون الغالب لا إلی حدّ الاستهلاک، فإن کان الغالب الماء فهو طاهر، و إن کان النجاسة فهو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یحصل الاستهلاک من الطرفین، فیحصل لون ثالث، کالخضرة و الصفرة فی المثالین المذکورین، و إن أبیت عن صدق الاستهلاک من الطرفین سمّه تأثیرا و تأثّرا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ساواها فی اللون نوعا و شخصا فلا یحصل استهلاک أصلا، فإنّ زیادة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اللّبن لا یوجب تفاوتا فی البیاض، لاستحالة الترجیح بلا مرجّح، فلون کلّ جزء قائم بنفسه، و لا معنی لاستهلاکه الأجزاء المساویة له فی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المساواة بینهما قد یکون من جهة عدم اللون العرفی لأحدهما، کما فی النجاسة و الماء الفاقدین 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الجسم لا یخلو عن لون و لو باعتبار الأجزاء الترابیة الواقعة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من جهة ثبوت اللون العرفی المساوی للون الآخر، سواء کان اللون فیهما أو فی أحدهما بحسب أصل الخلقة أو لعروض 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هذه الصور، أنّه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فی نجاسة الماء استهلاک النجاسة له بحیث یتأثّر</w:t>
      </w:r>
    </w:p>
    <w:p>
      <w:pPr>
        <w:pStyle w:val="BookText"/>
        <w:rPr/>
      </w:pPr>
      <w:r>
        <w:rPr>
          <w:rFonts w:ascii="IRNazanin" w:hAnsi="IRNazanin" w:eastAsia="IRNazanin"/>
          <w:color w:val="111111"/>
          <w:sz w:val="28"/>
          <w:sz w:val="28"/>
          <w:szCs w:val="28"/>
          <w:rtl w:val="true"/>
          <w:lang w:bidi="fa-IR"/>
        </w:rPr>
        <w:t>الماء فعلا تأثیرا عرفیّا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الحقیقی لا بدّ منه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 الحکم بالنجاسة بالصورة الاولی، أعنی الاستهلاک المطلق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تأثّر الماء فعلا بالنجاسة و ذهاب صفته السابقة، سواء أثّر هو أیضا فی النجاسة و ذهب بصفته السابقة کالخضرة و الصفرة فی المثالین السابقین، أم بقیت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البقاء الحقیقی فغیر ممکن، لحصول الضعف فیها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لحقت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الاستهلاک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تأثّر الماء عن النجاسة بالقوّة، بمعنی کونه بحیث لو خالف لونه لون النجاسة لاستهلکته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المخالفة بین اللونین تارة لعدم اللون لها و اخری لتوافق اللونین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الحکم الصورة الثالثة بقسمیها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 قسمیها بأنّ التغیّر فی القسم الثانی محسوس لکنّه مستور، فلم یفهم محصّله، فإنّ الجسم الواحد لا یتّصف بلونین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ذکرنا، فاعلم أنّ الأظهر فی معنی الروایات هو المعنی الثانی، و علیه فلا یعتبر التغیّر التقدیریّ بأقسامه المتقدّمة، أعنی ما لو کانت النجاسة فاقدة أو کانت ذات صفة، و کانت فی الماء صفة مانعة عن تأثیرها، ذاتیة کانت کماء الزاج و الکبریت، أو عرضیة کالمصبوغ بطاهر أحمر، و هذا هو ظاهر کلّ من أطلق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للمنتهی </w:t>
      </w:r>
      <w:r>
        <w:rPr>
          <w:rStyle w:val="FootnoteAnchor"/>
          <w:rtl w:val="true"/>
        </w:rPr>
        <w:footnoteReference w:id="1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لقواعد </w:t>
      </w:r>
      <w:r>
        <w:rPr>
          <w:rStyle w:val="FootnoteAnchor"/>
          <w:rtl w:val="true"/>
        </w:rPr>
        <w:footnoteReference w:id="162"/>
      </w:r>
      <w:r>
        <w:rPr>
          <w:rFonts w:ascii="IRNazanin" w:hAnsi="IRNazanin" w:eastAsia="IRNazanin"/>
          <w:color w:val="111111"/>
          <w:sz w:val="28"/>
          <w:sz w:val="28"/>
          <w:szCs w:val="28"/>
          <w:rtl w:val="true"/>
          <w:lang w:bidi="fa-IR"/>
        </w:rPr>
        <w:t>حیث قال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وافقت النجاسة الماء فی صفاته، فالأقرب الحکم بنجاسة الماء إن کان یتغیّر بمثلها علی تقدیر المخالفة، و إلّا فلا، و یحتمل عدم التنجیس، لعدم</w:t>
      </w:r>
    </w:p>
    <w:p>
      <w:pPr>
        <w:pStyle w:val="BookText"/>
        <w:rPr/>
      </w:pPr>
      <w:r>
        <w:rPr>
          <w:rFonts w:ascii="IRNazanin" w:hAnsi="IRNazanin" w:eastAsia="IRNazanin"/>
          <w:color w:val="111111"/>
          <w:sz w:val="28"/>
          <w:sz w:val="28"/>
          <w:szCs w:val="28"/>
          <w:rtl w:val="true"/>
          <w:lang w:bidi="fa-IR"/>
        </w:rPr>
        <w:t>المقتضی، و هو التغیّر،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الوجه فی ذلک ما اختاره فی موضع آخر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التغیّر کاشف عن مؤثّر التنجیس، لا أنّه نفس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حصل ما یکون علّة تامّة للتغیّر لا مانع منه إلّا سبق الماء بعلّة أخری له، فتخلّف المؤثّر لقصور المتأثّر عن التأثّر، لا لنقص فی المؤثّر، فیحصل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التغیّر کاشفا، و ظاهر الأخبار کونه نفس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یتراءی من بعض الأخبار إناطة الحکم بالغلبة و الاستیلاء </w:t>
      </w:r>
      <w:r>
        <w:rPr>
          <w:rStyle w:val="FootnoteAnchor"/>
          <w:rtl w:val="true"/>
        </w:rPr>
        <w:footnoteReference w:id="164"/>
      </w:r>
      <w:r>
        <w:rPr>
          <w:rFonts w:ascii="IRNazanin" w:hAnsi="IRNazanin" w:eastAsia="IRNazanin"/>
          <w:color w:val="111111"/>
          <w:sz w:val="28"/>
          <w:sz w:val="28"/>
          <w:szCs w:val="28"/>
          <w:rtl w:val="true"/>
          <w:lang w:bidi="fa-IR"/>
        </w:rPr>
        <w:t>الظاهرین فی اعتبار النجاسة من حیث الکمیّة، لکن الظاهر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الغلبة من حیث الوصف، مع أنّ اعتبار الغلبة من حیث الکمّ یوجب عدم الحکم بالنجاسة إلّا مع استهلاک الماء و خروجه عن حقیقته لکثرة النجاسة، و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تحقّق المؤثّر فیما نحن فیه، لعدم الکاشف عنه غیر التغیّر المفقود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العبارة صیرورة النجاسة کالماء فی کیفیّته الأصلیة الغالبة فیها من عدم الوصف، لا صیرورة الماء کالنجاسة فی وجود الصفة الثابتة لها غالبا، فلا وجه لما أورده علیه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حقّ العبارة أن یقول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وقعت نجاسة مسلوبة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الجاری و الکثیر</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لأنّ موافقة النجاسة الماء فی الصفات صادق علی نحو الماء المتغیّر بطاهر أحمر إذا وقع فیه دم، فیقتضی ثبوت التردّد فی تقدیر المخالفة فی هذه الصورة، و ینبغی</w:t>
      </w:r>
    </w:p>
    <w:p>
      <w:pPr>
        <w:pStyle w:val="BookText"/>
        <w:rPr/>
      </w:pPr>
      <w:r>
        <w:rPr>
          <w:rFonts w:ascii="IRNazanin" w:hAnsi="IRNazanin" w:eastAsia="IRNazanin"/>
          <w:color w:val="111111"/>
          <w:sz w:val="28"/>
          <w:sz w:val="28"/>
          <w:szCs w:val="28"/>
          <w:rtl w:val="true"/>
          <w:lang w:bidi="fa-IR"/>
        </w:rPr>
        <w:t xml:space="preserve">القطع بوجوب التقدیر حینئذ، لأنّ التغیّر هنا تحقیقیّ، غایة الأمر أنّه مستور عن الحسّ </w:t>
      </w:r>
      <w:r>
        <w:rPr>
          <w:rStyle w:val="FootnoteAnchor"/>
          <w:rtl w:val="true"/>
        </w:rPr>
        <w:footnoteReference w:id="16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عدم صدق العبارة المذکورة علی الصورة الّتی ذکرها، کما لا یخفی علی العارف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التأمّل فی التقدیر فیما ذکره من صورة عروض وصف للماء مانع من ظهور التغیّر، لما ادّعاه من کون التغیّر تحقیقا مستورا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نحوه عن المدارک </w:t>
      </w:r>
      <w:r>
        <w:rPr>
          <w:rStyle w:val="FootnoteAnchor"/>
          <w:rtl w:val="true"/>
        </w:rPr>
        <w:footnoteReference w:id="167"/>
      </w:r>
      <w:r>
        <w:rPr>
          <w:rFonts w:ascii="IRNazanin" w:hAnsi="IRNazanin" w:eastAsia="IRNazanin"/>
          <w:color w:val="111111"/>
          <w:sz w:val="28"/>
          <w:sz w:val="28"/>
          <w:szCs w:val="28"/>
          <w:rtl w:val="true"/>
          <w:lang w:bidi="fa-IR"/>
        </w:rPr>
        <w:t xml:space="preserve">و المعالم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سبقهم إلیه الشهید قدّس سرّه فی البیان،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الماء إذا کان مشتملا علی ما یمنع من ظهور التغیّر، فحینئذ یکفی التقدیر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قطع به متأخرو الأصحاب من غیر خلاف معروف بینهم فی هذا الباب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 النجاسة موافقة فی صفته الأصلیة کما فی المیاه الزاجیة و الکبریتیة أو العارضة کما لو وقع فی الماء المتغیّر بطاهر أحمر دم فإنّ الماء ینجس قطعا، لظهور وصف النجاسة علیه حقیقة، بل قد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لا بدّ أن تؤثّر النجاسة فیه اشتدادا لتحقّق التغیّر حسّا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خفاء فی امتناع تلوّن محلّ واحد شخصیّ بلونین، و قد عرفت</w:t>
      </w:r>
    </w:p>
    <w:p>
      <w:pPr>
        <w:pStyle w:val="BookText"/>
        <w:rPr/>
      </w:pPr>
      <w:r>
        <w:rPr>
          <w:rFonts w:ascii="IRNazanin" w:hAnsi="IRNazanin" w:eastAsia="IRNazanin"/>
          <w:color w:val="111111"/>
          <w:sz w:val="28"/>
          <w:sz w:val="28"/>
          <w:szCs w:val="28"/>
          <w:rtl w:val="true"/>
          <w:lang w:bidi="fa-IR"/>
        </w:rPr>
        <w:t>أنّ تلوّن الماء بالنجاسة لا یکون إلّا مع تأثیرها فیه فعلا، و أنّه لو فرض ممازجة جسمین متساویین فی اللون لم یصر أحدهما منفعلا بلون الآخر، بل کلّ جزء من المجموع مرکّب من جزءین لون کلّ منهما قائم بنفسه غیر مؤثّر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الترجیح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أجد معنی لظهور وصف النجاسة و تحقّق التغیّر و الاستیلاء و دعوی استتاره عن الحسّ، و لا 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أنّه لا بدّ من تأثیر النجاسة اشتدادا فی لون الماء الموافق له، و قد مثّلنا لک أنّ زیادة اللّبن علی اللّبن لا تؤثّر فی بیاضه، و لأجل ما ذکرنا اعترف العلّامة و الشهید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تقدّم من کلامهما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التغیّر هنا 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الفرق بین صورتی التوافق مشکل، کما یظهر من الحدائق </w:t>
      </w:r>
      <w:r>
        <w:rPr>
          <w:rStyle w:val="FootnoteAnchor"/>
          <w:rtl w:val="true"/>
        </w:rPr>
        <w:footnoteReference w:id="172"/>
      </w:r>
      <w:r>
        <w:rPr>
          <w:rFonts w:ascii="IRNazanin" w:hAnsi="IRNazanin" w:eastAsia="IRNazanin"/>
          <w:color w:val="111111"/>
          <w:sz w:val="28"/>
          <w:sz w:val="28"/>
          <w:szCs w:val="28"/>
          <w:rtl w:val="true"/>
          <w:lang w:bidi="fa-IR"/>
        </w:rPr>
        <w:t xml:space="preserve">و محکیّ حاشیة المدارک </w:t>
      </w:r>
      <w:r>
        <w:rPr>
          <w:rStyle w:val="FootnoteAnchor"/>
          <w:rtl w:val="true"/>
        </w:rPr>
        <w:footnoteReference w:id="173"/>
      </w:r>
      <w:r>
        <w:rPr>
          <w:rFonts w:ascii="IRNazanin" w:hAnsi="IRNazanin" w:eastAsia="IRNazanin"/>
          <w:color w:val="111111"/>
          <w:sz w:val="28"/>
          <w:sz w:val="28"/>
          <w:szCs w:val="28"/>
          <w:rtl w:val="true"/>
          <w:lang w:bidi="fa-IR"/>
        </w:rPr>
        <w:t xml:space="preserve">بل جزم فی الروض </w:t>
      </w:r>
      <w:r>
        <w:rPr>
          <w:rStyle w:val="FootnoteAnchor"/>
          <w:rtl w:val="true"/>
        </w:rPr>
        <w:footnoteReference w:id="174"/>
      </w:r>
      <w:r>
        <w:rPr>
          <w:rFonts w:ascii="IRNazanin" w:hAnsi="IRNazanin" w:eastAsia="IRNazanin"/>
          <w:color w:val="111111"/>
          <w:sz w:val="28"/>
          <w:sz w:val="28"/>
          <w:szCs w:val="28"/>
          <w:rtl w:val="true"/>
          <w:lang w:bidi="fa-IR"/>
        </w:rPr>
        <w:t>بعدمه و هو الظاهر، لاشتراکهما فی کون التغییر الفعلیّ معلّقا، غایة الأمر توقّفه فی أحدهما علی وجود المقتضی و فی الأخری علی انتفاء المانع، بل الظاهر کونه من قبیل الثانی فی کلیهما، لأنّ الماء و إن کان فاقدا للصفة عرفا کالنجاسة، إلّا أنّهما لا یخلوان عن لون قطعا، و لذا قد یستهلک الفاقد الواجد و یسلبه صفته،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صار بصفة ما استهلکته، فالتأثیر حینئذ یتوقّف علی عدم هذا الوصف الّذی یطلق علیه مسامحة عدم الصفة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یتلو الفرق المذکور فی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w:t>
      </w:r>
    </w:p>
    <w:p>
      <w:pPr>
        <w:pStyle w:val="BookText"/>
        <w:rPr/>
      </w:pPr>
      <w:r>
        <w:rPr>
          <w:rFonts w:ascii="IRNazanin" w:hAnsi="IRNazanin" w:eastAsia="IRNazanin"/>
          <w:color w:val="111111"/>
          <w:sz w:val="28"/>
          <w:sz w:val="28"/>
          <w:szCs w:val="28"/>
          <w:rtl w:val="true"/>
          <w:lang w:bidi="fa-IR"/>
        </w:rPr>
        <w:t xml:space="preserve">الخوانساری فی المشارق </w:t>
      </w:r>
      <w:r>
        <w:rPr>
          <w:rStyle w:val="FootnoteAnchor"/>
          <w:rtl w:val="true"/>
        </w:rPr>
        <w:footnoteReference w:id="175"/>
      </w:r>
      <w:r>
        <w:rPr>
          <w:rFonts w:ascii="IRNazanin" w:hAnsi="IRNazanin" w:eastAsia="IRNazanin"/>
          <w:color w:val="111111"/>
          <w:sz w:val="28"/>
          <w:sz w:val="28"/>
          <w:szCs w:val="28"/>
          <w:rtl w:val="true"/>
          <w:lang w:bidi="fa-IR"/>
        </w:rPr>
        <w:t>من الفرق فی صورة وجدان الماء للصفة المانعة بین کونها 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کالمیاه الزاجیة و الکبریتیة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عارضیة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کالمصبوغ بطاهر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فیعتبر التقدیر فی الثانی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یعتبر استیلاء النجاسة علی أوصاف الماء الأصلیة و لو من حیث الصنف، لا من حیث خصوص النوع، و لا ما یعمّهما و الشخص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بعض </w:t>
      </w:r>
      <w:r>
        <w:rPr>
          <w:rStyle w:val="FootnoteAnchor"/>
          <w:rtl w:val="true"/>
        </w:rPr>
        <w:footnoteReference w:id="176"/>
      </w:r>
      <w:r>
        <w:rPr>
          <w:rFonts w:ascii="IRNazanin" w:hAnsi="IRNazanin" w:eastAsia="IRNazanin"/>
          <w:color w:val="111111"/>
          <w:sz w:val="28"/>
          <w:sz w:val="28"/>
          <w:szCs w:val="28"/>
          <w:rtl w:val="true"/>
          <w:lang w:bidi="fa-IR"/>
        </w:rPr>
        <w:t>من اعترف بعدم تحقّق التغیّر الصنفی فی صورة عروض الصفة المانعة من التغیّر للماء، اختار إلحاقه به فی الحکم، و بنی علی أنّ المراد بصفات الماء صفاته الأصلیة لا الصفة الطارئة له بمغیّر عن صفته الأصلیة، و مرجعه إلی کفایة کمال التأثیر فی النجاسة و إن قصر الماء عن التأثّر لتأثّره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لذلک وجوها نذکرها ملخّصا مع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التأثیر المقدّر المذکور لا یکون إلّا مع أثر للنجاسة صالح للتغییر لو فرض، و هذا الأثر یجب إزالته فی تطهیر الماء لو فرض تغیّره حسّا بنجاسة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به أخبار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مؤثّر فی التنجیس أیضا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من أدلّة الانفعال الأثر المغیّر فعلا، و أمّا الأثر الصالح للتغیّر فمشکوک التأثیر، فیرجع فی حکمه إلی الأصول، و مقتضاها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بعدم النجاسة مع الشکّ فی حدوثها بسبب هذا الأثر، و ببقائها مع الشکّ فی ارتفاعها إذا لم یرتفع ذلک الأثر، مع أنّه قد یمنع وجوب إزالته، لمنع الاستصحاب فی مثله، أو لقیام الدلیل علی الطهارة بعد استهلاک التغیّر المحسوس و ملاقاة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زالت الصفة أوّلا بالنجاسة ثمّ ورد علیه الطاهر المغیّر لو لا سبق النجاسة فلا إشکال فی النجاسة فکذلک العکس، لأنّا نعلم أنّ زوالها بالطاهر أوّلا لا یوجب قوّة للماء لو لم یوجب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بذلک لا وجه له، إذ لا یبعد أن یکون المناط فی النجاسة ظهور صفة النجاسة الموجب للتنفّر و الاستقذار، فإذا قهر الماء النجاسة و لم یظهر فیه أثرها و لو من جهة صفته الشخصیة بقی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القی فی الماء طاهر و نجس بحیث استند تغیّره إلیهما معا و کان النجس بنفسه صالحا للتغییر، فهذا الماء نجس قطعا، و لا وجه لذلک إلّا وقوع ما هو صالح لتغییره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منع نجاسته، و لا سند للقطع بها بعد ظهور الأدلّة فی استناد التغیّر الفعلی إلی نفس النجاسة، و لو سلّمنا نجاسته فغایة الأمر کفایة مدخلیة النجاسة فی التغیّر الفعلیّ، و هو مفقود فیما نحن فیه، فلا وجه لمقایسة علیه بعد تسلیم الحکم فی الأصل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فرض وقوع نجاسة مغیّرة إلی صفة ثمّ وقوع نجاسة مغیّرة عنها إلی أخری، فالماء نجس یقینا، و لا وجه لمنع کون التغیّر الثانی غیر مندرج فی التغیّر المعتبر الواجب إزالته فی التطهیر، و المفروض أنّ النجاسة الثانیة لم تغیّر </w:t>
      </w:r>
      <w:r>
        <w:rPr>
          <w:rStyle w:val="FootnoteAnchor"/>
          <w:rtl w:val="true"/>
        </w:rPr>
        <w:footnoteReference w:id="177"/>
      </w:r>
      <w:r>
        <w:rPr>
          <w:rFonts w:ascii="IRNazanin" w:hAnsi="IRNazanin" w:eastAsia="IRNazanin"/>
          <w:color w:val="111111"/>
          <w:sz w:val="28"/>
          <w:sz w:val="28"/>
          <w:szCs w:val="28"/>
          <w:rtl w:val="true"/>
          <w:lang w:bidi="fa-IR"/>
        </w:rPr>
        <w:t xml:space="preserve">صفة الماء المذکور </w:t>
      </w:r>
      <w:r>
        <w:rPr>
          <w:rStyle w:val="FootnoteAnchor"/>
          <w:rtl w:val="true"/>
        </w:rPr>
        <w:footnoteReference w:id="178"/>
      </w:r>
      <w:r>
        <w:rPr>
          <w:rFonts w:ascii="IRNazanin" w:hAnsi="IRNazanin" w:eastAsia="IRNazanin"/>
          <w:color w:val="111111"/>
          <w:sz w:val="28"/>
          <w:sz w:val="28"/>
          <w:szCs w:val="28"/>
          <w:rtl w:val="true"/>
          <w:lang w:bidi="fa-IR"/>
        </w:rPr>
        <w:t>فی النصّ و الفتوی، و لذا لا یکفی إعادة الصفة الاولی لو فرض إمکانها، فتعیّن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الصفة الذاتیة للماء، و تقدیر وقوع النجاسة حال وجودها إن وردت حال زوالها، و جعل توارد</w:t>
      </w:r>
    </w:p>
    <w:p>
      <w:pPr>
        <w:pStyle w:val="BookText"/>
        <w:rPr/>
      </w:pPr>
      <w:r>
        <w:rPr>
          <w:rFonts w:ascii="IRNazanin" w:hAnsi="IRNazanin" w:eastAsia="IRNazanin"/>
          <w:color w:val="111111"/>
          <w:sz w:val="28"/>
          <w:sz w:val="28"/>
          <w:szCs w:val="28"/>
          <w:rtl w:val="true"/>
          <w:lang w:bidi="fa-IR"/>
        </w:rPr>
        <w:t>المغیّر بمنزلة توارد الناقض، فإذا توارد طاهر و نجس أثر النجس أثره،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نجاسة الماء وجود أثر النجاسة فیه فعلا، فلا یضرّ تبادل أفراد الأثر، و لا یعتبر فی النجاسة کونها هی المزیلة لصفة الماء، کما یشهد به 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غلب لون الماء لون البول</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یبقی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النجس لا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نجاسة الماء بهذا المغیّر الفعلی أم بالتغیّر الأوّل الزائل، الظاهر هو الثانی، لکن هذا الکلام جار فی تغیّر صفتین من الماء علی التعاقب فعلا، و لا دخل له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تغیّر الماء بطاهر أحمر ثمّ بالدم ثمّ صفی الماء عن حمرة الطاهر فظهر لون الدم، فإنّ الماء نجس قطعا، و لا وجه له إلّا ما قلنا، لعدم بقاء عین النجاسة حین ظهور صفتها و عدم تجدّد تأثیرها فی الماء، فیلزم الحکم بتنجّسها من حین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اعتبار کون حدوث التغیّر حین وجود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القی بالماء طاهر أحمر حتّی استعدّ لأن یحمّر بقلیل من الدم، فالقی فیه فتغیّر، فلا سبیل إلی الحکم بنجاسته، کما هو الظاهر، فعلم أنّ المللحوظ فی نظر الشارع حال الماء قبل حدوث الطوارئ، فلا عبرة بتغیّره بأعداد الطوارئ و لا بعدمه لمنعها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عدم انفعال الماء المذکور، و لا مخرج له عن عمومات التغیّر إلّا استبعاد کون هذا القلیل مؤثّرا، و لا عبرة به، کاستبعاد کون کثیر من النجاسة المسلوبة الصفة غیر مؤثّر، فلعلّ المناط عند الشارع تأثّر الماء فعلا</w:t>
      </w:r>
    </w:p>
    <w:p>
      <w:pPr>
        <w:pStyle w:val="BookText"/>
        <w:rPr/>
      </w:pPr>
      <w:r>
        <w:rPr>
          <w:rFonts w:ascii="IRNazanin" w:hAnsi="IRNazanin" w:eastAsia="IRNazanin"/>
          <w:color w:val="111111"/>
          <w:sz w:val="28"/>
          <w:sz w:val="28"/>
          <w:szCs w:val="28"/>
          <w:rtl w:val="true"/>
          <w:lang w:bidi="fa-IR"/>
        </w:rPr>
        <w:t>بصفة النجاسة الموجب للاستقذار و تنفّر الطباع، کما أنّ أصل النجاسة فی الأعیان غالبا لأجل الاستقذار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اعتبار الصفات الثلاث کما استفید من مجموع أخبار الباب </w:t>
      </w:r>
      <w:r>
        <w:rPr>
          <w:rStyle w:val="FootnoteAnchor"/>
          <w:rtl w:val="true"/>
        </w:rPr>
        <w:footnoteReference w:id="180"/>
      </w:r>
      <w:r>
        <w:rPr>
          <w:rFonts w:ascii="IRNazanin" w:hAnsi="IRNazanin" w:eastAsia="IRNazanin"/>
          <w:color w:val="111111"/>
          <w:sz w:val="28"/>
          <w:sz w:val="28"/>
          <w:szCs w:val="28"/>
          <w:rtl w:val="true"/>
          <w:lang w:bidi="fa-IR"/>
        </w:rPr>
        <w:t>کذلک المحصّل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الجمع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طهارة الماء غلبته علی النجاسة و قهره لصفاتها بحیث لا یوجد شی‌ء منها فی الماء علی وجه یصلح لتغیّره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یظهر لنا بعد ملاحظة الأخبار هذا المعنی، و إنّما المتیقّن من أخبار النجاسة بالتغیّر غلبة النجاسة علی الماء بحیث یظهر أثرها علیه، فیرجع فی غیر هذه الصورة إلی الأصل و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لا یعتبر فی النجاسة إلّا صفاتها الأصلیة المستندة إلیها، لا صفاتها العارضة المستندة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هی الموجودة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معتبرة فی صفات الماء أیضا، لدلالة الإضافة علی اعتبار الحیثیة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النجاسة صفتها الذاتیة و لو لخصوص شخصها، فی مقابل صفة الطاهر الممازج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کالبول الواقع فیه شی‌ء من الزعفران أو المغرة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بلون الماء أیضا هذا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فإذا کان فی النجاسة مانع من تأثیرها بلونها الأصلی فی الماء، کما لو کان فی العذرة مسک یمنع من ظهور العفونة فی الماء، أو کان فی الماء ما یمنع من تأثّره بلونه الأصلی من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مسألتنا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w:t>
      </w:r>
    </w:p>
    <w:p>
      <w:pPr>
        <w:pStyle w:val="BookText"/>
        <w:rPr/>
      </w:pPr>
      <w:r>
        <w:rPr>
          <w:rFonts w:ascii="IRNazanin" w:hAnsi="IRNazanin" w:eastAsia="IRNazanin"/>
          <w:color w:val="111111"/>
          <w:sz w:val="28"/>
          <w:sz w:val="28"/>
          <w:szCs w:val="28"/>
          <w:rtl w:val="true"/>
          <w:lang w:bidi="fa-IR"/>
        </w:rPr>
        <w:t>خارجان عن مورد الأخبار، فلا دلیل علی التقدیر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فدلالة الإضافة علی اعتبار الحیثیة فی الموضعین و ظهور الأخبار فی اللون الأصلی لکلّ من الماء و النجاسة، إنّما ینفع فی ثبوت النجاسة مع استناد التأثّر و التأثیر الفعلیّین إلیهما، لا فی ثبوتهما مع صلاحیّتهما للتأثیر و التأثّر لو قدّر عدم الطارئ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 بناء المسألة علی اعتبار الصفات الأصلیة للماء، و استظهار الأخبار فی ذلک لا ینفع فی مطلوبه بعد ظهورها فی تأثّر الماء فعلا، المفقود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ذکره من وجه 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ثالث الأوجه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طوینا ذکره، للعلم بجوابه من أجوبة ما تأخّر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بکثرة الماء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الجاری من مادّته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متدافعا حتّی یزول التغیّر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زال قبله کفی التدافع الموجب للامتزاج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مجرّد الزوال فی ظاهر کلّ من 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تدافع الماء علیه من المادّة و تکاثره، کالمبسوط </w:t>
      </w:r>
      <w:r>
        <w:rPr>
          <w:rStyle w:val="FootnoteAnchor"/>
          <w:rtl w:val="true"/>
        </w:rPr>
        <w:footnoteReference w:id="183"/>
      </w:r>
      <w:r>
        <w:rPr>
          <w:rFonts w:ascii="IRNazanin" w:hAnsi="IRNazanin" w:eastAsia="IRNazanin"/>
          <w:color w:val="111111"/>
          <w:sz w:val="28"/>
          <w:sz w:val="28"/>
          <w:szCs w:val="28"/>
          <w:rtl w:val="true"/>
          <w:lang w:bidi="fa-IR"/>
        </w:rPr>
        <w:t xml:space="preserve">و السرائر </w:t>
      </w:r>
      <w:r>
        <w:rPr>
          <w:rStyle w:val="FootnoteAnchor"/>
          <w:rtl w:val="true"/>
        </w:rPr>
        <w:footnoteReference w:id="184"/>
      </w:r>
      <w:r>
        <w:rPr>
          <w:rFonts w:ascii="IRNazanin" w:hAnsi="IRNazanin" w:eastAsia="IRNazanin"/>
          <w:color w:val="111111"/>
          <w:sz w:val="28"/>
          <w:sz w:val="28"/>
          <w:szCs w:val="28"/>
          <w:rtl w:val="true"/>
          <w:lang w:bidi="fa-IR"/>
        </w:rPr>
        <w:t xml:space="preserve">و الوسیلة </w:t>
      </w:r>
      <w:r>
        <w:rPr>
          <w:rStyle w:val="FootnoteAnchor"/>
          <w:rtl w:val="true"/>
        </w:rPr>
        <w:footnoteReference w:id="185"/>
      </w:r>
      <w:r>
        <w:rPr>
          <w:rFonts w:ascii="IRNazanin" w:hAnsi="IRNazanin" w:eastAsia="IRNazanin"/>
          <w:color w:val="111111"/>
          <w:sz w:val="28"/>
          <w:sz w:val="28"/>
          <w:szCs w:val="28"/>
          <w:rtl w:val="true"/>
          <w:lang w:bidi="fa-IR"/>
        </w:rPr>
        <w:t xml:space="preserve">و المعتبر </w:t>
      </w:r>
      <w:r>
        <w:rPr>
          <w:rStyle w:val="FootnoteAnchor"/>
          <w:rtl w:val="true"/>
        </w:rPr>
        <w:footnoteReference w:id="186"/>
      </w:r>
      <w:r>
        <w:rPr>
          <w:rFonts w:ascii="IRNazanin" w:hAnsi="IRNazanin" w:eastAsia="IRNazanin"/>
          <w:color w:val="111111"/>
          <w:sz w:val="28"/>
          <w:sz w:val="28"/>
          <w:szCs w:val="28"/>
          <w:rtl w:val="true"/>
          <w:lang w:bidi="fa-IR"/>
        </w:rPr>
        <w:t xml:space="preserve">و التذکرة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کلماتهم لکونه أسهل أسباب</w:t>
      </w:r>
    </w:p>
    <w:p>
      <w:pPr>
        <w:pStyle w:val="BookText"/>
        <w:rPr/>
      </w:pPr>
      <w:r>
        <w:rPr>
          <w:rFonts w:ascii="IRNazanin" w:hAnsi="IRNazanin" w:eastAsia="IRNazanin"/>
          <w:color w:val="111111"/>
          <w:sz w:val="28"/>
          <w:sz w:val="28"/>
          <w:szCs w:val="28"/>
          <w:rtl w:val="true"/>
          <w:lang w:bidi="fa-IR"/>
        </w:rPr>
        <w:t>زوال التغیّر و أغلبها فی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فیطهر بمجرّد زوال التغیّر لاتّصاله بالمادّة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البعد عن القیود المذکورة فی کلمات العلماء، بل المتعیّن حینئذ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اللمعة </w:t>
      </w:r>
      <w:r>
        <w:rPr>
          <w:rStyle w:val="FootnoteAnchor"/>
          <w:rtl w:val="true"/>
        </w:rPr>
        <w:footnoteReference w:id="188"/>
      </w:r>
      <w:r>
        <w:rPr>
          <w:rFonts w:ascii="IRNazanin" w:hAnsi="IRNazanin" w:eastAsia="IRNazanin"/>
          <w:color w:val="111111"/>
          <w:sz w:val="28"/>
          <w:sz w:val="28"/>
          <w:szCs w:val="28"/>
          <w:rtl w:val="true"/>
          <w:lang w:bidi="fa-IR"/>
        </w:rPr>
        <w:t xml:space="preserve">و الجعفریة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یطهر بزوال التغیّر، مع أنّ الاستدلال علیه فی المعتبر و التذکرة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زوال التغیّر بغلبة الجاری لا یقبل الطارئ الانفعال، و المتغیّر مستهلک فیه فیطهر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عدم کفایة الزوال، و إلیه یرجع استدلال الشیخ أیضا فی الخلاف </w:t>
      </w:r>
      <w:r>
        <w:rPr>
          <w:rStyle w:val="FootnoteAnchor"/>
          <w:rtl w:val="true"/>
        </w:rPr>
        <w:footnoteReference w:id="190"/>
      </w:r>
      <w:r>
        <w:rPr>
          <w:rFonts w:ascii="IRNazanin" w:hAnsi="IRNazanin" w:eastAsia="IRNazanin"/>
          <w:color w:val="111111"/>
          <w:sz w:val="28"/>
          <w:sz w:val="28"/>
          <w:szCs w:val="28"/>
          <w:rtl w:val="true"/>
          <w:lang w:bidi="fa-IR"/>
        </w:rPr>
        <w:t>علی طهارة المتغیّر إذا زال تغیّره بإلقاء الکرّ علیه، کما سیجی‌ء</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بکفایة مجرّد زوال التغیّر لم یعرف ممّن تقدّم علی الشهید فی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یلزم العلّامة، حیث اکتفی فی تطهیر النجس القلیل بمجرّد اتّصاله بالکرّ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وافق الشهید </w:t>
      </w:r>
      <w:r>
        <w:rPr>
          <w:rStyle w:val="FootnoteAnchor"/>
          <w:rtl w:val="true"/>
        </w:rPr>
        <w:footnoteReference w:id="192"/>
      </w:r>
      <w:r>
        <w:rPr>
          <w:rFonts w:ascii="IRNazanin" w:hAnsi="IRNazanin" w:eastAsia="IRNazanin"/>
          <w:color w:val="111111"/>
          <w:sz w:val="28"/>
          <w:sz w:val="28"/>
          <w:szCs w:val="28"/>
          <w:rtl w:val="true"/>
          <w:lang w:bidi="fa-IR"/>
        </w:rPr>
        <w:t xml:space="preserve">المحقّق و الشهید الثانیان </w:t>
      </w:r>
      <w:r>
        <w:rPr>
          <w:rStyle w:val="FootnoteAnchor"/>
          <w:rtl w:val="true"/>
        </w:rPr>
        <w:footnoteReference w:id="193"/>
      </w:r>
      <w:r>
        <w:rPr>
          <w:rFonts w:ascii="Amiri" w:hAnsi="Amiri" w:eastAsia="Amiri" w:cs="Amiri"/>
          <w:color w:val="111111"/>
          <w:sz w:val="28"/>
          <w:sz w:val="28"/>
          <w:szCs w:val="28"/>
          <w:rtl w:val="true"/>
          <w:lang w:bidi="ar-SA"/>
        </w:rPr>
        <w:t xml:space="preserve">و جماعة </w:t>
      </w:r>
      <w:r>
        <w:rPr>
          <w:rStyle w:val="FootnoteAnchor"/>
          <w:rtl w:val="true"/>
        </w:rPr>
        <w:footnoteReference w:id="194"/>
      </w:r>
      <w:r>
        <w:rPr>
          <w:rFonts w:ascii="IRNazanin" w:hAnsi="IRNazanin" w:eastAsia="IRNazanin"/>
          <w:color w:val="111111"/>
          <w:sz w:val="28"/>
          <w:sz w:val="28"/>
          <w:szCs w:val="28"/>
          <w:rtl w:val="true"/>
          <w:lang w:bidi="fa-IR"/>
        </w:rPr>
        <w:t>إمّا لکفایة اتّصال النجس بما لا ینفعل کالمادّة و الکرّ و ماء المطر و عدم اعتبار الامتزاج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فی تطهیر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للاکتفاء بذلک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قیل فی غیره باعتبار الامتزاج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لخصوص ما دلّ فی المقام علی کفایة وجود المادّة فی النابع بعد زوال تغیّره، مثل قوله علیه السلام فی صحیحة ابن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البئر واسع لا یفسده شی‌ء، إلّا أن یتغیّر ریحه أو طعمه</w:t>
      </w:r>
    </w:p>
    <w:p>
      <w:pPr>
        <w:pStyle w:val="BookText"/>
        <w:rPr/>
      </w:pPr>
      <w:r>
        <w:rPr>
          <w:rFonts w:ascii="IRNazanin" w:hAnsi="IRNazanin" w:eastAsia="IRNazanin"/>
          <w:color w:val="111111"/>
          <w:sz w:val="28"/>
          <w:sz w:val="28"/>
          <w:szCs w:val="28"/>
          <w:rtl w:val="true"/>
          <w:lang w:bidi="fa-IR"/>
        </w:rPr>
        <w:t>فینزح حتّی یذهب الریح و یطیب الطعم، لأنّ له مادّة</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بناء علی کون ذهاب الریح و الطعم علّة غائیة للنزح، 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تعلیلیة، أو للانتهاء مع استظهار کون مدخولة علّة غائیة،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کرّر النظر فی العبارة إلی أن تفهمها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أنّ المقصود من النزح لیس إلّا زوال التغیّر، و إذا تعدّینا من البئر إلی کلّ ذی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النصّ علی علّیة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أنّ کلّ ذی مادّة یطهر بزوال تغیّره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إطلاق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الحمّام کماء النهر یطهّر بعضه بعضا</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حیث إنّ ظاهره أنّ وجود بعضه یرفع خبث الآخر و لو لم یحصل الامتزاج، خرجت صورة وجود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 علی کفایة اتّصال ماء المطر بالماء المنفعل، مثل قوله علیه السلام فی مرسلة الکاهلی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یراه ماء المطر فقد طهر</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فیکفی الاتّصال بمادّة الجاری أیضا، لأنّ المطر بمنزلة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الجمیع نظر، لمنع کفایة مجرّد اتّصال المنفعل بما لا ینفعل، بل قد یقال بعدم کفایته هنا و إن قلنا بها فی غیر الجاری، لأنّ شرط کفایة الاتّصال علوّ المطهّر أو مساواته، المفقودان فی المقام، فیعتبر التدافع و تکاثر الماء</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ظاهرة فی رجوع التعلیل بالمادّة إلی الفقرة الأخیرة، و لا فی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تعلیلیة أو داخلة علی العلّة الغائیة، بل الظاهر منها اعتبار کون الذهاب بالنزح الموجب لتدافع الماء من المادّة لیزول بذلک تغیّره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ماء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ظهورها فی الدفع و العصمة لا الرفع </w:t>
      </w:r>
      <w:r>
        <w:rPr>
          <w:rStyle w:val="FootnoteAnchor"/>
          <w:rtl w:val="true"/>
        </w:rPr>
        <w:footnoteReference w:id="198"/>
      </w:r>
      <w:r>
        <w:rPr>
          <w:rFonts w:ascii="IRNazanin" w:hAnsi="IRNazanin" w:eastAsia="IRNazanin"/>
          <w:color w:val="111111"/>
          <w:sz w:val="28"/>
          <w:sz w:val="28"/>
          <w:szCs w:val="28"/>
          <w:rtl w:val="true"/>
          <w:lang w:bidi="fa-IR"/>
        </w:rPr>
        <w:t>مع أنّه لا إطلاق فیها من حیث کیفیة التطهیر، بل المرکوز فی الأذهان فی کیفیّته اختلاط المطّهر بالنجس و استهلاکه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تدلّ إلّا علی طهارة الجزء الملاقی للمطر، کما سیجی‌ء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ما هو المشهور بین من تقدّم علی الشهید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یعتبر فیما یمتزج من المادّة مع المتغیّر کونه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النجس مستهلکا فیما لا ینفعل، و سیأتی کفایة ذلک، کما هو ظاهر الدلیل المتقدّم عن المعتبر و التذکرة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علی قول العلّامة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 الکرّیة فی الجاری </w:t>
      </w:r>
      <w:r>
        <w:rPr>
          <w:rStyle w:val="FootnoteAnchor"/>
          <w:rtl w:val="true"/>
        </w:rPr>
        <w:footnoteReference w:id="200"/>
      </w:r>
      <w:r>
        <w:rPr>
          <w:rFonts w:ascii="IRNazanin" w:hAnsi="IRNazanin" w:eastAsia="IRNazanin"/>
          <w:color w:val="111111"/>
          <w:sz w:val="28"/>
          <w:sz w:val="28"/>
          <w:szCs w:val="28"/>
          <w:rtl w:val="true"/>
          <w:lang w:bidi="fa-IR"/>
        </w:rPr>
        <w:t>لو استهلک المتغیّر بأقلّ من الکرّ، فإن خرج من المادّة ما یعلم به کون الممتزج جزء من کرّ جامع لشرائط الاعتصام من تساوی السطوح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باعتباره فی اعتصام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بطهارة المتغیّر من أوّل الامتزاج، و إن علم عدم ذلک حکم بنجاسة المجموع، و إن شکّ فالأصل عدم الکرّیة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کاشف اللثام </w:t>
      </w:r>
      <w:r>
        <w:rPr>
          <w:rStyle w:val="FootnoteAnchor"/>
          <w:rtl w:val="true"/>
        </w:rPr>
        <w:footnoteReference w:id="201"/>
      </w:r>
      <w:r>
        <w:rPr>
          <w:rFonts w:ascii="IRNazanin" w:hAnsi="IRNazanin" w:eastAsia="IRNazanin"/>
          <w:color w:val="111111"/>
          <w:sz w:val="28"/>
          <w:sz w:val="28"/>
          <w:szCs w:val="28"/>
          <w:rtl w:val="true"/>
          <w:lang w:bidi="fa-IR"/>
        </w:rPr>
        <w:t>أنّه لا بدّ علی القول بالامتزاج الصبر إلی أن یخرج الکرّ من المادّة و یمتزج، فیحکم بالطهارة من هذا الزمان، نعم، بناء علی القول بکفایة ملاقاة الکثیر یحکم بعد خروج الکرّ بالطهارة من أوّل</w:t>
      </w:r>
    </w:p>
    <w:p>
      <w:pPr>
        <w:pStyle w:val="BookText"/>
        <w:rPr/>
      </w:pPr>
      <w:r>
        <w:rPr>
          <w:rFonts w:ascii="IRNazanin" w:hAnsi="IRNazanin" w:eastAsia="IRNazanin"/>
          <w:color w:val="111111"/>
          <w:sz w:val="28"/>
          <w:sz w:val="28"/>
          <w:szCs w:val="28"/>
          <w:rtl w:val="true"/>
          <w:lang w:bidi="fa-IR"/>
        </w:rPr>
        <w:t>زمان الخروج و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العبرة بما لا ینفعل، سواء القول بالامتزاج و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النابع الواقف لو قلنا بکونه جاریا أو کالجاری، فإن تغیّر بعضه طهر بتموّج الباقی علیه حتّی یزول 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تغیّر جمیعه و زوال تغیّره من قبل نفسه، فعلی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بقاء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یکفی مجرّد وجود المادّة و إن لم یخرج منها شی‌ء؟ ظاهر الاستدلال بالصحیحة المتقدّمة </w:t>
      </w:r>
      <w:r>
        <w:rPr>
          <w:rStyle w:val="FootnoteAnchor"/>
          <w:rtl w:val="true"/>
        </w:rPr>
        <w:footnoteReference w:id="202"/>
      </w:r>
      <w:r>
        <w:rPr>
          <w:rFonts w:ascii="IRNazanin" w:hAnsi="IRNazanin" w:eastAsia="IRNazanin"/>
          <w:color w:val="111111"/>
          <w:sz w:val="28"/>
          <w:sz w:val="28"/>
          <w:szCs w:val="28"/>
          <w:rtl w:val="true"/>
          <w:lang w:bidi="fa-IR"/>
        </w:rPr>
        <w:t>ذلک، و یجب علیه طهارة البئر المتغیّر بمجرّد زوال التغیّر، لکنّک عرفت حال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المختار لو نزح من النابع حتّی قلّ ماؤه فخرج من المنبع ما استهلک به تغیّر الباقی فینبغی القول بالطهارة، لحصول الامتزاج بما لا ینفعل و استهلاک المتغیّر فیه، لکن سیجی‌ء </w:t>
      </w:r>
      <w:r>
        <w:rPr>
          <w:rStyle w:val="FootnoteAnchor"/>
          <w:rtl w:val="true"/>
        </w:rPr>
        <w:footnoteReference w:id="203"/>
      </w:r>
      <w:r>
        <w:rPr>
          <w:rFonts w:ascii="IRNazanin" w:hAnsi="IRNazanin" w:eastAsia="IRNazanin"/>
          <w:color w:val="111111"/>
          <w:sz w:val="28"/>
          <w:sz w:val="28"/>
          <w:szCs w:val="28"/>
          <w:rtl w:val="true"/>
          <w:lang w:bidi="fa-IR"/>
        </w:rPr>
        <w:t>من جماعة عدم طهارة القلیل المتنجّس بالنبع من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فی الذکری بین کون النبع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کالفوّارة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کونه رشحا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سیجی‌ء فی تطهیر القلیل </w:t>
      </w:r>
      <w:r>
        <w:rPr>
          <w:rStyle w:val="FootnoteAnchor"/>
          <w:rtl w:val="true"/>
        </w:rPr>
        <w:footnoteReference w:id="205"/>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یلحق به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الجاری فی عدم انفعال القلیل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المختصّ به اختصاصا معهودا لا بجمیع أنحاء الاختصاص و الملابسة</w:t>
      </w:r>
    </w:p>
    <w:p>
      <w:pPr>
        <w:pStyle w:val="BookText"/>
        <w:rPr/>
      </w:pPr>
      <w:r>
        <w:rPr>
          <w:rFonts w:ascii="IRNazanin" w:hAnsi="IRNazanin" w:eastAsia="IRNazanin"/>
          <w:color w:val="111111"/>
          <w:sz w:val="28"/>
          <w:sz w:val="28"/>
          <w:szCs w:val="28"/>
          <w:rtl w:val="true"/>
          <w:lang w:bidi="fa-IR"/>
        </w:rPr>
        <w:t>المسوّغة للإضافة، فلا عموم فی الاختصاص و إن عمّ الطرفان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 ما فی حیاضه المصروفة فی الغسل المستمدّة من المادّة، لصحیحة داود بن سرحان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الجاری</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و روایة قرب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الحمّام لا ینجّسه شی‌ء</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لکن یجب تقییده بروایة بکر بن حبیب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الحمّام 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له مادّة</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لیس فی سنده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المرمیّ فی المدارک بالجهالة </w:t>
      </w:r>
      <w:r>
        <w:rPr>
          <w:rStyle w:val="FootnoteAnchor"/>
          <w:rtl w:val="true"/>
        </w:rPr>
        <w:footnoteReference w:id="210"/>
      </w:r>
      <w:r>
        <w:rPr>
          <w:rFonts w:ascii="IRNazanin" w:hAnsi="IRNazanin" w:eastAsia="IRNazanin"/>
          <w:color w:val="111111"/>
          <w:sz w:val="28"/>
          <w:sz w:val="28"/>
          <w:szCs w:val="28"/>
          <w:rtl w:val="true"/>
          <w:lang w:bidi="fa-IR"/>
        </w:rPr>
        <w:t xml:space="preserve">لکنّ 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محمّد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ظاهر المحکیّ عن النجاشی </w:t>
      </w:r>
      <w:r>
        <w:rPr>
          <w:rStyle w:val="FootnoteAnchor"/>
          <w:rtl w:val="true"/>
        </w:rPr>
        <w:footnoteReference w:id="211"/>
      </w:r>
      <w:r>
        <w:rPr>
          <w:rFonts w:ascii="IRNazanin" w:hAnsi="IRNazanin" w:eastAsia="IRNazanin"/>
          <w:color w:val="111111"/>
          <w:sz w:val="28"/>
          <w:sz w:val="28"/>
          <w:szCs w:val="28"/>
          <w:rtl w:val="true"/>
          <w:lang w:bidi="fa-IR"/>
        </w:rPr>
        <w:t xml:space="preserve">و صریح الخلاصة </w:t>
      </w:r>
      <w:r>
        <w:rPr>
          <w:rStyle w:val="FootnoteAnchor"/>
          <w:rtl w:val="true"/>
        </w:rPr>
        <w:footnoteReference w:id="212"/>
      </w:r>
      <w:r>
        <w:rPr>
          <w:rFonts w:ascii="IRNazanin" w:hAnsi="IRNazanin" w:eastAsia="IRNazanin"/>
          <w:color w:val="111111"/>
          <w:sz w:val="28"/>
          <w:sz w:val="28"/>
          <w:szCs w:val="28"/>
          <w:rtl w:val="true"/>
          <w:lang w:bidi="fa-IR"/>
        </w:rPr>
        <w:t xml:space="preserve">أنّه من علماء الإمامیة، و حکی ابن داود عن الکشّی أنّه ثقة </w:t>
      </w:r>
      <w:r>
        <w:rPr>
          <w:rStyle w:val="FootnoteAnchor"/>
          <w:rtl w:val="true"/>
        </w:rPr>
        <w:footnoteReference w:id="213"/>
      </w:r>
      <w:r>
        <w:rPr>
          <w:rFonts w:ascii="IRNazanin" w:hAnsi="IRNazanin" w:eastAsia="IRNazanin"/>
          <w:color w:val="111111"/>
          <w:sz w:val="28"/>
          <w:sz w:val="28"/>
          <w:szCs w:val="28"/>
          <w:rtl w:val="true"/>
          <w:lang w:bidi="fa-IR"/>
        </w:rPr>
        <w:t xml:space="preserve">مع أنّ فی الطریق صفوان بن یحیی، و المضمون مجبور بالعمل و موافق للرضویّ </w:t>
      </w:r>
      <w:r>
        <w:rPr>
          <w:rStyle w:val="FootnoteAnchor"/>
          <w:rtl w:val="true"/>
        </w:rPr>
        <w:footnoteReference w:id="214"/>
      </w:r>
      <w:r>
        <w:rPr>
          <w:rFonts w:ascii="IRNazanin" w:hAnsi="IRNazanin" w:eastAsia="IRNazanin"/>
          <w:color w:val="111111"/>
          <w:sz w:val="28"/>
          <w:sz w:val="28"/>
          <w:szCs w:val="28"/>
          <w:rtl w:val="true"/>
          <w:lang w:bidi="fa-IR"/>
        </w:rPr>
        <w:t xml:space="preserve">فینهض لتقیید الصحیحة </w:t>
      </w:r>
      <w:r>
        <w:rPr>
          <w:rStyle w:val="FootnoteAnchor"/>
          <w:rtl w:val="true"/>
        </w:rPr>
        <w:footnoteReference w:id="215"/>
      </w:r>
      <w:r>
        <w:rPr>
          <w:rFonts w:ascii="IRNazanin" w:hAnsi="IRNazanin" w:eastAsia="IRNazanin"/>
          <w:color w:val="111111"/>
          <w:sz w:val="28"/>
          <w:sz w:val="28"/>
          <w:szCs w:val="28"/>
          <w:rtl w:val="true"/>
          <w:lang w:bidi="fa-IR"/>
        </w:rPr>
        <w:t>و غیرها، مع أنّ فی تنزیله منزلة الجاری دون الکرّ إشارة إلی کونه مستمدّا من مادّة، بل دلالة علی احتیاجه فی الاعتصام إلی المادّة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جمیع ذلک یظهر اعتبار الاتّصال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مقتضی الإطلاق عدم اعتبار کرّیة المجموع من المادّة و الحوض، فضلا عن خصوص المادّة، إلّا أن یمنع الإطلاق لغلبة الکرّیة فی المادّة حتّی فی أواخر أوقات نزح الناس من الحیاض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تشبیهه </w:t>
      </w:r>
      <w:r>
        <w:rPr>
          <w:rStyle w:val="FootnoteAnchor"/>
          <w:rtl w:val="true"/>
        </w:rPr>
        <w:footnoteReference w:id="216"/>
      </w:r>
      <w:r>
        <w:rPr>
          <w:rFonts w:ascii="IRNazanin" w:hAnsi="IRNazanin" w:eastAsia="IRNazanin"/>
          <w:color w:val="111111"/>
          <w:sz w:val="28"/>
          <w:sz w:val="28"/>
          <w:szCs w:val="28"/>
          <w:rtl w:val="true"/>
          <w:lang w:bidi="fa-IR"/>
        </w:rPr>
        <w:t>بمطلق الجاری لا یقتضی إلغاء الکرّیة فی 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الغالب فی الجاری أیضا بلوغه مع مادّته کرّا، و لو فرض نقصان مادّته عن الکرّ عند قرب انقطاعه خرج عن أفراد المشبّه به،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أنّ فی روایة 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الحمّام کماء النهر یطهّر بعضه بعضا</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العاصم له هی الکثرة، لا مجرّد المادّة، مضافا إلی عدم نهوض الإطلاقات المذکورة للخروج بها عن قاعدة انفعال القلیل بالملاقاة، و إن کانت النسبة بینها عموما من وجه و یرجع فی مثله إلی أصالة الطهارة و عموماتها، إلّا أنّ التقیید فی أخبار الحمّام </w:t>
      </w:r>
      <w:r>
        <w:rPr>
          <w:rStyle w:val="FootnoteAnchor"/>
          <w:rtl w:val="true"/>
        </w:rPr>
        <w:footnoteReference w:id="219"/>
      </w:r>
      <w:r>
        <w:rPr>
          <w:rFonts w:ascii="IRNazanin" w:hAnsi="IRNazanin" w:eastAsia="IRNazanin"/>
          <w:color w:val="111111"/>
          <w:sz w:val="28"/>
          <w:sz w:val="28"/>
          <w:szCs w:val="28"/>
          <w:rtl w:val="true"/>
          <w:lang w:bidi="fa-IR"/>
        </w:rPr>
        <w:t>أقوی، لکون الإطلاق فیها أضعف، و قد یذکر لها مرجّحات لا یخفی علی المنصف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بعدم التعارض فی المقام، بناء علی اختصاص أدلّة الانفعال بصورة ورود النجاسة علی الماء، دون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انفعال الموجود فی الحوض الصغیر بورود النجاسة علیه، لا فیما یرد علیه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لم یعلم مصرّح من الأصحاب بعدم اعتبار کرّیة المجموع، و إنّما</w:t>
      </w:r>
    </w:p>
    <w:p>
      <w:pPr>
        <w:pStyle w:val="BookText"/>
        <w:rPr/>
      </w:pPr>
      <w:r>
        <w:rPr>
          <w:rFonts w:ascii="IRNazanin" w:hAnsi="IRNazanin" w:eastAsia="IRNazanin"/>
          <w:color w:val="111111"/>
          <w:sz w:val="28"/>
          <w:sz w:val="28"/>
          <w:szCs w:val="28"/>
          <w:rtl w:val="true"/>
          <w:lang w:bidi="fa-IR"/>
        </w:rPr>
        <w:t xml:space="preserve">ینسب ذلک إلی إطلاقاتهم، و ما یظهر من استدلال الفاضلین بلزوم الحرج </w:t>
      </w:r>
      <w:r>
        <w:rPr>
          <w:rStyle w:val="FootnoteAnchor"/>
          <w:rtl w:val="true"/>
        </w:rPr>
        <w:footnoteReference w:id="220"/>
      </w:r>
      <w:r>
        <w:rPr>
          <w:rFonts w:ascii="IRNazanin" w:hAnsi="IRNazanin" w:eastAsia="IRNazanin"/>
          <w:color w:val="111111"/>
          <w:sz w:val="28"/>
          <w:sz w:val="28"/>
          <w:szCs w:val="28"/>
          <w:rtl w:val="true"/>
          <w:lang w:bidi="fa-IR"/>
        </w:rPr>
        <w:t xml:space="preserve">الظاهر فی کون الحکم رخصة مع قیام مقتضی المنع، و من إفراد الکلّ له عنوانا مستقلّا خصوصا عقیب الجاری، کما فی المبسوط </w:t>
      </w:r>
      <w:r>
        <w:rPr>
          <w:rStyle w:val="FootnoteAnchor"/>
          <w:rtl w:val="true"/>
        </w:rPr>
        <w:footnoteReference w:id="221"/>
      </w:r>
      <w:r>
        <w:rPr>
          <w:rFonts w:ascii="IRNazanin" w:hAnsi="IRNazanin" w:eastAsia="IRNazanin"/>
          <w:color w:val="111111"/>
          <w:sz w:val="28"/>
          <w:sz w:val="28"/>
          <w:szCs w:val="28"/>
          <w:rtl w:val="true"/>
          <w:lang w:bidi="fa-IR"/>
        </w:rPr>
        <w:t xml:space="preserve">و غیره </w:t>
      </w:r>
      <w:r>
        <w:rPr>
          <w:rStyle w:val="FootnoteAnchor"/>
          <w:rtl w:val="true"/>
        </w:rPr>
        <w:footnoteReference w:id="222"/>
      </w:r>
      <w:r>
        <w:rPr>
          <w:rFonts w:ascii="IRNazanin" w:hAnsi="IRNazanin" w:eastAsia="IRNazanin"/>
          <w:color w:val="111111"/>
          <w:sz w:val="28"/>
          <w:sz w:val="28"/>
          <w:szCs w:val="28"/>
          <w:rtl w:val="true"/>
          <w:lang w:bidi="fa-IR"/>
        </w:rPr>
        <w:t>من أنّ له خصوصیة علی غیره، و لا یکون إلّا بإلغاء الکریّة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علی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الإفراد بالعنوان لمتابعة النصّ کما فی إفرادهم لکثیر من أفراد القواعد تبعا للنصّ الوارد فیها، مع احتمال الفرق بینه و بین غیره من الراکد بما سیجی‌ء باعتبار الکرّیة فی المادّة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دلالة فی الاستدلال بالحرج بعد تصریح المستدلّ باعتبار کرّیة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کالعلّامة فی المنتهی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صرّح المحقّق قدّس سرّه بعدم اعتبار کرّیة المادّة </w:t>
      </w:r>
      <w:r>
        <w:rPr>
          <w:rStyle w:val="FootnoteAnchor"/>
          <w:rtl w:val="true"/>
        </w:rPr>
        <w:footnoteReference w:id="224"/>
      </w:r>
      <w:r>
        <w:rPr>
          <w:rFonts w:ascii="IRNazanin" w:hAnsi="IRNazanin" w:eastAsia="IRNazanin"/>
          <w:color w:val="111111"/>
          <w:sz w:val="28"/>
          <w:sz w:val="28"/>
          <w:szCs w:val="28"/>
          <w:rtl w:val="true"/>
          <w:lang w:bidi="fa-IR"/>
        </w:rPr>
        <w:t>لکن لم یعلم منه عدم اعتبارها فی المجموع، فیمکن موافقته فیما لا یلزم منه مخالفة أدلّة انفعال القلیل، کما لو فرض عدّ ما فی الحیاض مع المادّة ماء واحدا لتساوی السطحین،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یعتبر فی عدم انفعال الکرّ سوی اتّصال الماء بعضه ببعض، أمّا مع کرّیة المادّة فلا ضیر فی الخروج عن قاعدة الانفعال لو فرض صدق القلیل علی ما فی الحوض حتّی حال اتّصاله بالمادّة علی وجه لا یوجب الاتّحاد، لأنّه کالمتیقّن من إطلاق النصّ و الفتوی، فإنّ تقییده بصورة اتّحاد المادّة معه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 المجموع تحت</w:t>
      </w:r>
    </w:p>
    <w:p>
      <w:pPr>
        <w:pStyle w:val="BookText"/>
        <w:rPr/>
      </w:pP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البعد، و لعلّ هذه المزیّة هی الخصوصیة الداعیة لإفراد ماء الحمّام عن الواقف و إلحاقه بالجاری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یخدشه أنّ ظاهر بعض کشارح الدروس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سیجی‌ء فی مسألة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اعتصام القلیل بالعالی الکثیر مطلقا، فلم یختصّ بماء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یمکن منع الإجماع، لأنّ العلّامة فی التذکرة و المنتهی </w:t>
      </w:r>
      <w:r>
        <w:rPr>
          <w:rStyle w:val="FootnoteAnchor"/>
          <w:rtl w:val="true"/>
        </w:rPr>
        <w:footnoteReference w:id="226"/>
      </w:r>
      <w:r>
        <w:rPr>
          <w:rFonts w:ascii="IRNazanin" w:hAnsi="IRNazanin" w:eastAsia="IRNazanin"/>
          <w:color w:val="111111"/>
          <w:sz w:val="28"/>
          <w:sz w:val="28"/>
          <w:szCs w:val="28"/>
          <w:rtl w:val="true"/>
          <w:lang w:bidi="fa-IR"/>
        </w:rPr>
        <w:t>مع تصریحه باعتبار الکرّیة فی مادّة الحمّام استشکل فی إلحاق غیر ماء الحمّام به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یعلم الإجماع علی اعتصام الأسفل بالأعلی فی غیر ماء الحمّام فیما لو کان العالی واردا علیه بمیزاب و شبهه، کما هو الغالب فی مادّة الحمّام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العلّامة فی التحریر اعتبر زیادة المادّة علی الکرّ </w:t>
      </w:r>
      <w:r>
        <w:rPr>
          <w:rStyle w:val="FootnoteAnchor"/>
          <w:rtl w:val="true"/>
        </w:rPr>
        <w:footnoteReference w:id="227"/>
      </w:r>
      <w:r>
        <w:rPr>
          <w:rFonts w:ascii="IRNazanin" w:hAnsi="IRNazanin" w:eastAsia="IRNazanin"/>
          <w:color w:val="111111"/>
          <w:sz w:val="28"/>
          <w:sz w:val="28"/>
          <w:szCs w:val="28"/>
          <w:rtl w:val="true"/>
          <w:lang w:bidi="fa-IR"/>
        </w:rPr>
        <w:t>و لعلّه لاعتبار ذلک فی تطهیرها للحوض الصغیر عند تنجّسه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الشهید و المحقّق الثانیان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فلم أعرف وجها لاعتبارها فی الاعتصام، إلّا أن یؤوّل الکلام بإرادة الکرّ فما زاد،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 نِسٰاءً فَوْقَ اثْنَتَیْنِ</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و فی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غدیر فیه من الماء أکثر من کرّ لم ینجّسه شی‌ء</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 یشهد بذلک تعبیره بنظیر ذلک فی الجاری،</w:t>
      </w:r>
    </w:p>
    <w:p>
      <w:pPr>
        <w:pStyle w:val="BookText"/>
        <w:rPr/>
      </w:pPr>
      <w:r>
        <w:rPr>
          <w:rFonts w:ascii="IRNazanin" w:hAnsi="IRNazanin" w:eastAsia="IRNazanin"/>
          <w:color w:val="111111"/>
          <w:sz w:val="28"/>
          <w:sz w:val="28"/>
          <w:szCs w:val="28"/>
          <w:rtl w:val="true"/>
          <w:lang w:bidi="fa-IR"/>
        </w:rPr>
        <w:t xml:space="preserve">فراجع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طریق تطهیر ما فی الحوض لا یمتاز عن غیره، إذ لا خصوصیة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تخیّل من استفادة ذلک من قوله علیه السلام فی الروایة السابقة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الحمّام کماء النهر یطهّر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 الروایة سندا بالإرسال و غیره، و دلالة بظهورها فی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المطهّر للبعض النجس من النهر لیس مجرّد وجود بعضه الآخر، و إنّما هو امتزاجه به، فلیلتزم ذلک فی ماء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أیضا قرینة أخری علی إرادة الدفع، حیث إنّ ظاهر الروایة کون وجود البعض بنفسه مطهّرا، فالتطهیر هنا یراد به العصمة عن الانفعال، کما أشرنا سابقا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مازجه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الجاری بل مطلق الماء، و إنّما ذکره فی ذیل الجاری بمناسبة التغیّر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فغیّره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 أوصافه الثلاثة أو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تغیّر من قبل نفسه لم یخرج عن کونه مطهّرا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من العامّة و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إطلاق الاسم باقیا علیه</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بلا خلاف منّا، و إن أو همه نسبة الحکم فی الذکری إلی الشهرة </w:t>
      </w:r>
      <w:r>
        <w:rPr>
          <w:rStyle w:val="FootnoteAnchor"/>
          <w:rtl w:val="true"/>
        </w:rPr>
        <w:footnoteReference w:id="234"/>
      </w:r>
      <w:r>
        <w:rPr>
          <w:rFonts w:ascii="Amiri" w:hAnsi="Amiri" w:eastAsia="Amiri" w:cs="Amiri"/>
          <w:color w:val="111111"/>
          <w:sz w:val="28"/>
          <w:sz w:val="28"/>
          <w:szCs w:val="28"/>
          <w:rtl w:val="true"/>
          <w:lang w:bidi="ar-SA"/>
        </w:rPr>
        <w:t xml:space="preserve">و عبارة المقنعة </w:t>
      </w:r>
      <w:r>
        <w:rPr>
          <w:rStyle w:val="FootnoteAnchor"/>
          <w:rtl w:val="true"/>
        </w:rPr>
        <w:footnoteReference w:id="235"/>
      </w:r>
      <w:r>
        <w:rPr>
          <w:rFonts w:ascii="IRNazanin" w:hAnsi="IRNazanin" w:eastAsia="IRNazanin"/>
          <w:color w:val="111111"/>
          <w:sz w:val="28"/>
          <w:sz w:val="28"/>
          <w:szCs w:val="28"/>
          <w:rtl w:val="true"/>
          <w:lang w:bidi="fa-IR"/>
        </w:rPr>
        <w:t xml:space="preserve">بل المبسوط </w:t>
      </w:r>
      <w:r>
        <w:rPr>
          <w:rStyle w:val="FootnoteAnchor"/>
          <w:rtl w:val="true"/>
        </w:rPr>
        <w:footnoteReference w:id="236"/>
      </w:r>
      <w:r>
        <w:rPr>
          <w:rFonts w:ascii="Amiri" w:hAnsi="Amiri" w:eastAsia="Amiri" w:cs="Amiri"/>
          <w:color w:val="111111"/>
          <w:sz w:val="28"/>
          <w:sz w:val="28"/>
          <w:szCs w:val="28"/>
          <w:rtl w:val="true"/>
          <w:lang w:bidi="ar-SA"/>
        </w:rPr>
        <w:t>إلّا أنّ ظاهرهما فی</w:t>
      </w:r>
    </w:p>
    <w:p>
      <w:pPr>
        <w:pStyle w:val="BookText"/>
        <w:rPr/>
      </w:pPr>
      <w:r>
        <w:rPr>
          <w:rFonts w:ascii="IRNazanin" w:hAnsi="IRNazanin" w:eastAsia="IRNazanin"/>
          <w:color w:val="111111"/>
          <w:sz w:val="28"/>
          <w:sz w:val="28"/>
          <w:szCs w:val="28"/>
          <w:rtl w:val="true"/>
          <w:lang w:bidi="fa-IR"/>
        </w:rPr>
        <w:t xml:space="preserve">غیر مقام و صریح غیرهما عدم العبرة بالتغیّر، و لذا ادّعی فی الغنیة </w:t>
      </w:r>
      <w:r>
        <w:rPr>
          <w:rStyle w:val="FootnoteAnchor"/>
          <w:rtl w:val="true"/>
        </w:rPr>
        <w:footnoteReference w:id="237"/>
      </w:r>
      <w:r>
        <w:rPr>
          <w:rFonts w:ascii="IRNazanin" w:hAnsi="IRNazanin" w:eastAsia="IRNazanin"/>
          <w:color w:val="111111"/>
          <w:sz w:val="28"/>
          <w:sz w:val="28"/>
          <w:szCs w:val="28"/>
          <w:rtl w:val="true"/>
          <w:lang w:bidi="fa-IR"/>
        </w:rPr>
        <w:t xml:space="preserve">و المنتهی </w:t>
      </w:r>
      <w:r>
        <w:rPr>
          <w:rStyle w:val="FootnoteAnchor"/>
          <w:rtl w:val="true"/>
        </w:rPr>
        <w:footnoteReference w:id="238"/>
      </w:r>
      <w:r>
        <w:rPr>
          <w:rFonts w:ascii="IRNazanin" w:hAnsi="IRNazanin" w:eastAsia="IRNazanin"/>
          <w:color w:val="111111"/>
          <w:sz w:val="28"/>
          <w:sz w:val="28"/>
          <w:szCs w:val="28"/>
          <w:rtl w:val="true"/>
          <w:lang w:bidi="fa-IR"/>
        </w:rPr>
        <w:t xml:space="preserve">و غیرهما </w:t>
      </w:r>
      <w:r>
        <w:rPr>
          <w:rStyle w:val="FootnoteAnchor"/>
          <w:rtl w:val="true"/>
        </w:rPr>
        <w:footnoteReference w:id="239"/>
      </w:r>
      <w:r>
        <w:rPr>
          <w:rFonts w:ascii="IRNazanin" w:hAnsi="IRNazanin" w:eastAsia="IRNazanin"/>
          <w:color w:val="111111"/>
          <w:sz w:val="28"/>
          <w:sz w:val="28"/>
          <w:szCs w:val="28"/>
          <w:rtl w:val="true"/>
          <w:lang w:bidi="fa-IR"/>
        </w:rPr>
        <w:t xml:space="preserve">الإجماع علی المسألة، لإناطة الحکم بالاسم، فلا وجه لما حکی عن المشارق </w:t>
      </w:r>
      <w:r>
        <w:rPr>
          <w:rStyle w:val="FootnoteAnchor"/>
          <w:rtl w:val="true"/>
        </w:rPr>
        <w:footnoteReference w:id="240"/>
      </w:r>
      <w:r>
        <w:rPr>
          <w:rFonts w:ascii="IRNazanin" w:hAnsi="IRNazanin" w:eastAsia="IRNazanin"/>
          <w:color w:val="111111"/>
          <w:sz w:val="28"/>
          <w:sz w:val="28"/>
          <w:szCs w:val="28"/>
          <w:rtl w:val="true"/>
          <w:lang w:bidi="fa-IR"/>
        </w:rPr>
        <w:t>من الإشکال و الاحتیاط فی التطهیر بالمیاه المتغیّرة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بعض الأخبار فی المنع عن التوضّی بما تغیّر ببول الدوابّ </w:t>
      </w:r>
      <w:r>
        <w:rPr>
          <w:rStyle w:val="FootnoteAnchor"/>
          <w:rtl w:val="true"/>
        </w:rPr>
        <w:footnoteReference w:id="241"/>
      </w:r>
      <w:r>
        <w:rPr>
          <w:rFonts w:ascii="IRNazanin" w:hAnsi="IRNazanin" w:eastAsia="IRNazanin"/>
          <w:color w:val="111111"/>
          <w:sz w:val="28"/>
          <w:sz w:val="28"/>
          <w:szCs w:val="28"/>
          <w:rtl w:val="true"/>
          <w:lang w:bidi="fa-IR"/>
        </w:rPr>
        <w:t>و للرضویّ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ماء مضاف أو مضاف إلیه فلا یجوز التطهیر به مثل ماء الورد و ماء الریاحین و العصیر و الخلّ و ماء الباقلاء و ماء الزعفران و ماء الخلوق </w:t>
      </w:r>
      <w:r>
        <w:rPr>
          <w:rStyle w:val="FootnoteAnchor"/>
          <w:rtl w:val="true"/>
        </w:rPr>
        <w:footnoteReference w:id="242"/>
      </w:r>
      <w:r>
        <w:rPr>
          <w:rFonts w:ascii="IRNazanin" w:hAnsi="IRNazanin" w:eastAsia="IRNazanin"/>
          <w:color w:val="111111"/>
          <w:sz w:val="28"/>
          <w:sz w:val="28"/>
          <w:szCs w:val="28"/>
          <w:rtl w:val="true"/>
          <w:lang w:bidi="fa-IR"/>
        </w:rPr>
        <w:t>و غیره و ما یشبهها، و کلّ ذلک لا یجوز استعمالها إلّا الماء القراح أو التراب</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للمضاف فی المبسوط أیضا بماء الباقلاء و ماء الزعفران و ماء الورد و ماء الآس و ماء الأشنان و أشباه ذلک، حتّی یکون الماء خالصا ممّا یغلب علیه و إن کان طاهرا </w:t>
      </w:r>
      <w:r>
        <w:rPr>
          <w:rStyle w:val="FootnoteAnchor"/>
          <w:rtl w:val="true"/>
        </w:rPr>
        <w:footnoteReference w:id="24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المسألة واضحة فی الغایة</w:t>
      </w:r>
      <w:r>
        <w:rPr>
          <w:rFonts w:eastAsia="IRNazanin" w:cs="IRNazanin"/>
          <w:color w:val="111111"/>
          <w:sz w:val="28"/>
          <w:szCs w:val="28"/>
          <w:rtl w:val="true"/>
          <w:lang w:bidi="fa-IR"/>
        </w:rPr>
        <w:t>.</w:t>
      </w:r>
      <w:bookmarkStart w:id="300" w:name="pg13031_131773"/>
    </w:p>
    <w:p>
      <w:pPr>
        <w:pStyle w:val="BookText"/>
        <w:rPr/>
      </w:pPr>
      <w:bookmarkEnd w:id="3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6"/>
        <w:numPr>
          <w:ilvl w:val="5"/>
          <w:numId w:val="1"/>
        </w:numPr>
        <w:rPr/>
      </w:pPr>
      <w:bookmarkStart w:id="301" w:name="__RefHeading___Toc6281655_3224264995"/>
      <w:bookmarkStart w:id="302" w:name="_Toc129"/>
      <w:bookmarkEnd w:id="301"/>
      <w:r>
        <w:rPr>
          <w:rtl w:val="true"/>
        </w:rPr>
        <w:t>القسم الثانی الماء المحقون</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المحبوس و إن سال لعارض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منه دون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وزنا و مساحة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ینجس </w:t>
      </w:r>
      <w:r>
        <w:rPr>
          <w:rStyle w:val="FootnoteAnchor"/>
          <w:rtl w:val="true"/>
        </w:rPr>
        <w:footnoteReference w:id="245"/>
      </w:r>
      <w:r>
        <w:rPr>
          <w:rFonts w:ascii="IRNazanin" w:hAnsi="IRNazanin" w:eastAsia="IRNazanin"/>
          <w:color w:val="111111"/>
          <w:sz w:val="28"/>
          <w:sz w:val="28"/>
          <w:szCs w:val="28"/>
          <w:rtl w:val="true"/>
          <w:lang w:bidi="fa-IR"/>
        </w:rPr>
        <w:t>بملاقاة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المتنجّس علی المشهور، بل عن الشهیدین </w:t>
      </w:r>
      <w:r>
        <w:rPr>
          <w:rStyle w:val="FootnoteAnchor"/>
          <w:rtl w:val="true"/>
        </w:rPr>
        <w:footnoteReference w:id="246"/>
      </w:r>
      <w:r>
        <w:rPr>
          <w:rFonts w:ascii="IRNazanin" w:hAnsi="IRNazanin" w:eastAsia="IRNazanin"/>
          <w:color w:val="111111"/>
          <w:sz w:val="28"/>
          <w:sz w:val="28"/>
          <w:szCs w:val="28"/>
          <w:rtl w:val="true"/>
          <w:lang w:bidi="fa-IR"/>
        </w:rPr>
        <w:t xml:space="preserve">و الشیخ </w:t>
      </w:r>
      <w:r>
        <w:rPr>
          <w:rStyle w:val="FootnoteAnchor"/>
          <w:rtl w:val="true"/>
        </w:rPr>
        <w:footnoteReference w:id="247"/>
      </w:r>
      <w:r>
        <w:rPr>
          <w:rFonts w:ascii="IRNazanin" w:hAnsi="IRNazanin" w:eastAsia="IRNazanin"/>
          <w:color w:val="111111"/>
          <w:sz w:val="28"/>
          <w:sz w:val="28"/>
          <w:szCs w:val="28"/>
          <w:rtl w:val="true"/>
          <w:lang w:bidi="fa-IR"/>
        </w:rPr>
        <w:t xml:space="preserve">الإجماع علیه و ربّما یذکر فی المقام إجماعات لا تدلّ علی الإجماع فی المسألة، و لا حاجة إلی الکلّ بعد استفاضة الأخبار، بل تواترها، کما قیل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تبلغ ثلاثمائة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لنذکر منها ما اتّضح دلالته بحیث یستهجن تأویله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الصادق علیه السلام فی صحیحة ابن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الغدیر فیه ماء مجتمع تبول فیه الدوابّ و تلغ فیه الکلاب و یغتسل فیه الجنب؟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معاویة بن عمّار فی الصحیح أیضا </w:t>
      </w:r>
      <w:r>
        <w:rPr>
          <w:rStyle w:val="FootnoteAnchor"/>
          <w:rtl w:val="true"/>
        </w:rPr>
        <w:footnoteReference w:id="251"/>
      </w:r>
      <w:r>
        <w:rPr>
          <w:rFonts w:ascii="IRNazanin" w:hAnsi="IRNazanin" w:eastAsia="IRNazanin"/>
          <w:color w:val="111111"/>
          <w:sz w:val="28"/>
          <w:sz w:val="28"/>
          <w:szCs w:val="28"/>
          <w:rtl w:val="true"/>
          <w:lang w:bidi="fa-IR"/>
        </w:rPr>
        <w:t>دلّ بمفهومه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تخصیص المنطوق بما عدا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القلیل ینجّسه شی‌ء سوی التغیّر، و لا حاجة لنا إلی إثبات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لکفایة الإیجاب الجزئی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إسماعیل بن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الماء الّذی لا ینجّسه شی‌ء؟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مصحّحة اخری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الماء الّذی لا ینجّسه شی‌ء؟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ذراعان عمقه فی ذراع و شبر سعته</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و یستفاد منها کون انقسام الماء إلی ما لا ینفعل و إلی ما ینفعل مرکوزا فی أذهان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البقباق الواردة فی سؤر الکلب،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رجس نجس لا یتوضّأ بفضله، و اصبب ذلک الماء و اغسل الإناء بالتراب أوّل مرّة ثمّ بالماء</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علیّ بن جعفر فی خنزیر یشرب من إناء،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سبع مرّات</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الکلب یشرب من الإناء؟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اغسل الإناء</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البزنطی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 السلام عن الرجل یدخل یده فی الإناء و هی قذرة؟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یکفئ الإناء</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صحیحة ابن مسکان عن أبی بصیر 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الجنب یجعل الرکوة أو التور فیدخل إصبعه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قذرة فأهرقه، و إن کان لم یصبها قذر فلیغتسل منه، هذا ممّا قال اللّٰه عزّ و جلّ 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حضرنی من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غیرها فأکثر من أن یحصی، و سیجی‌ء بعضها فی معارضة أخبار عدم الانفعال الّتی استدلّ بها للعمانی و المحدّث الکاشانی و الشیخ المحدّث الفتونی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استدلّ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الأصل و عموم الروایة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اللّٰه الماء طهورا لا ینجّسه شی‌ء إلّا ما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بأخبار کثیرة ظاهرة فی عدم الانفعال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محمّد بن میسّر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عبد اللّٰه علیه السلام عن الرجل الجنب ینتهی إلی الماء القلیل فی الطریق یرید أن یغتسل منه و لیس معه إناء یغترف به و یداه قذرتان؟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یضع یده و یتوضّأ و یغتسل، هذا ممّا قال اللّٰه تعالی مٰا جَعَلَ عَلَیْکُمْ فِی الدِّینِ مِنْ حَرَجٍ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الاصطلاح الشرعی غیر ثابت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فغایة الأمر کونه من الأخبار المطلقة القابلة للتقیید بالکرّ، مع إمکان دعوی ذلک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أنّ إدخال الیدین قبل غسلهما و لو لم تکونا نجستین مورد توهّم المنع، کما یستفاد من الأخبار الآتیة، و الاستشهاد بآیة نفی الحرج لا ینافی ذلک، کما فی صحیحة أبی بصیر المتقدّمة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الأظهر منها فی هذا المطلب ما عن قرب الإسناد و کتاب المسائل لعلیّ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جنب أصابت یده جنابة فمسحه بخرقة ثمّ أدخل یده، هل یجزیه أن یغتسل من ذلک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ماء غیره فلا یجزیه أن یغتسل، و إن لم یجد غیره أجزأه</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لکنّهما معارضان فی خصوص موردهما بما دلّ من الأخبار المستفیضة علی عدم جواز الاغتسال إذا أدخل الجنب یده القذرة فی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روایة شهاب بن عبد ربّه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الجنب یسهو فیغمس یده فی الإناء قبل أن یغسلها؟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لم یکن أصاب یده شی‌ء</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أدخلت یدک فی الإناء قبل أن تغسلها فلا بأس، إلّا أن یکون أصابها قذر بول أو جنابة فإن أدخلت یدک فی الماء و فیها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شی‌ء من ذلک فأهرق ذلک الماء</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موثّقه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الرجل جنابة فأدخل یده فی الإناء فلا بأس إذا لم یکن أصاب یده شی‌ء من المنیّ</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موثّقته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أصابته جنابة فأدخل یده فی الماء، فلا بأس به إن لم یکن أصاب یده شی‌ء من المنیّ، فإن أصاب یده شی‌ء فأدخل فی الماء قبل أن یفرغ علی کفّه، فلیهرق الماء</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ممّا ورد فی هذا المعنی مثل روایتی زرارة فی کیفیة الوضوء و الغسل </w:t>
      </w:r>
      <w:r>
        <w:rPr>
          <w:rStyle w:val="FootnoteAnchor"/>
          <w:rtl w:val="true"/>
        </w:rPr>
        <w:footnoteReference w:id="268"/>
      </w:r>
      <w:r>
        <w:rPr>
          <w:rFonts w:ascii="IRNazanin" w:hAnsi="IRNazanin" w:eastAsia="IRNazanin"/>
          <w:color w:val="111111"/>
          <w:sz w:val="28"/>
          <w:sz w:val="28"/>
          <w:szCs w:val="28"/>
          <w:rtl w:val="true"/>
          <w:lang w:bidi="fa-IR"/>
        </w:rPr>
        <w:t>حیث اشترط فی غمس الید فی الماء طهارتها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فقیه یأخذ بظاهر حسنة ابن میسّر و یحکم بعدم انفعال ماء الغسل بإدخال الید النجسة فیه، و یطرح هذه الأخبار مع کونها أکثر و أظهر؟</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مریم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أبی عبد اللّٰه علیه السلام فی حائط له، فحضرت الصلاة، فنزح دلوا للوضوء من رکیّ له، فخرج علیه قطعة من عذرة یابسة، فأکفأ رأسه و توضّأ بالباقی</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ظهورها فی عدم الانفعال لا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عذرة الإنسان أو مطلق غیر المأکول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أحدا لا یرضی بتوضّی الإمام علیه السلام من هذا الماء مع ما علم من اهتمام الشارع فی ماء الطهارة بما لا یهتمّ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فهی معارضة بما دلّ علی عدم التوضّی بمثل هذا الماء، ففی مرسلة علیّ بن حدید عن بعض أصحابه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أبی عبد اللّٰه علیه السلام فی طریق مکّة فصرنا إلی بئر، فاستقی غلام أبی عبد اللّٰه علیه السلام دلوا، فخرج فیه فأرتان، فقال له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أرقه، فاستقی آخر فخرج فیه فأرة،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أرقه، فاستقی الثالث فلم یخرج فیه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صبّه فی الإناء، فصبّه فی الإناء</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الأمر بالإراقة لا یکون إلّا مع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من ماء سقطت فیها فأرة أو جرذ أو صعوة میتة؟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تفسّخ فیها فلا تشرب من مائها و لا تتوضأ و صبّها، و إن کان غیر متفسّخ فاشرب منه و توضّأ و اطرح المیتة إذا أخرجتها طریّة، و کذلک الجرّة و حبّ الماء و القربة و أشباه ذلک من أوعیة الماء</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ظهوره لا ینکر، إلّا أنّه معارض بما هو أکثر و أظهر من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موثّقة سعید الأعرج،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الجرّة تسع مائة رطل من ماء یقع فیها أوقیة من دم أشرب منه و أتوضّأ؟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و حمله علی التغیّر یعلم بعده من نسبة الأوقیة إلی مائة رطل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یبلّ المیل ینجّس حبّا من ماء</w:t>
      </w:r>
      <w:r>
        <w:rPr>
          <w:rFonts w:eastAsia="IRNazanin" w:cs="IRNazanin"/>
          <w:color w:val="111111"/>
          <w:sz w:val="28"/>
          <w:szCs w:val="28"/>
          <w:rtl w:val="true"/>
          <w:lang w:bidi="fa-IR"/>
        </w:rPr>
        <w:t xml:space="preserve">»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ینجّس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المیل من النبیذ ینجّس حبّا من ماء</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عمر بن حنظلة فی المسکر،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قطرة قطرت منه فی حبّ إلّا أهریق ذلک الحبّ</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قرب الإسناد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حبّ ماء یقع فیه أوقیة بول هل یصلح شربه أو الوضوء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عمّار عن الصادق علیه السلام فی ماء شرب منه باز أو صقر أو عقاب أو دجاجة؟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من الطیر یتوضّأ ممّا یشرب منه إلّا أن تری فی منقاره دما، و إن رأیت فی منقاره دما فلا توضّأ منه و لا تشرب</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فی الإناءین المشتبهین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یهریقهما و یتیمّم</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أقف لهم علی خبر خاصّ آخر، نعم قد استدلّ لهم </w:t>
      </w:r>
      <w:r>
        <w:rPr>
          <w:rStyle w:val="FootnoteAnchor"/>
          <w:rtl w:val="true"/>
        </w:rPr>
        <w:footnoteReference w:id="279"/>
      </w:r>
      <w:r>
        <w:rPr>
          <w:rFonts w:ascii="IRNazanin" w:hAnsi="IRNazanin" w:eastAsia="IRNazanin"/>
          <w:color w:val="111111"/>
          <w:sz w:val="28"/>
          <w:sz w:val="28"/>
          <w:szCs w:val="28"/>
          <w:rtl w:val="true"/>
          <w:lang w:bidi="fa-IR"/>
        </w:rPr>
        <w:t xml:space="preserve">بما یعمّ القلیل </w:t>
      </w:r>
      <w:r>
        <w:rPr>
          <w:rStyle w:val="FootnoteAnchor"/>
          <w:rtl w:val="true"/>
        </w:rPr>
        <w:footnoteReference w:id="280"/>
      </w:r>
      <w:r>
        <w:rPr>
          <w:rFonts w:ascii="IRNazanin" w:hAnsi="IRNazanin" w:eastAsia="IRNazanin"/>
          <w:color w:val="111111"/>
          <w:sz w:val="28"/>
          <w:sz w:val="28"/>
          <w:szCs w:val="28"/>
          <w:rtl w:val="true"/>
          <w:lang w:bidi="fa-IR"/>
        </w:rPr>
        <w:t xml:space="preserve">و لکن یخصّصه عمومات طهارة الماء </w:t>
      </w:r>
      <w:r>
        <w:rPr>
          <w:rStyle w:val="FootnoteAnchor"/>
          <w:rtl w:val="true"/>
        </w:rPr>
        <w:footnoteReference w:id="281"/>
      </w:r>
      <w:r>
        <w:rPr>
          <w:rFonts w:ascii="Amiri" w:hAnsi="Amiri" w:eastAsia="Amiri" w:cs="Amiri"/>
          <w:color w:val="111111"/>
          <w:sz w:val="28"/>
          <w:sz w:val="28"/>
          <w:szCs w:val="28"/>
          <w:rtl w:val="true"/>
          <w:lang w:bidi="ar-SA"/>
        </w:rPr>
        <w:t>بما تقدّم و غیره،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ثمّ إنّ فی کیفیة نجاسة مجموع الماء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جمیع المائعات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بملاقاة النجاسة بعضه بخلاف غیرها من الجوامد الرطبة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السرایة من حیث الحکم، بأن یلاقی الجزء الأوّل للنجس فینجس، و ینجس ملاقیه ممّا یلیه، و هکذا، لأنّ کلّ جزء ملاق بالفعل لما یلیه، فینجس جمیع الأجزاء فی زمان واحد، لحصول الملاقاة بینها قبل نجاسة شی‌ء منها، ففی زمان الحکم بنجاسة الجزء الأوّل ینجس جمیع ما عداه، لحصول الملاقاة بینه و بین الجزء الأوّل، فلا یتوقّف الحکم بنجاسة کلّ جزء علی أزید من الحکم بنجاسة ما یلاقیه بینه و بین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یبطل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النقض علیه بما اجمع علی عدم السرایة، کالثوب الرطب إذا لاقی جزء منه النجاسة، و کالدهن الجامد و نحوه ممّا لا تتعدّی النجاسة إلی غیر محلّها، و کالعالی من الماء المطلق إذا تنجّس السافل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ملاقاة کلّ جزء لما یلیه ممنوعة، لاستحالة ذلک، فإنّ المتلاقی من الجزءین سطحاهما لا تمامهما،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ملاقاة أحد السطحین الملاقی للنجس للسطح الآخر، فلا وجه لتنجّسه حتّی یتنجّس به ما یلاقیه من سطح جزء آخر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نجاسة السطح الملاقی عبارة عن نجاسة الأجزاء اللطیفة من الماء، لأنّ النجاسة تعرض الجسم لا العرض، و لا یفرض فی نظر العرف لذلک الجزء سطحان حتّی یختصّ بالتنجیس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ذلک واقعا بناء علی بطلان الجزء الغیر المتجزی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إلی حکم العرف بتنجّس الجسم و إن لم یلاق النجاسة إلّا بعضه، و لا حاجة معه إلی دعوی السرایة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حیث التلاقی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السرایة من حیث نفس المتنجّس، فإنّ الجزء الملاقی للنجس یسری بنفسه إلی ما حوله من الأجزاء، کما یظهر للحسّ مع کون ذلک الجزء النجس ذا کیفیة سریعة النفوذ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للّون أو 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اعتنی الشارع بهذه السرایة و إن دقّت و خفیت ما لم یبلغ الماء کرّا، فإذا بلغه لم یعتن بها و إن ظهر من غیر جهة الأوصاف الثلاثة، کالحرارة و البرودة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أکثر نقضا من الوجه الأوّل، لانتقاضه بالکرّ مع إحساس السرایة فیه و بما ذکر فی الوجه السابق، و یلزم علیه أن یکون انفعال مجموع الماء علی التدریج، و أن یتفاوت زمان السرایة بالنسبة إلی المائع الرقیق و الغلیظ، مع أنّ التدریج باطل إجماعا، فضلا عن تفاوت المائعات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الوجه تعبّد الشارع بذلک فی المائعات دون غیرها، فالساری إلی ما عدا الجزء الملاقی للنجس من الأجزاء النجاسة الشرعیة لا غیر، و لیس فی الحقیقة سرایة، و حینئذ فالمتّبع هو الدلیل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المتبادر عرفا من الدلیل الشرعی و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أنّ ما دون الکرّ ینجّسه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تنجّس جمیعه من غیر فرق بین الجزء العالی منه و السافل و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المتبادر من نسبة التنجیس إلی النجاسة کون الواسطة هی مطلق الملاقاة و الاتّصال من غیر فرق بین وروده علی النجاسة و ورودها علیه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لا فرق بین النجاسات، کما هو المستفاد من الروایات،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خصوصا مفهوم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بإهماله ضعیف فی الغایة، منشؤه توهّم کون کرّیة الماء علّة لعدم تنجّسه بجمیع النجاسات، لا لعدم تنجّسه بکلّ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ظاهر السیاق هو الثانی، فانتفاء الکرّیة یوجب تنجّسه بکلّ فرد، لأنّ النفی عن کلّ فرد یفرض من النجاسة إذا استند إلی الکرّیة انتفی بانتفائها، و لیس هذا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صحبت زیدا فلا تخف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لقیام القرینة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خرج عن عموم قاعدة انفعال القلیل بالملاقاة موردان إجماعا و موارد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فأحد الموردین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الاستنجاء، و سیجی‌ء إن شاء اللّٰه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العالی من الماء إذا کان جاریا إلی السافل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علیه فی الروض بأنّ سرایة النجاسة إلی الأعلی غیر معقول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التمسّک بالإجماع، کما ادّعاه هو قدّس سرّه </w:t>
      </w:r>
      <w:r>
        <w:rPr>
          <w:rStyle w:val="FootnoteAnchor"/>
          <w:rtl w:val="true"/>
        </w:rPr>
        <w:footnoteReference w:id="285"/>
      </w:r>
      <w:r>
        <w:rPr>
          <w:rFonts w:ascii="IRNazanin" w:hAnsi="IRNazanin" w:eastAsia="IRNazanin"/>
          <w:color w:val="111111"/>
          <w:sz w:val="28"/>
          <w:sz w:val="28"/>
          <w:szCs w:val="28"/>
          <w:rtl w:val="true"/>
          <w:lang w:bidi="fa-IR"/>
        </w:rPr>
        <w:t>و بعض متأخّری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کالعلّامة الطباطبائی فی مصابیحه </w:t>
      </w:r>
      <w:r>
        <w:rPr>
          <w:rStyle w:val="FootnoteAnchor"/>
          <w:rtl w:val="true"/>
        </w:rPr>
        <w:footnoteReference w:id="286"/>
      </w:r>
      <w:r>
        <w:rPr>
          <w:rFonts w:ascii="IRNazanin" w:hAnsi="IRNazanin" w:eastAsia="IRNazanin"/>
          <w:color w:val="111111"/>
          <w:sz w:val="28"/>
          <w:sz w:val="28"/>
          <w:szCs w:val="28"/>
          <w:rtl w:val="true"/>
          <w:lang w:bidi="fa-IR"/>
        </w:rPr>
        <w:t xml:space="preserve">و بعض أفاضل تلامذته فی مقابسه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الجملة 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الإشکال فی تعیین مقدار العلو و السفل، فإنّ مسمّی العلو المتوقّف علیه الجریان لا یمنع عن السرایة، و کلمات الأصحاب مطلقة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المتیقّن من الإجماع صورة التسنیم و ما یشبهه من التسریح، و للمتأمّل فی غیر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ذلک مجال، و التمسّک بالعموم أوضح، وفاقا لظاهر کاشف الغطاء رحمه اللّٰه </w:t>
      </w:r>
      <w:r>
        <w:rPr>
          <w:rStyle w:val="FootnoteAnchor"/>
          <w:rtl w:val="true"/>
        </w:rPr>
        <w:footnoteReference w:id="288"/>
      </w:r>
      <w:r>
        <w:rPr>
          <w:rFonts w:ascii="IRNazanin" w:hAnsi="IRNazanin" w:eastAsia="IRNazanin"/>
          <w:color w:val="111111"/>
          <w:sz w:val="28"/>
          <w:sz w:val="28"/>
          <w:szCs w:val="28"/>
          <w:rtl w:val="true"/>
          <w:lang w:bidi="fa-IR"/>
        </w:rPr>
        <w:t>لصدق وحدة الماء، فیدخل فی عموم تنجسه، و لذا لو کان الماء علی هذه الهیئة کرّا لم ینفعل شی‌ء منه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موارد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الغسالة، و سیأتی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رحمه اللّٰه من عدم انفعال القلیل بما لا یدرکه الطرف من الدم </w:t>
      </w:r>
      <w:r>
        <w:rPr>
          <w:rStyle w:val="FootnoteAnchor"/>
          <w:rtl w:val="true"/>
        </w:rPr>
        <w:footnoteReference w:id="290"/>
      </w:r>
      <w:r>
        <w:rPr>
          <w:rFonts w:ascii="IRNazanin" w:hAnsi="IRNazanin" w:eastAsia="IRNazanin"/>
          <w:color w:val="111111"/>
          <w:sz w:val="28"/>
          <w:sz w:val="28"/>
          <w:szCs w:val="28"/>
          <w:rtl w:val="true"/>
          <w:lang w:bidi="fa-IR"/>
        </w:rPr>
        <w:t>و لعلّ المراد ما یحتاج إدراکه إلی دقّة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لا یمکن التحرّز منه مثل رءوس الإبر من الدم و غیره فإنّه معفوّ عنه، لأنّه لا یمکن التحرّز عنه </w:t>
      </w:r>
      <w:r>
        <w:rPr>
          <w:rStyle w:val="FootnoteAnchor"/>
          <w:rtl w:val="true"/>
        </w:rPr>
        <w:footnoteReference w:id="2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تعلیله بعدم تیسّر الاحتراز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یدلّ علیه فی خصوص الدم مصحّحة علیّ بن جعفر عن أخیه علیه السلام فی رجل رعف فامتخط فصار الدم قطعا صغارا فأصاب إناءه، هل یصحّ الوضوء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لم یکن شیئا </w:t>
      </w:r>
      <w:r>
        <w:rPr>
          <w:rStyle w:val="FootnoteAnchor"/>
          <w:rtl w:val="true"/>
        </w:rPr>
        <w:footnoteReference w:id="292"/>
      </w:r>
      <w:r>
        <w:rPr>
          <w:rFonts w:ascii="IRNazanin" w:hAnsi="IRNazanin" w:eastAsia="IRNazanin"/>
          <w:color w:val="111111"/>
          <w:sz w:val="28"/>
          <w:sz w:val="28"/>
          <w:szCs w:val="28"/>
          <w:rtl w:val="true"/>
          <w:lang w:bidi="fa-IR"/>
        </w:rPr>
        <w:t>یستبین فی الماء فلا بأس، و إن کان شیئا بیّنا فلا تتوضّأ منه</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دلالتها مبنیة علی إرادة السائل إصابة الماء من الإناء تسمیة باسم المحلّ، لأنّ إرادة خصوص الظرف لا یناسب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أن یراد الأعمّ من الظرف و المظروف، فیکون وصول الدم إلی الأعمّ منهما معلوما و شکّ فی وصوله إلی خصوص الماء أو الإناء، و معنی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لم یکن </w:t>
      </w:r>
      <w:r>
        <w:rPr>
          <w:rStyle w:val="FootnoteAnchor"/>
          <w:rtl w:val="true"/>
        </w:rPr>
        <w:footnoteReference w:id="294"/>
      </w:r>
      <w:r>
        <w:rPr>
          <w:rFonts w:ascii="IRNazanin" w:hAnsi="IRNazanin" w:eastAsia="IRNazanin"/>
          <w:color w:val="111111"/>
          <w:sz w:val="28"/>
          <w:sz w:val="28"/>
          <w:szCs w:val="28"/>
          <w:rtl w:val="true"/>
          <w:lang w:bidi="fa-IR"/>
        </w:rPr>
        <w:t>الدم المفروض إصابته شیئا یستبین فی الماء أی شیئا معلوما فیه فلا بأس، فیکون الاستبانة فی الماء کنایة عن العلم بوصوله إلیه، لا صفة زائدة علی العلم بالوصول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یقوی هذا الاحتمال علی تقدیر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کما فی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الإنصاف أنّ الروایة أظهر فی مطلب الشیخ ممّا احتملناه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الخروج بهذا المقدار عن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عرفت قلیلا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مع دعوی الحلّی الإجماع علی خلافه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إلی السیّد المرتضی قدّس سرّه فی الناصریّات من عدم انفعال القلیل الوارد علی النجاسة </w:t>
      </w:r>
      <w:r>
        <w:rPr>
          <w:rStyle w:val="FootnoteAnchor"/>
          <w:rtl w:val="true"/>
        </w:rPr>
        <w:footnoteReference w:id="296"/>
      </w:r>
      <w:r>
        <w:rPr>
          <w:rFonts w:ascii="IRNazanin" w:hAnsi="IRNazanin" w:eastAsia="IRNazanin"/>
          <w:color w:val="111111"/>
          <w:sz w:val="28"/>
          <w:sz w:val="28"/>
          <w:szCs w:val="28"/>
          <w:rtl w:val="true"/>
          <w:lang w:bidi="fa-IR"/>
        </w:rPr>
        <w:t xml:space="preserve">، نسبه إلیه المحقّق فی المعتبر فی مسألة إزالة الخبث بالمضاف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 الحلّی فی السرائر ناسبا له إلی فتاوی الأصحاب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النسبة إلیهما قد اشتهرت، فلنذکر العبارة المحکیة عن السیّد رحمه اللّٰه فی السرائر، قال الحلّی فی باب إزالة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أصابه من الماء الّذی یغسل به الإناء من الولوغ، فإن کان من الغسلة الأولی وجب غسله، و إن کان من الغسلة الثانیة أو الثالثة فلا یجب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الخلاف فی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اخترناه هو المذهب، قال السیّد المرتضی فی الناصریات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بین ورود الماء علی النجاسة و ورود النجاسة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المسألة لا أعرف لها نصّا لأصحابنا و لا قولا صریحا، و الشافعی یفرق بین ورود الماء علیها و ورودها علیه، فیعتبر القلّتین فی ورود النجاسة علی الماء و لا یعتبر فی ورود الماء علی النجاسة، و خالفه سائر الفقهاء فی هذه المسألة، و الّذی یقوی فی نفسی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یقع التأمّل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ما ذهب إلیه الشافعی، 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حکمنا بنجاسة ماء القلیل الوارد علی النجاسة لأدّی ذلک إلی أنّ الثوب لا یطهر من النجاسة إلّا بإیراد کرّ من الماء علیه، و ذلک یشقّ، فدلّ علی أنّ الماء الوارد علی النجاسة لا یعتبر فیه القلّة و الکثرة کما یعتبر فی ما یرد علیه النجاسة، قال محمّد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قوی فی نفس السیّد هو الصحیح المستمرّ علی أصل المذهب و فتاوی الأصحاب </w:t>
      </w:r>
      <w:r>
        <w:rPr>
          <w:rStyle w:val="FootnoteAnchor"/>
          <w:rtl w:val="true"/>
        </w:rPr>
        <w:footnoteReference w:id="29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حکمه بنجاسة الماء فی الاولی من غسلات الولوغ </w:t>
      </w:r>
      <w:r>
        <w:rPr>
          <w:rStyle w:val="FootnoteAnchor"/>
          <w:rtl w:val="true"/>
        </w:rPr>
        <w:footnoteReference w:id="300"/>
      </w:r>
      <w:r>
        <w:rPr>
          <w:rFonts w:ascii="IRNazanin" w:hAnsi="IRNazanin" w:eastAsia="IRNazanin"/>
          <w:color w:val="111111"/>
          <w:sz w:val="28"/>
          <w:sz w:val="28"/>
          <w:szCs w:val="28"/>
          <w:rtl w:val="true"/>
          <w:lang w:bidi="fa-IR"/>
        </w:rPr>
        <w:t>لامتزاجه بالتراب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استظهار هذا القول من الشیخین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الحکم بطهارة ما یرجع من ماء الوضوء إلی بدن المتوضّی و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ما یقع علی الأرض الطاهرة من الماء الّذی یستنجی به ثمّ یرجع علیه لا یضرّه و لا ینجّس شیئا من ثیابه و بدنه، إلّا أن یقع علی نجاسة ظاهرة فیحملها فی رجوعه فیجب غسل ما أصابه منه </w:t>
      </w:r>
      <w:r>
        <w:rPr>
          <w:rStyle w:val="FootnoteAnchor"/>
          <w:rtl w:val="true"/>
        </w:rPr>
        <w:footnoteReference w:id="30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 جسد المغتسل نجاسة أزالها ثمّ اغتسل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فإن خالف و اغتسل ارتفع حدث الجنابة، و علیه أن یزیل النجاسة إن کانت لم تزل بالاغتسال </w:t>
      </w:r>
      <w:r>
        <w:rPr>
          <w:rStyle w:val="FootnoteAnchor"/>
          <w:rtl w:val="true"/>
        </w:rPr>
        <w:footnoteReference w:id="30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مبنیّ علی اشتراط طهارة ماء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الظاهر من السیّد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کلماته المحکیة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المشهور، حیث حکی فی السرائر عنه فی مسألة المستعمل فی رفع الحدث الأصغر و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أن یجمع الإنسان وضوءه من الحدث أو غسله عن الجنابة فی إناء نظیف و یتوضّأ به و یغتسل به مرّة أخری بعد أن لا یکون علی بدنه شی‌ء من النجاسة </w:t>
      </w:r>
      <w:r>
        <w:rPr>
          <w:rStyle w:val="FootnoteAnchor"/>
          <w:rtl w:val="true"/>
        </w:rPr>
        <w:footnoteReference w:id="3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الظاهر أنّ تقیید الإناء بالنظیف لانفعال الماء لو کان الإناء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أن 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المراد خلوّ البدن عن النجاسة فی الطهارة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حیث کان المنقول عنه طهارة الغسالة، فیمکن أن یکون التقیید لأجل کون الغسالة لا ترفع الحدث </w:t>
      </w:r>
      <w:r>
        <w:rPr>
          <w:rStyle w:val="FootnoteAnchor"/>
          <w:rtl w:val="true"/>
        </w:rPr>
        <w:footnoteReference w:id="304"/>
      </w:r>
      <w:r>
        <w:rPr>
          <w:rFonts w:ascii="IRNazanin" w:hAnsi="IRNazanin" w:eastAsia="IRNazanin"/>
          <w:color w:val="111111"/>
          <w:sz w:val="28"/>
          <w:sz w:val="28"/>
          <w:szCs w:val="28"/>
          <w:rtl w:val="true"/>
          <w:lang w:bidi="fa-IR"/>
        </w:rPr>
        <w:t>، علی ما هو المشهور، بل المجمع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الظاهر من الحلّی فی مواضع من کلامه نجاسة الماء الوارد علی النجاسة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أوّل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الماء المستعمل فی تطهیر الأعضاء و البدن الّذی لا نجاسة علیه إذا جمع فی إناء نظیف کان طاهرا مطهّرا سواء 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مستعملا فی الطهارة الکبری أو الصغری علی الصحیح من المذهب </w:t>
      </w:r>
      <w:r>
        <w:rPr>
          <w:rStyle w:val="FootnoteAnchor"/>
          <w:rtl w:val="true"/>
        </w:rPr>
        <w:footnoteReference w:id="30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أن یکون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البدن عن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نظافة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الماء الوارد عنده غیر مطهّر و إن کان طاهرا خلاف ظاهر کلماته، لأنّ المستفاد منه أنّ الماء الطاهر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کلّه ردّ علی الشیخ المانع من التطهیر بالمستعمل فی رفع الحدث الأکبر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ماء الاستنجاء و ماء الاغتسال من الجنابة،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متی انفصل و وقع علی نجاسة ثمّ رجع إلیه وجب إزالته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ادّعی الإجماع و الأخبار علی نجاسة غسالة الحمّام </w:t>
      </w:r>
      <w:r>
        <w:rPr>
          <w:rStyle w:val="FootnoteAnchor"/>
          <w:rtl w:val="true"/>
        </w:rPr>
        <w:footnoteReference w:id="308"/>
      </w:r>
      <w:r>
        <w:rPr>
          <w:rFonts w:ascii="IRNazanin" w:hAnsi="IRNazanin" w:eastAsia="IRNazanin"/>
          <w:color w:val="111111"/>
          <w:sz w:val="28"/>
          <w:sz w:val="28"/>
          <w:szCs w:val="28"/>
          <w:rtl w:val="true"/>
          <w:lang w:bidi="fa-IR"/>
        </w:rPr>
        <w:t>مع أنها غالبا من المیاه الواردة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ردّ القول بتعدّی النجاسة عن ملاقی المیّت إلی ما یلاقیه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کان کذلک لزم نجاسة الماء الّذی یستعمله ماسّ المیّت فی غسل المس، مع أنّ المستعمل فی رفع الأحداث طاهر إجماعا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حکی عن الشیخین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ظهور له فی المطلوب، لاحتمال أن یکون مراد المقنعة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الماء،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تنجّسه،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یحمل خبثا</w:t>
      </w:r>
      <w:r>
        <w:rPr>
          <w:rFonts w:eastAsia="IRNazanin" w:cs="IRNazanin"/>
          <w:color w:val="111111"/>
          <w:sz w:val="28"/>
          <w:szCs w:val="28"/>
          <w:rtl w:val="true"/>
          <w:lang w:bidi="fa-IR"/>
        </w:rPr>
        <w:t xml:space="preserve">» </w:t>
      </w:r>
      <w:r>
        <w:rPr>
          <w:rStyle w:val="FootnoteAnchor"/>
          <w:rtl w:val="true"/>
        </w:rPr>
        <w:footnoteReference w:id="311"/>
      </w:r>
      <w:r>
        <w:rPr>
          <w:rFonts w:ascii="Amiri" w:hAnsi="Amiri" w:eastAsia="Amiri" w:cs="Amiri"/>
          <w:color w:val="111111"/>
          <w:sz w:val="28"/>
          <w:sz w:val="28"/>
          <w:szCs w:val="28"/>
          <w:rtl w:val="true"/>
          <w:lang w:bidi="ar-SA"/>
        </w:rPr>
        <w:t>لا حمله جزء من النجاسة الظاهرة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عبارة الشیخ، فتحمل علی الاغتسال فیما لا ینفعل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 أمّا کلام السیّد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اختصاصه بالغسالة، کما یظهر من استدلاله المتقدّم، و لذا حکی عنه ذلک فی التذکرة فی ذلک المقام </w:t>
      </w:r>
      <w:r>
        <w:rPr>
          <w:rStyle w:val="FootnoteAnchor"/>
          <w:rtl w:val="true"/>
        </w:rPr>
        <w:footnoteReference w:id="312"/>
      </w:r>
      <w:r>
        <w:rPr>
          <w:rFonts w:ascii="IRNazanin" w:hAnsi="IRNazanin" w:eastAsia="IRNazanin"/>
          <w:color w:val="111111"/>
          <w:sz w:val="28"/>
          <w:sz w:val="28"/>
          <w:szCs w:val="28"/>
          <w:rtl w:val="true"/>
          <w:lang w:bidi="fa-IR"/>
        </w:rPr>
        <w:t>بل ظاهر الشهید فی الذکری أنّ کلامه و کلام الحلّی کلاهما فی الغسالة،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العجب خلوّ کلام أکثر القدماء عن حکم الغسالة مع عموم البلوی بها، و اعترف المرتضی رحمه اللّٰه بعدم النصّ علی الفرق بین ورود الماء علی النجاسة و عکسه و قوّاه، فحکم بعدم نجاسة الماء الوارد و إلّا لما طهر المحلّ و یلزمه أن لا ینجس بخروجه بطریق أولی، و فهم الفاضلان منه ذلک، و تبعه الحلّی </w:t>
      </w:r>
      <w:r>
        <w:rPr>
          <w:rStyle w:val="FootnoteAnchor"/>
          <w:rtl w:val="true"/>
        </w:rPr>
        <w:footnoteReference w:id="31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بالفرق فی الانفعال بین الورودین ضعیف مخالف للمشهور، بل للکلّ، بناء علی عموم الإجماعات المنقولة علی نجاسة القلیل بملاقاة النجاسة و مخالطتها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عدم شمولها لورود الماء علی النجاسة کدعوی العکس فی بداهة الفساد، و لذا لا یتأمّل أحد فی شمول ما دلّ علی نجاسة المضاف بالملاقاة لورودها علی النجاسة أو ورودها علیه أو تواردهما من میزابین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لذلک جعل </w:t>
      </w:r>
      <w:r>
        <w:rPr>
          <w:rStyle w:val="FootnoteAnchor"/>
          <w:rtl w:val="true"/>
        </w:rPr>
        <w:footnoteReference w:id="314"/>
      </w:r>
      <w:r>
        <w:rPr>
          <w:rFonts w:ascii="IRNazanin" w:hAnsi="IRNazanin" w:eastAsia="IRNazanin"/>
          <w:color w:val="111111"/>
          <w:sz w:val="28"/>
          <w:sz w:val="28"/>
          <w:szCs w:val="28"/>
          <w:rtl w:val="true"/>
          <w:lang w:bidi="fa-IR"/>
        </w:rPr>
        <w:t>ماء الاستنجاء و ماء الغسالة من مستثنیات هذه الکلّیة، فقال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استثنی الأصحاب من انفعال ماء القلیل ثلاثة مواضع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تأمّل فی عموم المفهوم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لما نحن فیه، بعد البناء علی أنّ المستفاد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من نسبة التنجیس إلی النجاسة کون ذلک باعتبار ملاقاتها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یتوهّم أنّ شموله لما نحن فیه یستفاد من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المفهوم فیمنع عمومه لکونها نکرة فی سیاق الإثبات، و قد یذبّ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کلیهما نظر، لأنّ الورود من الأحوال لکلّ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الأجزاء، لا من أفرادهما، و إذا کان نسبة التنجیس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منها عرفا أو لأنس ذهن المتشرّعة بکیفیة تنجیس النجاسات لما عدا الماء من المائعات و الجوامد الرطبة، کون هذا التأثیر لأجل مجرّد وصولها إلیه لم یفرّقوا بین کیفیّات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الخلاف فی المسألة الشرعیة لا یوجب الوهن فی المحکّمات العرفیة، فإذا فرضنا حدوث الخلاف فی انفعال الماء بالنجاسة إذا تواردا من میزابین، فلا یوجب ذلک تزلزلا فی فهم العموم من أدلّة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الإجماعات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ظاهر فی المطلوب، فإنّ الحلّی ادّعی الإجماع و الأخبار المعتمدة علی نجاسة غسالة الحمّام </w:t>
      </w:r>
      <w:r>
        <w:rPr>
          <w:rStyle w:val="FootnoteAnchor"/>
          <w:rtl w:val="true"/>
        </w:rPr>
        <w:footnoteReference w:id="317"/>
      </w:r>
      <w:r>
        <w:rPr>
          <w:rFonts w:ascii="IRNazanin" w:hAnsi="IRNazanin" w:eastAsia="IRNazanin"/>
          <w:color w:val="111111"/>
          <w:sz w:val="28"/>
          <w:sz w:val="28"/>
          <w:szCs w:val="28"/>
          <w:rtl w:val="true"/>
          <w:lang w:bidi="fa-IR"/>
        </w:rPr>
        <w:t>مع أنّها تجتمع غالبا من المیاه الواردة علی النجاسات، کما لا یخفی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ادّعی المحقّق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غسل مسّ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نجاسة الماء الّذی یغتسل به الجنب إذا کان قبل غسل موضع النجاسة، و کذلک غیره من ذوی الأحداث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 ادّعی العلّامة رحمه اللّٰه فی التحریر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الماء المستعمل فی رفع الأحداث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نجاسته إذا کان علی بدن المغتسل نجاسة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فی أنّ الماء القلیل الوارد علی الماء المتنجّس لا یطهّره، فلو لم ینفعل لطهّره کما یطهّره الکثیر، لأنّ دلیل تطهیر الکثیر جار فی القلیل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اعتذر بعض الفحول </w:t>
      </w:r>
      <w:r>
        <w:rPr>
          <w:rStyle w:val="FootnoteAnchor"/>
          <w:rtl w:val="true"/>
        </w:rPr>
        <w:footnoteReference w:id="321"/>
      </w:r>
      <w:r>
        <w:rPr>
          <w:rFonts w:ascii="IRNazanin" w:hAnsi="IRNazanin" w:eastAsia="IRNazanin"/>
          <w:color w:val="111111"/>
          <w:sz w:val="28"/>
          <w:sz w:val="28"/>
          <w:szCs w:val="28"/>
          <w:rtl w:val="true"/>
          <w:lang w:bidi="fa-IR"/>
        </w:rPr>
        <w:t>عن هذا و شبهه بأنّ القائل بعدم الانفعال لا یقول به مع استقرار الماء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الحلّی بنی طهارة غسالة الولوغ علی هذا </w:t>
      </w:r>
      <w:r>
        <w:rPr>
          <w:rStyle w:val="FootnoteAnchor"/>
          <w:rtl w:val="true"/>
        </w:rPr>
        <w:footnoteReference w:id="322"/>
      </w:r>
      <w:r>
        <w:rPr>
          <w:rFonts w:ascii="IRNazanin" w:hAnsi="IRNazanin" w:eastAsia="IRNazanin"/>
          <w:color w:val="111111"/>
          <w:sz w:val="28"/>
          <w:sz w:val="28"/>
          <w:szCs w:val="28"/>
          <w:rtl w:val="true"/>
          <w:lang w:bidi="fa-IR"/>
        </w:rPr>
        <w:t>مع استقرار الماء فی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أرید الاستقرار فی الجملة فهو حاصل فی کلّ غسالة، و إن أرید دائما فلا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فکثیرة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النهی عن غسالة الحمّام معلّلا باغتسال الیهودیّ و النصرانیّ و الناصب فیه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ما دلّ علی اشتراط طهارة ماء المطر الواقع علی النجاسة بالجریان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جعفر عن أخیه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الکنیف یصبّ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فیه الماء فینضح علی الثیاب؟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جافّا فلا بأس</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فإنّ الظاهر أنّ اشتراط الجفاف لحصول العلم بالنجاسة مع الرطوبة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تطهیر إناء الخمر فی جواز جعل الماء فیه </w:t>
      </w:r>
      <w:r>
        <w:rPr>
          <w:rStyle w:val="FootnoteAnchor"/>
          <w:rtl w:val="true"/>
        </w:rPr>
        <w:footnoteReference w:id="326"/>
      </w:r>
      <w:r>
        <w:rPr>
          <w:rFonts w:ascii="IRNazanin" w:hAnsi="IRNazanin" w:eastAsia="IRNazanin"/>
          <w:color w:val="111111"/>
          <w:sz w:val="28"/>
          <w:sz w:val="28"/>
          <w:szCs w:val="28"/>
          <w:rtl w:val="true"/>
          <w:lang w:bidi="fa-IR"/>
        </w:rPr>
        <w:t>، فلو لم ینفعل الماء الوارد لم یشترط تطهیره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سیأتی فی نجاسة الغسالة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الأحول الدالّ علی عدم البأس بماء الاستنجاء معلّلا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أکثر من القذر</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فإنّ العلّة علی هذا القول ورود الماء علی 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فأظنّ هذا القول </w:t>
      </w:r>
      <w:r>
        <w:rPr>
          <w:rStyle w:val="FootnoteAnchor"/>
          <w:rtl w:val="true"/>
        </w:rPr>
        <w:footnoteReference w:id="328"/>
      </w:r>
      <w:r>
        <w:rPr>
          <w:rFonts w:ascii="IRNazanin" w:hAnsi="IRNazanin" w:eastAsia="IRNazanin"/>
          <w:color w:val="111111"/>
          <w:sz w:val="28"/>
          <w:sz w:val="28"/>
          <w:szCs w:val="28"/>
          <w:rtl w:val="true"/>
          <w:lang w:bidi="fa-IR"/>
        </w:rPr>
        <w:t xml:space="preserve">أضعف من قول العمانی، و إن قال به أو مال إلیه جماعة من متأخّری المتأخّرین </w:t>
      </w:r>
      <w:r>
        <w:rPr>
          <w:rStyle w:val="FootnoteAnchor"/>
          <w:rtl w:val="true"/>
        </w:rPr>
        <w:footnoteReference w:id="329"/>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القلیل إذا انفعل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بإلقاء کرّ علیه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مزیل لتغیّره إن کان متغیّرا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اعتبار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فموضع وفاق، لأنّ ما دونه ینفعل بالملاقاة و إن کان واردا، علی ما تقدّم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یعلم أنّ القائل بعدم انفعال القلیل مطلقا بالملاقاة قائل بطهارة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الماء القلیل الواقع فیه ماء متنجّس امتزج معه مع بقاء النجس علی نجاسته؟</w:t>
      </w:r>
    </w:p>
    <w:p>
      <w:pPr>
        <w:pStyle w:val="BookText"/>
        <w:rPr/>
      </w:pPr>
      <w:r>
        <w:rPr>
          <w:rFonts w:ascii="IRNazanin" w:hAnsi="IRNazanin" w:eastAsia="IRNazanin"/>
          <w:color w:val="111111"/>
          <w:sz w:val="28"/>
          <w:sz w:val="28"/>
          <w:szCs w:val="28"/>
          <w:rtl w:val="true"/>
          <w:lang w:bidi="fa-IR"/>
        </w:rPr>
        <w:t>أو یحکم بطهارته بالامتزاج أو بمجرّد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بنجاسة الجمیع؟ لا للملاقاة، بل لاشتمال کلّ جزء منه علی جزء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منع بطلان تبعّض ماء واحد فی الطهارة 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وجه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المحکیّ عن فخر الإسلام فی شرح الإرشاد </w:t>
      </w:r>
      <w:r>
        <w:rPr>
          <w:rStyle w:val="FootnoteAnchor"/>
          <w:rtl w:val="true"/>
        </w:rPr>
        <w:footnoteReference w:id="331"/>
      </w:r>
      <w:r>
        <w:rPr>
          <w:rFonts w:ascii="IRNazanin" w:hAnsi="IRNazanin" w:eastAsia="IRNazanin"/>
          <w:color w:val="111111"/>
          <w:sz w:val="28"/>
          <w:sz w:val="28"/>
          <w:szCs w:val="28"/>
          <w:rtl w:val="true"/>
          <w:lang w:bidi="fa-IR"/>
        </w:rPr>
        <w:t>تفریع الوجه الثانی علی مذهبهم، حیث قال بعد حکایته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یتفرّع علی ذلک أنّه لو تغیّر بعض أقلّ من الکرّ ثمّ زال التغیّر من قبل نفسه طهر عند العمانی و من وافقه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اکتفاء العمانی باتّصال النجس بالقلیل الطاهر و إن لم یمتزج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إلقاء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فالجمود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علوّ المطهّر، فلا یطهر الماء النجس بإلقائه فی الکرّ و لا بوصله بکرّ طاهر مساو له، مع أنّ الطهارة فی الصورتین فی الجملة إجماعیة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دلیل علی اعتبار 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لا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المعیار فی التطهیر ملاقاة الماء المعتصم للماء النجس علی وجه لا ینفعل المعتصم، و لا یمکن الحکم بمغائرته مع ما لاقی فی الطهارة و النجاسة، فإنّ تطهّر المتنجّس حینئذ قطعیّ،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علوّ سطح المعتصم علی سطح الماء النجس فی زمان متّصل بزمان الملاقاة لا مدخل له فی المقدّمات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العلوّ أو التساوی حین الملاقاة، فهو حاصل علی کلّ تقدیر بناء علی المختار من الامتزاج</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بکفایة مجرّد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فلاعتبار أحد الأمرین وجه، من حیث إنّ مناط عدم اختلاف الماء المعتصم و الماء المتنجّس فی الطهارة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 النجاسة هو الاتّحاد، و هو لا یصدق مع کون المعتصم سافلا، لأنّ السافل لا یدفع النجاسة عن العالی فهو أولی بأن لا یرفع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علوّ المطهّر فلو فرض عدم الاتّحاد لم یقدح، لأنّ الرفع بالعالی کالدفع اتّفاقی، لأنّه أولی من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عرف منه القول بعدم تقوّی السافل بالعالی ظاهره اعتبار الامتزاج، و قد عرفت أنّه لا فرق علی الامتزاج بین علوّ المطهّر و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علم أنّ نسبة شارح اللمعتین هذا القول إلی کلّ من عبّر بإلقاء کرّ و إیراده </w:t>
      </w:r>
      <w:r>
        <w:rPr>
          <w:rStyle w:val="FootnoteAnchor"/>
          <w:rtl w:val="true"/>
        </w:rPr>
        <w:footnoteReference w:id="332"/>
      </w:r>
      <w:r>
        <w:rPr>
          <w:rFonts w:ascii="IRNazanin" w:hAnsi="IRNazanin" w:eastAsia="IRNazanin"/>
          <w:color w:val="111111"/>
          <w:sz w:val="28"/>
          <w:sz w:val="28"/>
          <w:szCs w:val="28"/>
          <w:rtl w:val="true"/>
          <w:lang w:bidi="fa-IR"/>
        </w:rPr>
        <w:t>محلّ نظر، لأنّ جماعة من المعبّرین بالإلقاء و 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w:t>
      </w:r>
      <w:r>
        <w:rPr>
          <w:rStyle w:val="FootnoteAnchor"/>
          <w:rtl w:val="true"/>
        </w:rPr>
        <w:footnoteReference w:id="333"/>
      </w:r>
      <w:r>
        <w:rPr>
          <w:rFonts w:ascii="IRNazanin" w:hAnsi="IRNazanin" w:eastAsia="IRNazanin"/>
          <w:color w:val="111111"/>
          <w:sz w:val="28"/>
          <w:sz w:val="28"/>
          <w:szCs w:val="28"/>
          <w:rtl w:val="true"/>
          <w:lang w:bidi="fa-IR"/>
        </w:rPr>
        <w:t xml:space="preserve">و المحقق </w:t>
      </w:r>
      <w:r>
        <w:rPr>
          <w:rStyle w:val="FootnoteAnchor"/>
          <w:rtl w:val="true"/>
        </w:rPr>
        <w:footnoteReference w:id="334"/>
      </w:r>
      <w:r>
        <w:rPr>
          <w:rFonts w:ascii="IRNazanin" w:hAnsi="IRNazanin" w:eastAsia="IRNazanin"/>
          <w:color w:val="111111"/>
          <w:sz w:val="28"/>
          <w:sz w:val="28"/>
          <w:szCs w:val="28"/>
          <w:rtl w:val="true"/>
          <w:lang w:bidi="fa-IR"/>
        </w:rPr>
        <w:t xml:space="preserve">و العلّامة فی التذکرة </w:t>
      </w:r>
      <w:r>
        <w:rPr>
          <w:rStyle w:val="FootnoteAnchor"/>
          <w:rtl w:val="true"/>
        </w:rPr>
        <w:footnoteReference w:id="335"/>
      </w:r>
      <w:r>
        <w:rPr>
          <w:rFonts w:ascii="IRNazanin" w:hAnsi="IRNazanin" w:eastAsia="IRNazanin"/>
          <w:color w:val="111111"/>
          <w:sz w:val="28"/>
          <w:sz w:val="28"/>
          <w:szCs w:val="28"/>
          <w:rtl w:val="true"/>
          <w:lang w:bidi="fa-IR"/>
        </w:rPr>
        <w:t xml:space="preserve">و الشهید فی الذکری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یعتبرون الامتزاج </w:t>
      </w:r>
      <w:r>
        <w:rPr>
          <w:rStyle w:val="FootnoteAnchor"/>
          <w:rtl w:val="true"/>
        </w:rPr>
        <w:footnoteReference w:id="337"/>
      </w:r>
      <w:r>
        <w:rPr>
          <w:rFonts w:ascii="IRNazanin" w:hAnsi="IRNazanin" w:eastAsia="IRNazanin"/>
          <w:color w:val="111111"/>
          <w:sz w:val="28"/>
          <w:sz w:val="28"/>
          <w:szCs w:val="28"/>
          <w:rtl w:val="true"/>
          <w:lang w:bidi="fa-IR"/>
        </w:rPr>
        <w:t>و معه لا وجه لاعتبار العلوّ أو التساوی، فاعتباره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فاعتبار أحد الأمرین إنّما یتّجه علی قول من اکتفی فی التطهیر بمجرّد الاتّصال الموجب للاتّحاد مع منعه من اتّحاد السافل بالعالی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القائل بالامتزاج، أو القائل بحصول الاتّحاد و لو مع السفل، أو القائل بکفایة مجرّد الاتّصال فی التطهیر و إن لم یحصل الاتّحاد، فلا محصّل عندهم لهذا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ثمّ إنّ الشیخ قدّس سره فی المبسوط ذکر أنّه لا فرق فی طهارة الماء المتنجّس بوصول کرّ إلیه بین کونه نابعا من تحته أو یجری إلیه أو یغلب فیه، فإنّه إذا بلغ ذلک مقدار الکرّ طهر النجس </w:t>
      </w:r>
      <w:r>
        <w:rPr>
          <w:rStyle w:val="FootnoteAnchor"/>
          <w:rtl w:val="true"/>
        </w:rPr>
        <w:footnoteReference w:id="33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فی الخلاف علی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بکفایة النبع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الطهارة بالنبع حکم مختصّ بالبئر و حصر التطهیر بإیراد کرّ علیه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أشبه بالمذهب، لأنّ النابع ینجس بملاقاة النجاسة، و إن أراد بالنابع ما یوصل إلیه من تحته لا أن یکون نابعا من الأرض، فهو صواب </w:t>
      </w:r>
      <w:r>
        <w:rPr>
          <w:rStyle w:val="FootnoteAnchor"/>
          <w:rtl w:val="true"/>
        </w:rPr>
        <w:footnoteReference w:id="34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ما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أراد بالنابع ما یکون نبعا من الأرض ففیه إشکال من حیث إنّه ینجس بالملاقاة فلا یکون مطهّرا، و إن أراد ما یوصل إلیه من تحته فهو حقّ </w:t>
      </w:r>
      <w:r>
        <w:rPr>
          <w:rStyle w:val="FootnoteAnchor"/>
          <w:rtl w:val="true"/>
        </w:rPr>
        <w:footnoteReference w:id="34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نبع الکثیر من تحته کالفوّارة فامتزج طهّره، و أمّا لو کان رشحا فلا، لعدم الکثرة الفعلیة </w:t>
      </w:r>
      <w:r>
        <w:rPr>
          <w:rStyle w:val="FootnoteAnchor"/>
          <w:rtl w:val="true"/>
        </w:rPr>
        <w:footnoteReference w:id="3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الکلمات کلّها کما تری أجنبیة عن حدیث علوّ المطهّر، بل ما عدا کلام الشهید ناظر إلی نجاسة النابع، و کلام الشهید ناظر إلی عدم حصول الاستهلاک الموجب للتطهیر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وقع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لفرض کون المطهّر ماء خارجیّا، علی ما هو الغالب فی تطهیر المیاه القلیلة الباقیة فی الحیاض المنفعلة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اتّفاقهم علی کفایة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العلّامة رحمه اللّٰه فی المنتهی الاتّفاق علی أنّ تطهیر النجس بإلقاء کرّ علیه مع حکمه بکفایة مجرّد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المنتهی فی مسألة الغدیرین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أحدهما نجسا فوصل بغدیر بالغ کرّا قال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بقاؤه علی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دلیله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فیه نظر، لأنّ الاتّفاق واقع علی أنّ تطهیر ما ینقص عن الکرّ بإلقاء کرّ علیه و لا شکّ أنّ المداخلة ممتنعة، فالمعتبر إذا الاتّصال الموجود هنا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الجمع بین دعواه و حکمه لا یمکن إلّا بأن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معقد الاتفاق مجرّد الاتصال أو یراد به خصوص صورة العلوّ، لکن یکون مراده الاتّفاق علی التطهیر به، لا انحصار المطهّر فیه، أو یراد الانحصار و یکون واردا فی الفروض الغالبة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تطهیر المیاه القلیلة المنفعلة فی الحیاض، فإنّه الّذی یعمّ به البلوی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الدفعة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نسب فی الروضة إلی المشهور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بها یحتمل أن یکون ما یقابل الدفعات، بأن یلقی علیه الماء القلیل دفعات إلی أن یبلغ المجموع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یراد بها ما یقابل وقوع الکرّ المتّصل الواحد فیه تدریجا، کما لو فرض علوّ سطح الکرّ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یراد منها عدم انقطاع الکرّ إلی أن یقع بتمامه فیه و إن کان تدریجا، فلو قطع الکرّ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بعد إرساله ثمّ أرسل لم یحصل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الدفعة بالمعنی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و لا کلام فی اعتبارها علی القول بنجاسة القلیل، بل و علی غیره أیضا، مع أنّ اعتبار الکرّیة فی الملقی یغنی عن اعتبارها بهذا المعنی، مع تصریح بعضهم بما ینافی هذا المعنی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حکی عن جماعة اعتبارها </w:t>
      </w:r>
      <w:r>
        <w:rPr>
          <w:rStyle w:val="FootnoteAnchor"/>
          <w:rtl w:val="true"/>
        </w:rPr>
        <w:footnoteReference w:id="346"/>
      </w:r>
      <w:r>
        <w:rPr>
          <w:rFonts w:ascii="IRNazanin" w:hAnsi="IRNazanin" w:eastAsia="IRNazanin"/>
          <w:color w:val="111111"/>
          <w:sz w:val="28"/>
          <w:sz w:val="28"/>
          <w:szCs w:val="28"/>
          <w:rtl w:val="true"/>
          <w:lang w:bidi="fa-IR"/>
        </w:rPr>
        <w:t>و لم یعلم منهم تصریح بوجه الاعتبار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فیحتمل أن یکون ذلک لأجل تحصیل الامتزاج، فإنّ الوقوع دفعة یوجب ذلک غالبا، بل دائما، و لذا اقتصر علیها القائلون بالامتزاج کالمحقّق فی الشرائع </w:t>
      </w:r>
      <w:r>
        <w:rPr>
          <w:rStyle w:val="FootnoteAnchor"/>
          <w:rtl w:val="true"/>
        </w:rPr>
        <w:footnoteReference w:id="347"/>
      </w:r>
      <w:r>
        <w:rPr>
          <w:rFonts w:ascii="IRNazanin" w:hAnsi="IRNazanin" w:eastAsia="IRNazanin"/>
          <w:color w:val="111111"/>
          <w:sz w:val="28"/>
          <w:sz w:val="28"/>
          <w:szCs w:val="28"/>
          <w:rtl w:val="true"/>
          <w:lang w:bidi="fa-IR"/>
        </w:rPr>
        <w:t xml:space="preserve">و العلّامة فی التذکرة </w:t>
      </w:r>
      <w:r>
        <w:rPr>
          <w:rStyle w:val="FootnoteAnchor"/>
          <w:rtl w:val="true"/>
        </w:rPr>
        <w:footnoteReference w:id="348"/>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349"/>
      </w:r>
      <w:r>
        <w:rPr>
          <w:rFonts w:ascii="IRNazanin" w:hAnsi="IRNazanin" w:eastAsia="IRNazanin"/>
          <w:color w:val="111111"/>
          <w:sz w:val="28"/>
          <w:sz w:val="28"/>
          <w:szCs w:val="28"/>
          <w:rtl w:val="true"/>
          <w:lang w:bidi="fa-IR"/>
        </w:rPr>
        <w:t>و ذکر جمال المحقّقیین فی حاشیة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فی صورة إلقاء الکرّ دفعة تتحقّق الممازجة و إنّما الخلاف فی اشتراط الممازجة فیما لم یلق دفعة</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فبین الدفعة و علوّ المطهّر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جامع المقاصد مع قوله بعدم اعتبار الامتزاج </w:t>
      </w:r>
      <w:r>
        <w:rPr>
          <w:rStyle w:val="FootnoteAnchor"/>
          <w:rtl w:val="true"/>
        </w:rPr>
        <w:footnoteReference w:id="351"/>
      </w:r>
      <w:r>
        <w:rPr>
          <w:rFonts w:ascii="IRNazanin" w:hAnsi="IRNazanin" w:eastAsia="IRNazanin"/>
          <w:color w:val="111111"/>
          <w:sz w:val="28"/>
          <w:sz w:val="28"/>
          <w:szCs w:val="28"/>
          <w:rtl w:val="true"/>
          <w:lang w:bidi="fa-IR"/>
        </w:rPr>
        <w:t xml:space="preserve">قال بالدفعة و زاد دعوی النصّ و فتوی الأصحاب بها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 یحتمل أن یکون اعتبار ذلک مختصّا بصورة الإلقاء، فالغدیران المتواصلان یطهّر الکثیر منهما المتنجّس منهما، فحیث، عبّر العلماء بالإلقاء اعتبروا الدفعة تحرّزا عن اختلاف سطح المطهّر، فینفعل السافل منه بالملاقاة، و لا یتقوّی الجزء العالی منه، و هذا المحذور غیر لازم مع عدم الإلقاء، کما فی صورة 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لهذا الوجه أنّ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قول الشهید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القلیل یطهر بإلقاء کرّ متّصل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یشترط الدفعة، و فیه تسامح، لأنّ وصول أوّل جزء منه إلی النجس یقتضی نقصانه عن الکرّ فلا یطهر </w:t>
      </w:r>
      <w:r>
        <w:rPr>
          <w:rStyle w:val="FootnoteAnchor"/>
          <w:rtl w:val="true"/>
        </w:rPr>
        <w:footnoteReference w:id="35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الملازمة المذکورة لا یتمّ إلّا بعد القول بعدم تقوّی السافل بالعالی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له أیضا ما ذکره شارح اللمعتین من التعجّب ممّن جمع بین القول باعتبار الدفعة و القول بالممازجة، کالفاضل فی التذکرة، فإنّه إنّما اعتبر الدفعة لئلّا یزول وحدة الکرّ باختلاف سطوحه مع أنّ اختلاف السطوح لازم مع الممازجة، و لا یفرق العقل بین الاختلاف الحاصل بالماء و الحاصل فی الهواء </w:t>
      </w:r>
      <w:r>
        <w:rPr>
          <w:rStyle w:val="FootnoteAnchor"/>
          <w:rtl w:val="true"/>
        </w:rPr>
        <w:footnoteReference w:id="3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ینبغی علی هذا أن لا یعتبر الدفعة فیما إذا زاد الملقی علی کرّ بحیث یبقی منه فی العالی مقدار کرّ بعد نزول شی‌ء منه إلی الماء النجس، لأنّ السافل متقوّ بالعالی إذا کان العالی کرّا، کما سیجی‌ء دعوی عدم الخلاف فیه، و إن کان للتأمّل فیها بل للمنع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فما ذکره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مسامحة فی کلام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الاکتفاء بالاتّصال مع عدم اعتبار الزیادة علی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الوجه فیه ما ذکره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ورود النصّ بالدفعة و تصریح الأصحاب بها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یحتمل أن یکون الوجه فیه استصحاب النجاسة و لزوم الاحتیاط فی إزالتها بعد ذهاب جماعة إلی الدفعة، کما اعتمده جمال الدین فی حاشیة الروضة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یقتضیه التأمّل فی الأدلّة أنّ اعتبار الدفعة بذلک المعنی إن کان لتحصیل الامتزاج فلا کلام فیه بناء علی ما سنختاره من اعتباره، إلّا أنّ الملازمة بین الدفعة و الامتزاج غیر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الوجه فیه اختلاف سطح الماء عند نزول شی‌ء منه إلی النجس،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عدم تقوّی السافل بالعالی فی هذه الصورة، لحکم العرف باتّحاد الماء، و إن کان ربما یقوی العدم فیما کان کلّ من السافل و العالی ماء مستقلّا فوصل بینهما، و أمّا الماء الواحد الملقی علی النجس فلا یخرج عن الاتّحاد بمجرّد نزول بعض أجزائه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أورده شارح اللمعتین علی العلّامة رحمه اللّٰه من النقض بحصول اختلاف السطح للماء عند الامتزاج </w:t>
      </w:r>
      <w:r>
        <w:rPr>
          <w:rStyle w:val="FootnoteAnchor"/>
          <w:rtl w:val="true"/>
        </w:rPr>
        <w:footnoteReference w:id="357"/>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غیر معلوم، و الأصل عدمه، مع أنّ التطهیر بالامتزاج إجماعیّ، فلا بأس بخروجه عن مسألة اشتراط تساوی سطوح الکرّ، مع أنّ الامتزاج یحصل فی أوّل زمان الإلقاء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دفعة بین الکرّ الملقی و بین مقدار کثیر من الماء النجس، فیطهر و یزید المطهّر عن الکرّ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الوجه فیه ما ادّعاه جامع المقاصد من النصّ و تصریح الأصحاب، فاعترف غیر واحد بعدم العثور علیه و لا علی من ادّعاه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الأصحاب فلم یصرّح بها منهم إلّا المحقّق و العلّامة و الشهید قدّس اللّٰه أسرارهم فی الشرائع </w:t>
      </w:r>
      <w:r>
        <w:rPr>
          <w:rStyle w:val="FootnoteAnchor"/>
          <w:rtl w:val="true"/>
        </w:rPr>
        <w:footnoteReference w:id="359"/>
      </w:r>
      <w:r>
        <w:rPr>
          <w:rFonts w:ascii="IRNazanin" w:hAnsi="IRNazanin" w:eastAsia="IRNazanin"/>
          <w:color w:val="111111"/>
          <w:sz w:val="28"/>
          <w:sz w:val="28"/>
          <w:szCs w:val="28"/>
          <w:rtl w:val="true"/>
          <w:lang w:bidi="fa-IR"/>
        </w:rPr>
        <w:t xml:space="preserve">و التذکرة </w:t>
      </w:r>
      <w:r>
        <w:rPr>
          <w:rStyle w:val="FootnoteAnchor"/>
          <w:rtl w:val="true"/>
        </w:rPr>
        <w:footnoteReference w:id="360"/>
      </w:r>
      <w:r>
        <w:rPr>
          <w:rFonts w:ascii="IRNazanin" w:hAnsi="IRNazanin" w:eastAsia="IRNazanin"/>
          <w:color w:val="111111"/>
          <w:sz w:val="28"/>
          <w:sz w:val="28"/>
          <w:szCs w:val="28"/>
          <w:rtl w:val="true"/>
          <w:lang w:bidi="fa-IR"/>
        </w:rPr>
        <w:t xml:space="preserve">و الدروس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نقضه فی المدارک بتصریح العلّامة فی المنتهی و التحریر بطهارة النجس من الغدیرین باتّصاله بالطاهر الکثیر منهما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باختصاص اعتبار الدفعة بصورة الإلقاء، و إلّا فقد صرّح الشیخ فی المبسوط و المحقّق و العلّامة بطهارة القلیل باتّصال الماء الکثیر إلیه من تحته، کما عرفت سابقا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صرّح فی الذکری بطهارة القلیل بنبع الکثیر من تحته إذا کان بقوّة کالفوّارة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أیضا لما ذکرنا اعتراف جامع المقاصد بالطهارة بفوران الجاری من تحت القلیل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أری للنقض المذکور موقعا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جمال المحقّقین من اعتبار الدفعة للإجماع علی الطهارة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معها و الشکّ بدونها </w:t>
      </w:r>
      <w:r>
        <w:rPr>
          <w:rStyle w:val="FootnoteAnchor"/>
          <w:rtl w:val="true"/>
        </w:rPr>
        <w:footnoteReference w:id="366"/>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مسلّم مع حصول الممازجة، و أمّا بدونها فلا إجماع علی الطهارة معها، و إن کان ربما یتخیّل ذلک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 فی اعتبار الامتزاج مع عدم الدفعة لا معها، لکنّه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لصاحب المعالم هنا کلام لا بأس بنقله،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یخلو، إمّا أن یشترط فی عدم انفعال الکرّ استواء السطوح أم لا، و علی الثانی فإمّا أن یشترط فی التطهیر الامتزاج أو لا، و علی تقدیر عدم الاشتراط إمّا أن یکون النجاسة لحصول التغیّر أو لا، فهنا صور أربع</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یعتبر فی عدم انفعال الکرّ استواء السطوح، و المتّجه حینئذ اشتراط الدفعة فی الإلقاء، لأنّ وقوعه تدریجا یقتضی خروجه عن المساواة فینفصل الأجزاء الّتی یصیبها النجس و ینقص الطاهر عن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یصحّ فیما لم یبق من الملقی مقدار الکرّ بعد نزول بعضه إلی الماء النجس، و إلّا فعلی القول بعدم اشتراط الامتزاج یحصل الطهارة بمجرّد الاتّصال فلا ینفعل بعده شی‌ء بالنزول، مع أنّه قد نفرض تمام الکرّ الملقی کعمود فی الهواء اتّصل بعضه بالنجس، و لا مجال للحکم بانفعال بعضه المتّصل، للقطع باتّحاد الماء فی هذا الفرض و عدم قدح علوّ بعض أجزائه بقیامه علی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یهمل اعتبار المساواة لکن یشترط الامتزاج، و الوجه حینئذ عدم اعتبار الدفعة، بل ما یحصل به ممازجة الطاهر النجس و استهلاکه له، حتّی لو فرض حصول ذلک قبل إلقاء تمام الکرّ لم یحتج إلی الباقی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غایة الجودة، و هو الّذی اخترناه و سنختاره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یشترط الممازجة و لا یعتبر المساواة و یکون نجاسة الماء بمجرّد الملاقاة، و المتّجه حینئذ الاکتفاء بمجرّد الاتّصال، فإذا حصل بأقلّ مسمّاه کفی و لا یحتاج إلی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بحالها و لکن النجاسة للتغیّر، و المعتبر حینئذ اندفاع التغیّر کما فی صورة اشتراط الامتزاج، و مع فرض تمایز التغیّر فی بعض الأجزاء یتعیّن الدفعة و ما جری مجراها </w:t>
      </w:r>
      <w:r>
        <w:rPr>
          <w:rStyle w:val="FootnoteAnchor"/>
          <w:rtl w:val="true"/>
        </w:rPr>
        <w:footnoteReference w:id="36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الدفعة بالمعنی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أرید اعتبارها فی التطهیر مطلقا فلا وجه لاعتبارها، لا علی القول باشتراط الامتزاج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التصریح به عن صاحب المعالم، و سیجی‌ء اختیاره و التصریح بخلافه عن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القول بکفایة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به کاشف اللثام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کفایة تواصل الغدیرین من العلّامة رحمه اللّٰه </w:t>
      </w:r>
      <w:r>
        <w:rPr>
          <w:rStyle w:val="FootnoteAnchor"/>
          <w:rtl w:val="true"/>
        </w:rPr>
        <w:footnoteReference w:id="370"/>
      </w:r>
      <w:r>
        <w:rPr>
          <w:rFonts w:ascii="IRNazanin" w:hAnsi="IRNazanin" w:eastAsia="IRNazanin"/>
          <w:color w:val="111111"/>
          <w:sz w:val="28"/>
          <w:sz w:val="28"/>
          <w:szCs w:val="28"/>
          <w:rtl w:val="true"/>
          <w:lang w:bidi="fa-IR"/>
        </w:rPr>
        <w:t>و غیره، إذ بعد الحکم بطهارة النجس بالاتّصال لا فرق بین بقائها علی الاتّصال أو انقطاعها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اعتبارها فی صورة إرادة التطهیر بالإلقاء فله وجه، للحذر عن اختلاف سطوح الکرّ إذا انقطع بعضه عن بعض، لکن هذا من لوازم الدفعة بالمعنی الثانی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العلّامة رحمه اللّٰه ذکر فی التذکرة قول الشافعی بطهارة النجس بالنبع من تحته، و ردّه بأنّا نشترط فی المطهّر وقوع کرّ دفعة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یعلم أنّ مراده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انتفاء الکرّیة هنا بناء علی انفعال النابع القلیل بملاقاة النجاسة؟ أو انتفاء وقوع الکرّ بناء علی اشتراط علوّ المطهّر؟ أو انتفاء الدفعة؟ و الأظهر بناء علی مذهبه هو الأوّل، و لذا ذکر فی المنتهی فی ردّ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للمعتبر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النابع ینجس بملاقاة النجاسة </w:t>
      </w:r>
      <w:r>
        <w:rPr>
          <w:rStyle w:val="FootnoteAnchor"/>
          <w:rtl w:val="true"/>
        </w:rPr>
        <w:footnoteReference w:id="373"/>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الامتزاج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 أکثر من تعرّض لهذه المسألة، کالشیخ فی الخلاف، و المحقّق فی المعتبر، و العلّامة فی التذکرة، و الشهید فی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الاستدلال علی الکثیر المتنجّس بالتغیّر بأن یرد علیه من الکثیر ما یزیل 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البالغ الوارد لو وقع فیه عین النجاسة لم ینجس و المتنجّس لیس بأکثر من عین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فی القلیل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لا یطهر إلّا بورود کرّ علیه، لما ذکرناه من الدلیل </w:t>
      </w:r>
      <w:r>
        <w:rPr>
          <w:rStyle w:val="FootnoteAnchor"/>
          <w:rtl w:val="true"/>
        </w:rPr>
        <w:footnoteReference w:id="37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تمسّکه بأولویّة المتنجّس بالطهارة من عین النجاسة لا یصحّ إلّا مع امتزاجه بالکرّ و استهلاکه، إذ مع الامتیاز لا یطهر عین النجاسة حتّی یقاس المتنجّس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المعتبر استدلّ علی طهارة القلیل النجس بورود کرّ من الماء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الوارد لا یقبل النجاسة و النجس مستهلک </w:t>
      </w:r>
      <w:r>
        <w:rPr>
          <w:rStyle w:val="FootnoteAnchor"/>
          <w:rtl w:val="true"/>
        </w:rPr>
        <w:footnoteReference w:id="3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کالصریح فی اعتبار الامتزاج</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نقص الغدیر عن کرّ فوصل بغدیر آخر فیه کرّ ففی طهارته تردّد، و الأشبه بقاؤه علی النجاسة، لأنّه ممتاز عن الطاهر، و النجس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لو غلب الطاهر ینجّسه مع ممازجته، فکیف مع مباینته؟ </w:t>
      </w:r>
      <w:r>
        <w:rPr>
          <w:rStyle w:val="FootnoteAnchor"/>
          <w:rtl w:val="true"/>
        </w:rPr>
        <w:footnoteReference w:id="37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 فی المسألة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الأقرب بقاؤه علی النجاسة مع الاتّصال و انتقاله إلی الطهارة مع الممازجة، لأنّ النجس لو غلب الطاهر ینجّس فمع التمیّز یبقی علی حاله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بمطهّر الکثیر ممازجا، فلو وصل بکرّ یماسّه لم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نبع الکثیر من تحته کالفوّارة فامتزج طهّره، لصیرورتهما ماء واحدا، أمّا لو کان رشحا لم یطهّر، لعدم الکثرة الفعلیة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مراده من الکثرة الفعلیة ما یحصل به الامتزاج لا بلوغ الکرّیة، إذ لا یعتبر عنده الکرّیة فی النابع، و لو فرض النابع فی کلامه بئرا أو کونه قائلا بانفعال مطلق النابع القلیل، کان اللازم تعلیل الحکم بنجاسة النابع بالملاقاة، کما فی المعتبر و المنتهی، و قد تقدّم کلامهما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القول ظاهر کلّ من ذکر فی الجاری المتغیّر أنّه یطهر بتدافع الماء من المادّة و تکاثرها حتّی یزول التغیّر کما فی المقنعة </w:t>
      </w:r>
      <w:r>
        <w:rPr>
          <w:rStyle w:val="FootnoteAnchor"/>
          <w:rtl w:val="true"/>
        </w:rPr>
        <w:footnoteReference w:id="380"/>
      </w:r>
      <w:r>
        <w:rPr>
          <w:rFonts w:ascii="IRNazanin" w:hAnsi="IRNazanin" w:eastAsia="IRNazanin"/>
          <w:color w:val="111111"/>
          <w:sz w:val="28"/>
          <w:sz w:val="28"/>
          <w:szCs w:val="28"/>
          <w:rtl w:val="true"/>
          <w:lang w:bidi="fa-IR"/>
        </w:rPr>
        <w:t xml:space="preserve">و المبسوط </w:t>
      </w:r>
      <w:r>
        <w:rPr>
          <w:rStyle w:val="FootnoteAnchor"/>
          <w:rtl w:val="true"/>
        </w:rPr>
        <w:footnoteReference w:id="381"/>
      </w:r>
      <w:r>
        <w:rPr>
          <w:rFonts w:ascii="IRNazanin" w:hAnsi="IRNazanin" w:eastAsia="IRNazanin"/>
          <w:color w:val="111111"/>
          <w:sz w:val="28"/>
          <w:sz w:val="28"/>
          <w:szCs w:val="28"/>
          <w:rtl w:val="true"/>
          <w:lang w:bidi="fa-IR"/>
        </w:rPr>
        <w:t xml:space="preserve">و السرائر </w:t>
      </w:r>
      <w:r>
        <w:rPr>
          <w:rStyle w:val="FootnoteAnchor"/>
          <w:rtl w:val="true"/>
        </w:rPr>
        <w:footnoteReference w:id="382"/>
      </w:r>
      <w:r>
        <w:rPr>
          <w:rFonts w:ascii="IRNazanin" w:hAnsi="IRNazanin" w:eastAsia="IRNazanin"/>
          <w:color w:val="111111"/>
          <w:sz w:val="28"/>
          <w:sz w:val="28"/>
          <w:szCs w:val="28"/>
          <w:rtl w:val="true"/>
          <w:lang w:bidi="fa-IR"/>
        </w:rPr>
        <w:t xml:space="preserve">و الوسیلة </w:t>
      </w:r>
      <w:r>
        <w:rPr>
          <w:rStyle w:val="FootnoteAnchor"/>
          <w:rtl w:val="true"/>
        </w:rPr>
        <w:footnoteReference w:id="383"/>
      </w:r>
      <w:r>
        <w:rPr>
          <w:rFonts w:ascii="IRNazanin" w:hAnsi="IRNazanin" w:eastAsia="IRNazanin"/>
          <w:color w:val="111111"/>
          <w:sz w:val="28"/>
          <w:sz w:val="28"/>
          <w:szCs w:val="28"/>
          <w:rtl w:val="true"/>
          <w:lang w:bidi="fa-IR"/>
        </w:rPr>
        <w:t>فإنّ اعتبار زوال التغیّر بالتدافع و التکاثر لا یکون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إلّا لاعتبار الامتزاج، إذ لو کفی الاتّصال کان التطهیر بمجرّد زوال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اللمعة </w:t>
      </w:r>
      <w:r>
        <w:rPr>
          <w:rStyle w:val="FootnoteAnchor"/>
          <w:rtl w:val="true"/>
        </w:rPr>
        <w:footnoteReference w:id="384"/>
      </w:r>
      <w:r>
        <w:rPr>
          <w:rFonts w:ascii="Amiri" w:hAnsi="Amiri" w:eastAsia="Amiri" w:cs="Amiri"/>
          <w:color w:val="111111"/>
          <w:sz w:val="28"/>
          <w:sz w:val="28"/>
          <w:szCs w:val="28"/>
          <w:rtl w:val="true"/>
          <w:lang w:bidi="ar-SA"/>
        </w:rPr>
        <w:t xml:space="preserve">و الجعفریّة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جعل المحقّق الثانی فی جامع المقاصد تعبیر القواعد بالعبارة المذکورة مبنیّا علی اعتبار الامتزاج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ظهر أنّ ما فی شرح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لم یعرف القول بالامتزاج ممّن قبل المحقّق فی المعتبر </w:t>
      </w:r>
      <w:r>
        <w:rPr>
          <w:rStyle w:val="FootnoteAnchor"/>
          <w:rtl w:val="true"/>
        </w:rPr>
        <w:footnoteReference w:id="387"/>
      </w:r>
      <w:r>
        <w:rPr>
          <w:rFonts w:ascii="IRNazanin" w:hAnsi="IRNazanin" w:eastAsia="IRNazanin"/>
          <w:color w:val="111111"/>
          <w:sz w:val="28"/>
          <w:sz w:val="28"/>
          <w:szCs w:val="28"/>
          <w:rtl w:val="true"/>
          <w:lang w:bidi="fa-IR"/>
        </w:rPr>
        <w:t>لا یخلو عن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یمکن دعوی استقرار فتوی الأکثر علی خلاف ذلک، لأنّ ظاهر الشیخ فی المبسوط </w:t>
      </w:r>
      <w:r>
        <w:rPr>
          <w:rStyle w:val="FootnoteAnchor"/>
          <w:rtl w:val="true"/>
        </w:rPr>
        <w:footnoteReference w:id="388"/>
      </w:r>
      <w:r>
        <w:rPr>
          <w:rFonts w:ascii="IRNazanin" w:hAnsi="IRNazanin" w:eastAsia="IRNazanin"/>
          <w:color w:val="111111"/>
          <w:sz w:val="28"/>
          <w:sz w:val="28"/>
          <w:szCs w:val="28"/>
          <w:rtl w:val="true"/>
          <w:lang w:bidi="fa-IR"/>
        </w:rPr>
        <w:t xml:space="preserve">و المحقّق فی الشرائع </w:t>
      </w:r>
      <w:r>
        <w:rPr>
          <w:rStyle w:val="FootnoteAnchor"/>
          <w:rtl w:val="true"/>
        </w:rPr>
        <w:footnoteReference w:id="389"/>
      </w:r>
      <w:r>
        <w:rPr>
          <w:rFonts w:ascii="IRNazanin" w:hAnsi="IRNazanin" w:eastAsia="IRNazanin"/>
          <w:color w:val="111111"/>
          <w:sz w:val="28"/>
          <w:sz w:val="28"/>
          <w:szCs w:val="28"/>
          <w:rtl w:val="true"/>
          <w:lang w:bidi="fa-IR"/>
        </w:rPr>
        <w:t xml:space="preserve">و صریح العلّامة فی التحریر </w:t>
      </w:r>
      <w:r>
        <w:rPr>
          <w:rStyle w:val="FootnoteAnchor"/>
          <w:rtl w:val="true"/>
        </w:rPr>
        <w:footnoteReference w:id="390"/>
      </w:r>
      <w:r>
        <w:rPr>
          <w:rFonts w:ascii="IRNazanin" w:hAnsi="IRNazanin" w:eastAsia="IRNazanin"/>
          <w:color w:val="111111"/>
          <w:sz w:val="28"/>
          <w:sz w:val="28"/>
          <w:szCs w:val="28"/>
          <w:rtl w:val="true"/>
          <w:lang w:bidi="fa-IR"/>
        </w:rPr>
        <w:t xml:space="preserve">و الشهید فی اللمعة </w:t>
      </w:r>
      <w:r>
        <w:rPr>
          <w:rStyle w:val="FootnoteAnchor"/>
          <w:rtl w:val="true"/>
        </w:rPr>
        <w:footnoteReference w:id="391"/>
      </w:r>
      <w:r>
        <w:rPr>
          <w:rFonts w:ascii="IRNazanin" w:hAnsi="IRNazanin" w:eastAsia="IRNazanin"/>
          <w:color w:val="111111"/>
          <w:sz w:val="28"/>
          <w:sz w:val="28"/>
          <w:szCs w:val="28"/>
          <w:rtl w:val="true"/>
          <w:lang w:bidi="fa-IR"/>
        </w:rPr>
        <w:t xml:space="preserve">الرجوع عمّا فی کتبهم السابقة و الاکتفاء بمجرّد الاتّصال، کصریح المحقّق و الشهید الثانیین </w:t>
      </w:r>
      <w:r>
        <w:rPr>
          <w:rStyle w:val="FootnoteAnchor"/>
          <w:rtl w:val="true"/>
        </w:rPr>
        <w:footnoteReference w:id="392"/>
      </w:r>
      <w:r>
        <w:rPr>
          <w:rFonts w:ascii="IRNazanin" w:hAnsi="IRNazanin" w:eastAsia="IRNazanin"/>
          <w:color w:val="111111"/>
          <w:sz w:val="28"/>
          <w:sz w:val="28"/>
          <w:szCs w:val="28"/>
          <w:rtl w:val="true"/>
          <w:lang w:bidi="fa-IR"/>
        </w:rPr>
        <w:t>و أکثر من تأخّر عنهم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الجاری بالتدافع و التکاثر، فیمکن حمله علی ما هو الغالب من زوال تغیّر الجاری بذلک،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زوال تغیّر الجاری بالتدافع أغلب و أسهل و أسرع، فذکره لذلک، لا لاعتباره فی التطهیر، و لذا عبّر به من صرّح بعدم اعتبار الممازجة کما فی الموجز </w:t>
      </w:r>
      <w:r>
        <w:rPr>
          <w:rStyle w:val="FootnoteAnchor"/>
          <w:rtl w:val="true"/>
        </w:rPr>
        <w:footnoteReference w:id="393"/>
      </w:r>
      <w:r>
        <w:rPr>
          <w:rFonts w:ascii="Amiri" w:hAnsi="Amiri" w:eastAsia="Amiri" w:cs="Amiri"/>
          <w:color w:val="111111"/>
          <w:sz w:val="28"/>
          <w:sz w:val="28"/>
          <w:szCs w:val="28"/>
          <w:rtl w:val="true"/>
          <w:lang w:bidi="ar-SA"/>
        </w:rPr>
        <w:t>بل صرّح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جماعة ممّن یری طهارة الماء بالإتمام کرّا </w:t>
      </w:r>
      <w:r>
        <w:rPr>
          <w:rStyle w:val="FootnoteAnchor"/>
          <w:rtl w:val="true"/>
        </w:rPr>
        <w:footnoteReference w:id="394"/>
      </w:r>
      <w:r>
        <w:rPr>
          <w:rFonts w:ascii="IRNazanin" w:hAnsi="IRNazanin" w:eastAsia="IRNazanin"/>
          <w:color w:val="111111"/>
          <w:sz w:val="28"/>
          <w:sz w:val="28"/>
          <w:szCs w:val="28"/>
          <w:rtl w:val="true"/>
          <w:lang w:bidi="fa-IR"/>
        </w:rPr>
        <w:t xml:space="preserve">فإنّ لازمة کما ذکره الفاضلان </w:t>
      </w:r>
      <w:r>
        <w:rPr>
          <w:rStyle w:val="FootnoteAnchor"/>
          <w:rtl w:val="true"/>
        </w:rPr>
        <w:footnoteReference w:id="395"/>
      </w:r>
      <w:r>
        <w:rPr>
          <w:rFonts w:ascii="IRNazanin" w:hAnsi="IRNazanin" w:eastAsia="IRNazanin"/>
          <w:color w:val="111111"/>
          <w:sz w:val="28"/>
          <w:sz w:val="28"/>
          <w:szCs w:val="28"/>
          <w:rtl w:val="true"/>
          <w:lang w:bidi="fa-IR"/>
        </w:rPr>
        <w:t>طهارة الکثیر المتغیّر جاریا أو راکدا من دون اعتبار اتّصاله بماء معتصم فضلا عن امتزاجه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هو اعتبار الامتزاج، لأصالة النجاسة و عدم الدلیل علی الطهارة إلّا بالممازجة، لضعف ما تمسّک به علی الطهارة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الطهارة مع الامتزاج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کما ادّعی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الکرّ إذا فرض عدم قبوله للانفعال بالملاقاة و امتزج مع المتنجّس و إن طهّره فهو المطلوب، و إلّا فإن تنجّس به لزم خلاف الفرض و إن اختصّ بالطهارة لزم تعدّد حکم الماءین الممتزج أحدهما بالآخر، بل یلزم عدم جواز استعمال الکرّ فیما یشترط فیه الطهارة، لاشتمال کلّ جزء منه علی جزء من المتنجّس، فهذا حقیقة فی معنی انفعاله، إذ لا یجوز شربه و لا التوضّی منه و لا تطهیر الثوب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فرضنا أنّ جنبا ارتمس فی الحوض المذکور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بارتفاع حدثه و إن صار بدنه متنجّسا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مانع عرضیّ عن الانتفاع بالکرّ فی الشرب و الوضوء و التطهیر، فلا ینافی اعتصامه فی ذاته، نظیر ما إذا وضع فیه أجزاء لطیفة من نجس العین و لم تستهلک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عن الخلاف من فحوی ما دلّ علی طهارة نجس العین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بالاستهلاک </w:t>
      </w:r>
      <w:r>
        <w:rPr>
          <w:rStyle w:val="FootnoteAnchor"/>
          <w:rtl w:val="true"/>
        </w:rPr>
        <w:footnoteReference w:id="397"/>
      </w:r>
      <w:r>
        <w:rPr>
          <w:rFonts w:ascii="IRNazanin" w:hAnsi="IRNazanin" w:eastAsia="IRNazanin"/>
          <w:color w:val="111111"/>
          <w:sz w:val="28"/>
          <w:sz w:val="28"/>
          <w:szCs w:val="28"/>
          <w:rtl w:val="true"/>
          <w:lang w:bidi="fa-IR"/>
        </w:rPr>
        <w:t xml:space="preserve">مثل ما دلّ علی أنّه لا بأس بما یقع من البول فی الکرّ إذا لم یبلغ فی الکثرة حدّ التغیّر الرافع </w:t>
      </w:r>
      <w:r>
        <w:rPr>
          <w:rStyle w:val="FootnoteAnchor"/>
          <w:rtl w:val="true"/>
        </w:rPr>
        <w:footnoteReference w:id="398"/>
      </w:r>
      <w:r>
        <w:rPr>
          <w:rFonts w:ascii="IRNazanin" w:hAnsi="IRNazanin" w:eastAsia="IRNazanin"/>
          <w:color w:val="111111"/>
          <w:sz w:val="28"/>
          <w:sz w:val="28"/>
          <w:szCs w:val="28"/>
          <w:rtl w:val="true"/>
          <w:lang w:bidi="fa-IR"/>
        </w:rPr>
        <w:t>إذ وقوع النجاسة العینیة فی الکرّ یستلزم تغیّر ما اکتنفها من أجزاء الماء فینجس، و قد حکم الشارع بنفی البأس عن ذلک، و لیس إلّا لامتزاجه بباقی أجزاء الکرّ، فدلّ علی حصول الطهارة بالامتزاج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الحکم المذکور، لکنّ الإشکال، فی أنّه هل یعتبر استهلاک المتنجّس فی الطاهر علی الوجه المعتبر فی تطهیر المضاف؟</w:t>
      </w:r>
    </w:p>
    <w:p>
      <w:pPr>
        <w:pStyle w:val="BookText"/>
        <w:rPr/>
      </w:pPr>
      <w:r>
        <w:rPr>
          <w:rFonts w:ascii="IRNazanin" w:hAnsi="IRNazanin" w:eastAsia="IRNazanin"/>
          <w:color w:val="111111"/>
          <w:sz w:val="28"/>
          <w:sz w:val="28"/>
          <w:szCs w:val="28"/>
          <w:rtl w:val="true"/>
          <w:lang w:bidi="fa-IR"/>
        </w:rPr>
        <w:t>أو یکفی مطلق الامتزاج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فرض للنجس لون مغایر للماء الطاهر و لو ضعیفا لزال، فیطهّر کرّ واحد أکرارا متعدّدة إذا امتزج و لو استهلک فیها و علی الأوّل فلا یطهّرها إلّا إذا استهلکها جزءا فجزءا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الأصل، و المتیقّن الطهارة بالاستهلاک، لظهور کلمات من تقدّم من القائلین بالامتزاج فی الاستهلاک و اختصاص الأدلّة المتقدّمة بهذه الصورة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 ملاحظة کلمات القائلین بالامتزاج فی مقام آخر تقضی بعدم اعتبار الاستهلاک بالمعنی المتقدّم، لأنّهم ذکروا فی الجاری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یطهر بتکاثر الماء من المادّة علیه حتّی یزول تغیّره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زوال آخر مراتب التغیّر یحصل بقلیل من الماء الجاری مستهلک فی جنب الماء النجس، و لم یقل أحد منهم باعتبار ما زاد علی ما یزیل التغیّر، فإذا اکتفی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المتغیّر بمجرّد الامتزاج المزیل للتغیّر اکتفی به فی غیره، لاتّحاد الدلیل الّذی استدلّوا به للطهارة فی المقامین، فإنّ الفاضلین رحمهما اللّٰه عبّرا فی المتغیّر أیضا بالاستهلاک </w:t>
      </w:r>
      <w:r>
        <w:rPr>
          <w:rStyle w:val="FootnoteAnchor"/>
          <w:rtl w:val="true"/>
        </w:rPr>
        <w:footnoteReference w:id="400"/>
      </w:r>
      <w:r>
        <w:rPr>
          <w:rFonts w:ascii="IRNazanin" w:hAnsi="IRNazanin" w:eastAsia="IRNazanin"/>
          <w:color w:val="111111"/>
          <w:sz w:val="28"/>
          <w:sz w:val="28"/>
          <w:szCs w:val="28"/>
          <w:rtl w:val="true"/>
          <w:lang w:bidi="fa-IR"/>
        </w:rPr>
        <w:t>فیعلم إرادتهم منه مجرّد الامتزاج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طهارة الکثیر المتغیّر بوقوع کرّ فی أحد جوانبه بحیث علم عدم شیاعه فیه تردّد </w:t>
      </w:r>
      <w:r>
        <w:rPr>
          <w:rStyle w:val="FootnoteAnchor"/>
          <w:rtl w:val="true"/>
        </w:rPr>
        <w:footnoteReference w:id="40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مفهومه عدم التأمّل فی الطهارة مع العلم بالشیاع، و المفروض فی کلامه کون الکرّ أقلّ بمراتب من الکثیر المتغیّر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الفحوی الّتی تمسّک بها الشیخ رحمه اللّٰه فی الخلاف </w:t>
      </w:r>
      <w:r>
        <w:rPr>
          <w:rStyle w:val="FootnoteAnchor"/>
          <w:rtl w:val="true"/>
        </w:rPr>
        <w:footnoteReference w:id="402"/>
      </w:r>
      <w:r>
        <w:rPr>
          <w:rFonts w:ascii="IRNazanin" w:hAnsi="IRNazanin" w:eastAsia="IRNazanin"/>
          <w:color w:val="111111"/>
          <w:sz w:val="28"/>
          <w:sz w:val="28"/>
          <w:szCs w:val="28"/>
          <w:rtl w:val="true"/>
          <w:lang w:bidi="fa-IR"/>
        </w:rPr>
        <w:t>فهی و إن لم تستقم إلّا بإرادة الغلبة، إلّا أنّ حکمه فی عنوان المسألة بطهارة الکثیر المتغیّر بالکرّ فما زاد إذا زال به التغیّر ظاهر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کفایة کرّ لتطهیر کرّ متغیّر إذا أزال تغیّره،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المتساویین فی المقدار لا یستهلک الآخر، فلا بدّ من توجیه دلیله بأنّ المراد من الاستهلاک هو الامتزاج الموجب لعدم تمایز أجزاء کلّ منهما، و هذا المعنی مطهّر لعین النجاسة و للماء المتنجّس</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علی إرادة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استدلّ فی المنتهی علی طهارة المضاف بإلقاء الکرّ علیه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الکرّ لا ینفعل مع عدم استهلاک النجاسة له و لا یمکن الإشارة إلی عین نجسة، فوجب الجزم بطهارة الجمیع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فعبّر عن مناط الطهارة بعدم تمایز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 و إن کان اعتبار الکثرة الفعلیة، إلّا أنّ هذا الکلام منه معارض بما هو کالصریح فی عدم اعتبار الاستهلاک بمعنی الغلبة، فإنّه قال رحمه اللّٰه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غمس الکوز بمائه النجس فی الکثیر الطاهر طهر مع الامتزاج و لا یکفی المماسّة و لا اعتبار بسعة الرأس و ضیقه و لا یشترط أکثریّة الطاهر، نعم یشترط المکث لیتحقّق الامتزاج </w:t>
      </w:r>
      <w:r>
        <w:rPr>
          <w:rStyle w:val="FootnoteAnchor"/>
          <w:rtl w:val="true"/>
        </w:rPr>
        <w:footnoteReference w:id="40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 قبل ذلک فیما لو تغیّر بعض الکثیر الراکد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یطهر بتموّجه إن بقی کرّ فصاعدا غیر متغیّر و إلّا فبإلقاء کرّ متّصل فکرّ حتّی یزول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قدّر بقاء الکرّ الطاهر متمیّزا و زوال التغیّر بتقویته بالناقص عن الکرّ أجزأ </w:t>
      </w:r>
      <w:r>
        <w:rPr>
          <w:rStyle w:val="FootnoteAnchor"/>
          <w:rtl w:val="true"/>
        </w:rPr>
        <w:footnoteReference w:id="40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ظاهر هذه الفقرة الأخیرة کفایة مقدار قلیل من الماء مزیل لتغیّر المتغیّر و إن کان کثیرا مع اعتصام ذلک القلیل بالکرّ الباقی غیر متغیّر و لو کان هذا القلیل ملقی من الخارج</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یعلم فتوی أحد من الأصحاب باعتبار الاستهلاک بمعنی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صحّ للمحقّق الثانی عند الاستدلال علی کفایة مطلق الاتّصال دعوی الإجماع علی أنّه لا یعتبر فی المطهّر وراء الامتزاج شی‌ء </w:t>
      </w:r>
      <w:r>
        <w:rPr>
          <w:rStyle w:val="FootnoteAnchor"/>
          <w:rtl w:val="true"/>
        </w:rPr>
        <w:footnoteReference w:id="406"/>
      </w:r>
      <w:r>
        <w:rPr>
          <w:rFonts w:ascii="IRNazanin" w:hAnsi="IRNazanin" w:eastAsia="IRNazanin"/>
          <w:color w:val="111111"/>
          <w:sz w:val="28"/>
          <w:sz w:val="28"/>
          <w:szCs w:val="28"/>
          <w:rtl w:val="true"/>
          <w:lang w:bidi="fa-IR"/>
        </w:rPr>
        <w:t>و للفاضل المقداد و الشهید الثانی فی الروضة دعوی الإجماع علی طهارة الماء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المتنجّس بماء المطر </w:t>
      </w:r>
      <w:r>
        <w:rPr>
          <w:rStyle w:val="FootnoteAnchor"/>
          <w:rtl w:val="true"/>
        </w:rPr>
        <w:footnoteReference w:id="407"/>
      </w:r>
      <w:r>
        <w:rPr>
          <w:rFonts w:ascii="IRNazanin" w:hAnsi="IRNazanin" w:eastAsia="IRNazanin"/>
          <w:color w:val="111111"/>
          <w:sz w:val="28"/>
          <w:sz w:val="28"/>
          <w:szCs w:val="28"/>
          <w:rtl w:val="true"/>
          <w:lang w:bidi="fa-IR"/>
        </w:rPr>
        <w:t xml:space="preserve">مع أنّه لا یستهلکه غالبا، و لشارح الروضة دعوی الإجماع فی غیر موضع من کلامه علی أنّ الکرّ الواحد یطهّر أکرارا کثیرة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ظهر ما فهمه </w:t>
      </w:r>
      <w:r>
        <w:rPr>
          <w:rStyle w:val="FootnoteAnchor"/>
          <w:rtl w:val="true"/>
        </w:rPr>
        <w:footnoteReference w:id="409"/>
      </w:r>
      <w:r>
        <w:rPr>
          <w:rFonts w:ascii="IRNazanin" w:hAnsi="IRNazanin" w:eastAsia="IRNazanin"/>
          <w:color w:val="111111"/>
          <w:sz w:val="28"/>
          <w:sz w:val="28"/>
          <w:szCs w:val="28"/>
          <w:rtl w:val="true"/>
          <w:lang w:bidi="fa-IR"/>
        </w:rPr>
        <w:t>صاحب الحدائق فی ظاهر کلامه من إرادة القائلین بالامتزاج الاستهلاک، حیث قال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یعلم به عدم الامتزاج بقاء ماء الکوز النجس علی وصفه السابق إن کان کذلک کعذوبته مع ملوحة المطهّر و حرارته مع برودة المطهّر أو بالعکس فیهما </w:t>
      </w:r>
      <w:r>
        <w:rPr>
          <w:rStyle w:val="FootnoteAnchor"/>
          <w:rtl w:val="true"/>
        </w:rPr>
        <w:footnoteReference w:id="4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مجرّد بقاء الصفة قد تجتمع مع استهلاک المضاف النجس فی المطلق، مع ما عرفت أنّ أحدا من أهل الامتزاج لم یظهر منه اعتبار الامتزاج المعتبر فی تطهیر المضاف، فضلا عن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ذلک ما ذکرنا فی الوجه الثالث </w:t>
      </w:r>
      <w:r>
        <w:rPr>
          <w:rStyle w:val="FootnoteAnchor"/>
          <w:rtl w:val="true"/>
        </w:rPr>
        <w:footnoteReference w:id="411"/>
      </w:r>
      <w:r>
        <w:rPr>
          <w:rFonts w:ascii="IRNazanin" w:hAnsi="IRNazanin" w:eastAsia="IRNazanin"/>
          <w:color w:val="111111"/>
          <w:sz w:val="28"/>
          <w:sz w:val="28"/>
          <w:szCs w:val="28"/>
          <w:rtl w:val="true"/>
          <w:lang w:bidi="fa-IR"/>
        </w:rPr>
        <w:t>من أدلّة الامتزاج، فإنّ زوال تغیّر الأجزاء المکتنفة بالنجاسة الواقعة فی الکثیر یحصل باختلاطه بقلیل ممّا یتحرّک إلیه من أطرافه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قوله علیه السلام فی مرسلة الکاهلی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یراه ماء المطر فقد طهر</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فإنّ الرؤیة کنایة عن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فملاقاة ماء المطر لأجزاء الماء النجس موجبة لطهارتها و لا یعتبر استهلاکه لها لغلبته علیها، بل سیأتی استدلال بعضهم بهذه المرسلة علی کفایة ملاقاة المطر و ما جری مجراه من الکثیر و الجاری لجزء من الماء النجس، لکن سیأتی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و یؤیّده أیضا روایة المیزابین السائلین أحدهما بول و الآخر ماء المطر </w:t>
      </w:r>
      <w:r>
        <w:rPr>
          <w:rStyle w:val="FootnoteAnchor"/>
          <w:rtl w:val="true"/>
        </w:rPr>
        <w:footnoteReference w:id="413"/>
      </w:r>
      <w:r>
        <w:rPr>
          <w:rFonts w:ascii="IRNazanin" w:hAnsi="IRNazanin" w:eastAsia="IRNazanin"/>
          <w:color w:val="111111"/>
          <w:sz w:val="28"/>
          <w:sz w:val="28"/>
          <w:szCs w:val="28"/>
          <w:rtl w:val="true"/>
          <w:lang w:bidi="fa-IR"/>
        </w:rPr>
        <w:t>فإنّ البول المستحیل فی ماء المطر یغیّره أوّلا و یزول تغیّره بجزء آخر من ماء المطر لا یستهلکه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المطهّر مطلق الامتزاج و إن لم یحصل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ضعف ما تمسّکوا به علی کفایة الاتّصال و عدم اعتبار الممازجة، فلأنّهم ذکروا لذلک وجوها یظهر ضعفها بعد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ذکره بعض الأفاضل </w:t>
      </w:r>
      <w:r>
        <w:rPr>
          <w:rStyle w:val="FootnoteAnchor"/>
          <w:rtl w:val="true"/>
        </w:rPr>
        <w:footnoteReference w:id="414"/>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یقتضی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مطهّریّة الماء بقول مطلق، أو خصوص المعتصم منه، کماء المطر و ماء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روایة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یطهّر و لا یطهّر</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مجمل من حیث المتعلّق، لکونها قضیة مهملة فی مقابل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یطهّر بغیره، کما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یعطی و لا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حیث کیفیة التطهیر، بل الظاهر المرکوز فی الأذهان أنّ الماء یطهّر بالاستیلاء علی مجموع القذر لا بتلاقی جزءین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الحمّام کماء النهر یطهّر بعضه بعضا</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 سنده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منه إرادة حفظ الطهارة لا إحداثها بعد أن لم تکن، کما ذکرنا ذلک موضحا فی مسألة انفعال القلیل من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هذا مع ما ذکر أخیرا فی 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مرسلة الکاهلی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یراه ماء المطر فقد طهر</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فإنّه یصدق علی ماء المطر الواقع علی سطح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رأی الحوض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الرؤیة کنایة عن الملاقاة، و رؤیة کلّ جزء توجب طهارته لا طهارة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صدق ملاقاة المجموع بملاقاة جزء منه فیطهر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کونه علی وجه الحقیقة دون المسامحة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بأنّه یصدق علی الجزء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یره المطر فلم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الروایة إناطة الطهارة وجودا و عدما بالرؤیة، فانّ المبتدأ متضمّن لمعنی الشرط، فلا یرد أنّ هذا من باب مفهوم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أرسله فی أوّل المختلف عن بعض العلماء عن أبی جعفر علیه السلام مشیرا إلی غدیر من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لا یصیب شیئا إلّا طهّره</w:t>
      </w:r>
      <w:r>
        <w:rPr>
          <w:rFonts w:eastAsia="IRNazanin" w:cs="IRNazanin"/>
          <w:color w:val="111111"/>
          <w:sz w:val="28"/>
          <w:szCs w:val="28"/>
          <w:rtl w:val="true"/>
          <w:lang w:bidi="fa-IR"/>
        </w:rPr>
        <w:t xml:space="preserve">»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دلالته و ردّها کما فی المرسلة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صحیحة ابن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البئر واسع لا یفسده شی‌ء إلّا ما غیّر طعمه أو ریحه فینزح حتّی یذهب الریح و یطیب الطعم، لأنّ له مادّة</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بناء علی أنّ التعلیل خاصّ بالفقرة الأخیرة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لجمیع ما قبله فیشمل الأخیرة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کفایة زوال التغیّر فی طهارة ما ینجس بالتغیّر و له مادّة من غیر اعتبار امتزاجه بشی‌ء من المادّة أو ماء معتصم آخر، فإذا اکتفی بالاتّصال فی المتغیّر ذی المادة اکتفی فی غیره من المیاه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النجسة بغیر التغیّر باتّصاله بماء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w:t>
      </w:r>
      <w:r>
        <w:rPr>
          <w:rStyle w:val="FootnoteAnchor"/>
          <w:rtl w:val="true"/>
        </w:rPr>
        <w:footnoteReference w:id="420"/>
      </w:r>
      <w:r>
        <w:rPr>
          <w:rFonts w:ascii="IRNazanin" w:hAnsi="IRNazanin" w:eastAsia="IRNazanin"/>
          <w:color w:val="111111"/>
          <w:sz w:val="28"/>
          <w:sz w:val="28"/>
          <w:szCs w:val="28"/>
          <w:rtl w:val="true"/>
          <w:lang w:bidi="fa-IR"/>
        </w:rPr>
        <w:t>فی تطهیر الجاری من إجمال الروایة و احتمال رجوع العلّة إلی ذهاب الوصف بالنزح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الاتّصال الاتّحاد و الماء الواحد لا یختلف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بالاتّحاد اتّحاد السطح فالکبری ممنوعة، و إن أرید الاتّحاد فی الإشارة إلیهما فالصغری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الاتّصال یوجب اختلاط بعض أجزاء الکرّ ببعض أجزاء المتنجّس، فإمّا أن ترتفع النجاسة من النجس أو یتنجّس جزء الکرّ، و الثانی مخالف لأدلّة عدم انفعال الکرّ، فتعیّن الأوّل، فإذا طهر الجزء طهر الجمیع لعین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الأخیرة، فإنّ طهارة الجزء المختلط بالاختلاط المنفیّ فی الباقی لا یوجب طهارته، و إن أرید بالاختلاط مطلق الاتّصال کان الاکتفاء به عین النزاع، و ما الفرق بینه و بین ما لو تغیّر بعض الکثیر دون بعضه الباقی علی الکثرة؟</w:t>
      </w:r>
    </w:p>
    <w:p>
      <w:pPr>
        <w:pStyle w:val="BookText"/>
        <w:rPr/>
      </w:pPr>
      <w:r>
        <w:rPr>
          <w:rFonts w:ascii="IRNazanin" w:hAnsi="IRNazanin" w:eastAsia="IRNazanin"/>
          <w:color w:val="111111"/>
          <w:sz w:val="28"/>
          <w:sz w:val="28"/>
          <w:szCs w:val="28"/>
          <w:rtl w:val="true"/>
          <w:lang w:bidi="fa-IR"/>
        </w:rPr>
        <w:t>هذا خلاصة ما ذکروا لکفایة الاتّصال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شارح الروضة وجوها لإبطال اعتبار الامتزاج لیتعیّن بذلک کفایة الاتّصال </w:t>
      </w:r>
      <w:r>
        <w:rPr>
          <w:rStyle w:val="FootnoteAnchor"/>
          <w:rtl w:val="true"/>
        </w:rPr>
        <w:footnoteReference w:id="421"/>
      </w:r>
      <w:r>
        <w:rPr>
          <w:rFonts w:ascii="IRNazanin" w:hAnsi="IRNazanin" w:eastAsia="IRNazanin"/>
          <w:color w:val="111111"/>
          <w:sz w:val="28"/>
          <w:sz w:val="28"/>
          <w:szCs w:val="28"/>
          <w:rtl w:val="true"/>
          <w:lang w:bidi="fa-IR"/>
        </w:rPr>
        <w:t>و الأصل فی ذلک قول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تقدّم من کلامه فی الغدیرین المتواصلین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بقاء النجس منهما علی نجاسته نظرا، للاتّفاق علی طهارة النجس بإلقاء کرّ و المداخلة ممتنعة و الاتّصال موجود هنا </w:t>
      </w:r>
      <w:r>
        <w:rPr>
          <w:rStyle w:val="FootnoteAnchor"/>
          <w:rtl w:val="true"/>
        </w:rPr>
        <w:footnoteReference w:id="4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و عمدة تلک الوجوه ما أخذه بعض الأفاضل </w:t>
      </w:r>
      <w:r>
        <w:rPr>
          <w:rStyle w:val="FootnoteAnchor"/>
          <w:rtl w:val="true"/>
        </w:rPr>
        <w:footnoteReference w:id="423"/>
      </w:r>
      <w:r>
        <w:rPr>
          <w:rFonts w:ascii="IRNazanin" w:hAnsi="IRNazanin" w:eastAsia="IRNazanin"/>
          <w:color w:val="111111"/>
          <w:sz w:val="28"/>
          <w:sz w:val="28"/>
          <w:szCs w:val="28"/>
          <w:rtl w:val="true"/>
          <w:lang w:bidi="fa-IR"/>
        </w:rPr>
        <w:t>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اعتبرت الممازجة، فإمّا أن یراد امتزاج الکلّ بالکلّ، أو البعض بالبعض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غیر ممکن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ممکن الاطّلاع علیه، فالأصل بقاء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من معتبری الامتزاج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کالعلّامة و الشهید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حکموا بطهارة الحیاض الصغار المتّصلة باستیلاء الماء من المادّة علیها و بغمس کوز الماء النجس فی الکثیر و لو بعد مضیّ زمان و طهارة القلیل بماء المطر، بل ادّعی السیوری و الشهید الثانی الإجماع علی الثالث </w:t>
      </w:r>
      <w:r>
        <w:rPr>
          <w:rStyle w:val="FootnoteAnchor"/>
          <w:rtl w:val="true"/>
        </w:rPr>
        <w:footnoteReference w:id="424"/>
      </w:r>
      <w:r>
        <w:rPr>
          <w:rFonts w:ascii="IRNazanin" w:hAnsi="IRNazanin" w:eastAsia="IRNazanin"/>
          <w:color w:val="111111"/>
          <w:sz w:val="28"/>
          <w:sz w:val="28"/>
          <w:szCs w:val="28"/>
          <w:rtl w:val="true"/>
          <w:lang w:bidi="fa-IR"/>
        </w:rPr>
        <w:t>مع أنّ الامتزاج الکلّی لا یحصل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الامتزاج لیس کاشفا عن الطهارة حین الملاقاة قطعا، بل یتوقّف علیه، 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المعتصم یخرج عن کونه کرّا أو جاریا أو ماء غیث قبل تمام الامتزاج الکلّی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القی النجس الکثیر فی المطهّر القلیل بحیث یستهلک فیه، فإمّا أن یحکم بالنجاسة و هو خلاف الأصل و الإجماع، أو بالطهارة و هو المطلوب، و کذلک عکسه إذا سیق المطهّر من مجاری متعدّدة بل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یطهّر أجزاءه المخالطة له و هکذا بالتدریج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استلزامه المنع عن استعمال الماء قبله بلا دلیل، و اختلاف الماء الواحد فی السطح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إذا اجتمع الأجزاء المختلطة بحیث لا یتوسّط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بین الکرّ منها النجس و علم ذلک، و المعلوم مع الاستهلاک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أرید بالبعض مسمّاه فهو المطلوب، أو القدر المعیّن فلا بدّ من أن یبیّن، أو الأکثر بالأکثر تقریبا فلا دلیل علیه، مع أنّ الفرق بین الأبعاض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ورود کثیر ممّا ذکر فی الأوّل هنا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نختار امتزاج الکلّ من النجس بالبعض من الطاهر، بحیث لو فرض للمتنجّس أقلّ لون زال بالماء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ذکرناه فی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النصّ و الإجماع علی طهارة المتغیّر من الجاری و الکثیر إذا زال تغیّره بممازجة بعضه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التغیّر قد یکون خفیفا، بل یکون دائما کذلک فی آخر أزمنة وجوده المشرف علی الزوال،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التغیّر یحصل بامتزاج شی‌ء قلیل من الماء المعتصم، فیکفی لتطهّر الأکرار المتنجّسة ما یکون نسبته إلیها کنسبة الجزء المعتصم الطاهر الممازج إلی المتغیّر فی 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عدم العلم بهذا، فلا مانع عن التزام بقاء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طهارة الکوز من الماء النجس بالغمس أو طهارة ما فی الحیاض باستیلاء الماء من المادّة علیها و حصول التطهّر بماء الغیث، لا یرد نقضا علی القائل بالامتزاج</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خروج الماء المعتصم عن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الکرّیة و الجریان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الامتزاج التامّ، فغیر مسلّم، للإجماع علی عدم انفعاله ما لم ینقطع عن الکرّ بالمرّة، و قد حکموا بطهارة الحبوب النجسة إذا انتقعت فی الکرّ، مع أنّ أجزاء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الکرّ المتخلّلة بین أجزاء الحبوب لیست بأشدّ اتّصالا بالکرّ من الأجزاء المتخلّلة من الکرّ فی الماء المتنجّس، مع أنّ انفعال المطهّر بالتطهیر لا یمنع عن التطهیر به، کما فی الماء القلیل الّذی یقع علی موضع فی الثوب النجس ثمّ ینتقل منه إلی موضع آخر منه، فإنّ المعتبر الطهارة قبل التطهیر، مع أنّ الماء سریع النفوذ فی الماء، فیطهر الجزء النجس الملاقی له قبل التخلّل بین أجزاء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اختلاف الماء فی السطح الواحد، فلم نجد دلیلا شرعیّا علی امتناعه، و الثابت من النصّ و الإجماع امتناع اختلاف الماءین مع شیوع أحدهما فی الآخر و قد ذکر فی شرح الروضة </w:t>
      </w:r>
      <w:r>
        <w:rPr>
          <w:rStyle w:val="FootnoteAnchor"/>
          <w:rtl w:val="true"/>
        </w:rPr>
        <w:footnoteReference w:id="427"/>
      </w:r>
      <w:r>
        <w:rPr>
          <w:rFonts w:ascii="IRNazanin" w:hAnsi="IRNazanin" w:eastAsia="IRNazanin"/>
          <w:color w:val="111111"/>
          <w:sz w:val="28"/>
          <w:sz w:val="28"/>
          <w:szCs w:val="28"/>
          <w:rtl w:val="true"/>
          <w:lang w:bidi="fa-IR"/>
        </w:rPr>
        <w:t>وجوها أخر لردّ القول بالامتزاج، لا یخفی ضعفها علی ما ذکرناه فی الجواب عن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لم یقل بالامتزاج بین معتبر لصدق الاتّحاد العرفیّ علی مجموع الطاهر و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الروضة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مکتف بمجرّد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کظاهر اللمعة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لازمة طهارة الکوز من الماء النجس یصبّ منه شی‌ء فی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غمسه فیه، و لیس بأبعد من التزام طهارة النجس الکثیر بقطرة أو قطرات من المطر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یذکر هنا تفصیل بین الجاری و ماء الحمّام و بین غیرهما فیشترط الامتزاج فی الأوّلین، و نسب إلی ظاهر المنتهی و النهایة و التحریر و الموجز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و شرحه </w:t>
      </w:r>
      <w:r>
        <w:rPr>
          <w:rStyle w:val="FootnoteAnchor"/>
          <w:rtl w:val="true"/>
        </w:rPr>
        <w:footnoteReference w:id="430"/>
      </w:r>
      <w:r>
        <w:rPr>
          <w:rFonts w:ascii="IRNazanin" w:hAnsi="IRNazanin" w:eastAsia="IRNazanin"/>
          <w:color w:val="111111"/>
          <w:sz w:val="28"/>
          <w:sz w:val="28"/>
          <w:szCs w:val="28"/>
          <w:rtl w:val="true"/>
          <w:lang w:bidi="fa-IR"/>
        </w:rPr>
        <w:t xml:space="preserve">حیث حکموا بالطهارة بتواصل الغدیرین </w:t>
      </w:r>
      <w:r>
        <w:rPr>
          <w:rStyle w:val="FootnoteAnchor"/>
          <w:rtl w:val="true"/>
        </w:rPr>
        <w:footnoteReference w:id="431"/>
      </w:r>
      <w:r>
        <w:rPr>
          <w:rFonts w:ascii="IRNazanin" w:hAnsi="IRNazanin" w:eastAsia="IRNazanin"/>
          <w:color w:val="111111"/>
          <w:sz w:val="28"/>
          <w:sz w:val="28"/>
          <w:szCs w:val="28"/>
          <w:rtl w:val="true"/>
          <w:lang w:bidi="fa-IR"/>
        </w:rPr>
        <w:t xml:space="preserve">و عبّروا فی الجاری بأنّه یطهر بالتدافع و التکاثر </w:t>
      </w:r>
      <w:r>
        <w:rPr>
          <w:rStyle w:val="FootnoteAnchor"/>
          <w:rtl w:val="true"/>
        </w:rPr>
        <w:footnoteReference w:id="432"/>
      </w:r>
      <w:r>
        <w:rPr>
          <w:rFonts w:ascii="IRNazanin" w:hAnsi="IRNazanin" w:eastAsia="IRNazanin"/>
          <w:color w:val="111111"/>
          <w:sz w:val="28"/>
          <w:sz w:val="28"/>
          <w:szCs w:val="28"/>
          <w:rtl w:val="true"/>
          <w:lang w:bidi="fa-IR"/>
        </w:rPr>
        <w:t xml:space="preserve">و اعتبروا فی طهارة ماء الحمّام استیلاء الماء من المادّة علیه </w:t>
      </w:r>
      <w:r>
        <w:rPr>
          <w:rStyle w:val="FootnoteAnchor"/>
          <w:rtl w:val="true"/>
        </w:rPr>
        <w:footnoteReference w:id="433"/>
      </w:r>
      <w:r>
        <w:rPr>
          <w:rFonts w:ascii="IRNazanin" w:hAnsi="IRNazanin" w:eastAsia="IRNazanin"/>
          <w:color w:val="111111"/>
          <w:sz w:val="28"/>
          <w:sz w:val="28"/>
          <w:szCs w:val="28"/>
          <w:rtl w:val="true"/>
          <w:lang w:bidi="fa-IR"/>
        </w:rPr>
        <w:t>إمّا مطلقا کما فی کتب العلّامة، أو مع عدم تساوی السطح الطاهر و النجس کما فی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أنّه لا قائل بکون حکم ماء الحمّام أغلظ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الجاری فلیس له عند العلّامة عنوان مستقلّ بل الاعتبار عنده بالکرّیة، و قد صرّح فی المنتهی بأنّ تطهّر الجاری بإکثار الماء المتدافع حتّی یزول التغیّر، و تطهّر الکثیر المتغیّر بإلقاء کرّ علیه دفعة من المطلق بحیث یزول تغیّره، و استدلّ فی المسألتین بأنّ الطارئ لا یقبل النجاسة و المتغیّر مستهلک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الموجز و شرحه فصریحهما عدم الفرق بین ماء الحمّام و غیره من الحیاض الصغار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یعکس بعض المعاصرین </w:t>
      </w:r>
      <w:r>
        <w:rPr>
          <w:rStyle w:val="FootnoteAnchor"/>
          <w:rtl w:val="true"/>
        </w:rPr>
        <w:footnoteReference w:id="436"/>
      </w:r>
      <w:r>
        <w:rPr>
          <w:rFonts w:ascii="IRNazanin" w:hAnsi="IRNazanin" w:eastAsia="IRNazanin"/>
          <w:color w:val="111111"/>
          <w:sz w:val="28"/>
          <w:sz w:val="28"/>
          <w:szCs w:val="28"/>
          <w:rtl w:val="true"/>
          <w:lang w:bidi="fa-IR"/>
        </w:rPr>
        <w:t xml:space="preserve">هذا التفصیل، فیختصّ </w:t>
      </w:r>
      <w:r>
        <w:rPr>
          <w:rStyle w:val="FootnoteAnchor"/>
          <w:rtl w:val="true"/>
        </w:rPr>
        <w:footnoteReference w:id="437"/>
      </w:r>
      <w:r>
        <w:rPr>
          <w:rFonts w:ascii="IRNazanin" w:hAnsi="IRNazanin" w:eastAsia="IRNazanin"/>
          <w:color w:val="111111"/>
          <w:sz w:val="28"/>
          <w:sz w:val="28"/>
          <w:szCs w:val="28"/>
          <w:rtl w:val="true"/>
          <w:lang w:bidi="fa-IR"/>
        </w:rPr>
        <w:t>الامتزاج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بغیر الجاری و ماء الحمّام و لم یعتبره فیهما، لأجل صحیحة ابن بزیع المتقدّمة الواردة فی ماء البئر </w:t>
      </w:r>
      <w:r>
        <w:rPr>
          <w:rStyle w:val="FootnoteAnchor"/>
          <w:rtl w:val="true"/>
        </w:rPr>
        <w:footnoteReference w:id="438"/>
      </w:r>
      <w:r>
        <w:rPr>
          <w:rFonts w:ascii="IRNazanin" w:hAnsi="IRNazanin" w:eastAsia="IRNazanin"/>
          <w:color w:val="111111"/>
          <w:sz w:val="28"/>
          <w:sz w:val="28"/>
          <w:szCs w:val="28"/>
          <w:rtl w:val="true"/>
          <w:lang w:bidi="fa-IR"/>
        </w:rPr>
        <w:t xml:space="preserve">و مرسلة الکاهلی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یراه ماء المطر</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الحمّام کماء النهر یطهّر بعضه بعضا</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ضعیف أیضا لما عرفت من عدم تمامیة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اشتراط الامتزاج عند القائلین به مختصّ بما إذا لم یلق الکرّ دفعة، و إلّا فإلقاء الکرّ دفعة مغن عن الامتزاج، لدعوی الإجماع أو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المنتهی و عن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حصول التطهّر بإلقاء الکرّ دفعة </w:t>
      </w:r>
      <w:r>
        <w:rPr>
          <w:rStyle w:val="FootnoteAnchor"/>
          <w:rtl w:val="true"/>
        </w:rPr>
        <w:footnoteReference w:id="442"/>
      </w:r>
      <w:r>
        <w:rPr>
          <w:rFonts w:ascii="IRNazanin" w:hAnsi="IRNazanin" w:eastAsia="IRNazanin"/>
          <w:color w:val="111111"/>
          <w:sz w:val="28"/>
          <w:sz w:val="28"/>
          <w:szCs w:val="28"/>
          <w:rtl w:val="true"/>
          <w:lang w:bidi="fa-IR"/>
        </w:rPr>
        <w:t xml:space="preserve">و یؤیّدها دعوی الإجماع علی کفایة کرّ لأکرار متعدّدة </w:t>
      </w:r>
      <w:r>
        <w:rPr>
          <w:rStyle w:val="FootnoteAnchor"/>
          <w:rtl w:val="true"/>
        </w:rPr>
        <w:footnoteReference w:id="443"/>
      </w:r>
      <w:r>
        <w:rPr>
          <w:rFonts w:ascii="IRNazanin" w:hAnsi="IRNazanin" w:eastAsia="IRNazanin"/>
          <w:color w:val="111111"/>
          <w:sz w:val="28"/>
          <w:sz w:val="28"/>
          <w:szCs w:val="28"/>
          <w:rtl w:val="true"/>
          <w:lang w:bidi="fa-IR"/>
        </w:rPr>
        <w:t>بناء علی أنّ الغالب عدم تحقّق الامتزاج</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تخرّص، إذ لا دلیل علی ذلک بعد ظهور کلامهم فی أنّ الامتزاج شرط آخر غیر الدفعة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استدلالهم علیه باستهلاک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عدم الاستغناء عنه بالدفعة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 من الإجماعات علی </w:t>
      </w:r>
      <w:r>
        <w:rPr>
          <w:rStyle w:val="FootnoteAnchor"/>
          <w:rtl w:val="true"/>
        </w:rPr>
        <w:footnoteReference w:id="445"/>
      </w:r>
      <w:r>
        <w:rPr>
          <w:rFonts w:ascii="IRNazanin" w:hAnsi="IRNazanin" w:eastAsia="IRNazanin"/>
          <w:color w:val="111111"/>
          <w:sz w:val="28"/>
          <w:sz w:val="28"/>
          <w:szCs w:val="28"/>
          <w:rtl w:val="true"/>
          <w:lang w:bidi="fa-IR"/>
        </w:rPr>
        <w:t>الطهارة بإلقاء الکرّ دفعة وارد إمّا فی القلیل النجس و إمّا فی الکثیر المتغیّر، و لا ریب أنّهم اعتبروا فی الثانی زوال التغیّر بالإلقاء، و لا یکون ذلک إلّا بالامتزاج، و أمّا الأوّل فلا ینفکّ عن الامتزاج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و یؤیّده ما تقدّم من تردّد العلّامة قدّس سرّه فی التذکرة فی الکرّ الواقع فی أحد جوانب الکثیر النجس مع عدم شیاعه فیه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الظاهر أنّ اعتبار الدفعة إمّا لأجل عدم اختلاف سطوح الکرّ الملقی کما یشهد به </w:t>
      </w:r>
      <w:r>
        <w:rPr>
          <w:rStyle w:val="FootnoteAnchor"/>
          <w:rtl w:val="true"/>
        </w:rPr>
        <w:footnoteReference w:id="447"/>
      </w:r>
      <w:r>
        <w:rPr>
          <w:rFonts w:ascii="IRNazanin" w:hAnsi="IRNazanin" w:eastAsia="IRNazanin"/>
          <w:color w:val="111111"/>
          <w:sz w:val="28"/>
          <w:sz w:val="28"/>
          <w:szCs w:val="28"/>
          <w:rtl w:val="true"/>
          <w:lang w:bidi="fa-IR"/>
        </w:rPr>
        <w:t xml:space="preserve">بعض من تقدّم کلامه </w:t>
      </w:r>
      <w:r>
        <w:rPr>
          <w:rStyle w:val="FootnoteAnchor"/>
          <w:rtl w:val="true"/>
        </w:rPr>
        <w:footnoteReference w:id="448"/>
      </w:r>
      <w:r>
        <w:rPr>
          <w:rFonts w:ascii="IRNazanin" w:hAnsi="IRNazanin" w:eastAsia="IRNazanin"/>
          <w:color w:val="111111"/>
          <w:sz w:val="28"/>
          <w:sz w:val="28"/>
          <w:szCs w:val="28"/>
          <w:rtl w:val="true"/>
          <w:lang w:bidi="fa-IR"/>
        </w:rPr>
        <w:t xml:space="preserve">و ظهر من کثیر من کلمات القائلین بها </w:t>
      </w:r>
      <w:r>
        <w:rPr>
          <w:rStyle w:val="FootnoteAnchor"/>
          <w:rtl w:val="true"/>
        </w:rPr>
        <w:footnoteReference w:id="449"/>
      </w:r>
      <w:r>
        <w:rPr>
          <w:rFonts w:ascii="IRNazanin" w:hAnsi="IRNazanin" w:eastAsia="IRNazanin"/>
          <w:color w:val="111111"/>
          <w:sz w:val="28"/>
          <w:sz w:val="28"/>
          <w:szCs w:val="28"/>
          <w:rtl w:val="true"/>
          <w:lang w:bidi="fa-IR"/>
        </w:rPr>
        <w:t>و إمّا لأجل حصول الامتزاج بها، و إمّا لأجل النصّ و فتوی الأصحاب، و عدم إغنائها عن الامتزاج ظاهر علی الأوّلین، و أمّا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أنّها دعوی غیر مسموعة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بالعکس، و هو أنّ الامتزاج بالماء المعتصم مغن عن الدفعة علی القول باشتراطها، لا لأجل تحصیل الامتزاج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المعتبر امتزاج جمیع النجس مع المسمّی الکثیر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أقلّ قلیل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دلیل الطهارة جار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تطهیر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بدّ علی القول بالامتزاج من امتزاج النجس بتمام الکرّ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 لأنّ مناط الطهارة امتزاج النجس بماء معتصم سواء کان کرّا أم جزء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الماء القلیل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یطهر بإتمامه کرّا علی الأشهر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بقاء النجاسة السالمة عمّا یرد علیه، عدا 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الأصل المذکور معارض باستصحاب طهارة المتمّم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المستلزمة لطهارة النجس للإجماع علی اتّحاد حکم الماءین، فیرجّح علیه، لاعتضاده بقاعدة الطهارة، أو یرجع إلیها بعد تساقطهما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اشتهر حتّی ادّعی الإجماع علیه </w:t>
      </w:r>
      <w:r>
        <w:rPr>
          <w:rStyle w:val="FootnoteAnchor"/>
          <w:rtl w:val="true"/>
        </w:rPr>
        <w:footnoteReference w:id="453"/>
      </w:r>
      <w:r>
        <w:rPr>
          <w:rFonts w:ascii="IRNazanin" w:hAnsi="IRNazanin" w:eastAsia="IRNazanin"/>
          <w:color w:val="111111"/>
          <w:sz w:val="28"/>
          <w:sz w:val="28"/>
          <w:szCs w:val="28"/>
          <w:rtl w:val="true"/>
          <w:lang w:bidi="fa-IR"/>
        </w:rPr>
        <w:t>من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کرّا لم یحمل خبثا</w:t>
      </w:r>
      <w:r>
        <w:rPr>
          <w:rFonts w:eastAsia="IRNazanin" w:cs="IRNazanin"/>
          <w:color w:val="111111"/>
          <w:sz w:val="28"/>
          <w:szCs w:val="28"/>
          <w:rtl w:val="true"/>
          <w:lang w:bidi="fa-IR"/>
        </w:rPr>
        <w:t xml:space="preserve">»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علم الهدی قدّس سرّه من الإجماع علی أنّ الماء المعلوم وقوع النجاسة فیه المشکوک فی سبقها علی الکرّیة و لحوقها محکوم بالطهارة </w:t>
      </w:r>
      <w:r>
        <w:rPr>
          <w:rStyle w:val="FootnoteAnchor"/>
          <w:rtl w:val="true"/>
        </w:rPr>
        <w:footnoteReference w:id="455"/>
      </w:r>
      <w:r>
        <w:rPr>
          <w:rFonts w:ascii="IRNazanin" w:hAnsi="IRNazanin" w:eastAsia="IRNazanin"/>
          <w:color w:val="111111"/>
          <w:sz w:val="28"/>
          <w:sz w:val="28"/>
          <w:szCs w:val="28"/>
          <w:rtl w:val="true"/>
          <w:lang w:bidi="fa-IR"/>
        </w:rPr>
        <w:t>فلو لا طهارة النجس بإتمامه کرّا لم یکن لذلک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استصحاب طهارة المتمّم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الإجماع علی عدم تبعّض الماء المتّصل من حیث الطهارة و النجاسة، فقد عرفت منعه فی مسألة اعتبار الامتزاج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الإجماع علی عدمه مع امتزاج الماءین،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الامتزاج فیما نحن فیه غیر مؤثّر فی التطهیر و التنجیس باتّفاق الکلّ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عدم تبعّض حکم الماءین القلیلین المتّصلین،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نظیره موجود فی الماء القلیل الوارد علی الماء النجس إذا لم یجعله کرّا، فإنّ الوارد علی النجاسة لا ینفعل بمذهب السیّد </w:t>
      </w:r>
      <w:r>
        <w:rPr>
          <w:rStyle w:val="FootnoteAnchor"/>
          <w:rtl w:val="true"/>
        </w:rPr>
        <w:footnoteReference w:id="456"/>
      </w:r>
      <w:r>
        <w:rPr>
          <w:rFonts w:ascii="Amiri" w:hAnsi="Amiri" w:eastAsia="Amiri" w:cs="Amiri"/>
          <w:color w:val="111111"/>
          <w:sz w:val="28"/>
          <w:sz w:val="28"/>
          <w:szCs w:val="28"/>
          <w:rtl w:val="true"/>
          <w:lang w:bidi="ar-SA"/>
        </w:rPr>
        <w:t xml:space="preserve">و الحلّی </w:t>
      </w:r>
      <w:r>
        <w:rPr>
          <w:rStyle w:val="FootnoteAnchor"/>
          <w:rtl w:val="true"/>
        </w:rPr>
        <w:footnoteReference w:id="457"/>
      </w:r>
      <w:r>
        <w:rPr>
          <w:rFonts w:ascii="IRNazanin" w:hAnsi="IRNazanin" w:eastAsia="IRNazanin"/>
          <w:color w:val="111111"/>
          <w:sz w:val="28"/>
          <w:sz w:val="28"/>
          <w:szCs w:val="28"/>
          <w:rtl w:val="true"/>
          <w:lang w:bidi="fa-IR"/>
        </w:rPr>
        <w:t>مع أنّه لا یوجب طهارة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ورد علیه باعترافهما، و ما اعتذر به بعضهم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یعتبرون فی بقاء الوارد علی الطهارة عدم استقراره </w:t>
      </w:r>
      <w:r>
        <w:rPr>
          <w:rStyle w:val="FootnoteAnchor"/>
          <w:rtl w:val="true"/>
        </w:rPr>
        <w:footnoteReference w:id="458"/>
      </w:r>
      <w:r>
        <w:rPr>
          <w:rFonts w:ascii="IRNazanin" w:hAnsi="IRNazanin" w:eastAsia="IRNazanin"/>
          <w:color w:val="111111"/>
          <w:sz w:val="28"/>
          <w:sz w:val="28"/>
          <w:szCs w:val="28"/>
          <w:rtl w:val="true"/>
          <w:lang w:bidi="fa-IR"/>
        </w:rPr>
        <w:t xml:space="preserve">قد عرفت ما فیه سابقا </w:t>
      </w:r>
      <w:r>
        <w:rPr>
          <w:rStyle w:val="FootnoteAnchor"/>
          <w:rtl w:val="true"/>
        </w:rPr>
        <w:footnoteReference w:id="459"/>
      </w:r>
      <w:r>
        <w:rPr>
          <w:rFonts w:ascii="IRNazanin" w:hAnsi="IRNazanin" w:eastAsia="IRNazanin"/>
          <w:color w:val="111111"/>
          <w:sz w:val="28"/>
          <w:sz w:val="28"/>
          <w:szCs w:val="28"/>
          <w:rtl w:val="true"/>
          <w:lang w:bidi="fa-IR"/>
        </w:rPr>
        <w:t xml:space="preserve">و کذا الماء الملاقی للماء النجس و لو لم یکن واردا بناء علی مذهب العمانی </w:t>
      </w:r>
      <w:r>
        <w:rPr>
          <w:rStyle w:val="FootnoteAnchor"/>
          <w:rtl w:val="true"/>
        </w:rPr>
        <w:footnoteReference w:id="460"/>
      </w:r>
      <w:r>
        <w:rPr>
          <w:rFonts w:ascii="IRNazanin" w:hAnsi="IRNazanin" w:eastAsia="IRNazanin"/>
          <w:color w:val="111111"/>
          <w:sz w:val="28"/>
          <w:sz w:val="28"/>
          <w:szCs w:val="28"/>
          <w:rtl w:val="true"/>
          <w:lang w:bidi="fa-IR"/>
        </w:rPr>
        <w:t xml:space="preserve">و من تبعه </w:t>
      </w:r>
      <w:r>
        <w:rPr>
          <w:rStyle w:val="FootnoteAnchor"/>
          <w:rtl w:val="true"/>
        </w:rPr>
        <w:footnoteReference w:id="461"/>
      </w:r>
      <w:r>
        <w:rPr>
          <w:rFonts w:ascii="IRNazanin" w:hAnsi="IRNazanin" w:eastAsia="IRNazanin"/>
          <w:color w:val="111111"/>
          <w:sz w:val="28"/>
          <w:sz w:val="28"/>
          <w:szCs w:val="28"/>
          <w:rtl w:val="true"/>
          <w:lang w:bidi="fa-IR"/>
        </w:rPr>
        <w:t>فإنّ الظاهر أنّهم لا یقولون بتطهّر النجس بمجرّد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الإجماع علی عدم التبعّض فی نفس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العلماء بین قولین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یثبت الإجماع علی بطلان القول الثالث فلا مانع منه إذا اقتضت </w:t>
      </w:r>
      <w:r>
        <w:rPr>
          <w:rStyle w:val="FootnoteAnchor"/>
          <w:rtl w:val="true"/>
        </w:rPr>
        <w:footnoteReference w:id="463"/>
      </w:r>
      <w:r>
        <w:rPr>
          <w:rFonts w:ascii="IRNazanin" w:hAnsi="IRNazanin" w:eastAsia="IRNazanin"/>
          <w:color w:val="111111"/>
          <w:sz w:val="28"/>
          <w:sz w:val="28"/>
          <w:szCs w:val="28"/>
          <w:rtl w:val="true"/>
          <w:lang w:bidi="fa-IR"/>
        </w:rPr>
        <w:t>القواعد و الأصول کما بیّن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سلّم الإجماع علی الاتّحاد کان المسلّم منه ذلک مع الامتزاج، إذ مع فرض التمایز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تطهیر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تعدّد حکم الماءین المتواصلین و المفروض أنّ الامتزاج هنا ملغی و غیر مؤثّر فی التطهیر و التنجیس إجماعا، و المدّعی تأثیر مجرّد تواصلهما فی التطهیر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لا مسرح للأصل مع مفهوم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فإنّه صادق علی الماء المتمّم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قلیل لاقی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ملاقاة القلیل لهذا الماء و إن کانت منجّسة بحکم المفهوم، إلّا أنّها علّة لعدم الانفعال لحصول الکرّیة بمجرّد الملاقاة، فلا مرجّح لأحد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معلولی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بأنّ الملاقاة لیست علّة لعدم الانفعال، بل علّة للکرّیة المانعة من الانفعال، و إذا کان الشی‌ء علّة تامّة للشی‌ء استحال أن یکون علّة لمانعه، إذ بمجرّد وجودها یحصل المعلول فلا مسرح لوجود المانع، فلا بدّ من رفع الید عن مانعیة الکرّ فی هذا المقام و تخصیص مانعیّتها بما إذا لم یحصل بالملاقاة بل کانت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الروایة سبق الکرّیة علی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لمنع کون القلیل ملاقیا للنجس إذ بمجرّد الملاقاة یزول النجاسة، فإنّ الملاقاة بنفسها لا یزیل النجاسة بل باعتبار حدوث الکرّیة، و المفروض أنّ الملاقاة علّة تامّة بلا واسطة لتنجّس الماء الطاهر، فیصیر المجموع نجسا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الحلّی إجماع المؤالف و المخالف علیه </w:t>
      </w:r>
      <w:r>
        <w:rPr>
          <w:rStyle w:val="FootnoteAnchor"/>
          <w:rtl w:val="true"/>
        </w:rPr>
        <w:footnoteReference w:id="465"/>
      </w:r>
      <w:r>
        <w:rPr>
          <w:rFonts w:ascii="IRNazanin" w:hAnsi="IRNazanin" w:eastAsia="IRNazanin"/>
          <w:color w:val="111111"/>
          <w:sz w:val="28"/>
          <w:sz w:val="28"/>
          <w:szCs w:val="28"/>
          <w:rtl w:val="true"/>
          <w:lang w:bidi="fa-IR"/>
        </w:rPr>
        <w:t>موهونة بما ذکره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لم یذکره من الخاصّة إلّا جماعة مرسلین له، و لم یعمل به من المخالفین إلّا ابن حیّ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الخبر لم یثبت عندنا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عامّی و لم یعمل به غیر ابن حیّ </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الإجماع الّذی ادّعاه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أیضا قاصر عن جبر سند الخبر، لأنّ هذا القول لم یعرف ممّن قبل السیّد و لا ممّن بعده إلّا جماعة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عمل المنکرین لأخبار الآحاد به یوجب جبرا له، لکنّه لا یبلغ</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حدّا یطرح معه عمومات انفعال الماء القلیل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دلالته علی المدّعی، فإنّ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یحمل خبثا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کونها جملة فعلیة تجدّد الحمل و حدوثه،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یحدث فیه حمل 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 ینتفی عنه صفة الحاملیة و إن کانت موجودة سابقا، فیتّحد معناه مع الروایات الصحیحة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لم ینجّسه شی‌ء</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و لذا فسّر الشیخ فی موضع من التهذیب و الاستبصار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أکثر من راویة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یحمل خبثا</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و ذکر أیضا فی مسألة أنّ الجاری لا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الاستدلال علیه بما دلّ علی جواز البول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یحمل خبثا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بمعارضته مع ما دلّ علی تنجّس القلیل بملاقاة النجاسة </w:t>
      </w:r>
      <w:r>
        <w:rPr>
          <w:rStyle w:val="FootnoteAnchor"/>
          <w:rtl w:val="true"/>
        </w:rPr>
        <w:footnoteReference w:id="474"/>
      </w:r>
      <w:r>
        <w:rPr>
          <w:rFonts w:ascii="IRNazanin" w:hAnsi="IRNazanin" w:eastAsia="IRNazanin"/>
          <w:color w:val="111111"/>
          <w:sz w:val="28"/>
          <w:sz w:val="28"/>
          <w:szCs w:val="28"/>
          <w:rtl w:val="true"/>
          <w:lang w:bidi="fa-IR"/>
        </w:rPr>
        <w:t>الشامل للقلیل المتمّم، فإنّ تخصیصه بما إذا لم یکن ملاقاته سببا لبلوغ الکرّیة لیس بأولی من إطراح هذا الفرد من عموم الروایة، إمّا بحمل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حدوث النجاسة فیه، فلا یشمل عدم بقائه لو کان حادثا من قبل، أو بتقیید الماء بالطاهر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بناء علی اعتبار طهارة المتمّم، و أمّا من لا یعتبرها فهو و إن لم یرد علیه عمومات انفعال القلیل، لکنّه یرد علیه فی مقام المعارضة ما دلّ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نجاسة ما یجتمع فی الحمّام من غسالة الیهود و النصاری و أولاد الزنا و من هو شرّ منهم </w:t>
      </w:r>
      <w:r>
        <w:rPr>
          <w:rStyle w:val="FootnoteAnchor"/>
          <w:rtl w:val="true"/>
        </w:rPr>
        <w:footnoteReference w:id="475"/>
      </w:r>
      <w:r>
        <w:rPr>
          <w:rFonts w:ascii="IRNazanin" w:hAnsi="IRNazanin" w:eastAsia="IRNazanin"/>
          <w:color w:val="111111"/>
          <w:sz w:val="28"/>
          <w:sz w:val="28"/>
          <w:szCs w:val="28"/>
          <w:rtl w:val="true"/>
          <w:lang w:bidi="fa-IR"/>
        </w:rPr>
        <w:t>المعتضد بسیرة المسلمین علی الاجتناب عن ما اجتمع من المیاه النجسة، و عموم قوله علیه السلام فی روایة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یطهّر و لا یطهّر</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خرج منه تطهیره بماء معتصم یتّصل به أو یمتزج معه، 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یطهّر من غیر ماء</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الثالث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أجاب عنه فی المعتبر بأنّ الماء المشار إلیه نحکم بطهارته، لا لأنّ البلوغ کرّا یرفع ما کان فیه من النجاسة، بل لأنّه فی الأصل طاهر، و النجاسة المشاهدة کما یحتمل أن تکون منجّسة لوقوعها قبل الکرّیة یحتمل أن لا تکون منجّسة بأن یقع بعد البلوغ، فالنجاسة مشکوک فیها فالترجیح بجانب الیقین </w:t>
      </w:r>
      <w:r>
        <w:rPr>
          <w:rStyle w:val="FootnoteAnchor"/>
          <w:rtl w:val="true"/>
        </w:rPr>
        <w:footnoteReference w:id="47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الماء البالغ کرّا الّذی یوجد فیه النجاسة لم یکن مسبوقا بالطهارة، إنّما المسبوق بها الماء المتردّد بین هذا الکرّ و الأقلّ منه، و قد ثبت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و قوله علیه السلام فی الماء الّذی یقع فیه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یتوضّأ منه إلّا أن یکون کثیرا قدر کرّ</w:t>
      </w:r>
      <w:r>
        <w:rPr>
          <w:rFonts w:eastAsia="IRNazanin" w:cs="IRNazanin"/>
          <w:color w:val="111111"/>
          <w:sz w:val="28"/>
          <w:szCs w:val="28"/>
          <w:rtl w:val="true"/>
          <w:lang w:bidi="fa-IR"/>
        </w:rPr>
        <w:t xml:space="preserve">»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ملاقاة الماء للنجاسة مقتضیة لتنجّسه و الکرّیة مانعة،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مع أنّ الکرّیة شرطا کان للطهارة أو مانعة عن النجاسة أمر وجودی، و الأصل القلّة، فکما أنّ الماء المشکوک فی کرّیّته إذا أصابه نجاسة حکم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اعترف به المحقّق قدّس سرّه فی المعتبر فی الفرع التاسع من فروع مسألة القلیل مستدلّا بأنّ الأصل القلّة</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فکذلک فیما نحن فیه، حیث إنّ الماء الملاقی للنجاسة مشکوک الکرّیة و القلّة، فالأصل قلّته، و هذا الأصل وارد علی أصالة طهارة الماء، کما فی الفرع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الملاقاة الّتی هی سبب للنجاسة لم یحرز وقوعها قبل الکرّیة فالأصل عدمها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حادثین مجهولی التاریخ، فیرجع إلی أصالة طهارة الماء و قاعدتها، فإنّ المقام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بعض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الالتزام بعدم طهارة الماء المذکور لیس منکرا، فلا یحکم علیه بالطهارة و لا النجاسة، فهو لا ینجّس الطاهر و لا یطهّر النجس، کما فی المشکوک کرّیّته إذا لاقته النجاسة علی وجه قویّ، إذ کما أنّ الکرّیة شرط و قد شکّ فیها فکذلک الطهارة شرط و قد شکّ فیها، مع إمکان الفرق بأنّ الشرط عدم العلم بالنجاسة قبل البلوغ لا الطهارة </w:t>
      </w:r>
      <w:r>
        <w:rPr>
          <w:rStyle w:val="FootnoteAnchor"/>
          <w:rtl w:val="true"/>
        </w:rPr>
        <w:footnoteReference w:id="4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ادّعی الإجماع علی الحکم بطهارة الماء المذکور </w:t>
      </w:r>
      <w:r>
        <w:rPr>
          <w:rStyle w:val="FootnoteAnchor"/>
          <w:rtl w:val="true"/>
        </w:rPr>
        <w:footnoteReference w:id="484"/>
      </w:r>
      <w:r>
        <w:rPr>
          <w:rFonts w:ascii="IRNazanin" w:hAnsi="IRNazanin" w:eastAsia="IRNazanin"/>
          <w:color w:val="111111"/>
          <w:sz w:val="28"/>
          <w:sz w:val="28"/>
          <w:szCs w:val="28"/>
          <w:rtl w:val="true"/>
          <w:lang w:bidi="fa-IR"/>
        </w:rPr>
        <w:t xml:space="preserve">و قد اعترف بهذا الحکم من خالفه فی المسألة، کالفاضلین </w:t>
      </w:r>
      <w:r>
        <w:rPr>
          <w:rStyle w:val="FootnoteAnchor"/>
          <w:rtl w:val="true"/>
        </w:rPr>
        <w:footnoteReference w:id="485"/>
      </w:r>
      <w:r>
        <w:rPr>
          <w:rFonts w:ascii="IRNazanin" w:hAnsi="IRNazanin" w:eastAsia="IRNazanin"/>
          <w:color w:val="111111"/>
          <w:sz w:val="28"/>
          <w:sz w:val="28"/>
          <w:szCs w:val="28"/>
          <w:rtl w:val="true"/>
          <w:lang w:bidi="fa-IR"/>
        </w:rPr>
        <w:t xml:space="preserve">و الشهید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 أمّا الماء المشکوک فی کرّیّته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للتوقّف فیه، لأنّ المرجع فیه إمّا أصالة عدم الکرّیة، أو أصالة بقاء الطهارة، أو تساقطهما و الرجوع إلی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کما أن الکرّیة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أحصّل معناه، فإنّ الکرّیة شرط مخالف للأصل فالأصل عدمها عند الشکّ، و الطهارة إمّا شرط </w:t>
      </w:r>
      <w:r>
        <w:rPr>
          <w:rStyle w:val="FootnoteAnchor"/>
          <w:rtl w:val="true"/>
        </w:rPr>
        <w:footnoteReference w:id="487"/>
      </w:r>
      <w:r>
        <w:rPr>
          <w:rFonts w:ascii="IRNazanin" w:hAnsi="IRNazanin" w:eastAsia="IRNazanin"/>
          <w:color w:val="111111"/>
          <w:sz w:val="28"/>
          <w:sz w:val="28"/>
          <w:szCs w:val="28"/>
          <w:rtl w:val="true"/>
          <w:lang w:bidi="fa-IR"/>
        </w:rPr>
        <w:t>لدفع الکرّ النجاسة، لکنّها مطابقة للأصل و الأصل بقاؤها عند الشکّ و لا حاجة إلی ما ذکره من الفرق، مع أنّ فیه 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الماء المحقون یبلغ من حیث الوزن أو المساحة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 فصاعدا لا ینجّس إلّا أن 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فی ضمن المتنجّس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أوصافه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التفصیل المتقدّم فی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نصّا و فتوی إلّا ما توهمه عبارة المفید </w:t>
      </w:r>
      <w:r>
        <w:rPr>
          <w:rStyle w:val="FootnoteAnchor"/>
          <w:rtl w:val="true"/>
        </w:rPr>
        <w:footnoteReference w:id="488"/>
      </w:r>
      <w:r>
        <w:rPr>
          <w:rFonts w:ascii="Amiri" w:hAnsi="Amiri" w:eastAsia="Amiri" w:cs="Amiri"/>
          <w:color w:val="111111"/>
          <w:sz w:val="28"/>
          <w:sz w:val="28"/>
          <w:szCs w:val="28"/>
          <w:rtl w:val="true"/>
          <w:lang w:bidi="ar-SA"/>
        </w:rPr>
        <w:t xml:space="preserve">و سلّار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النصّ و الفتوی کون الکرّیة مانعة عن نجاسة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المستفاد من الصحیح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أنّ الکرّیة علّة لعدم التنجیس، و لا نعنی بالمانع إلّا ما یلزم من وجوده العدم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ینجّسه شی‌ء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إلّا ما غیّر لونه</w:t>
      </w:r>
      <w:r>
        <w:rPr>
          <w:rFonts w:eastAsia="Amiri" w:cs="Amiri" w:ascii="Amiri" w:hAnsi="Amiri"/>
          <w:color w:val="111111"/>
          <w:sz w:val="28"/>
          <w:szCs w:val="28"/>
          <w:rtl w:val="true"/>
          <w:lang w:bidi="ar-SA"/>
        </w:rPr>
        <w:t xml:space="preserve">» </w:t>
      </w:r>
      <w:r>
        <w:rPr>
          <w:rStyle w:val="FootnoteAnchor"/>
          <w:rtl w:val="true"/>
        </w:rPr>
        <w:footnoteReference w:id="491"/>
      </w:r>
      <w:r>
        <w:rPr>
          <w:rFonts w:ascii="IRNazanin" w:hAnsi="IRNazanin" w:eastAsia="IRNazanin"/>
          <w:color w:val="111111"/>
          <w:sz w:val="28"/>
          <w:sz w:val="28"/>
          <w:szCs w:val="28"/>
          <w:rtl w:val="true"/>
          <w:lang w:bidi="fa-IR"/>
        </w:rPr>
        <w:t>و قوله علیه السلام فی صحیحة حریز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غلب الماء ریح الجیفة فتوضّأ و اشرب</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و نحو ذلک، فهی و إن کانت ظاهرة فی کون القلّة شرطا فی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القلیل هو المخرج عن 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إحرازها فی الحکم، فإذا شکّ فی کون ماء خاصّ قلیلا أو کثیرا وجب الرجوع إلی تلک العمومات، إلّا أنّه لمّا دلّت أخبار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الکرّیة مانعة و نفس الملاقاة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هذه الأخبار بنفسها دالّة علی هذا المعنی، حیث إنّ الخارج منها هی القلّة، و هی أمر عدمیّ باعتبار فصلها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الأمر بالأخرة إلی مانعیة الکثرة الّتی هی مفاد أخبار الکثیر، فکان اللازم تقیید الماء فی هذه الأخبار بالکثیر و جعل الکثرة جزء داخلا فی موضوع الماء المحکوم بعدم الانفعال، فتلک العمومات لیست من قبیل ما کان عنوان العامّ مقتضیا للحکم و عنوان المخصّص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ما دلّ بعمومه علی انفعال الماء، خرج منه الکرّ، مثل قوله علیه السلام فی الماء الّذی تدخله الدجاجة الواطیة للعذرة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التوضّی منه إلّا أن یکون کثیرا قدر کرّ من الماء</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و قوله علیه السلام فیما یشرب منه الکلب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حوضا کبیرا یستسقی منه</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فإنّ ظاهرهما کون الملاقاة للنجاسة سببا لمنع الاستعمال و الکرّیة عاصمة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الرجوع إلی أصالة الانفعال عند الشکّ فی الکرّیة شطرا أو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ضعف ما یحتمله بعضهم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سواء شکّ فی مصداق الکرّ کما إذا شکّ فی کرّیة ماء مشکوک المقدار غیر مسبوق بالکرّیة أم فی مفهومه کما إذا اختلف فی مقدار الکرّ أو فی اعتبار اجتماعه أو استواء سطوح أجزائه و لم یکن هناک إطلاق فی لفظ الکرّ و نحوه یرجع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الرجوع إلی العموم فی الأخیرین واضح، لأنّ الشکّ فی التخصیص، و کذا الوجه فی الرجوع إلیه مع الشکّ فی المصداق إذا کان الماء مسبوقا بالقلّة، لاستصحاب عدم الکرّیة، و مثل هذا الاستصحاب و إن کان مخدوشا عند التدقیق لعدم إحراز الموضوع فیه، إلّا أنّ الظاهر عرفا من أدلّة الاستصحاب شمولها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لم یکن مسبوقا بالقلّة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لفرض وجوده دفعة، و إمّا للجهل بحالته السابقة لترادف حالتی الکرّیة و القلّة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یتأمّل فی الرجوع فیه إلی العمومات بناء علی أنّ الشکّ فی تحقّق ما علم خروجه، کما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کون عالم زیدا أو عمروا، و لا یلزم من الحکم بخروجه مجاز أو مخالفة ظاهر محوجة إلی القرینة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الأقوی فیه الرجوع إلی العموم، إمّا لأنّ أصالة عدم الکرّیة و إن لم تکن جاریة لعدم تحقّقها سابقا، إلّا أنّ أصالة عدم وجود الکرّ فی هذا المکان یکفی لإثبات عدم کرّیة هذا الموجود، بناء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بالأصول 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لأنّ الشکّ فی تحقّق مصداق المخصّص یوجب الشکّ فی ثبوت حکم الخاصّ له و الأصل عدم ثبوته، فإذا انتفی حکم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حکم العامّ، إذ یکفی فی ثبوت حکم العامّ عدم العلم بثبوت حکم الخاصّ، دون العکس، فتأمّل، و الفرق بین المثال و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المثال دائر بین المتباینین، و فیما نحن فیه بین الأقلّ و الأکثر و المتیقّن خروج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لأنّ عنوان المخصّص فی المقام من قبیل المانع عن الحکم الّذی اقتضاه عنوان العامّ، فلا یجوز رفع الید عن المقتضی إلّا إذا علم بالمانع، و مع الشکّ فالأصل عدم المانع و إن کان ذات المانع کالکرّیة فیما نحن فیه غیر مسبوق بالعدم، و الفرق بین ما نحن فیه و بین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المخصّص فی المثال لیس من قبیل المانع بل هو قسیم، فکأنّ العامّ عند المتکلّم منقسم إلی قسمین کلّ منهما یقتضی حکما مغایرا لما یقتضیه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بعض ما ذکرنا أفتی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کالفاضلین </w:t>
      </w:r>
      <w:r>
        <w:rPr>
          <w:rStyle w:val="FootnoteAnchor"/>
          <w:rtl w:val="true"/>
        </w:rPr>
        <w:footnoteReference w:id="496"/>
      </w:r>
      <w:r>
        <w:rPr>
          <w:rFonts w:ascii="IRNazanin" w:hAnsi="IRNazanin" w:eastAsia="IRNazanin"/>
          <w:color w:val="111111"/>
          <w:sz w:val="28"/>
          <w:sz w:val="28"/>
          <w:szCs w:val="28"/>
          <w:rtl w:val="true"/>
          <w:lang w:bidi="fa-IR"/>
        </w:rPr>
        <w:t>و الشهید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بنجاسة الماء المشکوک فی کرّیّته، نظرا إلی أصالة عدم الکرّیة الحاکمة علی استصحاب طهارة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کلامهم علی الغالب، و هو البلوغ تدریجا، فلا یشمل ما لم یکن مسبوقا بالقلّة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احتمل فی موضع من المنتهی الرجوع إلی استصحاب الطهارة مستدلا علیه بقاعدة الیقین و الشکّ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لاعتضاده بقاعدة الطهارة، و إلّا فقاعدة الیقین جاریة فی الکرّیة غالبا بل دائما، کما عرفت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ما فی کلام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شکّ فی شمول إطلاقات الکرّ و إطلاقات القلیل لبعض الأفراد فالأصل یقضی بالطهارة و عدم تنجّسه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یرفع الخبث به بأن یوضع فیه کما یوضع فی الکرّ و الجاری و إن کان لا یحکم علیه بالنجاسة بمثل ذلک بل یحکم بالطهارة، فیؤخذ منه ماء و یرفع به الخبث علی نحو القلیل، و لا مانع من رفع الحدث به لکونه 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احتمال الکرّیة کافیة </w:t>
      </w:r>
      <w:r>
        <w:rPr>
          <w:rStyle w:val="FootnoteAnchor"/>
          <w:rtl w:val="true"/>
        </w:rPr>
        <w:footnoteReference w:id="499"/>
      </w:r>
      <w:r>
        <w:rPr>
          <w:rFonts w:ascii="IRNazanin" w:hAnsi="IRNazanin" w:eastAsia="IRNazanin"/>
          <w:color w:val="111111"/>
          <w:sz w:val="28"/>
          <w:sz w:val="28"/>
          <w:szCs w:val="28"/>
          <w:rtl w:val="true"/>
          <w:lang w:bidi="fa-IR"/>
        </w:rPr>
        <w:t xml:space="preserve">فی حفظ طهارته و عدم تنجّسه، و لکن لا یکفی ذلک فی الأحکام المتعلّقة بالکرّ کالتطهّر به من الأخبار بوضع المتنجّس فی وسطه و نحو ذلک </w:t>
      </w:r>
      <w:r>
        <w:rPr>
          <w:rStyle w:val="FootnoteAnchor"/>
          <w:rtl w:val="true"/>
        </w:rPr>
        <w:footnoteReference w:id="500"/>
      </w:r>
      <w:r>
        <w:rPr>
          <w:rFonts w:ascii="IRNazanin" w:hAnsi="IRNazanin" w:eastAsia="IRNazanin"/>
          <w:color w:val="111111"/>
          <w:sz w:val="28"/>
          <w:sz w:val="28"/>
          <w:szCs w:val="28"/>
          <w:rtl w:val="true"/>
          <w:lang w:bidi="fa-IR"/>
        </w:rPr>
        <w:t xml:space="preserve">ثمّ جواز التطهیر به علی هذا النحو </w:t>
      </w:r>
      <w:r>
        <w:rPr>
          <w:rStyle w:val="FootnoteAnchor"/>
          <w:rtl w:val="true"/>
        </w:rPr>
        <w:footnoteReference w:id="50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ذکره فی ذیل عنوان اعتبار تساوی السطوح فی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الشکّ فی شرط اعتصام الکرّ و انفعال القلیل، و هو الوجه الثالث من وجوه الشکّ الثلاثة الّتی ذکرناها، و قد عرفت أنّه لا إشکال فی وجوب الرجوع فیه إلی عموم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القلّة و الکثرة أمران و وجودیّان لا بدّ من الرجوع عند تردّد الماء بینهما إلی ما یقتضیه الأصل فی أحکام القلیل و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صاحب الحدائق رجع إلی الاحتیاط لکونه الأصل عنده فیما لا نصّ فیه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أمر عدمیّ باعتبار فصله العدمیّ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یترتّب فی الأدلّة حکم علیه، و إنّما یترتّب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کثیرا قدر کرّ</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الدالّ علی کون السبب فی عدم الانفعال الکرّیة، فمع الشکّ فیه یحکم بعدم المسبّب لأصالة عدم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 نظیر ذلک ما زعمه بعضهم فی التذکیة و الموت من وجوب الرجوع إلی الأصول فی الأحکام إذا شکّ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الإشکال فی الحکم بالنجاسة مع الشکّ فی الکرّیة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الحکم فی الصورة الأخیرة لا یخلو عن إشکال، و إن ذکرنا له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مسألة عنونها متأخّر و المتأخّرین </w:t>
      </w:r>
      <w:r>
        <w:rPr>
          <w:rStyle w:val="FootnoteAnchor"/>
          <w:rtl w:val="true"/>
        </w:rPr>
        <w:footnoteReference w:id="505"/>
      </w:r>
      <w:r>
        <w:rPr>
          <w:rFonts w:ascii="IRNazanin" w:hAnsi="IRNazanin" w:eastAsia="IRNazanin"/>
          <w:color w:val="111111"/>
          <w:sz w:val="28"/>
          <w:sz w:val="28"/>
          <w:szCs w:val="28"/>
          <w:rtl w:val="true"/>
          <w:lang w:bidi="fa-IR"/>
        </w:rPr>
        <w:t>و أطالوا فیها الکلام،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یشترط فی موضوع الکرّ أو حکمه تساوی سطوحه أم لا؟</w:t>
      </w:r>
    </w:p>
    <w:p>
      <w:pPr>
        <w:pStyle w:val="BookText"/>
        <w:rPr/>
      </w:pPr>
      <w:r>
        <w:rPr>
          <w:rFonts w:ascii="IRNazanin" w:hAnsi="IRNazanin" w:eastAsia="IRNazanin"/>
          <w:color w:val="111111"/>
          <w:sz w:val="28"/>
          <w:sz w:val="28"/>
          <w:szCs w:val="28"/>
          <w:rtl w:val="true"/>
          <w:lang w:bidi="fa-IR"/>
        </w:rPr>
        <w:t>و الأصل فی ذلک علی ما وجدنا کلام العلّامة قدّس سرّه فی التذکرة،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وصل بین الغدیرین بساقیة اتّحدا إن اعتدل الماء، و إلّا ففی حقّ السافل، فلو نقص الأعلی عن کرّ نجس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أحدهما نجسا فالأقرب بقاؤه علی حکمه مع الاتّصال و انتقاله إلی الطهارة مع الامتزاج </w:t>
      </w:r>
      <w:r>
        <w:rPr>
          <w:rStyle w:val="FootnoteAnchor"/>
          <w:rtl w:val="true"/>
        </w:rPr>
        <w:footnoteReference w:id="50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أنّ السافل لا یقوّی العالی و لا یعصمه، نعم یتقوّی و یعتصم به سواء کان العالی کرّا أم متمّما له، و مراده بالاتّحاد فی حقّ السافل و عدمه فی العالی الاتّحاد من حیث الحکم، و إلّا فلا یتصوّر حصول موضوع الاتّحاد من أحد الطرفین، بل لا بدّ إمّا من التزام عدم الاتّحاد العرفی مع عدم الاعتدال مطلقا خرج من ذلک السافل، و إمّا من التزام الاتّحاد مطلقا خرج العالی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علی ذلک کلّه فی الدروس،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الجاری لا عن مادّة و لاقته النجاسة لم ینجس ما فوقها مطلقا و لا ما تحتها إذا کان جمیعه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کرّا فصاعدا إلّا مع التغیّر </w:t>
      </w:r>
      <w:r>
        <w:rPr>
          <w:rStyle w:val="FootnoteAnchor"/>
          <w:rtl w:val="true"/>
        </w:rPr>
        <w:footnoteReference w:id="50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بتقوّی السافل بالعالی القلیل المتمّم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بعد ذلک اتّحاد الواقف مع الجاری المساوی أو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کالفوّارة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فالمجتمع من العبارتین ما تقدّم عن التذکرة،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ظاهر کشف الالتباس </w:t>
      </w:r>
      <w:r>
        <w:rPr>
          <w:rStyle w:val="FootnoteAnchor"/>
          <w:rtl w:val="true"/>
        </w:rPr>
        <w:footnoteReference w:id="508"/>
      </w:r>
      <w:r>
        <w:rPr>
          <w:rFonts w:ascii="IRNazanin" w:hAnsi="IRNazanin" w:eastAsia="IRNazanin"/>
          <w:color w:val="111111"/>
          <w:sz w:val="28"/>
          <w:sz w:val="28"/>
          <w:szCs w:val="28"/>
          <w:rtl w:val="true"/>
          <w:lang w:bidi="fa-IR"/>
        </w:rPr>
        <w:t xml:space="preserve">فی الغدیرین المتواصلین، بل الموجز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لکنّهم قدّس اللّٰه أسرارهم خالفوا ذلک فی مادّة الحمّام، فاشترطوا فیها الکرّیة، معلّلا </w:t>
      </w:r>
      <w:r>
        <w:rPr>
          <w:rStyle w:val="FootnoteAnchor"/>
          <w:rtl w:val="true"/>
        </w:rPr>
        <w:footnoteReference w:id="510"/>
      </w:r>
      <w:r>
        <w:rPr>
          <w:rFonts w:ascii="IRNazanin" w:hAnsi="IRNazanin" w:eastAsia="IRNazanin"/>
          <w:color w:val="111111"/>
          <w:sz w:val="28"/>
          <w:sz w:val="28"/>
          <w:szCs w:val="28"/>
          <w:rtl w:val="true"/>
          <w:lang w:bidi="fa-IR"/>
        </w:rPr>
        <w:t>ذلک باتّصالها بنجاسة السافل لو لم یکن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هذا القول أیضا من اعتباره الدفعة فی إلقاء المطهّر بناء علی ما فی شرح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الوجه فی ذلک أن لا یختلف سطوح الماء فینفعل السافل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أیضا من جامع المقاصد عند مناقشته فی قول الذکری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یطهر بإلقاء کرّ فکرّ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ماء الحمّام کالجاری إذا کانت له مادّة هی کرّ فصاعدا </w:t>
      </w:r>
      <w:r>
        <w:rPr>
          <w:rStyle w:val="FootnoteAnchor"/>
          <w:rtl w:val="true"/>
        </w:rPr>
        <w:footnoteReference w:id="51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ظاهره عدم تقوّم السافل بالعالی القلیل فی الحمّام الّذی هو أولی بسهولة الأمر من غیره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اشتراط الکرّیة فی المادّة، حملا للمطلق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باشتراط الکرّیة یتساوی الحمّام و غیره، لحصول الکرّیة الدافعة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العدم فالأقرب اختصاص الحکم بالحمّام، لعموم البلوی و انفراده بالنصّ </w:t>
      </w:r>
      <w:r>
        <w:rPr>
          <w:rStyle w:val="FootnoteAnchor"/>
          <w:rtl w:val="true"/>
        </w:rPr>
        <w:footnoteReference w:id="51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تبعهما فی ذلک جامع المقاصد، حیث قال فی شرح العبارة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الکرّیة فی المادّة إنّما هو مع عدم استواء السطوح، بأن تکون المادّة أعلی أو أسفل مع اشتراط القاهریة بفوران و نحوه فی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 استواء السطوح فیکفی بلوغ المجموع کرّا کالغدیرین إذا وصل بینهما بساقیة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فحصل للعلّامة و الشهید قولان، اختار ثانیهما 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لهما قول ثالث یظهر من کلماتهما، کبعض کلمات المعتبر و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الغدیران الطاهران إذا وصل بینهما بساقیة صارا کالماء الواحد، فلو وقع فی أحدهما نجاسة لم ینجس و لو نقص کلّ منهما عن الکرّ إذا کان مجموعهما مع الساقیة کرّا فصاعدا </w:t>
      </w:r>
      <w:r>
        <w:rPr>
          <w:rStyle w:val="FootnoteAnchor"/>
          <w:rtl w:val="true"/>
        </w:rPr>
        <w:footnoteReference w:id="51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وصل بین الغدیرین بساقیة اتّحدا و اعتبر الکرّیة فیهما مع الساقیة جمیعا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اتّصل الواقف بالجاری لم ینجس بالملاقاة </w:t>
      </w:r>
      <w:r>
        <w:rPr>
          <w:rStyle w:val="FootnoteAnchor"/>
          <w:rtl w:val="true"/>
        </w:rPr>
        <w:footnoteReference w:id="5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نعم، قیّده فی جامع المقاصد بعدم علوّ القلیل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الشهید قدّس سرّه فقد اکتفی فی اللمعة فی تطهیر القلیل النجس بملاقاته کرّا من غیر تقیید بعدم علوّ النجس </w:t>
      </w:r>
      <w:r>
        <w:rPr>
          <w:rStyle w:val="FootnoteAnchor"/>
          <w:rtl w:val="true"/>
        </w:rPr>
        <w:footnoteReference w:id="520"/>
      </w:r>
      <w:r>
        <w:rPr>
          <w:rFonts w:ascii="IRNazanin" w:hAnsi="IRNazanin" w:eastAsia="IRNazanin"/>
          <w:color w:val="111111"/>
          <w:sz w:val="28"/>
          <w:sz w:val="28"/>
          <w:szCs w:val="28"/>
          <w:rtl w:val="true"/>
          <w:lang w:bidi="fa-IR"/>
        </w:rPr>
        <w:t>فإذا کان السافل رافعا للنجاسة عن العالی فهو أولی بدفعها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یظهر من هذا الکلام حکم ما لو کان المجموع 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استفادة هذا المذهب من عبارة الدروس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ذکرنا أنّها موافقة للتذکرة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بعدم انفعال الجاری لا عن مادّة إذا لاقی جزؤه المتوسّط بین ما فوقه و ما تحته إذا کان المجموع کرّا لا یکون إلّا مع تقوّم الجزء الأوسط الملاقی بما هو أسفل منه، إلّا إذا فرض العلوّ علی وجه قیام بعض أجزائه علی بعض کالعمود أو شبهه، فإنّ هذا لیس من مختلف السطوح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الموجز و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الجاری لا عن مادّة الملاقی للنجاسة إن کان قلیلا انفعل سافله فقط، و إن کان کثیرا لم ینفعل عالیة و لا سافله </w:t>
      </w:r>
      <w:r>
        <w:rPr>
          <w:rStyle w:val="FootnoteAnchor"/>
          <w:rtl w:val="true"/>
        </w:rPr>
        <w:footnoteReference w:id="522"/>
      </w:r>
      <w:r>
        <w:rPr>
          <w:rFonts w:ascii="IRNazanin" w:hAnsi="IRNazanin" w:eastAsia="IRNazanin"/>
          <w:color w:val="111111"/>
          <w:sz w:val="28"/>
          <w:sz w:val="28"/>
          <w:szCs w:val="28"/>
          <w:rtl w:val="true"/>
          <w:lang w:bidi="fa-IR"/>
        </w:rPr>
        <w:t xml:space="preserve">لکن ذکرا فی مادّة الحمّام أنّها لو لم تکن کرّا انفعلت بنجاسته الحیاض </w:t>
      </w:r>
      <w:r>
        <w:rPr>
          <w:rStyle w:val="FootnoteAnchor"/>
          <w:rtl w:val="true"/>
        </w:rPr>
        <w:footnoteReference w:id="523"/>
      </w:r>
      <w:r>
        <w:rPr>
          <w:rFonts w:ascii="IRNazanin" w:hAnsi="IRNazanin" w:eastAsia="IRNazanin"/>
          <w:color w:val="111111"/>
          <w:sz w:val="28"/>
          <w:sz w:val="28"/>
          <w:szCs w:val="28"/>
          <w:rtl w:val="true"/>
          <w:lang w:bidi="fa-IR"/>
        </w:rPr>
        <w:t>و هذا مناف بظاهره للأوّل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صرّح بإطلاق التقوّی من الطرفین شیخنا الشهید الثانی قدّس سرّه فی الروض، فقال بعد کلام له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تحریر هذا المقام أنّ النصوص الدالّة علی اعتبار الکثرة،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أکثر الأصحاب لیس فیه تقیید الکرّ المجتمع بکون سطوحه مستویة، بل هو أعمّ منه و من المختلفة کیف اتّفق </w:t>
      </w:r>
      <w:r>
        <w:rPr>
          <w:rStyle w:val="FootnoteAnchor"/>
          <w:rtl w:val="true"/>
        </w:rPr>
        <w:footnoteReference w:id="5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بعد ذلک أیضا ما هو أصرح من ذلک فی التعمیم لمتساوی السطوح و مختلفها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فی ذلک سبطه السیّد فی المدارک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خالفه فی ذلک ولده المحقّق قدّس سرّه فی المعالم، فلم یستبعد اعتبار المساواة،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ظاهر أکثر الأخبار المتضمّنة لاشتراط الکرّ و الکمّیة اعتبار الاجتماع فی الماء و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فی تحقّق ذلک مع عدم المساواة فی کثیر من الصور نظر، و التمسّک فی عدم اعتبارها بعموم ما دلّ علی عدم انفعال مقدار الکرّ بإطلاقات مدخول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باب المفرد المحلّی، و عمومه لیس بالوضع بل باعتبار منافاة عدم إرادته للحکمة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إنّما یتصوّر مع عدم احتمال العهد، و تقدّم السؤال عن بعض أفراد الماهیة عهد ظاهر، فإنّ ظاهر النصّ السؤال عن الماء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یثبت العموم فی ذلک المعهود بأقلّ ما یندفع به محذور منافاة الحکمة، و ربما یتوهّم أنّ هذا من تخصیص العامّ بسبب خاصّ، و قد عرفت أنّه لا عموم فیه علی وجه یتطرّق إلیه التخصیص </w:t>
      </w:r>
      <w:r>
        <w:rPr>
          <w:rStyle w:val="FootnoteAnchor"/>
          <w:rtl w:val="true"/>
        </w:rPr>
        <w:footnoteReference w:id="5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أنّ المناط فی عدم انفعال الماء لیس إلّا مجرّد کون الماء المتّصل الواحد کرّا، و أمّا احتمال مدخلیة هیئة خاصّة من الاجتماع أو غیره فلا یصغی إلیه، و منع العموم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ما لم یکن منها مسبوقا بسؤال یمکن دعوی تخصیص الکلام أو تخصّصه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 تبادر بعض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الاجتماع فی محلّ واحد متساوی السطوح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تبادر ما حضر فی الذهن من أفراد المطلق لانسه به بسبب من الأسباب، کحضور الماء الصافی فی الذهن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ماء کلّ بلدة فی ذهن أهله، و لا اعتبار بهذا أصلا، و لا یکاد یسلم عنه مطلق، فالواجب تشخیص موارد الوحدة و إناطة الحکم بها، لا بتساوی السطوح و اختلافها، فربّ ماء مختلف السطوح یعدّ ماء واحدا، فإنّ الجاری لا عن مادّة علی أرض منحدرة لا یعدّ کلّ جزء منه ماء مستقلّا، لعدم مساواة سطحه لسطح الجزء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ألزم فی المدارک القائلین بعدم تقوّی الأعلی بالأسفل بلزوم نجاسة نهر عظیم یجری لا عن مادّة علی أرض منحدرة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التزم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أجزاء هذا الماء لعدم استواء سطوحها بمنزلة میاه منفصلة و بأنّه ینفعل جمیع أجزائه عند وصول الماء النجس إلیها، لا للاتّصال لأنّه مع اختلاف السطوح فی حکم الانفصال، و بنی ذلک علی اختصاص أدلّة انفعال القلیل بالماء المجتمع لا مطلق المنفصل و إلّا فینجس الأعلی بملاقاة الأسفل إذا لم یبلغا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فالاتّحاد الحقیقی العرفیّ مع اختلاف السطح فی بعض الصور ممّا لا یقبل الإنکار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المناط فی اعتصام الماء المتّصل البالغ هی الوحدة العرفیة، فاعلم أنّ أجزاء الماء المتّصل بعضها ببعض إمّا أن یتساوی السطوح و إمّا أن یختلف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إمّا أن یکون الماء ساکنا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یحبس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الماء فی إناء موضوع لا علی 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جاریا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الاختلاف علی وجه التسنیم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کالمنصبّ من میزاب أو جدول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علی وجه الانحدار، بأن یجری علی أرض منحدرة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یبلغ أحد المختلفین کرّا، و إمّا أن لا یبلغ الکرّ إلّا المجتمع منها، فهنا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متساوی السطوح، و الظاهر عدم الخلاف فی تقوّی بعضه ببعض، عدا ما تقدّم عن ظاهر صاحب المعالم </w:t>
      </w:r>
      <w:r>
        <w:rPr>
          <w:rStyle w:val="FootnoteAnchor"/>
          <w:rtl w:val="true"/>
        </w:rPr>
        <w:footnoteReference w:id="528"/>
      </w:r>
      <w:r>
        <w:rPr>
          <w:rFonts w:ascii="IRNazanin" w:hAnsi="IRNazanin" w:eastAsia="IRNazanin"/>
          <w:color w:val="111111"/>
          <w:sz w:val="28"/>
          <w:sz w:val="28"/>
          <w:szCs w:val="28"/>
          <w:rtl w:val="true"/>
          <w:lang w:bidi="fa-IR"/>
        </w:rPr>
        <w:t>من دعوی انصراف إطلاق أدلّة الکرّ إلی الماء المجتمع المتقارب الأجزاء، و ظاهر مفهوم ما دلّ علی اعتبار المادّة المنصرفة إلی الکرّ فی اعتصام ماء الحمّام، بدعوی شموله لصورة تساوی المادّة و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دعوی الاختصاص فی الأوّل کالشمول فی الثانی ممنوعة جدّا، و لذلک قیّد جامع المقاصد إطلاق القواعد اعتبار الکرّیة فی مادّة الحمّام بما إذا لم یتساوی السطحان،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کفی بلوغ المجموع کرّا کالغدیرین المتواصلین بساقیة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التقوّی، لتحقّق وحدة الماء حتّی لو کان الساقیة بین الغدیرین فی غایة الدقّة، لأنّ کلّ جزءین متّصلین إلی الماء یعدّان جزءا واحدا من الماء عرفا، و کذا المتّصل بهما، إذ المتّحد مع المتّحد متّحد عرفا، فیتّحد جمیع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یوهمه إطلاق التعدّد علیهما أحیانا،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ماءان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جار فی کلّ متّصل واحد کصبرة الحنطة، فالتعدّد باعتبار ما قبل الاتّصال، و لذا لا یطلق ذلک لو علم بکون أحدهما سائلا من الآخر، فلیس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إطلاق المتعدّد علیهما باعتبار قلّة العرض فی بعض سطحهما و الوحدة باعتبار تساوی عرض جمیع السطح، و لذا لو فرض إناء من صفر أو غیره مصوغ علی هذه الهیئة کان إناء واحدا و الماء المصبوب فیه ماء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الأجزاء مختلف السطوح مع سکون الماء، کما لو حبس الماء فی إناء مصوغ أو موضوع علی وجه یختلف سطوحه، و الظاهر هنا وحدة الماء، لما ذکرنا من اتّحاد کلّ جزءین منه عرفا، و کذا المتّصل بهما، و لذا لو فرض نقصان المجموع عن الکرّ حکم بنجاسة الأعلی بملاقاة الأسفل للنجاسة، لأنّ الثابت عدم السرایة إلی الأعلی مع الجریان لا مع السکون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السطحین علی وجه التسنیم مع عدم کرّیة أحدهما، ففی عدم تقوّی أحدهما بالآخر کما هو صریح جمیع کلمات المحقّق الثانی </w:t>
      </w:r>
      <w:r>
        <w:rPr>
          <w:rStyle w:val="FootnoteAnchor"/>
          <w:rtl w:val="true"/>
        </w:rPr>
        <w:footnoteReference w:id="530"/>
      </w:r>
      <w:r>
        <w:rPr>
          <w:rFonts w:ascii="IRNazanin" w:hAnsi="IRNazanin" w:eastAsia="IRNazanin"/>
          <w:color w:val="111111"/>
          <w:sz w:val="28"/>
          <w:sz w:val="28"/>
          <w:szCs w:val="28"/>
          <w:rtl w:val="true"/>
          <w:lang w:bidi="fa-IR"/>
        </w:rPr>
        <w:t xml:space="preserve">و ظاهر بعض کلمات العلّامة </w:t>
      </w:r>
      <w:r>
        <w:rPr>
          <w:rStyle w:val="FootnoteAnchor"/>
          <w:rtl w:val="true"/>
        </w:rPr>
        <w:footnoteReference w:id="531"/>
      </w:r>
      <w:r>
        <w:rPr>
          <w:rFonts w:ascii="IRNazanin" w:hAnsi="IRNazanin" w:eastAsia="IRNazanin"/>
          <w:color w:val="111111"/>
          <w:sz w:val="28"/>
          <w:sz w:val="28"/>
          <w:szCs w:val="28"/>
          <w:rtl w:val="true"/>
          <w:lang w:bidi="fa-IR"/>
        </w:rPr>
        <w:t xml:space="preserve">و الشهید </w:t>
      </w:r>
      <w:r>
        <w:rPr>
          <w:rStyle w:val="FootnoteAnchor"/>
          <w:rtl w:val="true"/>
        </w:rPr>
        <w:footnoteReference w:id="532"/>
      </w:r>
      <w:r>
        <w:rPr>
          <w:rFonts w:ascii="IRNazanin" w:hAnsi="IRNazanin" w:eastAsia="IRNazanin"/>
          <w:color w:val="111111"/>
          <w:sz w:val="28"/>
          <w:sz w:val="28"/>
          <w:szCs w:val="28"/>
          <w:rtl w:val="true"/>
          <w:lang w:bidi="fa-IR"/>
        </w:rPr>
        <w:t xml:space="preserve">، أو تقوّی کلّ منهما بالآخر کما هو ظاهر بعض کلمات العلّامة </w:t>
      </w:r>
      <w:r>
        <w:rPr>
          <w:rStyle w:val="FootnoteAnchor"/>
          <w:rtl w:val="true"/>
        </w:rPr>
        <w:footnoteReference w:id="533"/>
      </w:r>
      <w:r>
        <w:rPr>
          <w:rFonts w:ascii="Amiri" w:hAnsi="Amiri" w:eastAsia="Amiri" w:cs="Amiri"/>
          <w:color w:val="111111"/>
          <w:sz w:val="28"/>
          <w:sz w:val="28"/>
          <w:szCs w:val="28"/>
          <w:rtl w:val="true"/>
          <w:lang w:bidi="ar-SA"/>
        </w:rPr>
        <w:t xml:space="preserve">و المحقّق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شمول الغدیرین المتواصلین لما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عبائر الدروس </w:t>
      </w:r>
      <w:r>
        <w:rPr>
          <w:rStyle w:val="FootnoteAnchor"/>
          <w:rtl w:val="true"/>
        </w:rPr>
        <w:footnoteReference w:id="535"/>
      </w:r>
      <w:r>
        <w:rPr>
          <w:rFonts w:ascii="IRNazanin" w:hAnsi="IRNazanin" w:eastAsia="IRNazanin"/>
          <w:color w:val="111111"/>
          <w:sz w:val="28"/>
          <w:sz w:val="28"/>
          <w:szCs w:val="28"/>
          <w:rtl w:val="true"/>
          <w:lang w:bidi="fa-IR"/>
        </w:rPr>
        <w:t>و الموجز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و شرحه </w:t>
      </w:r>
      <w:r>
        <w:rPr>
          <w:rStyle w:val="FootnoteAnchor"/>
          <w:rtl w:val="true"/>
        </w:rPr>
        <w:footnoteReference w:id="536"/>
      </w:r>
      <w:r>
        <w:rPr>
          <w:rFonts w:ascii="IRNazanin" w:hAnsi="IRNazanin" w:eastAsia="IRNazanin"/>
          <w:color w:val="111111"/>
          <w:sz w:val="28"/>
          <w:sz w:val="28"/>
          <w:szCs w:val="28"/>
          <w:rtl w:val="true"/>
          <w:lang w:bidi="fa-IR"/>
        </w:rPr>
        <w:t xml:space="preserve">و صریح الشهید الثانی فی الروض </w:t>
      </w:r>
      <w:r>
        <w:rPr>
          <w:rStyle w:val="FootnoteAnchor"/>
          <w:rtl w:val="true"/>
        </w:rPr>
        <w:footnoteReference w:id="537"/>
      </w:r>
      <w:r>
        <w:rPr>
          <w:rFonts w:ascii="IRNazanin" w:hAnsi="IRNazanin" w:eastAsia="IRNazanin"/>
          <w:color w:val="111111"/>
          <w:sz w:val="28"/>
          <w:sz w:val="28"/>
          <w:szCs w:val="28"/>
          <w:rtl w:val="true"/>
          <w:lang w:bidi="fa-IR"/>
        </w:rPr>
        <w:t xml:space="preserve">و سبطه </w:t>
      </w:r>
      <w:r>
        <w:rPr>
          <w:rStyle w:val="FootnoteAnchor"/>
          <w:rtl w:val="true"/>
        </w:rPr>
        <w:footnoteReference w:id="538"/>
      </w:r>
      <w:r>
        <w:rPr>
          <w:rFonts w:ascii="IRNazanin" w:hAnsi="IRNazanin" w:eastAsia="IRNazanin"/>
          <w:color w:val="111111"/>
          <w:sz w:val="28"/>
          <w:sz w:val="28"/>
          <w:szCs w:val="28"/>
          <w:rtl w:val="true"/>
          <w:lang w:bidi="fa-IR"/>
        </w:rPr>
        <w:t xml:space="preserve">، أو تقوّی الأسفل بالأعلی دون العکس کما تقدّم عن العلّامة فی التذکرة </w:t>
      </w:r>
      <w:r>
        <w:rPr>
          <w:rStyle w:val="FootnoteAnchor"/>
          <w:rtl w:val="true"/>
        </w:rPr>
        <w:footnoteReference w:id="539"/>
      </w:r>
      <w:r>
        <w:rPr>
          <w:rFonts w:ascii="IRNazanin" w:hAnsi="IRNazanin" w:eastAsia="IRNazanin"/>
          <w:color w:val="111111"/>
          <w:sz w:val="28"/>
          <w:sz w:val="28"/>
          <w:szCs w:val="28"/>
          <w:rtl w:val="true"/>
          <w:lang w:bidi="fa-IR"/>
        </w:rPr>
        <w:t xml:space="preserve">و بعض کلمات الشهید </w:t>
      </w:r>
      <w:r>
        <w:rPr>
          <w:rStyle w:val="FootnoteAnchor"/>
          <w:rtl w:val="true"/>
        </w:rPr>
        <w:footnoteReference w:id="540"/>
      </w:r>
      <w:r>
        <w:rPr>
          <w:rFonts w:ascii="IRNazanin" w:hAnsi="IRNazanin" w:eastAsia="IRNazanin"/>
          <w:color w:val="111111"/>
          <w:sz w:val="28"/>
          <w:sz w:val="28"/>
          <w:szCs w:val="28"/>
          <w:rtl w:val="true"/>
          <w:lang w:bidi="fa-IR"/>
        </w:rPr>
        <w:t xml:space="preserve">و الموجز </w:t>
      </w:r>
      <w:r>
        <w:rPr>
          <w:rStyle w:val="FootnoteAnchor"/>
          <w:rtl w:val="true"/>
        </w:rPr>
        <w:footnoteReference w:id="541"/>
      </w:r>
      <w:r>
        <w:rPr>
          <w:rFonts w:ascii="IRNazanin" w:hAnsi="IRNazanin" w:eastAsia="IRNazanin"/>
          <w:color w:val="111111"/>
          <w:sz w:val="28"/>
          <w:sz w:val="28"/>
          <w:szCs w:val="28"/>
          <w:rtl w:val="true"/>
          <w:lang w:bidi="fa-IR"/>
        </w:rPr>
        <w:t>و شرحه،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یعترض علی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ثبت اتّحاد الماءین المختلفین وجب الحکم بتقوّی کلّ منهما، و إلّا لم یحکم به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یبنی ذلک علی کفایة أحد الأمرین فی التقوّی من الاتّحاد کما فی صورة التساوی، أو الغلبة و القهر کما فی تقوّی الأسفل بالأعلی القاهر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ذکروا نظیر ذلک فی رفع النجاسة، حیث اعتبروا علوّ المطهّر أو مساواته، و علّل ذلک کاشف الالتباس بثبوت الاتّحاد مع التساوی و القهر مع العلوّ، فالدفع نظیر الرفع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منشأ ذلک فحوی التقوّی بالمساوی، فإنّ العالی أولی منه بالتقوّی، کما فی صورة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یرد علیهم منافاة ذلک لاعتبار هؤلاء الکرّیة فی مادّة الحمّام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بادئ النظر</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هو القول الثانی </w:t>
      </w:r>
      <w:r>
        <w:rPr>
          <w:rStyle w:val="FootnoteAnchor"/>
          <w:rtl w:val="true"/>
        </w:rPr>
        <w:footnoteReference w:id="544"/>
      </w:r>
      <w:r>
        <w:rPr>
          <w:rFonts w:ascii="IRNazanin" w:hAnsi="IRNazanin" w:eastAsia="IRNazanin"/>
          <w:color w:val="111111"/>
          <w:sz w:val="28"/>
          <w:sz w:val="28"/>
          <w:szCs w:val="28"/>
          <w:rtl w:val="true"/>
          <w:lang w:bidi="fa-IR"/>
        </w:rPr>
        <w:t xml:space="preserve">لتحقّق الاتّحاد عرفا بالتقریب المتقدّم فی اتّحاد کلّ جزءین متّصلین و هکذا المتّصل بهما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أنّ اتّحاد العالی مع عمود الماء النازل من المیزاب أو الجدول القائم واضح عرفا، فیتّحد حکما مع الماء المستقرّ فی الأسفل بالإجماع، خصوصا إذا کان أصله نازلا عن العالی، فإنّ دعوی الوحدة هنا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الاتّحاد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الحمّام کما النهر یطهّر بعضه بعضا</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جعل علیه السلام المادّة بعضا من ماء الحمّام مع تسنّمها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فی صحیحة داود بن سرحان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الماء الجاری</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فإنّ الظاهر رجوع الضمیر إلی المجموع من المادّة و ما فی الحیاض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الحمّام لا ینجّسه شی‌ء</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المحقّق الثانی علی عدم التقوّی بأنّ الأعلی لا ینجس بنجاسة الأسفل اتّفاقا فلا یطهر بطهارته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التفصّی عن ذلک بقیام الإجماع علی عدم سرایة النجاسة إلی الأعلی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لا فی غیره من المائعات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مع تحقّق الوحدة، کما هو واضح عند العرف فی الماء النازل شبه العمود من المیزاب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التمسّک علی عدم التقوّی بما دلّ علی اعتبار المادّة فی ماء الحمّام المنصرف إطلاقها بحکم الغلبة إلی الکرّ، فإنّ مفهومه عدم الاعتصام إذا کان المجموع کرّا، فإذا ثبت عدم اعتصام الأسفل بالأعلی فی الحمّام ثبت فی غیره بالإجماع و الأولویة، فإنّ الحمّام أولی بالتسهیل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لم یعتبر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المحقّق الکرّیة فی مادّته، بل و لا فی مجموعه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یمکن عدم الحاجة إلی الإجماع و الأولویة بناء علی أنّ المستفاد من القضیة الشرطیة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له مادّة</w:t>
      </w:r>
      <w:r>
        <w:rPr>
          <w:rFonts w:eastAsia="IRNazanin" w:cs="IRNazanin"/>
          <w:color w:val="111111"/>
          <w:sz w:val="28"/>
          <w:szCs w:val="28"/>
          <w:rtl w:val="true"/>
          <w:lang w:bidi="fa-IR"/>
        </w:rPr>
        <w:t xml:space="preserve">»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القول بمفهومه هنا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علّیة المادّة لاعتصام ماء الحمّام، فیتعدّی بمقتضی العلّة من منطوقه إلی کلّ ماء قلیل له مادّة هی کرّ، و من مفهومه إلی کلّ ماء قلیل لم یکن له مادّة هی کرّ، کما فیما نحن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الفحوی المتقدّمة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أوّلا ممنوعة بأنّ الأظهر فی حکمة عدم انفعال الکثیر انتشار النجاسة فی أجزائه و توزیعها علیه </w:t>
      </w:r>
      <w:r>
        <w:rPr>
          <w:rStyle w:val="FootnoteAnchor"/>
          <w:rtl w:val="true"/>
        </w:rPr>
        <w:footnoteReference w:id="553"/>
      </w:r>
      <w:r>
        <w:rPr>
          <w:rFonts w:ascii="IRNazanin" w:hAnsi="IRNazanin" w:eastAsia="IRNazanin"/>
          <w:color w:val="111111"/>
          <w:sz w:val="28"/>
          <w:sz w:val="28"/>
          <w:szCs w:val="28"/>
          <w:rtl w:val="true"/>
          <w:lang w:bidi="fa-IR"/>
        </w:rPr>
        <w:t>فیستهلک فیه و لا یتقوّی علیه، و هذا مفقود مع علوّ بعضه، بل الأولی علی هذا تقوّی الأعلی لو لاقی نجسا بالأسفل لانتشار النجاسة منه إلی المجموع دون تقوّی الأسفل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أنّها معارضة بما تقدّم من دلیل اعتبار کرّیة العالی فی تقوّی الأسفل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إمکان حمل کلمات من حکم بتقوّی الأسفل هنا علی صورة العلوّ علی وجه الانحدار، و یکون الحکم فی التسنیمی عندهم بمثل المیزاب و شبهه کمادّة الحمّام التی هی کذلک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وجه جمع بین کلماتهم المتنافیة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عبارتی المعتبر و المنتهی غیر التسنیم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القسم الثالث لکن مع کون العالی کرّا، و ظاهر العبائر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المتقدّمة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کالعلّامة و الشهید فی کتبه و المحقّق الثانی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الأسفل به، بل ربما ادّعی بعض </w:t>
      </w:r>
      <w:r>
        <w:rPr>
          <w:rStyle w:val="FootnoteAnchor"/>
          <w:rtl w:val="true"/>
        </w:rPr>
        <w:footnoteReference w:id="555"/>
      </w:r>
      <w:r>
        <w:rPr>
          <w:rFonts w:ascii="IRNazanin" w:hAnsi="IRNazanin" w:eastAsia="IRNazanin"/>
          <w:color w:val="111111"/>
          <w:sz w:val="28"/>
          <w:sz w:val="28"/>
          <w:szCs w:val="28"/>
          <w:rtl w:val="true"/>
          <w:lang w:bidi="fa-IR"/>
        </w:rPr>
        <w:t xml:space="preserve">و حکی شارح الدروس الاتّفاق علیه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مشکل، لأنّ العلّامة فی المنتهی و التذکرة مع اعتباره الکرّیة فی مادّة الحمّام تردّد فی إلحاق غیر الحمّام به </w:t>
      </w:r>
      <w:r>
        <w:rPr>
          <w:rStyle w:val="FootnoteAnchor"/>
          <w:rtl w:val="true"/>
        </w:rPr>
        <w:footnoteReference w:id="557"/>
      </w:r>
      <w:r>
        <w:rPr>
          <w:rFonts w:ascii="IRNazanin" w:hAnsi="IRNazanin" w:eastAsia="IRNazanin"/>
          <w:color w:val="111111"/>
          <w:sz w:val="28"/>
          <w:sz w:val="28"/>
          <w:szCs w:val="28"/>
          <w:rtl w:val="true"/>
          <w:lang w:bidi="fa-IR"/>
        </w:rPr>
        <w:t xml:space="preserve">إلّا أن یراد الإلحاق من حیث عدم اعتبار الدفعة فی تطهیره، و لأنّ الشهید فی الدروس و الذکری </w:t>
      </w:r>
      <w:r>
        <w:rPr>
          <w:rStyle w:val="FootnoteAnchor"/>
          <w:rtl w:val="true"/>
        </w:rPr>
        <w:footnoteReference w:id="558"/>
      </w:r>
      <w:r>
        <w:rPr>
          <w:rFonts w:ascii="IRNazanin" w:hAnsi="IRNazanin" w:eastAsia="IRNazanin"/>
          <w:color w:val="111111"/>
          <w:sz w:val="28"/>
          <w:sz w:val="28"/>
          <w:szCs w:val="28"/>
          <w:rtl w:val="true"/>
          <w:lang w:bidi="fa-IR"/>
        </w:rPr>
        <w:t xml:space="preserve">کما عن جامع المقاصد </w:t>
      </w:r>
      <w:r>
        <w:rPr>
          <w:rStyle w:val="FootnoteAnchor"/>
          <w:rtl w:val="true"/>
        </w:rPr>
        <w:footnoteReference w:id="559"/>
      </w:r>
      <w:r>
        <w:rPr>
          <w:rFonts w:ascii="IRNazanin" w:hAnsi="IRNazanin" w:eastAsia="IRNazanin"/>
          <w:color w:val="111111"/>
          <w:sz w:val="28"/>
          <w:sz w:val="28"/>
          <w:szCs w:val="28"/>
          <w:rtl w:val="true"/>
          <w:lang w:bidi="fa-IR"/>
        </w:rPr>
        <w:t>بعد حکمهما بتطهّر البئر بالامتزاج مع الکثیر و الجاری منعا تطهّرها لو تسنّم الجاری و الکثیر علیه من فوق، معلّلا بعدم الاتّحاد فی التسنّم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شارح الروضة وجّه حکم العلّامة قدّس سرّه باعتبار الدفعة فی الکثیر الملقی علی الماء النجس بأنّه لولاها لزم اختلاف سطوح الکثیر عند إلقائه فینفعل ما ینزل منه بملاقاة النجس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عن صاحب المعالم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اللازم علی القول باعتبار تساوی السطوح فی الکرّ اعتبار الدفعة فی التطهیر لئلّا یختلف سطوح الماء الملقی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باعتبار الدفعة لا یختصّ بما إذا لم یزد المطهّر علی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ما تقدّم من صاحب المعالم من دعوی انصراف الکرّ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المجتمع </w:t>
      </w:r>
      <w:r>
        <w:rPr>
          <w:rStyle w:val="FootnoteAnchor"/>
          <w:rtl w:val="true"/>
        </w:rPr>
        <w:footnoteReference w:id="562"/>
      </w:r>
      <w:r>
        <w:rPr>
          <w:rFonts w:ascii="IRNazanin" w:hAnsi="IRNazanin" w:eastAsia="IRNazanin"/>
          <w:color w:val="111111"/>
          <w:sz w:val="28"/>
          <w:sz w:val="28"/>
          <w:szCs w:val="28"/>
          <w:rtl w:val="true"/>
          <w:lang w:bidi="fa-IR"/>
        </w:rPr>
        <w:t xml:space="preserve">المتقارب </w:t>
      </w:r>
      <w:r>
        <w:rPr>
          <w:rStyle w:val="FootnoteAnchor"/>
          <w:rtl w:val="true"/>
        </w:rPr>
        <w:footnoteReference w:id="563"/>
      </w:r>
      <w:r>
        <w:rPr>
          <w:rFonts w:ascii="IRNazanin" w:hAnsi="IRNazanin" w:eastAsia="IRNazanin"/>
          <w:color w:val="111111"/>
          <w:sz w:val="28"/>
          <w:sz w:val="28"/>
          <w:szCs w:val="28"/>
          <w:rtl w:val="true"/>
          <w:lang w:bidi="fa-IR"/>
        </w:rPr>
        <w:t>عدم الاعتصام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مقتضی استدلال جامع المقاصد علی عدم تقوّی العالی المتمّم بالسافل بأنّ العالی لا ینجس بنجاسته فلا یطهر بطهارته </w:t>
      </w:r>
      <w:r>
        <w:rPr>
          <w:rStyle w:val="FootnoteAnchor"/>
          <w:rtl w:val="true"/>
        </w:rPr>
        <w:footnoteReference w:id="564"/>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یوجد فی المقام دلیل علی الاعتصام ممّن یعترف بعدم الوحدة فی المسألة السابقة، لأنّ کثرة العالی لا دخل لها فی تحقّق الوحدة و لا فی غلبة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الاستناد فی ذلک إلی ما ورد من کفایة المادّة فی عدم انفعال الحمّام مشکل، لاحتمال اختصاص الحکم بالحمّام، و لذا قیل بعدم اعتبار الکریّة فیها </w:t>
      </w:r>
      <w:r>
        <w:rPr>
          <w:rStyle w:val="FootnoteAnchor"/>
          <w:rtl w:val="true"/>
        </w:rPr>
        <w:footnoteReference w:id="565"/>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علّیة وجود المادّة لعدم انفعال ماء الحمّام، فیتعدّی إلی کلّ ماء قلیل له مادّة متسنّمة علیه هی کرّ فصاعدا، و المادّة لغة و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یستمدّ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 الکرّ المتسنّم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روایة 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الحمّام کماء النهر یطهّر بعضه بعضا</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بناء علی أنّ النهر هو الجاری و لو لا عن نبع، و مقتضی التشبیه ثبوت أحکام کلّ من الطرفین للآخر، فیثبت لماء النهر حکم ماء الحمّام إلّا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الروایة منجبر باشتهار مضمونها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عرفت من تقریب الوحدة فی المسألة السابقة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بشهادة العرف و دلالة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وحدة المادّة و ذیها، فیکفی عمومات عدم انفعال الکرّ و تبقی الروایة مؤیّدة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السطحین مع انحدار أحدهما زائدا علی ما یلحق عرفا بالمساوی مع نقص کلّ منهما عن الکرّ، و یظهر من العبائر المتقدّمة فیه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التقوّی من الطرفین، و هو المستفاد من ظاهر عبائر جماعة تقدّمت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کالدروس و الموجز و شرحه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حکموا بتقوّی الأسفل بالأعلی فیلزم العکس بالإجماع و هو صریح الروض و المدارک </w:t>
      </w:r>
      <w:r>
        <w:rPr>
          <w:rStyle w:val="FootnoteAnchor"/>
          <w:rtl w:val="true"/>
        </w:rPr>
        <w:footnoteReference w:id="568"/>
      </w:r>
      <w:r>
        <w:rPr>
          <w:rFonts w:ascii="IRNazanin" w:hAnsi="IRNazanin" w:eastAsia="IRNazanin"/>
          <w:color w:val="111111"/>
          <w:sz w:val="28"/>
          <w:sz w:val="28"/>
          <w:szCs w:val="28"/>
          <w:rtl w:val="true"/>
          <w:lang w:bidi="fa-IR"/>
        </w:rPr>
        <w:t xml:space="preserve">و ربّما ینسب إلی إطلاق المعتبر و المنتهی فی الغدیرین المتواصلین بساقیة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تأمّل، لإمکان دعوی ظهوره فی التساوی و شبهه و عدمه مطلقا، کما تقدّم من ظاهر بعض کلمات العلّامة و الشهید و جمیع کلمات المحقّق الثانی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تقوّی السافل بالعالی دون العکس، کما تقدّم عن التذکرة و بعض عبائر الدروس و الموجز و شرحه </w:t>
      </w:r>
      <w:r>
        <w:rPr>
          <w:rStyle w:val="FootnoteAnchor"/>
          <w:rtl w:val="true"/>
        </w:rPr>
        <w:footnoteReference w:id="571"/>
      </w:r>
      <w:r>
        <w:rPr>
          <w:rFonts w:ascii="IRNazanin" w:hAnsi="IRNazanin" w:eastAsia="IRNazanin"/>
          <w:color w:val="111111"/>
          <w:sz w:val="28"/>
          <w:sz w:val="28"/>
          <w:szCs w:val="28"/>
          <w:rtl w:val="true"/>
          <w:lang w:bidi="fa-IR"/>
        </w:rPr>
        <w:t>بناء علی عدم فرقهم بین الانحدار و التسنیم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هو القول الأوّل، لأنّ الظاهر وحدة الماء عرفا فتشمله أدلّة اعتصام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القول الثانی فالظاهر تفرّد المحقّق الثانی به علی ما یقتضیه استدلاله بأنّ عدم نجاسة العالی بالسافل یقتضی عدم طهارته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بطهارته </w:t>
      </w:r>
      <w:r>
        <w:rPr>
          <w:rStyle w:val="FootnoteAnchor"/>
          <w:rtl w:val="true"/>
        </w:rPr>
        <w:footnoteReference w:id="572"/>
      </w:r>
      <w:r>
        <w:rPr>
          <w:rFonts w:ascii="IRNazanin" w:hAnsi="IRNazanin" w:eastAsia="IRNazanin"/>
          <w:color w:val="111111"/>
          <w:sz w:val="28"/>
          <w:sz w:val="28"/>
          <w:szCs w:val="28"/>
          <w:rtl w:val="true"/>
          <w:lang w:bidi="fa-IR"/>
        </w:rPr>
        <w:t xml:space="preserve">و أمّا العلّامة و الشهید فکلامهما المتقدّم فی اعتبار کرّیة مادّة الحمّام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عدم التقوّی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بما هو الغالب فی مادّة الحمّام من تسنّمها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القول الثالث کذلک بناء علی ظهور العالی و السافل فی کلمات الأصحاب فی التسنیم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القلیل المتغیّر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یطهر بزوال تغیّره عن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لأنّ علّة التنجیس فیه الملاقاة دون التغیّر، و هی لم تزل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الکرّ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أنّه لا یطهر أیضا بزوال تغیّره من قبل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بتصفیق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بوقوع أجسام طاهرة فیه تزیل تغیّره</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من دون اتّصاله بمعتصم أو امتزاجه به، لاستصحاب النجاسة حتّی من المنکرین للاستصحاب، بناء علی تسمیة ما نحن فیه عندهم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للأمر بوجوب النزح فی البئر المتغیّر حتّی یزول تغیّره 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للانتهاء دون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للمحکیّ عن یحیی بن سعید </w:t>
      </w:r>
      <w:r>
        <w:rPr>
          <w:rStyle w:val="FootnoteAnchor"/>
          <w:rtl w:val="true"/>
        </w:rPr>
        <w:footnoteReference w:id="577"/>
      </w:r>
      <w:r>
        <w:rPr>
          <w:rFonts w:ascii="IRNazanin" w:hAnsi="IRNazanin" w:eastAsia="IRNazanin"/>
          <w:color w:val="111111"/>
          <w:sz w:val="28"/>
          <w:sz w:val="28"/>
          <w:szCs w:val="28"/>
          <w:rtl w:val="true"/>
          <w:lang w:bidi="fa-IR"/>
        </w:rPr>
        <w:t xml:space="preserve">إمّا بناء علی ما ذهب إلیه فی طهارة الماء بإتمامه کرّا </w:t>
      </w:r>
      <w:r>
        <w:rPr>
          <w:rStyle w:val="FootnoteAnchor"/>
          <w:rtl w:val="true"/>
        </w:rPr>
        <w:footnoteReference w:id="578"/>
      </w:r>
      <w:r>
        <w:rPr>
          <w:rFonts w:ascii="IRNazanin" w:hAnsi="IRNazanin" w:eastAsia="IRNazanin"/>
          <w:color w:val="111111"/>
          <w:sz w:val="28"/>
          <w:sz w:val="28"/>
          <w:szCs w:val="28"/>
          <w:rtl w:val="true"/>
          <w:lang w:bidi="fa-IR"/>
        </w:rPr>
        <w:t xml:space="preserve">کما بناه علیه بعض </w:t>
      </w:r>
      <w:r>
        <w:rPr>
          <w:rStyle w:val="FootnoteAnchor"/>
          <w:rtl w:val="true"/>
        </w:rPr>
        <w:footnoteReference w:id="579"/>
      </w:r>
      <w:r>
        <w:rPr>
          <w:rFonts w:ascii="IRNazanin" w:hAnsi="IRNazanin" w:eastAsia="IRNazanin"/>
          <w:color w:val="111111"/>
          <w:sz w:val="28"/>
          <w:sz w:val="28"/>
          <w:szCs w:val="28"/>
          <w:rtl w:val="true"/>
          <w:lang w:bidi="fa-IR"/>
        </w:rPr>
        <w:t>للمرسل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بلغ الماء کرّا لم یحمل خبثا</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بناء علی أنّ الخارج من ذلک حال تغیّر الکرّ، فیدخل ما بعده فی العموم، أو فرض نصفی کرّ زال تغیّرهما فاجتمعا، و إن ثبت هنا ثبت فی غیره بالإجماع، و لذا ذکر صاحب المدارک </w:t>
      </w:r>
      <w:r>
        <w:rPr>
          <w:rStyle w:val="FootnoteAnchor"/>
          <w:rtl w:val="true"/>
        </w:rPr>
        <w:footnoteReference w:id="581"/>
      </w:r>
      <w:r>
        <w:rPr>
          <w:rFonts w:ascii="IRNazanin" w:hAnsi="IRNazanin" w:eastAsia="IRNazanin"/>
          <w:color w:val="111111"/>
          <w:sz w:val="28"/>
          <w:sz w:val="28"/>
          <w:szCs w:val="28"/>
          <w:rtl w:val="true"/>
          <w:lang w:bidi="fa-IR"/>
        </w:rPr>
        <w:t>و جماعة تبعا للمحقّق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لازم القول بخبر </w:t>
      </w:r>
      <w:r>
        <w:rPr>
          <w:rStyle w:val="FootnoteAnchor"/>
          <w:rtl w:val="true"/>
        </w:rPr>
        <w:footnoteReference w:id="582"/>
      </w:r>
      <w:r>
        <w:rPr>
          <w:rFonts w:ascii="IRNazanin" w:hAnsi="IRNazanin" w:eastAsia="IRNazanin"/>
          <w:color w:val="111111"/>
          <w:sz w:val="28"/>
          <w:sz w:val="28"/>
          <w:szCs w:val="28"/>
          <w:rtl w:val="true"/>
          <w:lang w:bidi="fa-IR"/>
        </w:rPr>
        <w:t xml:space="preserve">البلوغ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لقاعدة الطهارة بناء علی عدم جریان استصحاب النجاسة، لأنّ موضوع النجاسة هو المتلبّس بالتغیّر أو المردّد بین ما حدث فیه التغیّر فی زمان و ما تلبّس به، و علی التقدیرین فلا یعلم بقاء الموضوع الّذی هو شرط فی جریان الاستصحاب</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للأخبار الظاهرة فی اعتبار فعلیة التغیّر فی النجاسة،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غلب الماء علی ریح الجیفة فتوضّأ و اشرب</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غلب لون الماء لون البول</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و قوله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النتن الغالب علی الماء فلا تتوضّأ و لا تشرب</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ابن بزیع للتعلیل أو للانتهاء، مع استظهار دخولها علی العلّة الغائیة،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فی العبارة إلی أن تفهمها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الأوّل مضافا إلی فساد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الابتناء، فإنّ الأدلّة الّتی اعتمدوها فی ذلک القول لا دلالة لها علی ما نحن فیه، فإنّ عمدة تلک الأدلّة الحدیث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کرّا لم یحمل خبثا</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مخصوص نصّا و إجماعا بالخبث الّذی لا یکون مغیّرا للماء، فإذا ثبت النجاسة بالتغیّر کانت مستصحبة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القدر الثابت من المخصّص </w:t>
      </w:r>
      <w:r>
        <w:rPr>
          <w:rStyle w:val="FootnoteAnchor"/>
          <w:rtl w:val="true"/>
        </w:rPr>
        <w:footnoteReference w:id="588"/>
      </w:r>
      <w:r>
        <w:rPr>
          <w:rFonts w:ascii="IRNazanin" w:hAnsi="IRNazanin" w:eastAsia="IRNazanin"/>
          <w:color w:val="111111"/>
          <w:sz w:val="28"/>
          <w:sz w:val="28"/>
          <w:szCs w:val="28"/>
          <w:rtl w:val="true"/>
          <w:lang w:bidi="fa-IR"/>
        </w:rPr>
        <w:t>بالمتغیّر ما دام متغیّرا، و أمّا ما بعد زوال التغیّر فهو داخل فی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بعینه وارد علی التمسّک بقوله علیه السلام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کما لا یخفی، کذا حکاه فی الحدائق عن بعض الأفاضل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المخرج فی الخبر المتقدّم لیس هو القذر المغیّر إذ الخبث لیس اسما للعین، و إنّما هو معنی قائم بالجسم النجس، فالمعنی أنّ الکرّ لا یتّصف بالنجاسة و لا یحملها </w:t>
      </w:r>
      <w:r>
        <w:rPr>
          <w:rStyle w:val="FootnoteAnchor"/>
          <w:rtl w:val="true"/>
        </w:rPr>
        <w:footnoteReference w:id="591"/>
      </w:r>
      <w:r>
        <w:rPr>
          <w:rFonts w:ascii="IRNazanin" w:hAnsi="IRNazanin" w:eastAsia="IRNazanin"/>
          <w:color w:val="111111"/>
          <w:sz w:val="28"/>
          <w:sz w:val="28"/>
          <w:szCs w:val="28"/>
          <w:rtl w:val="true"/>
          <w:lang w:bidi="fa-IR"/>
        </w:rPr>
        <w:t>فخروج صورة التغیّر إنّما هو من عموم الأحوال، فالمخرج حالة التغیّر،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 غیرها داخل تحت الإطلاق المفید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فرض المخرج هو الماء المتغیّر من بین أفراد المیاه حتّی یکون هذا الحکم مختصّا بالماء الغیر المتغیّر و کان حکم الماء المتغیّر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زوال تغیّره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مسکوتا عنه فی هذا الخبر، أو فرض المخرج هو الخبث الحاصل من التغیّر و کان حکم الخبث بعد زوال التغیّر مسکوتا عنه، أمکن التمسّک فی محلّ السکوت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التخصیص بأحد الطریقین غیر ثابت، فیلزم خروج ما لو اجتمع الکرّ من میاه نجسة زال تغیّرها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عدم جریان العموم بالنسبة إلی الکرّ الّذی تغیّر ثمّ زال تغیّره، لکن لا تأمّل فی جریان العموم بالنسبة إلی الکرّ المجتمع من المیاه المذکورة، فإذا ثبت الطهارة هنا ثبت فی غیره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النقض بالصحیحة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لبیان حکم الدفع فلا معنی للتمسّک به عند الشکّ فی الرفع، فالاستصحاب سلیم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یکفی فی جریان الاستصحاب حکم العرف بأنّ هذا الماء کان نجسا، و إن کان مقتضی الدقّة تردید المشار إلیه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الذات المشترکة بین المتغیّر و ما زال عنه فیمنع نجاسته، لأنّ المسلّم نجاسة خصوص ما تلبّس بالتغیّر، و بین خصوص المتلبّس و هذا الموجود الغیر المتلبّس لم یکن نجسا </w:t>
      </w:r>
      <w:r>
        <w:rPr>
          <w:rStyle w:val="FootnoteAnchor"/>
          <w:rtl w:val="true"/>
        </w:rPr>
        <w:footnoteReference w:id="593"/>
      </w:r>
      <w:r>
        <w:rPr>
          <w:rFonts w:ascii="IRNazanin" w:hAnsi="IRNazanin" w:eastAsia="IRNazanin"/>
          <w:color w:val="111111"/>
          <w:sz w:val="28"/>
          <w:sz w:val="28"/>
          <w:szCs w:val="28"/>
          <w:rtl w:val="true"/>
          <w:lang w:bidi="fa-IR"/>
        </w:rPr>
        <w:t>لکن بناء الاستصحاب علی المصادیق العرفیة للقضایا المتیقّنة سابقا، و قد نبّهنا علی أنّ مقتضی الدقّة الخدشة فی استصحاب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الکرّیة، بل هو أولی بعدم الجریان من الاستصحاب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الأخبار إناطة الحکم بغلبة الماء علی أوصاف النجاسة أو غلبتها علیه فی أوّل الأمر، فلا یشمل ما کان غالبا بعد أن کان مغلوبا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ابن بزیع، فهی ظاهرة فی غیر التعلیل، و دخولها علی الغایة المقصودة من النزح غیر معلوم، و علی تسلیمه فالغایة هو ذهاب الطعم و الریح الحاصل بامتزاجه بالماء الطاهر المتجدّد بالنزح لا مطلق ذهابهما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الماء الّذی علیه المدار فی عدم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ورد إناطة الحکم بغیره ممّا لا بدّ من إرجاعه إلیه و لو بتکلّف أو طرحه لعدم المقاومة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و مائتا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بل فی الغنیة الإجماع علیه </w:t>
      </w:r>
      <w:r>
        <w:rPr>
          <w:rStyle w:val="FootnoteAnchor"/>
          <w:rtl w:val="true"/>
        </w:rPr>
        <w:footnoteReference w:id="594"/>
      </w:r>
      <w:r>
        <w:rPr>
          <w:rFonts w:ascii="IRNazanin" w:hAnsi="IRNazanin" w:eastAsia="IRNazanin"/>
          <w:color w:val="111111"/>
          <w:sz w:val="28"/>
          <w:sz w:val="28"/>
          <w:szCs w:val="28"/>
          <w:rtl w:val="true"/>
          <w:lang w:bidi="fa-IR"/>
        </w:rPr>
        <w:t xml:space="preserve">و ظاهر المنتهی و المعتبر </w:t>
      </w:r>
      <w:r>
        <w:rPr>
          <w:rStyle w:val="FootnoteAnchor"/>
          <w:rtl w:val="true"/>
        </w:rPr>
        <w:footnoteReference w:id="595"/>
      </w:r>
      <w:r>
        <w:rPr>
          <w:rFonts w:ascii="IRNazanin" w:hAnsi="IRNazanin" w:eastAsia="IRNazanin"/>
          <w:color w:val="111111"/>
          <w:sz w:val="28"/>
          <w:sz w:val="28"/>
          <w:szCs w:val="28"/>
          <w:rtl w:val="true"/>
          <w:lang w:bidi="fa-IR"/>
        </w:rPr>
        <w:t xml:space="preserve">و صریح غیرهما </w:t>
      </w:r>
      <w:r>
        <w:rPr>
          <w:rStyle w:val="FootnoteAnchor"/>
          <w:rtl w:val="true"/>
        </w:rPr>
        <w:footnoteReference w:id="596"/>
      </w:r>
      <w:r>
        <w:rPr>
          <w:rFonts w:ascii="IRNazanin" w:hAnsi="IRNazanin" w:eastAsia="IRNazanin"/>
          <w:color w:val="111111"/>
          <w:sz w:val="28"/>
          <w:sz w:val="28"/>
          <w:szCs w:val="28"/>
          <w:rtl w:val="true"/>
          <w:lang w:bidi="fa-IR"/>
        </w:rPr>
        <w:t xml:space="preserve">عدم الخلاف فیه، و یدلّ علیه مرسلة ابن أبی عمیر عن بعض أصحابنا </w:t>
      </w:r>
      <w:r>
        <w:rPr>
          <w:rStyle w:val="FootnoteAnchor"/>
          <w:rtl w:val="true"/>
        </w:rPr>
        <w:footnoteReference w:id="597"/>
      </w:r>
      <w:r>
        <w:rPr>
          <w:rFonts w:ascii="IRNazanin" w:hAnsi="IRNazanin" w:eastAsia="IRNazanin"/>
          <w:color w:val="111111"/>
          <w:sz w:val="28"/>
          <w:sz w:val="28"/>
          <w:szCs w:val="28"/>
          <w:rtl w:val="true"/>
          <w:lang w:bidi="fa-IR"/>
        </w:rPr>
        <w:t xml:space="preserve">و علیه الأصحاب کما فی الحدائق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کون التقدیر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العراقی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مائة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 ثلاثون درهما علی المشهور، لمکاتبة الهمدانی عن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الصاع ستّة أرطال بالمدنیّ و تسعة أرطال بالعراقیّ و وزنه ألف و مائة و سبعون وزنة</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مائة و ثمانیة و عشرون و أربعة أسباع </w:t>
      </w:r>
      <w:r>
        <w:rPr>
          <w:rStyle w:val="FootnoteAnchor"/>
          <w:rtl w:val="true"/>
        </w:rPr>
        <w:footnoteReference w:id="601"/>
      </w:r>
      <w:r>
        <w:rPr>
          <w:rFonts w:ascii="IRNazanin" w:hAnsi="IRNazanin" w:eastAsia="IRNazanin"/>
          <w:color w:val="111111"/>
          <w:sz w:val="28"/>
          <w:sz w:val="28"/>
          <w:szCs w:val="28"/>
          <w:rtl w:val="true"/>
          <w:lang w:bidi="fa-IR"/>
        </w:rPr>
        <w:t xml:space="preserve">و نسبه إلی الغفلة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 الحمل علی العراقی صحیحة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ستّمائة رطل</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فإنّ الظاهر الاتّفاق علی أنّ المراد به لیس العراقی و لا المدنی، فیتعیّن الحمل علی المکّی، و هو عند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الحدائق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العراقی، فیکون مبیّنا للمرسلة، مع کفایتها للاستناد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حملها علی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شیخنا البهائی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تسعمائة بالعراقیّ، فیقرب من مساحة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فیردّه روایة علیّ بن جعفر الواردة فی انفعال ألف رطل من الماء وقع فیها أوقیة من دم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استظهر إرادة العراقیّ من المرسلة لکون المرسل عراقیّا، و لإرادة العراقیّ بدون نصب القرینة فی بعض الأخبار، کما فی روایة الکلبی النسّابة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الّتی استشهد بها فی الحدائق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 الأوّل بأنّ المرسل غیر المخاطب، مع أنّ ملاحظة عرف السائل لها وجه إذا ذکر اللفظ فی السؤال فإعادة الإمام علیه السلام فی الجواب، لا ما إذا لم یذکر إلّا فی کلام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إرادة العراقیّ فی بعض 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 الراوی فیه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بالمثل بل أقوی، ففی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الوضوء بمدّ، و المدّ رطل و نصف، و الصاع ستّة أرطال</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مع أنّ زرارة لم یکن مدنیّا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تکافؤ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بأصل الطهارة، و عموم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 لم ینجّسه شی‌ء</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فإنّ الأصل مدفوع بما ثبت من علّیة الکرّیة لعدم الانفعال الدالّة علی أنّ الملاقاة بنفسها مقتضیة للانفعال، و لا یتخلّف عنها إلّا لمانع، و المانع مدفوع بالأصل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تسلیم الروایة و الإغماض عن الطعن علیها، لعدم ورودها فی أصول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لأجل الجمع بینه و بین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الدالّ علی علّیة الکرّیة لعدم التنجیس مقیّد بالکرّ، و أنّ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باعتبار کریّته، فتکون الکرّیة قیدا للموضوع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شکّ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کرّیّته فلا یجوز الحکم علیه بعدم التنجیس بمقتضی العموم، لأنّه شکّ فی موضوع العامّ، لا فیما خرج منه،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نبّه علی ما ذکرنا فی ردّ الأصل، شیخنا فی 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الشکّ فی کرّیة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حکم بالنجاسة و ردّ أصالة الطهارة بأنّ الملاقاة سبب فی التنجیس، ثمّ ذکر </w:t>
      </w:r>
      <w:r>
        <w:rPr>
          <w:rStyle w:val="FootnoteAnchor"/>
          <w:rtl w:val="true"/>
        </w:rPr>
        <w:footnoteReference w:id="612"/>
      </w:r>
      <w:r>
        <w:rPr>
          <w:rFonts w:ascii="IRNazanin" w:hAnsi="IRNazanin" w:eastAsia="IRNazanin"/>
          <w:color w:val="111111"/>
          <w:sz w:val="28"/>
          <w:sz w:val="28"/>
          <w:szCs w:val="28"/>
          <w:rtl w:val="true"/>
          <w:lang w:bidi="fa-IR"/>
        </w:rPr>
        <w:t xml:space="preserve">أنّ هذا هو الشائع بین الفقهاء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اعترض علیه فی الحدائق بمنع کون الملاقاة مقتضیة للتنجیس، بل هی مع القلّة، و هی غیر متحقّقة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القلّة لم تذکر فی الأدلّة عنوانا للانفعال، و إنّما المذکور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الّذی یدخله الحمامة و الدجاجة الواطیة للعذرة لا یجوز استعماله إلّا أن یکون کرّا من ماء</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الّذی لاقاه الکلب لا یستعمل إلّا أن یکون حوضا کبیرا</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إذا لم یکن کرّا ینجس بالنجاسة</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هذه العمومات النجاسة إلی أن یثبت کون المشکوک فیه خارجا عنها و إلّا اقتصر علی المتیقّن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یتوّهم أنّ مقتضی الثالث کون عدم الکرّیة شرطا فی الانفعال، لکن یمکن إحرازه بالأصل، فإنّ الأصل عدم تحقّق مناط الاعتصام فیما 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ألفا و مائتین بالعراقیّ، و قد نبّه علی ما ذکرنا فی ردّ العموم شیخنا فی المعالم بأنّ الأخبار الدالّة علی اعتبار الکرّیة اقتضت کونها شرطا لعدم الانفعال، فما لم یدلّ دلیل شرعیّ علی حصول الشرط یجب الحکم بالانفعال،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یظهر ضعف احتجاجهم بالأصل علی الوجه الّذی قرّروه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تنظّر فیه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شرطیة الکرّیة لا تقتضی الحکم بالانفعال مع عدم العلم بالشرط، لأنّ المشروط عدم عند عدم الشرط فی الواقع لا عند عدم العلم به، مع أنّه معارض بدلالة الأخبار المذکورة علی أنّ القلّة شرط فی الانفعال، فما لم یدلّ دلیل علی حصول الشرط یجب الحکم بعدم الانفعال </w:t>
      </w:r>
      <w:r>
        <w:rPr>
          <w:rStyle w:val="FootnoteAnchor"/>
          <w:rtl w:val="true"/>
        </w:rPr>
        <w:footnoteReference w:id="61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مقصود صاحب المعالم عدم جواز التمسّک بعمومات الطهارة و أنّ اللازم التمسّک بعموم النجاسة و أنّ عدم الدلیل علی کون الأقلّ کرّا یکفی فی الرجوع إلی العموم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کان کلّ </w:t>
      </w:r>
      <w:r>
        <w:rPr>
          <w:rStyle w:val="FootnoteAnchor"/>
          <w:rtl w:val="true"/>
        </w:rPr>
        <w:footnoteReference w:id="620"/>
      </w:r>
      <w:r>
        <w:rPr>
          <w:rFonts w:ascii="Amiri" w:hAnsi="Amiri" w:eastAsia="Amiri" w:cs="Amiri"/>
          <w:color w:val="111111"/>
          <w:sz w:val="28"/>
          <w:sz w:val="28"/>
          <w:szCs w:val="28"/>
          <w:rtl w:val="true"/>
          <w:lang w:bidi="ar-SA"/>
        </w:rPr>
        <w:t xml:space="preserve">من طوله و عمقه و عرضه ثلاثة أشبار و نصفا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و فی الغنیة الإجماع علیه </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روایة الحسن بن صالح الثوری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فی الرکیّ کرّا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الکرّ؟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أشبار و نصف عمقها فی ثلاثة أشبار و نصف عرضها</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العرض هو سطحه المشتمل علی الطول و العرض، کما سیأتی فی الصحیحة المحدّدة للکرّ بالذراع و الشبر </w:t>
      </w:r>
      <w:r>
        <w:rPr>
          <w:rStyle w:val="FootnoteAnchor"/>
          <w:rtl w:val="true"/>
        </w:rPr>
        <w:footnoteReference w:id="624"/>
      </w:r>
      <w:r>
        <w:rPr>
          <w:rFonts w:ascii="Amiri" w:hAnsi="Amiri" w:eastAsia="Amiri" w:cs="Amiri"/>
          <w:color w:val="111111"/>
          <w:sz w:val="28"/>
          <w:sz w:val="28"/>
          <w:szCs w:val="28"/>
          <w:rtl w:val="true"/>
          <w:lang w:bidi="ar-SA"/>
        </w:rPr>
        <w:t xml:space="preserve">مع أنّ الطول لو کان أنقص من ثلاثة و نصف لم یسمّ الأزید عرضا، فلا أقلّ من وجوب کونه مساویا له، فالعرض هنا مثل قوله تعالی عَرْضُهٰا کَعَرْضِ السَّمٰاءِ وَ الْأَرْضِ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السطح المستدیر البالغ ثلاثة أشبار و نصفا، مع أنّه لیس کرّا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إخراجه بأنّ الظاهر من الروایة کون مجموع الثلاثة و نصف من العمق ثابتا فی تمام سطح الکرّ لا فی خطّ منه، فیخرج الدائرة، و یمکن إخراجها بالإجماع، فهو من باب تقیید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الإیراد وارد فی جمیع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علیه بروایة أبی بصیر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ثلاثة أشبار و نصفا فی مثله ثلاثة أشبار و نصف فی عمقه من الأرض، فذلک الکرّ</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تقریب دلالتها نظیر ما تقدّم فی الروایة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معنی کون الماء ثلاثة أشبار و نصف کون سطحه المشتمل علی الطول و العرض بهذا المقدار، و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لثلاثة أشبار و نصف، و هی تدلّ علی مثله یعنی إذا کان سطحه ثلاثة أشبار و نصف فی ثلاثة أشبار و نصف ثابتة فی عمقه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یعضد ما ذکرنا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نسخ المنتهی </w:t>
      </w:r>
      <w:r>
        <w:rPr>
          <w:rStyle w:val="FootnoteAnchor"/>
          <w:rtl w:val="true"/>
        </w:rPr>
        <w:footnoteReference w:id="627"/>
      </w:r>
      <w:r>
        <w:rPr>
          <w:rFonts w:ascii="Amiri" w:hAnsi="Amiri" w:eastAsia="Amiri" w:cs="Amiri"/>
          <w:color w:val="111111"/>
          <w:sz w:val="28"/>
          <w:sz w:val="28"/>
          <w:szCs w:val="28"/>
          <w:rtl w:val="true"/>
          <w:lang w:bidi="ar-SA"/>
        </w:rPr>
        <w:t>و المحکیّ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نسخة مقروءة علی المجلسی مصحّحة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دلالة الروایتین و إن لم یخل عن تکلّف، إلّا أنّهما نصّان فی زیادة النصف علی الثلاثة، فیرجّحان علی روایة إسماعیل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أشبار فی ثلاثة أشبار</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لاحتمال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و عدم احتمال زیادته فی الروایتین، و اعتضادهما بالشهرة و إجماع الغنیة، و إن طعن علیه فی المعتبر بوجود الخلاف </w:t>
      </w:r>
      <w:r>
        <w:rPr>
          <w:rStyle w:val="FootnoteAnchor"/>
          <w:rtl w:val="true"/>
        </w:rPr>
        <w:footnoteReference w:id="630"/>
      </w:r>
      <w:r>
        <w:rPr>
          <w:rFonts w:ascii="IRNazanin" w:hAnsi="IRNazanin" w:eastAsia="IRNazanin"/>
          <w:color w:val="111111"/>
          <w:sz w:val="28"/>
          <w:sz w:val="28"/>
          <w:szCs w:val="28"/>
          <w:rtl w:val="true"/>
          <w:lang w:bidi="fa-IR"/>
        </w:rPr>
        <w:t xml:space="preserve">لکن أیّده فی المنتهی بشذوذ قول القمّیین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أولی بالترجیح بهما من أقربیة هذه المساحة بما ورد من التحدید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القلّتین</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راویة</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و تقدیر الکرّ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حبّی هذا</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و ممّا تقدّم من المختار فی وزن الکرّ، و تأیّده بما أرسله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ما کان ثلاثة أشبار طولا فی ثلاثة أشبار عرضا فی ثلاثة أشبار عمقا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مخالفة روایة إسماعیل للروایة عن علیّ بن جعفر عن أخیه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جرّة ماء </w:t>
      </w:r>
      <w:r>
        <w:rPr>
          <w:rStyle w:val="FootnoteAnchor"/>
          <w:rtl w:val="true"/>
        </w:rPr>
        <w:footnoteReference w:id="636"/>
      </w:r>
      <w:r>
        <w:rPr>
          <w:rFonts w:ascii="IRNazanin" w:hAnsi="IRNazanin" w:eastAsia="IRNazanin"/>
          <w:color w:val="111111"/>
          <w:sz w:val="28"/>
          <w:sz w:val="28"/>
          <w:szCs w:val="28"/>
          <w:rtl w:val="true"/>
          <w:lang w:bidi="fa-IR"/>
        </w:rPr>
        <w:t>فیه ألف رطل وقع فیه أوقیة بول،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هل یصلح شربه أو الوضوء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ألف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اعتبر بعضهم </w:t>
      </w:r>
      <w:r>
        <w:rPr>
          <w:rStyle w:val="FootnoteAnchor"/>
          <w:rtl w:val="true"/>
        </w:rPr>
        <w:footnoteReference w:id="638"/>
      </w:r>
      <w:r>
        <w:rPr>
          <w:rFonts w:ascii="IRNazanin" w:hAnsi="IRNazanin" w:eastAsia="IRNazanin"/>
          <w:color w:val="111111"/>
          <w:sz w:val="28"/>
          <w:sz w:val="28"/>
          <w:szCs w:val="28"/>
          <w:rtl w:val="true"/>
          <w:lang w:bidi="fa-IR"/>
        </w:rPr>
        <w:t xml:space="preserve">شبرا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الماء فوجده ألفین و ثلاثمائة و ثلاثة و أربعین مثقالا </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ثلاثین </w:t>
      </w:r>
      <w:r>
        <w:rPr>
          <w:rStyle w:val="FootnoteAnchor"/>
          <w:rtl w:val="true"/>
        </w:rPr>
        <w:footnoteReference w:id="640"/>
      </w:r>
      <w:r>
        <w:rPr>
          <w:rFonts w:ascii="IRNazanin" w:hAnsi="IRNazanin" w:eastAsia="IRNazanin"/>
          <w:color w:val="111111"/>
          <w:sz w:val="28"/>
          <w:sz w:val="28"/>
          <w:szCs w:val="28"/>
          <w:rtl w:val="true"/>
          <w:lang w:bidi="fa-IR"/>
        </w:rPr>
        <w:t>شبرا، فلا معنی للحکم بانفعاله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نقصانه عن سبعة و عشرین شبرا لثقل الماء بعید فی الخارج و فی مورد الروایة، و مع فرض التکافؤ فالمرجع إلی عموم أدلّة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لمن عرفت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روایة صحیحة أخری ذکر فی المدارک أنّها أصحّ </w:t>
      </w:r>
      <w:r>
        <w:rPr>
          <w:rStyle w:val="FootnoteAnchor"/>
          <w:rtl w:val="true"/>
        </w:rPr>
        <w:footnoteReference w:id="641"/>
      </w:r>
      <w:r>
        <w:rPr>
          <w:rFonts w:ascii="IRNazanin" w:hAnsi="IRNazanin" w:eastAsia="IRNazanin"/>
          <w:color w:val="111111"/>
          <w:sz w:val="28"/>
          <w:sz w:val="28"/>
          <w:szCs w:val="28"/>
          <w:rtl w:val="true"/>
          <w:lang w:bidi="fa-IR"/>
        </w:rPr>
        <w:t xml:space="preserve">روایة عثر علیها فی المقام </w:t>
      </w:r>
      <w:r>
        <w:rPr>
          <w:rStyle w:val="FootnoteAnchor"/>
          <w:rtl w:val="true"/>
        </w:rPr>
        <w:footnoteReference w:id="642"/>
      </w:r>
      <w:r>
        <w:rPr>
          <w:rFonts w:ascii="IRNazanin" w:hAnsi="IRNazanin" w:eastAsia="IRNazanin"/>
          <w:color w:val="111111"/>
          <w:sz w:val="28"/>
          <w:sz w:val="28"/>
          <w:szCs w:val="28"/>
          <w:rtl w:val="true"/>
          <w:lang w:bidi="fa-IR"/>
        </w:rPr>
        <w:t>و هی صحیحة إسماعیل بن جابر فی الماء الّذی لا ینجّسه شی‌ء،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ذراعان عمقه فی ذراع و شبر سعته</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و الذراع قدمان کما یظهر من باب المواقیت </w:t>
      </w:r>
      <w:r>
        <w:rPr>
          <w:rStyle w:val="FootnoteAnchor"/>
          <w:rtl w:val="true"/>
        </w:rPr>
        <w:footnoteReference w:id="644"/>
      </w:r>
      <w:r>
        <w:rPr>
          <w:rFonts w:ascii="IRNazanin" w:hAnsi="IRNazanin" w:eastAsia="IRNazanin"/>
          <w:color w:val="111111"/>
          <w:sz w:val="28"/>
          <w:sz w:val="28"/>
          <w:szCs w:val="28"/>
          <w:rtl w:val="true"/>
          <w:lang w:bidi="fa-IR"/>
        </w:rPr>
        <w:t xml:space="preserve">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سطحه المشتمل علی الطول و العرض فیصیر مکسّرة ستّة و ثلاثین، و احتمل فی المعتبر العمل بها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ذکر فی المنتهی أنّه لم یقل أحد بهذا المقدار، و استجود حمل الشیخ قدّس سرّه لها علی ما إذا بلغ الحدّ بالأرطال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عن المحدّث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اعتبرنا الکرّ بالوزن فوجدناه قریبا من هذا المقدار </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المعروف من صاحب المدارک استشکاله فی العمل بالصحیح إذا خالف عمل الأصحاب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أقوال أخر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الإسکافی بما بلغ مکسّرة مائة شبر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أبعد ما بینه و بین قوله فی الوزن بالأرطال العراقی أو ما بلغ قلّتین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الراوندی و هو ما بلغ أبعاده إلی عشرة و نصف من غیر تکسّر </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نجد ما یمکن الاستدلال 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له شارح الروضة بروایة أبی بصیر المتقدّمة بجعل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یعتبر الضرب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لازم هذا القول اختلاف أفراد الکرّ، و أقلّ فروضها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الروض </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طوله عشرة أشبار و نصف مع کون کلّ من عرضه و عمقه شبرا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بعضهم فی أبعد فروضه ما کان عمقه تسعة أشبار و عرضه نصف شبر و طوله شبرا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الروض أولی، لأنّ ظاهر المنقول عن الراوندی هو اعتبار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الشبر المکعّب، و لهذا لم یذکروه مخالفا للمشهور فی أصل التحدید ثلاثة و نصف، و إنّما ذکره فی المنتهی فی فروع هذا التحدید </w:t>
      </w:r>
      <w:r>
        <w:rPr>
          <w:rStyle w:val="FootnoteAnchor"/>
          <w:rtl w:val="true"/>
        </w:rPr>
        <w:footnoteReference w:id="654"/>
      </w:r>
      <w:r>
        <w:rPr>
          <w:rFonts w:ascii="IRNazanin" w:hAnsi="IRNazanin" w:eastAsia="IRNazanin"/>
          <w:color w:val="111111"/>
          <w:sz w:val="28"/>
          <w:sz w:val="28"/>
          <w:szCs w:val="28"/>
          <w:rtl w:val="true"/>
          <w:lang w:bidi="fa-IR"/>
        </w:rPr>
        <w:t>و أنّ المشهور یعتبرون فی الأبعاد الضرب و إن انکسر، و لا یعتبره قطب الدین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عن ابن طاوس قدّس سرّه من التخییر بین هذه الروایات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الظاهریّ فله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الواقعیّ و حمل الزائد علی استحباب فلا یعرف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یعرف وجه لتقدیر الکرّ علی المشهور بالوزن و المساحة مع کونه بالوزن أقلّ دائما، فإنّ تصحیح التحدید بأحد الأمرین من الأقلّ و الأکثر مشکل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تفاوت الحدّان بحسب اختلاف المیاه ثقلا و 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یقرب التفاوت إلی قریب العشر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وجه، لکن یعارضه أنّ الشبر فی السابق کان أزید لطول أبدان السابقین و أعضائهم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لا ینبغی الارتیاب فی کون الکرّ بحسب المساحة أزید، و قد تقدّم أنّ بعضا اعتبره فوجد الوزن قریبا من ستّة و ثلاثین شبرا </w:t>
      </w:r>
      <w:r>
        <w:rPr>
          <w:rStyle w:val="FootnoteAnchor"/>
          <w:rtl w:val="true"/>
        </w:rPr>
        <w:footnoteReference w:id="657"/>
      </w:r>
      <w:r>
        <w:rPr>
          <w:rFonts w:ascii="IRNazanin" w:hAnsi="IRNazanin" w:eastAsia="IRNazanin"/>
          <w:color w:val="111111"/>
          <w:sz w:val="28"/>
          <w:sz w:val="28"/>
          <w:szCs w:val="28"/>
          <w:rtl w:val="true"/>
          <w:lang w:bidi="fa-IR"/>
        </w:rPr>
        <w:t>و إذا اعتبر أشبار السابقین یصیر أقلّ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أجد من دفع الإشکال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دفعه بعض </w:t>
      </w:r>
      <w:r>
        <w:rPr>
          <w:rStyle w:val="FootnoteAnchor"/>
          <w:rtl w:val="true"/>
        </w:rPr>
        <w:footnoteReference w:id="658"/>
      </w:r>
      <w:r>
        <w:rPr>
          <w:rFonts w:ascii="IRNazanin" w:hAnsi="IRNazanin" w:eastAsia="IRNazanin"/>
          <w:color w:val="111111"/>
          <w:sz w:val="28"/>
          <w:sz w:val="28"/>
          <w:szCs w:val="28"/>
          <w:rtl w:val="true"/>
          <w:lang w:bidi="fa-IR"/>
        </w:rPr>
        <w:t>بوجه أشکل، و هو منع علم الإمام علیه السلام بنقص الوزن دائما عن المساحة، و لا غضاضة فیه، لأنّ علمهم لیس کعلم الخالق،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فقد یکون قدّروه بأذهانهم الشریفة و أجری اللّٰه الحکم علیه </w:t>
      </w:r>
      <w:r>
        <w:rPr>
          <w:rStyle w:val="FootnoteAnchor"/>
          <w:rtl w:val="true"/>
        </w:rPr>
        <w:footnoteReference w:id="6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فإنّ هذه یرجع إلی نسبة الغفلة فی الأحکام الشرعیة بل الجهل المرکّب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اللّٰه سبحانه إیّاهم علی هذا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و تعالوا عن ذلک علوّا کبیرا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التحدید کغیره من التحدیدات الشرعیة مبنیّ علی التحقیق دون التقریب، لأنّه مقتضی ظاهر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یتسامح فی إطلاق ألفاظ المقادیر علی ما نقص أو زاد إذا کان بحکم المعدوم بالنسبة إلی الحکم المتعلّق بذلک المقدار، و یتفاوت فی أصل المسامحة و فی مقدارها الأحکام، و حیث کانت الأحکام الشرعیة تابعة للحکم الخفیة لم یعلم جواز المسامحة فی متعلّقاتها، فهی أضیق دائرة عن المقادیر المتعلّقة للأحکام الطبّیة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bookmarkStart w:id="303" w:name="pg13031_131859"/>
    </w:p>
    <w:p>
      <w:pPr>
        <w:pStyle w:val="BookText"/>
        <w:rPr/>
      </w:pPr>
      <w:bookmarkEnd w:id="3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Heading6"/>
        <w:numPr>
          <w:ilvl w:val="5"/>
          <w:numId w:val="1"/>
        </w:numPr>
        <w:rPr/>
      </w:pPr>
      <w:bookmarkStart w:id="304" w:name="__RefHeading___Toc6281657_3224264995"/>
      <w:bookmarkStart w:id="305" w:name="_Toc130"/>
      <w:bookmarkEnd w:id="304"/>
      <w:r>
        <w:rPr>
          <w:rtl w:val="true"/>
        </w:rPr>
        <w:t>القسم الثالث ماء البئر</w:t>
      </w:r>
      <w:bookmarkEnd w:id="305"/>
    </w:p>
    <w:p>
      <w:pPr>
        <w:pStyle w:val="Heading6"/>
        <w:numPr>
          <w:ilvl w:val="5"/>
          <w:numId w:val="1"/>
        </w:numPr>
        <w:rPr/>
      </w:pPr>
      <w:bookmarkStart w:id="306" w:name="__RefHeading___Toc6281659_3224264995"/>
      <w:bookmarkStart w:id="307" w:name="_Toc131"/>
      <w:bookmarkEnd w:id="306"/>
      <w:r>
        <w:rPr>
          <w:rtl w:val="true"/>
        </w:rPr>
        <w:t>اشارة</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 من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لا یصحّ سلب البئر عنه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أوضحه فی غایة المراد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ماء نابع من الأرض لا یتعدّاها غالبا و لا یخرج عن مسمّاها عرفا</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و لا یخلو هذا التعریف عن خدشات، فالأولی وکوله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صدق ماء البئر علی ما یجری إلیها من العیون الجاریة، و إن کان المجتمع یسمّی بئرا مطلقا أو مع نبع ماء منه غیر ما یجری إلیها، و حینئذ فیحتمل وجوب النزح منه و إن اتّصل بالجاری للإطلاقات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عدم الحاجة إلیه، لمنع شمول أدلّة انفعال البئر إلّا لمائه لو خلّی و طبعه لا إذا اتّصل بالجاری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فرض الشکّ فی صدق البئر علی مجمع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العیون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الراکدة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بنجاسة البئر مطلقا، فالأقوی فیها الفرق بین الکرّ و القلیل، إذ لا دلیل علی طهارة القلیل منها، لعدم ثبوت کونها من الجاری، مع ما عرفت من التأمّل فی اعتصام الجاری القلیل لو لا الشهرة و الإجماعات المدّعاة و شذوذ المخالف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روایة ابن بزیع المشتملة علی التعلیل بالمادّة </w:t>
      </w:r>
      <w:r>
        <w:rPr>
          <w:rStyle w:val="FootnoteAnchor"/>
          <w:rtl w:val="true"/>
        </w:rPr>
        <w:footnoteReference w:id="662"/>
      </w:r>
      <w:r>
        <w:rPr>
          <w:rFonts w:ascii="IRNazanin" w:hAnsi="IRNazanin" w:eastAsia="IRNazanin"/>
          <w:color w:val="111111"/>
          <w:sz w:val="28"/>
          <w:sz w:val="28"/>
          <w:szCs w:val="28"/>
          <w:rtl w:val="true"/>
          <w:lang w:bidi="fa-IR"/>
        </w:rPr>
        <w:t xml:space="preserve">فهی إذا لم نقل بها </w:t>
      </w:r>
      <w:r>
        <w:rPr>
          <w:rStyle w:val="FootnoteAnchor"/>
          <w:rtl w:val="true"/>
        </w:rPr>
        <w:footnoteReference w:id="663"/>
      </w:r>
      <w:r>
        <w:rPr>
          <w:rFonts w:ascii="IRNazanin" w:hAnsi="IRNazanin" w:eastAsia="IRNazanin"/>
          <w:color w:val="111111"/>
          <w:sz w:val="28"/>
          <w:sz w:val="28"/>
          <w:szCs w:val="28"/>
          <w:rtl w:val="true"/>
          <w:lang w:bidi="fa-IR"/>
        </w:rPr>
        <w:t>فی موردها و هو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القول بنجاستها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نتعدّی منه؟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القول بطهارة البئر مطلقا ففی الحکم بالطهارة هنا إشکال، لما عرفت من أنّ التعلیل فیها یحتمل الرجوع إلی الجزء الأخیر منها </w:t>
      </w:r>
      <w:r>
        <w:rPr>
          <w:rStyle w:val="FootnoteAnchor"/>
          <w:rtl w:val="true"/>
        </w:rPr>
        <w:footnoteReference w:id="664"/>
      </w:r>
      <w:r>
        <w:rPr>
          <w:rFonts w:ascii="IRNazanin" w:hAnsi="IRNazanin" w:eastAsia="IRNazanin"/>
          <w:color w:val="111111"/>
          <w:sz w:val="28"/>
          <w:sz w:val="28"/>
          <w:szCs w:val="28"/>
          <w:rtl w:val="true"/>
          <w:lang w:bidi="fa-IR"/>
        </w:rPr>
        <w:t xml:space="preserve">و هو ترتّب ذهاب التغیّر علی النزح، و علی تقدیر الظهور فی الرجوع إلی الفقرة الأولی أو الثانیة أو کلتیهما فیعارضها ما دلّ علی انفعال القلیل </w:t>
      </w:r>
      <w:r>
        <w:rPr>
          <w:rStyle w:val="FootnoteAnchor"/>
          <w:rtl w:val="true"/>
        </w:rPr>
        <w:footnoteReference w:id="665"/>
      </w:r>
      <w:r>
        <w:rPr>
          <w:rFonts w:ascii="IRNazanin" w:hAnsi="IRNazanin" w:eastAsia="IRNazanin"/>
          <w:color w:val="111111"/>
          <w:sz w:val="28"/>
          <w:sz w:val="28"/>
          <w:szCs w:val="28"/>
          <w:rtl w:val="true"/>
          <w:lang w:bidi="fa-IR"/>
        </w:rPr>
        <w:t>فلا بدّ من ارتکاب التخصیص فی تلک الأخبار أو مخالفة الظاهر فی الروایة، لا بعنوان تخصیصها بالکرّ حتّی یلغو التعلیل بالمادّة، بل یصرف التعلیل إلی الجزء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أولویة التخصیص فی خصوص المقام ممنوعة، لقوّة العمومات و ضعف ظهور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فرض التکافؤ فیمکن الرجوع إلی مفهوم ما دلّ علی اشتراط المادّة المشتملة علی الکرّ فی اعتصام ماء الحمّام </w:t>
      </w:r>
      <w:r>
        <w:rPr>
          <w:rStyle w:val="FootnoteAnchor"/>
          <w:rtl w:val="true"/>
        </w:rPr>
        <w:footnoteReference w:id="666"/>
      </w:r>
      <w:r>
        <w:rPr>
          <w:rFonts w:ascii="IRNazanin" w:hAnsi="IRNazanin" w:eastAsia="IRNazanin"/>
          <w:color w:val="111111"/>
          <w:sz w:val="28"/>
          <w:sz w:val="28"/>
          <w:szCs w:val="28"/>
          <w:rtl w:val="true"/>
          <w:lang w:bidi="fa-IR"/>
        </w:rPr>
        <w:t>بناء علی ما تقدّم من أنّ ظاهر الجملة الشرطیة علّیة المادّة المشتملة علی الکرّ للاعتصام فکما یتعدّی من منطوقه إلی کلّ ماء قلیل متّصل بمادّته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المشتملة علی الکرّ، کذلک یتعدّی من مفهومه إلی کلّ ماء قلیل انتفت فیه تلک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النسبة بینهما عموم من وجه فیتعارضان فی ما إذا کان للماء القلیل مادّة غیر کرّ، مدفوع بأنّ مادّة الاجتماع غیر قابلة للخروج عن المفهوم، و إلّا لغا اعتبار الکرّیة فی المادّة و کانت العلّة نفس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علم کون مادّة العین الراکدة کرّا و علم اتّصالها بها حین الملاقاة لم ینفعل، لمنطوق العلّة فی ماء الحمّام، فإنّه یتعدّی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أدلّته المخصّصة لأدلّة انفعال الماء القلیل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تعلیل الصحیحة مؤیّدا کعمومات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تطهّرها بالنزح المزیل لو انفعل بالتغیّر وجه، إمّا لرجوع التعلیل فی الصحیحة إلی الفقرة الثانیة فقط أو مع الاولی، و إمّا لأنّ المادّة إذا فرضت کرّا فاخرج منها بسبب نزح بعض الماء مقدار مزیل للتغیر فقد زال تغیّره بماء معتصم فیطهر، کما عرفت سابقا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البئر کغیره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بتغیّره بالنجاسة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 و 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ینجس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کثیرا؟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قال أکثر القدماء، کالصدوقین </w:t>
      </w:r>
      <w:r>
        <w:rPr>
          <w:rStyle w:val="FootnoteAnchor"/>
          <w:rtl w:val="true"/>
        </w:rPr>
        <w:footnoteReference w:id="669"/>
      </w:r>
      <w:r>
        <w:rPr>
          <w:rFonts w:ascii="IRNazanin" w:hAnsi="IRNazanin" w:eastAsia="IRNazanin"/>
          <w:color w:val="111111"/>
          <w:sz w:val="28"/>
          <w:sz w:val="28"/>
          <w:szCs w:val="28"/>
          <w:rtl w:val="true"/>
          <w:lang w:bidi="fa-IR"/>
        </w:rPr>
        <w:t xml:space="preserve">و المشایخ الثلاثة </w:t>
      </w:r>
      <w:r>
        <w:rPr>
          <w:rStyle w:val="FootnoteAnchor"/>
          <w:rtl w:val="true"/>
        </w:rPr>
        <w:footnoteReference w:id="670"/>
      </w:r>
      <w:r>
        <w:rPr>
          <w:rFonts w:ascii="IRNazanin" w:hAnsi="IRNazanin" w:eastAsia="IRNazanin"/>
          <w:color w:val="111111"/>
          <w:sz w:val="28"/>
          <w:sz w:val="28"/>
          <w:szCs w:val="28"/>
          <w:rtl w:val="true"/>
          <w:lang w:bidi="fa-IR"/>
        </w:rPr>
        <w:t xml:space="preserve">و أتباعهم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و الحلّی </w:t>
      </w:r>
      <w:r>
        <w:rPr>
          <w:rStyle w:val="FootnoteAnchor"/>
          <w:rtl w:val="true"/>
        </w:rPr>
        <w:footnoteReference w:id="672"/>
      </w:r>
      <w:r>
        <w:rPr>
          <w:rFonts w:ascii="IRNazanin" w:hAnsi="IRNazanin" w:eastAsia="IRNazanin"/>
          <w:color w:val="111111"/>
          <w:sz w:val="28"/>
          <w:sz w:val="28"/>
          <w:szCs w:val="28"/>
          <w:rtl w:val="true"/>
          <w:lang w:bidi="fa-IR"/>
        </w:rPr>
        <w:t xml:space="preserve">و ابن سعید </w:t>
      </w:r>
      <w:r>
        <w:rPr>
          <w:rStyle w:val="FootnoteAnchor"/>
          <w:rtl w:val="true"/>
        </w:rPr>
        <w:footnoteReference w:id="673"/>
      </w:r>
      <w:r>
        <w:rPr>
          <w:rFonts w:ascii="Amiri" w:hAnsi="Amiri" w:eastAsia="Amiri" w:cs="Amiri"/>
          <w:color w:val="111111"/>
          <w:sz w:val="28"/>
          <w:sz w:val="28"/>
          <w:szCs w:val="28"/>
          <w:rtl w:val="true"/>
          <w:lang w:bidi="ar-SA"/>
        </w:rPr>
        <w:t xml:space="preserve">و المحقّق </w:t>
      </w:r>
      <w:r>
        <w:rPr>
          <w:rStyle w:val="FootnoteAnchor"/>
          <w:rtl w:val="true"/>
        </w:rPr>
        <w:footnoteReference w:id="674"/>
      </w:r>
      <w:r>
        <w:rPr>
          <w:rFonts w:ascii="IRNazanin" w:hAnsi="IRNazanin" w:eastAsia="IRNazanin"/>
          <w:color w:val="111111"/>
          <w:sz w:val="28"/>
          <w:sz w:val="28"/>
          <w:szCs w:val="28"/>
          <w:rtl w:val="true"/>
          <w:lang w:bidi="fa-IR"/>
        </w:rPr>
        <w:t xml:space="preserve">و الفاضل فی بعض کتبه </w:t>
      </w:r>
      <w:r>
        <w:rPr>
          <w:rStyle w:val="FootnoteAnchor"/>
          <w:rtl w:val="true"/>
        </w:rPr>
        <w:footnoteReference w:id="675"/>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676"/>
      </w:r>
      <w:r>
        <w:rPr>
          <w:rFonts w:ascii="IRNazanin" w:hAnsi="IRNazanin" w:eastAsia="IRNazanin"/>
          <w:color w:val="111111"/>
          <w:sz w:val="28"/>
          <w:sz w:val="28"/>
          <w:szCs w:val="28"/>
          <w:rtl w:val="true"/>
          <w:lang w:bidi="fa-IR"/>
        </w:rPr>
        <w:t>بل عن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دین الإمامیة </w:t>
      </w:r>
      <w:r>
        <w:rPr>
          <w:rStyle w:val="FootnoteAnchor"/>
          <w:rtl w:val="true"/>
        </w:rPr>
        <w:footnoteReference w:id="677"/>
      </w:r>
      <w:r>
        <w:rPr>
          <w:rFonts w:ascii="IRNazanin" w:hAnsi="IRNazanin" w:eastAsia="IRNazanin"/>
          <w:color w:val="111111"/>
          <w:sz w:val="28"/>
          <w:sz w:val="28"/>
          <w:szCs w:val="28"/>
          <w:rtl w:val="true"/>
          <w:lang w:bidi="fa-IR"/>
        </w:rPr>
        <w:t xml:space="preserve">و عن الانتصار </w:t>
      </w:r>
      <w:r>
        <w:rPr>
          <w:rStyle w:val="FootnoteAnchor"/>
          <w:rtl w:val="true"/>
        </w:rPr>
        <w:footnoteReference w:id="678"/>
      </w:r>
      <w:r>
        <w:rPr>
          <w:rFonts w:ascii="IRNazanin" w:hAnsi="IRNazanin" w:eastAsia="IRNazanin"/>
          <w:color w:val="111111"/>
          <w:sz w:val="28"/>
          <w:sz w:val="28"/>
          <w:szCs w:val="28"/>
          <w:rtl w:val="true"/>
          <w:lang w:bidi="fa-IR"/>
        </w:rPr>
        <w:t xml:space="preserve">و الغنیة </w:t>
      </w:r>
      <w:r>
        <w:rPr>
          <w:rStyle w:val="FootnoteAnchor"/>
          <w:rtl w:val="true"/>
        </w:rPr>
        <w:footnoteReference w:id="679"/>
      </w:r>
      <w:r>
        <w:rPr>
          <w:rFonts w:ascii="IRNazanin" w:hAnsi="IRNazanin" w:eastAsia="IRNazanin"/>
          <w:color w:val="111111"/>
          <w:sz w:val="28"/>
          <w:sz w:val="28"/>
          <w:szCs w:val="28"/>
          <w:rtl w:val="true"/>
          <w:lang w:bidi="fa-IR"/>
        </w:rPr>
        <w:t xml:space="preserve">و ظاهر التهذیبین </w:t>
      </w:r>
      <w:r>
        <w:rPr>
          <w:rStyle w:val="FootnoteAnchor"/>
          <w:rtl w:val="true"/>
        </w:rPr>
        <w:footnoteReference w:id="680"/>
      </w:r>
      <w:r>
        <w:rPr>
          <w:rFonts w:ascii="Amiri" w:hAnsi="Amiri" w:eastAsia="Amiri" w:cs="Amiri"/>
          <w:color w:val="111111"/>
          <w:sz w:val="28"/>
          <w:sz w:val="28"/>
          <w:szCs w:val="28"/>
          <w:rtl w:val="true"/>
          <w:lang w:bidi="ar-SA"/>
        </w:rPr>
        <w:t xml:space="preserve">و مصریّات المحقّق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فیه </w:t>
      </w:r>
      <w:r>
        <w:rPr>
          <w:rStyle w:val="FootnoteAnchor"/>
          <w:rtl w:val="true"/>
        </w:rPr>
        <w:footnoteReference w:id="682"/>
      </w:r>
      <w:r>
        <w:rPr>
          <w:rFonts w:ascii="IRNazanin" w:hAnsi="IRNazanin" w:eastAsia="IRNazanin"/>
          <w:color w:val="111111"/>
          <w:sz w:val="28"/>
          <w:sz w:val="28"/>
          <w:szCs w:val="28"/>
          <w:rtl w:val="true"/>
          <w:lang w:bidi="fa-IR"/>
        </w:rPr>
        <w:t>و فی شرح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Style w:val="FootnoteAnchor"/>
          <w:rtl w:val="true"/>
        </w:rPr>
        <w:footnoteReference w:id="683"/>
      </w:r>
      <w:r>
        <w:rPr>
          <w:rFonts w:ascii="IRNazanin" w:hAnsi="IRNazanin" w:eastAsia="IRNazanin"/>
          <w:color w:val="111111"/>
          <w:sz w:val="28"/>
          <w:sz w:val="28"/>
          <w:szCs w:val="28"/>
          <w:rtl w:val="true"/>
          <w:lang w:bidi="fa-IR"/>
        </w:rPr>
        <w:t>و عن کاشف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علیه فتوی الفقهاء من زمن النبیّ صلّی اللّٰه علیه و آله و سلّم إلی یومنا هذا </w:t>
      </w:r>
      <w:r>
        <w:rPr>
          <w:rStyle w:val="FootnoteAnchor"/>
          <w:rtl w:val="true"/>
        </w:rPr>
        <w:footnoteReference w:id="684"/>
      </w: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 یکون إجماعا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لا ینجس و لو کان قلیلا؟ کما عن العمانی </w:t>
      </w:r>
      <w:r>
        <w:rPr>
          <w:rStyle w:val="FootnoteAnchor"/>
          <w:rtl w:val="true"/>
        </w:rPr>
        <w:footnoteReference w:id="686"/>
      </w:r>
      <w:r>
        <w:rPr>
          <w:rFonts w:ascii="IRNazanin" w:hAnsi="IRNazanin" w:eastAsia="IRNazanin"/>
          <w:color w:val="111111"/>
          <w:sz w:val="28"/>
          <w:sz w:val="28"/>
          <w:szCs w:val="28"/>
          <w:rtl w:val="true"/>
          <w:lang w:bidi="fa-IR"/>
        </w:rPr>
        <w:t xml:space="preserve">و ابن الغضائری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و الشیخ فی التهذیبین </w:t>
      </w:r>
      <w:r>
        <w:rPr>
          <w:rStyle w:val="FootnoteAnchor"/>
          <w:rtl w:val="true"/>
        </w:rPr>
        <w:footnoteReference w:id="688"/>
      </w:r>
      <w:r>
        <w:rPr>
          <w:rFonts w:ascii="IRNazanin" w:hAnsi="IRNazanin" w:eastAsia="IRNazanin"/>
          <w:color w:val="111111"/>
          <w:sz w:val="28"/>
          <w:sz w:val="28"/>
          <w:szCs w:val="28"/>
          <w:rtl w:val="true"/>
          <w:lang w:bidi="fa-IR"/>
        </w:rPr>
        <w:t xml:space="preserve">و العلّامة فی أکثر کتبه </w:t>
      </w:r>
      <w:r>
        <w:rPr>
          <w:rStyle w:val="FootnoteAnchor"/>
          <w:rtl w:val="true"/>
        </w:rPr>
        <w:footnoteReference w:id="689"/>
      </w:r>
      <w:r>
        <w:rPr>
          <w:rFonts w:ascii="IRNazanin" w:hAnsi="IRNazanin" w:eastAsia="IRNazanin"/>
          <w:color w:val="111111"/>
          <w:sz w:val="28"/>
          <w:sz w:val="28"/>
          <w:szCs w:val="28"/>
          <w:rtl w:val="true"/>
          <w:lang w:bidi="fa-IR"/>
        </w:rPr>
        <w:t xml:space="preserve">و شیخه مفید الدین محمّد بن محمّد بن الجهم </w:t>
      </w:r>
      <w:r>
        <w:rPr>
          <w:rStyle w:val="FootnoteAnchor"/>
          <w:rtl w:val="true"/>
        </w:rPr>
        <w:footnoteReference w:id="690"/>
      </w:r>
      <w:r>
        <w:rPr>
          <w:rFonts w:ascii="IRNazanin" w:hAnsi="IRNazanin" w:eastAsia="IRNazanin"/>
          <w:color w:val="111111"/>
          <w:sz w:val="28"/>
          <w:sz w:val="28"/>
          <w:szCs w:val="28"/>
          <w:rtl w:val="true"/>
          <w:lang w:bidi="fa-IR"/>
        </w:rPr>
        <w:t xml:space="preserve">و ولده </w:t>
      </w:r>
      <w:r>
        <w:rPr>
          <w:rStyle w:val="FootnoteAnchor"/>
          <w:rtl w:val="true"/>
        </w:rPr>
        <w:footnoteReference w:id="691"/>
      </w:r>
      <w:r>
        <w:rPr>
          <w:rFonts w:ascii="IRNazanin" w:hAnsi="IRNazanin" w:eastAsia="IRNazanin"/>
          <w:color w:val="111111"/>
          <w:sz w:val="28"/>
          <w:sz w:val="28"/>
          <w:szCs w:val="28"/>
          <w:rtl w:val="true"/>
          <w:lang w:bidi="fa-IR"/>
        </w:rPr>
        <w:t xml:space="preserve">و صاحب التنقیح </w:t>
      </w:r>
      <w:r>
        <w:rPr>
          <w:rStyle w:val="FootnoteAnchor"/>
          <w:rtl w:val="true"/>
        </w:rPr>
        <w:footnoteReference w:id="692"/>
      </w:r>
      <w:r>
        <w:rPr>
          <w:rFonts w:ascii="IRNazanin" w:hAnsi="IRNazanin" w:eastAsia="IRNazanin"/>
          <w:color w:val="111111"/>
          <w:sz w:val="28"/>
          <w:sz w:val="28"/>
          <w:szCs w:val="28"/>
          <w:rtl w:val="true"/>
          <w:lang w:bidi="fa-IR"/>
        </w:rPr>
        <w:t xml:space="preserve">و الموجز </w:t>
      </w:r>
      <w:r>
        <w:rPr>
          <w:rStyle w:val="FootnoteAnchor"/>
          <w:rtl w:val="true"/>
        </w:rPr>
        <w:footnoteReference w:id="693"/>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694"/>
      </w:r>
      <w:r>
        <w:rPr>
          <w:rFonts w:ascii="IRNazanin" w:hAnsi="IRNazanin" w:eastAsia="IRNazanin"/>
          <w:color w:val="111111"/>
          <w:sz w:val="28"/>
          <w:sz w:val="28"/>
          <w:szCs w:val="28"/>
          <w:rtl w:val="true"/>
          <w:lang w:bidi="fa-IR"/>
        </w:rPr>
        <w:t xml:space="preserve">و المحقّق المیسی </w:t>
      </w:r>
      <w:r>
        <w:rPr>
          <w:rStyle w:val="FootnoteAnchor"/>
          <w:rtl w:val="true"/>
        </w:rPr>
        <w:footnoteReference w:id="695"/>
      </w:r>
      <w:r>
        <w:rPr>
          <w:rFonts w:ascii="IRNazanin" w:hAnsi="IRNazanin" w:eastAsia="IRNazanin"/>
          <w:color w:val="111111"/>
          <w:sz w:val="28"/>
          <w:sz w:val="28"/>
          <w:szCs w:val="28"/>
          <w:rtl w:val="true"/>
          <w:lang w:bidi="fa-IR"/>
        </w:rPr>
        <w:t xml:space="preserve">و الشهید الثانی علی ما صحّ عن رسالته المصنّفة فی المسألة </w:t>
      </w:r>
      <w:r>
        <w:rPr>
          <w:rStyle w:val="FootnoteAnchor"/>
          <w:rtl w:val="true"/>
        </w:rPr>
        <w:footnoteReference w:id="696"/>
      </w:r>
      <w:r>
        <w:rPr>
          <w:rFonts w:ascii="IRNazanin" w:hAnsi="IRNazanin" w:eastAsia="IRNazanin"/>
          <w:color w:val="111111"/>
          <w:sz w:val="28"/>
          <w:sz w:val="28"/>
          <w:szCs w:val="28"/>
          <w:rtl w:val="true"/>
          <w:lang w:bidi="fa-IR"/>
        </w:rPr>
        <w:t>و جمهور المتأخّرین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یفرق بین القلیل و الکثیر؟ کما عن البصرویّ </w:t>
      </w:r>
      <w:r>
        <w:rPr>
          <w:rStyle w:val="FootnoteAnchor"/>
          <w:rtl w:val="true"/>
        </w:rPr>
        <w:footnoteReference w:id="697"/>
      </w:r>
      <w:r>
        <w:rPr>
          <w:rFonts w:ascii="IRNazanin" w:hAnsi="IRNazanin" w:eastAsia="IRNazanin"/>
          <w:color w:val="111111"/>
          <w:sz w:val="28"/>
          <w:sz w:val="28"/>
          <w:szCs w:val="28"/>
          <w:rtl w:val="true"/>
          <w:lang w:bidi="fa-IR"/>
        </w:rPr>
        <w:t xml:space="preserve">و حکاه فی المنتقی عن جماعة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لازم للعلّامة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 فی الجاری بین القلیل و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الملازمة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یبعد استظهاره منه فی المنتهی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المحقّق مع ما حکی عن مصریّاته من الإجماع علی الحکم بالنجاسة قال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التنجیس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فی المعتبر من النقل المستفیض عن الصحابة بإیجاب النزح و أنّه کان معلوما منهم و إن اختلفوا فی مقدار النزح </w:t>
      </w:r>
      <w:r>
        <w:rPr>
          <w:rStyle w:val="FootnoteAnchor"/>
          <w:rtl w:val="true"/>
        </w:rPr>
        <w:footnoteReference w:id="701"/>
      </w:r>
      <w:r>
        <w:rPr>
          <w:rFonts w:ascii="IRNazanin" w:hAnsi="IRNazanin" w:eastAsia="IRNazanin"/>
          <w:color w:val="111111"/>
          <w:sz w:val="28"/>
          <w:sz w:val="28"/>
          <w:szCs w:val="28"/>
          <w:rtl w:val="true"/>
          <w:lang w:bidi="fa-IR"/>
        </w:rPr>
        <w:t>و الأخبار المتواترة الدالّة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وجوبه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استدلّ أیضا بالإجماعات المنقولة </w:t>
      </w:r>
      <w:r>
        <w:rPr>
          <w:rStyle w:val="FootnoteAnchor"/>
          <w:rtl w:val="true"/>
        </w:rPr>
        <w:footnoteReference w:id="703"/>
      </w:r>
      <w:r>
        <w:rPr>
          <w:rFonts w:ascii="IRNazanin" w:hAnsi="IRNazanin" w:eastAsia="IRNazanin"/>
          <w:color w:val="111111"/>
          <w:sz w:val="28"/>
          <w:sz w:val="28"/>
          <w:szCs w:val="28"/>
          <w:rtl w:val="true"/>
          <w:lang w:bidi="fa-IR"/>
        </w:rPr>
        <w:t>المعتضدة بالشهرة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تواتر الأخبار و النقل بالنزح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دلالته علی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ذلک علی الاستحباب، لما سیأتی من الأمارات، و أمّا الإجماع و الشهرة فموهونان بما عرفت من الخلاف من کثیر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استدلّ أیضا ببعض الأخبار الظاهرة فی النجاسة، مثل صحیحة محمّد بن إسماعیل بن بزیع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رجل أسأله أن یسأل أبا الحسن الرضا علیه السلام عن البئر تکون فی المنزل للوضوء فیقطر فیها قطرات من بول أو دم أو یسقط فیها شی‌ء من عذرة کالبعرة و نحوها، ما الّذی یطهّرها حتّی یحلّ الوضوء منها للصلاة؟ فکتب فیها علیه السلام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منها دلاء</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دلالتها لیس إلّا من باب التقریر، بضمیمة أصالة عدم الخوف فی الردع بالکتابة، و هو معارض بظهور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ینزح 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کفایة نزح مطلق الدلاء للدم و البول و العذرة، فیتعیّن حمل الجملة الخبریة علی الاستحباب، فیکون نزح مقدار من الدلاء مستحبّا لکلّ واحد و إن کان الأفضل ما ورد من المقدار المعیّن لکلّ واحد، إذ لو حمل علی الوجوب لم یجز حمله علی ظاهره من التخییر بین الدلاء فی النجاسات المذکورة إجماعا، فلا بدّ إمّا من التزام إجمال الروایة و أنّ المقصود بیان إیجاب أصل النزح بمقدار من الدلاء و أنّ النزح طریق تطهیر البئر و تفصیله موکول ببیان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ما یجب فی کلّ واحد من النجاسات إلی مقام آخر، و إمّا من التزام نصب القرینة لإرادة العدد الخاصّ من لفظ الدلاء بالنسبة إلی کلّ من النجاسات المسئول عنها، و شی‌ء من الأمرین المخالفین لظاهر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یلتزمه أحد لأجل أصالة عدم ردع الإمام علیه السلام بل الظاهر أنّ السائل بعد ملاحظته لکلام الإمام علیه السلام لم یشکّ فی أنّه ردعه بهذا الکلام عن اعتقاده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أنّ ابن بزیع روی الروایة الآتیة </w:t>
      </w:r>
      <w:r>
        <w:rPr>
          <w:rStyle w:val="FootnoteAnchor"/>
          <w:rtl w:val="true"/>
        </w:rPr>
        <w:footnoteReference w:id="705"/>
      </w:r>
      <w:r>
        <w:rPr>
          <w:rFonts w:ascii="IRNazanin" w:hAnsi="IRNazanin" w:eastAsia="IRNazanin"/>
          <w:color w:val="111111"/>
          <w:sz w:val="28"/>
          <w:sz w:val="28"/>
          <w:szCs w:val="28"/>
          <w:rtl w:val="true"/>
          <w:lang w:bidi="fa-IR"/>
        </w:rPr>
        <w:t>الّتی هی أظهر من هذه الروایة فی عدم انفعال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بصحیحة </w:t>
      </w:r>
      <w:r>
        <w:rPr>
          <w:rStyle w:val="FootnoteAnchor"/>
          <w:rtl w:val="true"/>
        </w:rPr>
        <w:footnoteReference w:id="706"/>
      </w:r>
      <w:r>
        <w:rPr>
          <w:rFonts w:ascii="IRNazanin" w:hAnsi="IRNazanin" w:eastAsia="IRNazanin"/>
          <w:color w:val="111111"/>
          <w:sz w:val="28"/>
          <w:sz w:val="28"/>
          <w:szCs w:val="28"/>
          <w:rtl w:val="true"/>
          <w:lang w:bidi="fa-IR"/>
        </w:rPr>
        <w:t xml:space="preserve">علیّ بن یقطین عن 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البئر یقع فیها الحمامة أو الدجاجة أو الفأرة أو الکلب أو الهرّة؟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أن تنزح منها دلاء، فإنّ ذلک یطهّرها إن شاء اللّٰه تعالی</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أظهر دلالة من الاولی، لوقوع التطهیر فی کلام الإمام علیه السلام، إلّا أنّ الأمر بنزح الدلاء أظهر هنا فی الاستحباب من حیث کونه أظهر فی مقام البیان، فیبعد جدّا حملها علی بیان نوع المطهّر و إحالة تفصیل کلّ واحد من النجاسات المذکورة إلی مقام آخر، فالأولی 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علی إرادة إزالة القذارة و النفرة الحاصلة من وقوع تلک الأشیاء</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بصحیحة </w:t>
      </w:r>
      <w:r>
        <w:rPr>
          <w:rStyle w:val="FootnoteAnchor"/>
          <w:rtl w:val="true"/>
        </w:rPr>
        <w:footnoteReference w:id="708"/>
      </w:r>
      <w:r>
        <w:rPr>
          <w:rFonts w:ascii="IRNazanin" w:hAnsi="IRNazanin" w:eastAsia="IRNazanin"/>
          <w:color w:val="111111"/>
          <w:sz w:val="28"/>
          <w:sz w:val="28"/>
          <w:szCs w:val="28"/>
          <w:rtl w:val="true"/>
          <w:lang w:bidi="fa-IR"/>
        </w:rPr>
        <w:t>ابن أبی یعفور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أتیت البئر و أنت جنب فلم تجد دلوا و لا شیئا تغترف به فتیمّم بالصعید، فإنّ ربّ الماء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ربّ الصعید، و لا تقع فی البئر و لا تفسد علی القوم ماءهم</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بها مبنیّ علی فرض بدن الجنب نجسا، و لا شکّ فی أنّ وقوعه فی البئر ینجّس البئر فلا یرفع الحدث بل یزید الخبث و یحتاج بالأخرة إلی التیمّم، فلیس محذور الوقوع فی البئر راجعا إلی ما یضرّ بالقوم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لغو صرف و زیادة فی نجاسة بدنه، فالتعلیل بهذا أولی بل متعیّن، حیث إنّ محذور فساد الماء یرتفع بنزح دلاء منه، فلا دلالة فی الروایة علی المطلوب، و یکون النهی عن إفساد الماء لأجل استقذار القوم ذلک، أو لإثارة الوحل من البئر، أو لصیرورته مستعملا فی الحدث الأکبر، فالإنصاف أنّ هذه الصحیحة أظهر فی عدم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ممّن حکی عنه فی المنتقی </w:t>
      </w:r>
      <w:r>
        <w:rPr>
          <w:rStyle w:val="FootnoteAnchor"/>
          <w:rtl w:val="true"/>
        </w:rPr>
        <w:footnoteReference w:id="710"/>
      </w:r>
      <w:r>
        <w:rPr>
          <w:rFonts w:ascii="IRNazanin" w:hAnsi="IRNazanin" w:eastAsia="IRNazanin"/>
          <w:color w:val="111111"/>
          <w:sz w:val="28"/>
          <w:sz w:val="28"/>
          <w:szCs w:val="28"/>
          <w:rtl w:val="true"/>
          <w:lang w:bidi="fa-IR"/>
        </w:rPr>
        <w:t xml:space="preserve">مساواة ظهور هذه الصحیحة فی الدلالة علی الانفعال لصحیحة ابن بزیع الآتیة </w:t>
      </w:r>
      <w:r>
        <w:rPr>
          <w:rStyle w:val="FootnoteAnchor"/>
          <w:rtl w:val="true"/>
        </w:rPr>
        <w:footnoteReference w:id="711"/>
      </w:r>
      <w:r>
        <w:rPr>
          <w:rFonts w:ascii="IRNazanin" w:hAnsi="IRNazanin" w:eastAsia="IRNazanin"/>
          <w:color w:val="111111"/>
          <w:sz w:val="28"/>
          <w:sz w:val="28"/>
          <w:szCs w:val="28"/>
          <w:rtl w:val="true"/>
          <w:lang w:bidi="fa-IR"/>
        </w:rPr>
        <w:t>الدالّة علی عدم الانفعال و موثّقة عمّار الواردة فی وقوع الکلب و الفأرة و الخنزیر،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ینزف کلّها، فان غلب الماء ینزف یوما إلی اللیل ثمّ یقام علیها قوم یتراوحون اثنین اثنین فینزفون یوما إلی اللیل و قد طهرت</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نزح الکلّ للأشیاء المذکورة لعلّه خلاف الإجماع، و لذا حمله الشیخ علی صورة التغیّر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و بحسنة </w:t>
      </w:r>
      <w:r>
        <w:rPr>
          <w:rStyle w:val="FootnoteAnchor"/>
          <w:rtl w:val="true"/>
        </w:rPr>
        <w:footnoteReference w:id="714"/>
      </w:r>
      <w:r>
        <w:rPr>
          <w:rFonts w:ascii="IRNazanin" w:hAnsi="IRNazanin" w:eastAsia="IRNazanin"/>
          <w:color w:val="111111"/>
          <w:sz w:val="28"/>
          <w:sz w:val="28"/>
          <w:szCs w:val="28"/>
          <w:rtl w:val="true"/>
          <w:lang w:bidi="fa-IR"/>
        </w:rPr>
        <w:t>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یتوضّأ منها یجری البول قریبا منها أ ینجّسها؟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البئر فی أعلی الوادی یجری فیه البول من تحتها و کان بینهما قدر ثلاثة أذرع أو أربعة أذرع لم ینجس شی‌ء من ذلک، و إن کان أقلّ من ذلک نجّسها،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البئر فی أسفل الوادی و یمرّ الماء علیها و کان بینه و بین البئر تسعة أذرع لم ینجّسها، و ما کان أقلّ من ذلک فلا یتوضّأ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مجری البول یلصقها و کان لا یلبث علی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له قرار فلا بأس، و إن استقرّ منه قلیل فإنّه لا یثقب الأرض و لا قعر له حتّی یبلغ البئر و لیس علی البئر منه بأس، فیتوضّأ منه، إنّما ذلک إذا استنقع کلّه</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الحسنة و إن لم تحمل علی ظاهرها من حیث عدم انفعال البئر بمجرّد قرب المبال منها، إلّا أنّها ظاهرة فی الانفعال عند العلم بوصول البول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فی الظهور قوله علیه السلام فی روایة ابن مسکان عن أبی بصیر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یقع فی البئر لیس له دم مثل العقرب و الخنافس و أشباه ذلک فلا بأس</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لکنّها کالروایات الأربع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ظهورها فی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أخبار النزح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ظهورها فی الاستحباب و تسلیم دلالة وجوب النزح علی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بالصحاح المستفیضة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 غیرها الّتی هی أقوی دلالة من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محمّد بن إسماعیل 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البئر واسع لا یفسده شی‌ء إلّا أن یتغیّر ریحه أو طعمه، فینزح منه حتّی یذهب الریح و یطیب طعمه</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و دلالتها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یلتفت إلی ما ذکر لها فی المعتبر </w:t>
      </w:r>
      <w:r>
        <w:rPr>
          <w:rStyle w:val="FootnoteAnchor"/>
          <w:rtl w:val="true"/>
        </w:rPr>
        <w:footnoteReference w:id="718"/>
      </w:r>
      <w:r>
        <w:rPr>
          <w:rFonts w:ascii="IRNazanin" w:hAnsi="IRNazanin" w:eastAsia="IRNazanin"/>
          <w:color w:val="111111"/>
          <w:sz w:val="28"/>
          <w:sz w:val="28"/>
          <w:szCs w:val="28"/>
          <w:rtl w:val="true"/>
          <w:lang w:bidi="fa-IR"/>
        </w:rPr>
        <w:t>و غیره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علی بن جعفر عن أخیه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بئر ماء وقع فیه زنبیل من عذرة یابسة أو رطبة أو زنبیل من سرقین، أ یصلح الوضوء منها؟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 الثوب و لا تعاد الصلاة ممّا یقع فی البئر إلّا أن ینتن</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صحیحته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الفأرة تقع فی البئر فیتوضّأ الرجل منها و یصلّی و هو لا یعلم، أ یعید الصلاة و یغسل ثوبه؟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الصلاة و لا یغسل ثوبه</w:t>
      </w:r>
      <w:r>
        <w:rPr>
          <w:rFonts w:eastAsia="IRNazanin" w:cs="IRNazanin"/>
          <w:color w:val="111111"/>
          <w:sz w:val="28"/>
          <w:szCs w:val="28"/>
          <w:rtl w:val="true"/>
          <w:lang w:bidi="fa-IR"/>
        </w:rPr>
        <w:t xml:space="preserve">»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بمعناها موثّقة أبان و روایة جعفر بن بشیر عن أبی عیینة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محمّد بن مسلم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 یقع فیها المیتة؟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لها ریح نزح منها عشرون دلوا</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بناء علی أنّ النزح لزوال الریح غالبا بالعشرین أو للاستحباب إن لم یرجع الضمیر إلی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الحبل من شعر الخنزیر یستقی به الماء من البئر هل یتوضّأ من ذلک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بناء علی أن البئر لا ینفکّ غالبا عن ملاقاة الحبل، و إن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ماء الدلو لا ینفکّ أیضا عن ملاقاة ما یتقاطر من الحبل، لکنّه لا یقدح فی المطلوب،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أو دونها فی الظهور روایة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الخنزیر یجعل دلوا یستقی به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بناء علی أنّ محلّ البیان و إن کان هو نفی البأس عن استعمال جلد الخنزیر و استعمال الماء النجس الّذی یستقی به، إلّا أنّه لو انفعل البئر کان ینبغی التنبیه علی ذلک لئلّا یستعمل البئر بعد ذلک قبل النزح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نحوهما مرسلة علیّ بن حدید عن 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 علیه السلام فی طریق مکّة فصرنا إلی بئر فاستقی غلام أبی عبد اللّٰه علیه السلام دلوا فخرج فیه فأرتان،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استقی آخر فخرج فیه فأرة،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فاستقی الثالث فلم یخرج فیه شی‌ء،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صبّه فی الإناء، فصبّه</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محمّد بن القاسم عن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البئر یکون بینها و بین الکنیف خمس أذرع أو أقلّ أو أکثر یتوضّأ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یکره من قرب و لا بعد، یتوضّأ منها و یغتسل ما لم یتغیّر الماء</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و أرسل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مسعدة</w:t>
      </w:r>
      <w:r>
        <w:rPr>
          <w:rFonts w:eastAsia="Amiri" w:cs="Amiri" w:ascii="Amiri" w:hAnsi="Amiri"/>
          <w:color w:val="111111"/>
          <w:sz w:val="28"/>
          <w:szCs w:val="28"/>
          <w:rtl w:val="true"/>
          <w:lang w:bidi="ar-SA"/>
        </w:rPr>
        <w:t xml:space="preserve">] </w:t>
      </w:r>
      <w:r>
        <w:rPr>
          <w:rStyle w:val="FootnoteAnchor"/>
          <w:rtl w:val="true"/>
        </w:rPr>
        <w:footnoteReference w:id="728"/>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فی المدینة بئر وسط مزبلة، فکانت الریح تهبّ و تلقی فیها القذر، و کان النبیّ صلّی اللّٰه علیه و آله و سلّم یتوضّأ منها</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یستقی منها و یتوضّأ به، و غسل به الثیاب و عجن به ثمّ علم أنّه کان فیها میّت؟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لا یغسل منه الثوب و لا تعاد منه الصلاة</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أبی أسامة،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فی البئر الطیر و الدجاجة و الفأرة فانزح منها سبع 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صلاتنا و وضوئنا و ما أصاب ثیابنا؟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البئر یقع فیها زنبیل عذرة یابسة أو رطبة؟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کان فیها ماء کثیر</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فإنّ الکثرة العرفیة غیر معتبرة فی الماء إجماعا، فهی للتحفّظ عن التغیّر و لم یثبت الحقیقة الشرعیة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الروایة دلیلا للقول باعتبار الکرّیة فی البئر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أخبار اثنا عشر بین صریح فی المطلوب و ظاهر فیه، و لو قدّرت معارضة ظواهرها بظواهر </w:t>
      </w:r>
      <w:r>
        <w:rPr>
          <w:rStyle w:val="FootnoteAnchor"/>
          <w:rtl w:val="true"/>
        </w:rPr>
        <w:footnoteReference w:id="733"/>
      </w:r>
      <w:r>
        <w:rPr>
          <w:rFonts w:ascii="IRNazanin" w:hAnsi="IRNazanin" w:eastAsia="IRNazanin"/>
          <w:color w:val="111111"/>
          <w:sz w:val="28"/>
          <w:sz w:val="28"/>
          <w:szCs w:val="28"/>
          <w:rtl w:val="true"/>
          <w:lang w:bidi="fa-IR"/>
        </w:rPr>
        <w:t>ما تقدّم من أخبار النجاسة کان الواجب علی المصنف ترجیح هذه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هذا کلّه، مضافا إلی مخالفة أخبارنا للعامّة و موافقتها لعمومات طهارة الماء، و استلزام العمل بأخبارهم لطرح أخبار معتبرة کثیرة فی مقام التعارض فی مقدار النزح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الشهرة و نقل الإجماع فموهونان بالاطّلاع علی فساد المستند و مخالفة جماعة کثیر من أهل التحقیق و التدقیق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التکافؤ فالواجب الرجوع إلی العمومات و مع التنزّل فإلی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لزوم الحرج الشدید خصوصا فی البلاد الّتی ینحصر ماؤهم فی البئر، و لذا قال کاشف الغطاء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لاحظ ذلک لم یحتج إلی النظر فی الأخبار عامّها و خاصّها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القول باعتبار الکرّیة فی البئر المنقول عن البصرویّ و محتمل أنّه لازم قول العلّامة قدّس سرّه فی الجاری </w:t>
      </w:r>
      <w:r>
        <w:rPr>
          <w:rStyle w:val="FootnoteAnchor"/>
          <w:rtl w:val="true"/>
        </w:rPr>
        <w:footnoteReference w:id="735"/>
      </w:r>
      <w:r>
        <w:rPr>
          <w:rFonts w:ascii="IRNazanin" w:hAnsi="IRNazanin" w:eastAsia="IRNazanin"/>
          <w:color w:val="111111"/>
          <w:sz w:val="28"/>
          <w:sz w:val="28"/>
          <w:szCs w:val="28"/>
          <w:rtl w:val="true"/>
          <w:lang w:bidi="fa-IR"/>
        </w:rPr>
        <w:t>فوجهه عموم أدلّة انفعال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یعارضها عموم أدلّة طهارة البئر، لانصراف الإطلاق فیها إلی ما یبلغ الکرّ، لأنّه الغالب فی الآبار، و لذا أمروا علیهم السلام أحیانا بنزح مائة دلو </w:t>
      </w:r>
      <w:r>
        <w:rPr>
          <w:rStyle w:val="FootnoteAnchor"/>
          <w:rtl w:val="true"/>
        </w:rPr>
        <w:footnoteReference w:id="736"/>
      </w:r>
      <w:r>
        <w:rPr>
          <w:rFonts w:ascii="IRNazanin" w:hAnsi="IRNazanin" w:eastAsia="IRNazanin"/>
          <w:color w:val="111111"/>
          <w:sz w:val="28"/>
          <w:sz w:val="28"/>
          <w:szCs w:val="28"/>
          <w:rtl w:val="true"/>
          <w:lang w:bidi="fa-IR"/>
        </w:rPr>
        <w:t xml:space="preserve">أو سبعین دلوا </w:t>
      </w:r>
      <w:r>
        <w:rPr>
          <w:rStyle w:val="FootnoteAnchor"/>
          <w:rtl w:val="true"/>
        </w:rPr>
        <w:footnoteReference w:id="737"/>
      </w:r>
      <w:r>
        <w:rPr>
          <w:rFonts w:ascii="Amiri" w:hAnsi="Amiri" w:eastAsia="Amiri" w:cs="Amiri"/>
          <w:color w:val="111111"/>
          <w:sz w:val="28"/>
          <w:sz w:val="28"/>
          <w:szCs w:val="28"/>
          <w:rtl w:val="true"/>
          <w:lang w:bidi="ar-SA"/>
        </w:rPr>
        <w:t xml:space="preserve">أو الکرّ </w:t>
      </w:r>
      <w:r>
        <w:rPr>
          <w:rStyle w:val="FootnoteAnchor"/>
          <w:rtl w:val="true"/>
        </w:rPr>
        <w:footnoteReference w:id="738"/>
      </w:r>
      <w:r>
        <w:rPr>
          <w:rFonts w:ascii="IRNazanin" w:hAnsi="IRNazanin" w:eastAsia="IRNazanin"/>
          <w:color w:val="111111"/>
          <w:sz w:val="28"/>
          <w:sz w:val="28"/>
          <w:szCs w:val="28"/>
          <w:rtl w:val="true"/>
          <w:lang w:bidi="fa-IR"/>
        </w:rPr>
        <w:t>من غیر تقیید بکون الماء کثیرا، اعتمادا علی الغالب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العمومات مخصّصة بما دلّ علی طهارة البئر عند التغیّر بنزحها حتّی یزول التغیّر </w:t>
      </w:r>
      <w:r>
        <w:rPr>
          <w:rStyle w:val="FootnoteAnchor"/>
          <w:rtl w:val="true"/>
        </w:rPr>
        <w:footnoteReference w:id="739"/>
      </w:r>
      <w:r>
        <w:rPr>
          <w:rFonts w:ascii="IRNazanin" w:hAnsi="IRNazanin" w:eastAsia="IRNazanin"/>
          <w:color w:val="111111"/>
          <w:sz w:val="28"/>
          <w:sz w:val="28"/>
          <w:szCs w:val="28"/>
          <w:rtl w:val="true"/>
          <w:lang w:bidi="fa-IR"/>
        </w:rPr>
        <w:t>فلو لا اعتصام الماء لا نفعل ما یخرج منها بملاقاة المتغیّر،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مدفوعة باحتمال کون النزح مطهّرا تعبّدیّا علی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 روایة الحسن بن صالح الثوری المتقدّمة فی الکرّ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فی الرکیّ کرّا لم ینجّسه شی‌ء</w:t>
      </w:r>
      <w:r>
        <w:rPr>
          <w:rFonts w:eastAsia="IRNazanin" w:cs="IRNazanin"/>
          <w:color w:val="111111"/>
          <w:sz w:val="28"/>
          <w:szCs w:val="28"/>
          <w:rtl w:val="true"/>
          <w:lang w:bidi="fa-IR"/>
        </w:rPr>
        <w:t xml:space="preserve">»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فی موثّقة عمّار السابقة فی أدلّة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کان الماء کثیرا</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بحمله علی الکثیر الشرعیّ، لأنّه أقرب من حمله علی ما إذا لم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فی صحیحة ابن بزیع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البئر واسع لا یفسده شی‌ء</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إبقاء الوسعة بمعناها الحقیقی و هی الکثرة الفعلیة و جعل القضیة محمولة علی الغالب، کما یشعر به کونها توطئة و تمهیدا لعدم 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إرادة الوسعة من حیث الحکم أو الوسعة من حیث الاستعداد لمکان المادّة، مرجوحة بالنسبة إلی حمل القضیة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بئر عمقها ثلاثة أشبار و نصف فی مثلها فسبیلها سبیل الجاری، إلّا أن یتغیّر لونها أو طعمها أو رائحتها</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لا إعراض الأصحاب عن هذا القول أمکن المصیر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الذراعین فی عدم انفعال الماء </w:t>
      </w:r>
      <w:r>
        <w:rPr>
          <w:rStyle w:val="FootnoteAnchor"/>
          <w:rtl w:val="true"/>
        </w:rPr>
        <w:footnoteReference w:id="744"/>
      </w:r>
      <w:r>
        <w:rPr>
          <w:rFonts w:ascii="IRNazanin" w:hAnsi="IRNazanin" w:eastAsia="IRNazanin"/>
          <w:color w:val="111111"/>
          <w:sz w:val="28"/>
          <w:sz w:val="28"/>
          <w:szCs w:val="28"/>
          <w:rtl w:val="true"/>
          <w:lang w:bidi="fa-IR"/>
        </w:rPr>
        <w:t>و لم نعثر له علی وجه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من طهارة البئر، فالمشهور بینهم استحباب النزح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و ینسب إلی الشیخ قدّس سرّه فی التهذیب وجوب النزح تعبّدا </w:t>
      </w:r>
      <w:r>
        <w:rPr>
          <w:rStyle w:val="FootnoteAnchor"/>
          <w:rtl w:val="true"/>
        </w:rPr>
        <w:footnoteReference w:id="745"/>
      </w:r>
      <w:r>
        <w:rPr>
          <w:rFonts w:ascii="Amiri" w:hAnsi="Amiri" w:eastAsia="Amiri" w:cs="Amiri"/>
          <w:color w:val="111111"/>
          <w:sz w:val="28"/>
          <w:sz w:val="28"/>
          <w:szCs w:val="28"/>
          <w:rtl w:val="true"/>
          <w:lang w:bidi="ar-SA"/>
        </w:rPr>
        <w:t xml:space="preserve">و تبعه العلّامة قدّس سرّه فی المنتهی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أرادوا به الوجوب الشرطی لما یشترط فیه الطهارة من الشرب و الاستعمال فی المأکول و الطهارة به من الحدیث و الخبث بمعنی عدم جواز هذه الأمور قبل النزح، فلیس النجاسة إلّا ما منع استعماله فی هذه الأمور، فإذا تحقّق المنع عن هذه الأمور تحقّقت النجاسة و لزمها نجاسة الملاقی، فلا یرد أنّ الثمرة تظهر فی عدم تنجّس ملاقیه،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أرادوا الوجوب النفسی، ففی غایة البعد عن ظاهر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الروایات قرائن کثیرة علی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الأمر بنزح دلاء لنجاسة واحدة أو لنجاسات </w:t>
      </w:r>
      <w:r>
        <w:rPr>
          <w:rStyle w:val="FootnoteAnchor"/>
          <w:rtl w:val="true"/>
        </w:rPr>
        <w:footnoteReference w:id="747"/>
      </w:r>
      <w:r>
        <w:rPr>
          <w:rFonts w:ascii="IRNazanin" w:hAnsi="IRNazanin" w:eastAsia="IRNazanin"/>
          <w:color w:val="111111"/>
          <w:sz w:val="28"/>
          <w:sz w:val="28"/>
          <w:szCs w:val="28"/>
          <w:rtl w:val="true"/>
          <w:lang w:bidi="fa-IR"/>
        </w:rPr>
        <w:t>فإنّ إرادة الوجوب یوجب إرادة خلاف ظاهر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أخبار متعارضة هنا، فإنّ الحمل علی الوجوب یوجب طرح بعضها، بخلاف الحمل علی الاستحباب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تطهیره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المتعارف المتّفق علیه و إن کان مشارکا مع غیره من المیاه النجسة فی المطهّر، کما أنّ غیره قد یشارکه فی التطهیر بالنزح إذا کان ذا مادّة ینبع بالنزح، کما فی ظاهر صحیحة ابن بزیع المتقدّمة </w:t>
      </w:r>
      <w:r>
        <w:rPr>
          <w:rStyle w:val="FootnoteAnchor"/>
          <w:rtl w:val="true"/>
        </w:rPr>
        <w:footnoteReference w:id="748"/>
      </w:r>
      <w:r>
        <w:rPr>
          <w:rFonts w:ascii="IRNazanin" w:hAnsi="IRNazanin" w:eastAsia="IRNazanin"/>
          <w:color w:val="111111"/>
          <w:sz w:val="28"/>
          <w:sz w:val="28"/>
          <w:szCs w:val="28"/>
          <w:rtl w:val="true"/>
          <w:lang w:bidi="fa-IR"/>
        </w:rPr>
        <w:t xml:space="preserve">و أفتی به الشیخان فی الغدیر النابع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 أمّا مشارکته مع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الأقوی علی القول باعتبار الامتزاج مع المعتصم فی التطهیر، 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اتّصلت بالنهر الجاری طهرت </w:t>
      </w:r>
      <w:r>
        <w:rPr>
          <w:rStyle w:val="FootnoteAnchor"/>
          <w:rtl w:val="true"/>
        </w:rPr>
        <w:footnoteReference w:id="750"/>
      </w:r>
      <w:r>
        <w:rPr>
          <w:rFonts w:ascii="IRNazanin" w:hAnsi="IRNazanin" w:eastAsia="IRNazanin"/>
          <w:color w:val="111111"/>
          <w:sz w:val="28"/>
          <w:sz w:val="28"/>
          <w:szCs w:val="28"/>
          <w:rtl w:val="true"/>
          <w:lang w:bidi="fa-IR"/>
        </w:rPr>
        <w:t xml:space="preserve">تساوی قرارهما أو اختلفا، و فی البیان و یطهر بمطهّر غیره و بالنزح </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المعتبر إذا جری إلیها الماء المتّصل بالجاری لم تطهر، لأنّ الحکم متعلّق بالنزح و لم یحصل </w:t>
      </w:r>
      <w:r>
        <w:rPr>
          <w:rStyle w:val="FootnoteAnchor"/>
          <w:rtl w:val="true"/>
        </w:rPr>
        <w:footnoteReference w:id="752"/>
      </w:r>
      <w:r>
        <w:rPr>
          <w:rFonts w:ascii="IRNazanin" w:hAnsi="IRNazanin" w:eastAsia="IRNazanin"/>
          <w:color w:val="111111"/>
          <w:sz w:val="28"/>
          <w:sz w:val="28"/>
          <w:szCs w:val="28"/>
          <w:rtl w:val="true"/>
          <w:lang w:bidi="fa-IR"/>
        </w:rPr>
        <w:t>و ظاهره المنع و لو مع تساوی القرارین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الدروس و الذکری طهارتها بالامتزاج بالجاری و الکثیر، أمّا لو تسنّما علیها من فوق فالأقوی أنّه لا یکفی، لعدم الاتّحاد فی المسمّی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الشهید فی الدروس بأنّ الواقف المتّصل بالجاری مع علوّ الجاری متّحد معه </w:t>
      </w:r>
      <w:r>
        <w:rPr>
          <w:rStyle w:val="FootnoteAnchor"/>
          <w:rtl w:val="true"/>
        </w:rPr>
        <w:footnoteReference w:id="754"/>
      </w:r>
      <w:r>
        <w:rPr>
          <w:rFonts w:ascii="IRNazanin" w:hAnsi="IRNazanin" w:eastAsia="IRNazanin"/>
          <w:color w:val="111111"/>
          <w:sz w:val="28"/>
          <w:sz w:val="28"/>
          <w:szCs w:val="28"/>
          <w:rtl w:val="true"/>
          <w:lang w:bidi="fa-IR"/>
        </w:rPr>
        <w:t xml:space="preserve">بل تقدّم فی مسألة اشتراط تساوی السطوح فی الکرّ دعوی الاتّفاق علی الاتّحاد مع علوّ المعتصم </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وجه لمنع تطهّر البئر بالامتزاج مع المعتصم المتّحد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ضعف دفع المنافاة بینهما بأنّ الکلام هناک فی الدفع، و هنا فی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أضعف منه احتمال خصوصیة فی البئر مفقودة فی غیرها، وجه الأضعفیة تصریحهم بردّ المحقّق حیث ادّعی خصوصیة فی البئر من حیث اختصاص تطهّرها بالنزح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کون ماء البئر علی القول بالانفعال کالماء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القلیل فیما یطهر به، فیبتنی إرجاع الخلاف هنا إلی الخلاف هناک فی کیفیة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یظهر من تعلیل المعتبر من اختصاص تطهیر البئر بالنزح لا مستند له إلّا الأخبار الظاهرة فی انحصار المطهّر فی النزح، مثل قوله علیه السلام فی صحیحة ابن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یطهّرها </w:t>
      </w:r>
      <w:r>
        <w:rPr>
          <w:rStyle w:val="FootnoteAnchor"/>
          <w:rtl w:val="true"/>
        </w:rPr>
        <w:footnoteReference w:id="757"/>
      </w:r>
      <w:r>
        <w:rPr>
          <w:rFonts w:ascii="IRNazanin" w:hAnsi="IRNazanin" w:eastAsia="IRNazanin"/>
          <w:color w:val="111111"/>
          <w:sz w:val="28"/>
          <w:sz w:val="28"/>
          <w:szCs w:val="28"/>
          <w:rtl w:val="true"/>
          <w:lang w:bidi="fa-IR"/>
        </w:rPr>
        <w:t>؟ الظاهر فی الحصر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حملها علی الغالب من تعذّر التطهیر بغیر النزح أو تعسّره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اللازم فی صورة اتّصاله بالجاری و صدق الاتّحاد الرافع للنجاسة بالامتزاج أو بمجرّد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باعتصام ماء البئر و عدم انفعاله حینئذ بما یقع فیه،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تطهّر بإلقاء کرّ علیه،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من القول بتطهّره بذلک الالتزام أیضا بصیرورة ماء البئر معتصما لا ینفعل بما یقع فیه، لأنّ دلیل التطهّر بإلقاء الکرّ عدم قبول الکرّ للانفعال و اتّحاد ماء البئر معه بالامتزاج أو بمجرّد الاتّصال، و لازم ذلک عدم قبوله للنجاسة الخارجیة بعد ذلک، فیکفی فی اعتصام البئر أبدا إلقاء کرّ علیه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استهلک به الکرّ فی البئر بعد وقوعه دخل فی حکم البئر، فیشمله أدلّة البئر، و یخرج عن مورد أدلّة الکرّ، و حصول التطهیر به إنّما هو بأوّل الوقوع، و التطهیر امتزاج البئر مع شی‌ء منه معتصم به، و لا استهلاک حینئذ، و المستهلک هو الواقع الملبس فی الوقوع </w:t>
      </w:r>
      <w:r>
        <w:rPr>
          <w:rStyle w:val="FootnoteAnchor"/>
          <w:rtl w:val="true"/>
        </w:rPr>
        <w:footnoteReference w:id="758"/>
      </w:r>
      <w:r>
        <w:rPr>
          <w:rFonts w:ascii="IRNazanin" w:hAnsi="IRNazanin" w:eastAsia="IRNazanin"/>
          <w:color w:val="111111"/>
          <w:sz w:val="28"/>
          <w:sz w:val="28"/>
          <w:szCs w:val="28"/>
          <w:rtl w:val="true"/>
          <w:lang w:bidi="fa-IR"/>
        </w:rPr>
        <w:t>فلا منافاة بین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کونه رافعا و کونه غیر رافع </w:t>
      </w:r>
      <w:r>
        <w:rPr>
          <w:rStyle w:val="FootnoteAnchor"/>
          <w:rtl w:val="true"/>
        </w:rPr>
        <w:footnoteReference w:id="759"/>
      </w:r>
      <w:r>
        <w:rPr>
          <w:rFonts w:ascii="IRNazanin" w:hAnsi="IRNazanin" w:eastAsia="IRNazanin"/>
          <w:color w:val="111111"/>
          <w:sz w:val="28"/>
          <w:sz w:val="28"/>
          <w:szCs w:val="28"/>
          <w:rtl w:val="true"/>
          <w:lang w:bidi="fa-IR"/>
        </w:rPr>
        <w:t>لاختلاف زمانهما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استهلک البئر بالکرّ الملقی علیه لقلّتها جدّا کان لها حکم الکرّ، لعدم صدق البئر علیهما </w:t>
      </w:r>
      <w:r>
        <w:rPr>
          <w:rStyle w:val="FootnoteAnchor"/>
          <w:rtl w:val="true"/>
        </w:rPr>
        <w:footnoteReference w:id="760"/>
      </w:r>
      <w:r>
        <w:rPr>
          <w:rFonts w:ascii="IRNazanin" w:hAnsi="IRNazanin" w:eastAsia="IRNazanin"/>
          <w:color w:val="111111"/>
          <w:sz w:val="28"/>
          <w:sz w:val="28"/>
          <w:szCs w:val="28"/>
          <w:rtl w:val="true"/>
          <w:lang w:bidi="fa-IR"/>
        </w:rPr>
        <w:t>و إن شکّ رجع إلی أصالة عدم استهلاک البئر أو إلی أصالة عدم الانفعال، علی اختلاف الأنظار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فیطهر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بنزح 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إن بقی منها شی‌ء یسیر هو منه بمنزلة ما یبقی بعد انفصال الغسالة من الثوب و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 النزح إخراج مائها بإجرائه من ساقیة و غوره، علی خلاف فیه من حیث انفعال العائد بأرض البئر و جانبها اللتین لا دلیل علی طهارتهما بغیر النزح و ما فی حکمه من إخراج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احتمال کون العائد هو الغائر فلا یقدح بعد احتمال عدم عوده و أصالة عدم ملاقاة هذا العائد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وقع فیها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منجّس له، و لا یکون إلّا مع کونه مائعا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بنی علی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النبویّ المرویّ عن أبی جعفر علیه السلام </w:t>
      </w:r>
      <w:r>
        <w:rPr>
          <w:rStyle w:val="FootnoteAnchor"/>
          <w:rtl w:val="true"/>
        </w:rPr>
        <w:footnoteReference w:id="761"/>
      </w:r>
      <w:r>
        <w:rPr>
          <w:rFonts w:ascii="IRNazanin" w:hAnsi="IRNazanin" w:eastAsia="IRNazanin"/>
          <w:color w:val="111111"/>
          <w:sz w:val="28"/>
          <w:sz w:val="28"/>
          <w:szCs w:val="28"/>
          <w:rtl w:val="true"/>
          <w:lang w:bidi="fa-IR"/>
        </w:rPr>
        <w:t>و قول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یحرّم الخمر لاسمها و لکن حرّمها لعاقبتها، فما کان عاقبته عاقبة الخمر فهو خمر</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لم یفرّق بین الجامد و المائع</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بنی علی ظهور التنزیل فی خصوص حرمة التناول خرج ما عدا الخمر، لاختصاص ما فیه الأمر بنزح الکلّ بالخمر، مثل قوله علیه السلام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روایة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مات فیها بعیر أو صبّ فیها خمر فلینزح</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قیل بنزح الجمیع فیما لا نصّ فیه عمّ الحکم لغیر الخمر من هذه الجهة، بل لو لا هذا لم یعمّ الحکم فی الخمر أیضا، لاختلاف الأخبار فیها أیضا، ففی روایة کردویه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البئر یقع فیها قطرة دم أو نبیذ أو مسکر أو بول أو 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منها ثلاثون دلوا</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و فی خبر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وقع فیها قطرة دم أو 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و الخمر و المیّت و لحم الخنزیر کلّها سواء، ینزح منها عشرون، فإن غلبت الریح نزحت حتّی تطیب</w:t>
      </w:r>
      <w:r>
        <w:rPr>
          <w:rFonts w:eastAsia="IRNazanin" w:cs="IRNazanin"/>
          <w:color w:val="111111"/>
          <w:sz w:val="28"/>
          <w:szCs w:val="28"/>
          <w:rtl w:val="true"/>
          <w:lang w:bidi="fa-IR"/>
        </w:rPr>
        <w:t xml:space="preserve">» </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فی المعتبر عن المقنع الإفتاء بمضمونه </w:t>
      </w:r>
      <w:r>
        <w:rPr>
          <w:rStyle w:val="FootnoteAnchor"/>
          <w:rtl w:val="true"/>
        </w:rPr>
        <w:footnoteReference w:id="766"/>
      </w:r>
      <w:r>
        <w:rPr>
          <w:rFonts w:ascii="IRNazanin" w:hAnsi="IRNazanin" w:eastAsia="IRNazanin"/>
          <w:color w:val="111111"/>
          <w:sz w:val="28"/>
          <w:sz w:val="28"/>
          <w:szCs w:val="28"/>
          <w:rtl w:val="true"/>
          <w:lang w:bidi="fa-IR"/>
        </w:rPr>
        <w:t xml:space="preserve">ثمّ احتمل العمل و التفصیل بین القطرة و الکثیر کما فی الدم </w:t>
      </w:r>
      <w:r>
        <w:rPr>
          <w:rStyle w:val="FootnoteAnchor"/>
          <w:rtl w:val="true"/>
        </w:rPr>
        <w:footnoteReference w:id="767"/>
      </w:r>
      <w:r>
        <w:rPr>
          <w:rFonts w:ascii="IRNazanin" w:hAnsi="IRNazanin" w:eastAsia="IRNazanin"/>
          <w:color w:val="111111"/>
          <w:sz w:val="28"/>
          <w:sz w:val="28"/>
          <w:szCs w:val="28"/>
          <w:rtl w:val="true"/>
          <w:lang w:bidi="fa-IR"/>
        </w:rPr>
        <w:t xml:space="preserve">و کأنّه قدّس سرّه یحمل الثلاثین علی الاستحباب، کما فهمه منه کاشف اللثام </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عدم القول بالفرق أو شذوذه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المنتهی </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 العمل بما فی المقنع، و حکی عن الذخیرة </w:t>
      </w:r>
      <w:r>
        <w:rPr>
          <w:rStyle w:val="FootnoteAnchor"/>
          <w:rtl w:val="true"/>
        </w:rPr>
        <w:footnoteReference w:id="770"/>
      </w:r>
      <w:r>
        <w:rPr>
          <w:rFonts w:ascii="Amiri" w:hAnsi="Amiri" w:eastAsia="Amiri" w:cs="Amiri"/>
          <w:color w:val="111111"/>
          <w:sz w:val="28"/>
          <w:sz w:val="28"/>
          <w:szCs w:val="28"/>
          <w:rtl w:val="true"/>
          <w:lang w:bidi="ar-SA"/>
        </w:rPr>
        <w:t xml:space="preserve">لقوّته </w:t>
      </w:r>
      <w:r>
        <w:rPr>
          <w:rStyle w:val="FootnoteAnchor"/>
          <w:rtl w:val="true"/>
        </w:rPr>
        <w:footnoteReference w:id="771"/>
      </w:r>
      <w:r>
        <w:rPr>
          <w:rFonts w:ascii="IRNazanin" w:hAnsi="IRNazanin" w:eastAsia="IRNazanin"/>
          <w:color w:val="111111"/>
          <w:sz w:val="28"/>
          <w:sz w:val="28"/>
          <w:szCs w:val="28"/>
          <w:rtl w:val="true"/>
          <w:lang w:bidi="fa-IR"/>
        </w:rPr>
        <w:t>و حمل الثلاثین علی الفضل و نزح الجمیع علی الأفضل، کما یشهد به الجمع بینها و بین ما لا یجب له نزح الجمیع اتّفاقا، کصحیحة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البئر یبول فیها الصبیّ أو یصبّ فیها بول أو 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الماء کلّه</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و روایة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مات فیها ثور أو صبّ فیها خمر نزح الماء کلّه</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المشهور ما فی المتن، و عن السرائر علیه الإجماع </w:t>
      </w:r>
      <w:r>
        <w:rPr>
          <w:rStyle w:val="FootnoteAnchor"/>
          <w:rtl w:val="true"/>
        </w:rPr>
        <w:footnoteReference w:id="774"/>
      </w:r>
      <w:r>
        <w:rPr>
          <w:rFonts w:ascii="IRNazanin" w:hAnsi="IRNazanin" w:eastAsia="IRNazanin"/>
          <w:color w:val="111111"/>
          <w:sz w:val="28"/>
          <w:sz w:val="28"/>
          <w:szCs w:val="28"/>
          <w:rtl w:val="true"/>
          <w:lang w:bidi="fa-IR"/>
        </w:rPr>
        <w:t xml:space="preserve">و عن الغنیة الاتّفاق </w:t>
      </w:r>
      <w:r>
        <w:rPr>
          <w:rStyle w:val="FootnoteAnchor"/>
          <w:rtl w:val="true"/>
        </w:rPr>
        <w:footnoteReference w:id="775"/>
      </w:r>
      <w:r>
        <w:rPr>
          <w:rFonts w:ascii="IRNazanin" w:hAnsi="IRNazanin" w:eastAsia="IRNazanin"/>
          <w:color w:val="111111"/>
          <w:sz w:val="28"/>
          <w:sz w:val="28"/>
          <w:szCs w:val="28"/>
          <w:rtl w:val="true"/>
          <w:lang w:bidi="fa-IR"/>
        </w:rPr>
        <w:t>فالعمل علیه، مع کونه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أفتی به الشیخ </w:t>
      </w:r>
      <w:r>
        <w:rPr>
          <w:rStyle w:val="FootnoteAnchor"/>
          <w:rtl w:val="true"/>
        </w:rPr>
        <w:footnoteReference w:id="776"/>
      </w:r>
      <w:r>
        <w:rPr>
          <w:rFonts w:ascii="IRNazanin" w:hAnsi="IRNazanin" w:eastAsia="IRNazanin"/>
          <w:color w:val="111111"/>
          <w:sz w:val="28"/>
          <w:sz w:val="28"/>
          <w:szCs w:val="28"/>
          <w:rtl w:val="true"/>
          <w:lang w:bidi="fa-IR"/>
        </w:rPr>
        <w:t xml:space="preserve">و من تأخّر عنه </w:t>
      </w:r>
      <w:r>
        <w:rPr>
          <w:rStyle w:val="FootnoteAnchor"/>
          <w:rtl w:val="true"/>
        </w:rPr>
        <w:footnoteReference w:id="777"/>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مستند له إلّا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خمر </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التنزیل إلی خصوص الحرمة أو إلیها و إلی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 بالجمیع فیما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استدلّ به فی المعتبر </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الحکم بالجمیع، کما یتمّ إن وقع فیها عصیر عنبیّ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منیّ أو أحد الدماء الثلاثة فی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السرائر و الغنیة الإجماع علی غیر العصیر </w:t>
      </w:r>
      <w:r>
        <w:rPr>
          <w:rStyle w:val="FootnoteAnchor"/>
          <w:rtl w:val="true"/>
        </w:rPr>
        <w:footnoteReference w:id="780"/>
      </w:r>
      <w:r>
        <w:rPr>
          <w:rFonts w:ascii="IRNazanin" w:hAnsi="IRNazanin" w:eastAsia="IRNazanin"/>
          <w:color w:val="111111"/>
          <w:sz w:val="28"/>
          <w:sz w:val="28"/>
          <w:szCs w:val="28"/>
          <w:rtl w:val="true"/>
          <w:lang w:bidi="fa-IR"/>
        </w:rPr>
        <w:t xml:space="preserve">مصرّحا فی الأوّل بعدم الفرق بین کون المنیّ من مأکول اللحم و غیره، و ربما کان إطلاق بعض الأخبار فی الدم المفروق بین قلیله و کثرة </w:t>
      </w:r>
      <w:r>
        <w:rPr>
          <w:rStyle w:val="FootnoteAnchor"/>
          <w:rtl w:val="true"/>
        </w:rPr>
        <w:footnoteReference w:id="781"/>
      </w:r>
      <w:r>
        <w:rPr>
          <w:rFonts w:ascii="IRNazanin" w:hAnsi="IRNazanin" w:eastAsia="IRNazanin"/>
          <w:color w:val="111111"/>
          <w:sz w:val="28"/>
          <w:sz w:val="28"/>
          <w:szCs w:val="28"/>
          <w:rtl w:val="true"/>
          <w:lang w:bidi="fa-IR"/>
        </w:rPr>
        <w:t>منافیا لهذا الحکم، و لذا 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حکایة إطلاق المقنعة و المصباح بعدم الفرق و ردّ الفرق بینها و بین غیرها من الدم بمجرّد العفو عن قلیله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أنّ حکمها حکم بقیة الدماء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عملا بالأحادیث المطلقة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الانصراف ممکن فترجع إلی ما لا نصّ فیه، لکنّها مشکلة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فیها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خلاف فی وجوب نزح الجمیع، و عن السرائر و الغنیة الإجماع علیه </w:t>
      </w:r>
      <w:r>
        <w:rPr>
          <w:rStyle w:val="FootnoteAnchor"/>
          <w:rtl w:val="true"/>
        </w:rPr>
        <w:footnoteReference w:id="783"/>
      </w:r>
      <w:r>
        <w:rPr>
          <w:rFonts w:ascii="IRNazanin" w:hAnsi="IRNazanin" w:eastAsia="IRNazanin"/>
          <w:color w:val="111111"/>
          <w:sz w:val="28"/>
          <w:sz w:val="28"/>
          <w:szCs w:val="28"/>
          <w:rtl w:val="true"/>
          <w:lang w:bidi="fa-IR"/>
        </w:rPr>
        <w:t xml:space="preserve">و تقدّم صحیح الحلبی فی الخمر </w:t>
      </w:r>
      <w:r>
        <w:rPr>
          <w:rStyle w:val="FootnoteAnchor"/>
          <w:rtl w:val="true"/>
        </w:rPr>
        <w:footnoteReference w:id="784"/>
      </w:r>
      <w:r>
        <w:rPr>
          <w:rFonts w:ascii="IRNazanin" w:hAnsi="IRNazanin" w:eastAsia="IRNazanin"/>
          <w:color w:val="111111"/>
          <w:sz w:val="28"/>
          <w:sz w:val="28"/>
          <w:szCs w:val="28"/>
          <w:rtl w:val="true"/>
          <w:lang w:bidi="fa-IR"/>
        </w:rPr>
        <w:t>و فی روایة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مات فیها ثور أو صبّ فیها خمر نزح الماء کلّه</w:t>
      </w:r>
      <w:r>
        <w:rPr>
          <w:rFonts w:eastAsia="IRNazanin" w:cs="IRNazanin"/>
          <w:color w:val="111111"/>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وقوعه میتا فالظاهر أنّه کذلک، لظهور الأخبار فی علّیة ملاقاة المیتة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 روایة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فی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المیتة الواقعة عشرین </w:t>
      </w:r>
      <w:r>
        <w:rPr>
          <w:rStyle w:val="FootnoteAnchor"/>
          <w:rtl w:val="true"/>
        </w:rPr>
        <w:footnoteReference w:id="786"/>
      </w:r>
      <w:r>
        <w:rPr>
          <w:rFonts w:ascii="IRNazanin" w:hAnsi="IRNazanin" w:eastAsia="IRNazanin"/>
          <w:color w:val="111111"/>
          <w:sz w:val="28"/>
          <w:sz w:val="28"/>
          <w:szCs w:val="28"/>
          <w:rtl w:val="true"/>
          <w:lang w:bidi="fa-IR"/>
        </w:rPr>
        <w:t xml:space="preserve">و لم أجد عاملا بها و لا بما ورد فی مطلق الدابّة </w:t>
      </w:r>
      <w:r>
        <w:rPr>
          <w:rStyle w:val="FootnoteAnchor"/>
          <w:rtl w:val="true"/>
        </w:rPr>
        <w:footnoteReference w:id="787"/>
      </w:r>
      <w:r>
        <w:rPr>
          <w:rFonts w:ascii="IRNazanin" w:hAnsi="IRNazanin" w:eastAsia="IRNazanin"/>
          <w:color w:val="111111"/>
          <w:sz w:val="28"/>
          <w:sz w:val="28"/>
          <w:szCs w:val="28"/>
          <w:rtl w:val="true"/>
          <w:lang w:bidi="fa-IR"/>
        </w:rPr>
        <w:t xml:space="preserve">و ورد فی الحمار و الجمل کرّ من ماء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کالحلّی </w:t>
      </w:r>
      <w:r>
        <w:rPr>
          <w:rStyle w:val="FootnoteAnchor"/>
          <w:rtl w:val="true"/>
        </w:rPr>
        <w:footnoteReference w:id="789"/>
      </w:r>
      <w:r>
        <w:rPr>
          <w:rFonts w:ascii="IRNazanin" w:hAnsi="IRNazanin" w:eastAsia="IRNazanin"/>
          <w:color w:val="111111"/>
          <w:sz w:val="28"/>
          <w:sz w:val="28"/>
          <w:szCs w:val="28"/>
          <w:rtl w:val="true"/>
          <w:lang w:bidi="fa-IR"/>
        </w:rPr>
        <w:t xml:space="preserve">و المقداد </w:t>
      </w:r>
      <w:r>
        <w:rPr>
          <w:rStyle w:val="FootnoteAnchor"/>
          <w:rtl w:val="true"/>
        </w:rPr>
        <w:footnoteReference w:id="790"/>
      </w:r>
      <w:r>
        <w:rPr>
          <w:rFonts w:ascii="IRNazanin" w:hAnsi="IRNazanin" w:eastAsia="IRNazanin"/>
          <w:color w:val="111111"/>
          <w:sz w:val="28"/>
          <w:sz w:val="28"/>
          <w:szCs w:val="28"/>
          <w:rtl w:val="true"/>
          <w:lang w:bidi="fa-IR"/>
        </w:rPr>
        <w:t xml:space="preserve">و المحقّق و الشهید الثانیین </w:t>
      </w:r>
      <w:r>
        <w:rPr>
          <w:rStyle w:val="FootnoteAnchor"/>
          <w:rtl w:val="true"/>
        </w:rPr>
        <w:footnoteReference w:id="791"/>
      </w:r>
      <w:r>
        <w:rPr>
          <w:rFonts w:ascii="IRNazanin" w:hAnsi="IRNazanin" w:eastAsia="IRNazanin"/>
          <w:color w:val="111111"/>
          <w:sz w:val="28"/>
          <w:sz w:val="28"/>
          <w:szCs w:val="28"/>
          <w:rtl w:val="true"/>
          <w:lang w:bidi="fa-IR"/>
        </w:rPr>
        <w:t xml:space="preserve">و غیرهم </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البعیر بمنزلة الإنسان یشمل الذکر و الأنثی، و عن شرح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الفاضل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اتّفاق أهل اللغة،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یعرفه إلّا خواصّ أهل العلم باللغة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حکی عن الشافعی فی الوصیة قولا بأنّه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أعطوه بعیرا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لهم أن یعطوه ناقة، فحمل البعیر علی الجمل، لأنّ الوصیة مبنیة علی عرف الناس، لا علی محتملات اللغة الّتی لا یعرفها إلّا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حکی عن الغزالی فی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المذهب أنّه لا تدخل فیه الناقة، و خرّج طوائف من أصحابنا قولا أنّ الناقة تندرج فیه، و من کلام أئمّة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الناقة کالمرأة </w:t>
      </w:r>
      <w:r>
        <w:rPr>
          <w:rStyle w:val="FootnoteAnchor"/>
          <w:rtl w:val="true"/>
        </w:rPr>
        <w:footnoteReference w:id="793"/>
      </w:r>
      <w:r>
        <w:rPr>
          <w:rFonts w:ascii="IRNazanin" w:hAnsi="IRNazanin" w:eastAsia="IRNazanin"/>
          <w:color w:val="111111"/>
          <w:sz w:val="28"/>
          <w:sz w:val="28"/>
          <w:szCs w:val="28"/>
          <w:rtl w:val="true"/>
          <w:lang w:bidi="fa-IR"/>
        </w:rPr>
        <w:t>، انتهی ما عن شرح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للمطلق، لکن شاع استعماله فی المقیّد، و لذا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إدخال الناقة فی ما لا نصّ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شموله للصغیر حکاه الفاضل المتقدّم عن ظاهر فقه الثعالبی، لکن عن الصحاح و المحیط و مهذّب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یقال له ذلک إذا أجذع </w:t>
      </w:r>
      <w:r>
        <w:rPr>
          <w:rStyle w:val="FootnoteAnchor"/>
          <w:rtl w:val="true"/>
        </w:rPr>
        <w:footnoteReference w:id="795"/>
      </w:r>
      <w:r>
        <w:rPr>
          <w:rFonts w:ascii="IRNazanin" w:hAnsi="IRNazanin" w:eastAsia="IRNazanin"/>
          <w:color w:val="111111"/>
          <w:sz w:val="28"/>
          <w:sz w:val="28"/>
          <w:szCs w:val="28"/>
          <w:rtl w:val="true"/>
          <w:lang w:bidi="fa-IR"/>
        </w:rPr>
        <w:t xml:space="preserve">و عن القاموس أنّه الجمل البازل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کلام جماعة </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بالبعیر، و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الأقرب لصحیحة ابن سنان المتقدّمة </w:t>
      </w:r>
      <w:r>
        <w:rPr>
          <w:rStyle w:val="FootnoteAnchor"/>
          <w:rtl w:val="true"/>
        </w:rPr>
        <w:footnoteReference w:id="798"/>
      </w:r>
      <w:r>
        <w:rPr>
          <w:rFonts w:ascii="IRNazanin" w:hAnsi="IRNazanin" w:eastAsia="IRNazanin"/>
          <w:color w:val="111111"/>
          <w:sz w:val="28"/>
          <w:sz w:val="28"/>
          <w:szCs w:val="28"/>
          <w:rtl w:val="true"/>
          <w:lang w:bidi="fa-IR"/>
        </w:rPr>
        <w:t>و الظاهر اختصاصه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بالأهلی، مع احتمال شمولهما للوحشی، أو إلحاقه بالأهلی، 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 روایة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دخول الثور فی حکم البقرة الوارد فیها نزح الکرّ </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الأقوی الأوّل، لانصراف الثور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الحق بما ذکر فی نزح الجمیع عرق الإبل الجلّالة، و عرق الجنب من الحرام، و بول ما لا یؤکل لحمه و روثه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بول الرجل و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الکلب و الخنزیر حیّین، و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 الحکم فی شی‌ء منها إلّا بإیجاب الجمیع فیما لا نصّ فیه، مع دخول بعضها فی إطلاق بعض النصوص</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لغلبته و کثرته فی نفسه أو لتجدّد النبع، لا لمانع آخر اقتصارا علی مورد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تراوح علیها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یریح اثنان منهم الآخرین، و هما إمّا یشتغلان بالنزح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صریح السرائر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یدخل أحدهما البئر فیملأ الدلو بمجرّد وصولها إلی البئر لئلّا یحتاج النازح إلی تکرار إخاضة الدلو فی الماء للامتلاء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الشهید الثانی </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یظهر من النصّ تعیین أحد الوجهین، و لذا احتاط المولی الورع التقیّ المجلسی قدّس سرّه بدخول واحد فی البئر و وقوف اثنین للنزح خروجا عن الشبهة </w:t>
      </w:r>
      <w:r>
        <w:rPr>
          <w:rStyle w:val="FootnoteAnchor"/>
          <w:rtl w:val="true"/>
        </w:rPr>
        <w:footnoteReference w:id="802"/>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فلا یجزی واحدا واحدا، و إن فرض أنّه ینزح بذلک ما ینزح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قیام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الآخرین للنزح أوّل زمان التعب و الکلّ عن النزح فی الأوّلین لیصدق الإراحة، و لیکن مدّة الاشتغال بنفس النزح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تهیئة المقدّمات قبل الیوم حتّی إرسال الدلو فی البئر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المستند فی ذلک خبر عمّار الوارد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وقع فیها کلب أو فأرة أو خنزیر؟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ینزف کلّها، فإن غلب الماء فلینزف یوما إلی اللیل ثمّ یقام علیها قوم یتراوحون اثنین اثنین فینزفون یوما إلی اللیل و قد طهرت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بناء علی تنزیله علی صورة تغیّر الماء بما وقع فیه، و إلّا فنزح الجمیع للمذکورات خلاف الإجماع، مع أنّه لو کان للاستحباب کفی فی المطلوب، لدلالته علی بدلیة التراوح عن نزح الجمیع المطلوب وجوبا أو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الروایة خالیة فی المعتبر عن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لکنّها موجودة فی غیره، و ظاهرها وجوب التراوح بعد النزف منه یوما کاملا، 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توجیهه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الثاء للإشارة، أو سقوط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و یؤیّده حکایة ذکره عن بعض النسخ </w:t>
      </w:r>
      <w:r>
        <w:rPr>
          <w:rStyle w:val="FootnoteAnchor"/>
          <w:rtl w:val="true"/>
        </w:rPr>
        <w:footnoteReference w:id="805"/>
      </w:r>
      <w:r>
        <w:rPr>
          <w:rFonts w:ascii="IRNazanin" w:hAnsi="IRNazanin" w:eastAsia="IRNazanin"/>
          <w:color w:val="111111"/>
          <w:sz w:val="28"/>
          <w:sz w:val="28"/>
          <w:szCs w:val="28"/>
          <w:rtl w:val="true"/>
          <w:lang w:bidi="fa-IR"/>
        </w:rPr>
        <w:t xml:space="preserve">أو أنّ المراد بالنزف یوما نزف الجمیع یوما ثمّ إذا لم ینزف فی یوم تراوح علیها أربعة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 کما تری، إلّا أنّ هذه اللفظة لا تخلّ بالمراد بعد الإجماع علی عدم وجوب ما عدا التراوح عند غلبة الماء و صراحة الروایة فی وجوب التراوح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 یؤیّدها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تغیّر الماء وجب أن ینزح الماء کلّه، فإن کان کثیرا و صعب نزحه فالواجب علیه أن یکتری علیه أربعة رجال یستقون منها علی التراوح من الغدوة إلی اللیل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مقتضی وجوب الاقتصار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التطهیر التوقیفیة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المتیقّن عدم الاجتزاء بالنساء و لا الخناثی و لا الصبیان، و لا بالملفّق من نصفی یوم و لیلة، و لا الاکتفاء بالاثنین و إن نزحا ما ینزح الأربعة، و لا بثمانیة رجال فی نصف یوم بدلوین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عدم الاجتزاء بما ذکرنا فی الفروع بین التمکّن من العمل علی ظاهر النصّ فی تلک البئر أو تعذّره کما لو لم یکن إلّا النساء أو الصبیان أو لم یمکن إلّا الملفّق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النصّ عدم جواز ترکهم للنزح و اشتغالهم أجمع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ضروریّا کالأکل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الاشتغال به فی زمان الراحة، و من ذلک الصلاة، فلیس لهم الاشتغال جمیعا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ذکر جماعة </w:t>
      </w:r>
      <w:r>
        <w:rPr>
          <w:rStyle w:val="FootnoteAnchor"/>
          <w:rtl w:val="true"/>
        </w:rPr>
        <w:footnoteReference w:id="808"/>
      </w:r>
      <w:r>
        <w:rPr>
          <w:rFonts w:ascii="IRNazanin" w:hAnsi="IRNazanin" w:eastAsia="IRNazanin"/>
          <w:color w:val="111111"/>
          <w:sz w:val="28"/>
          <w:sz w:val="28"/>
          <w:szCs w:val="28"/>
          <w:rtl w:val="true"/>
          <w:lang w:bidi="fa-IR"/>
        </w:rPr>
        <w:t xml:space="preserve">تبعا للذکری </w:t>
      </w:r>
      <w:r>
        <w:rPr>
          <w:rStyle w:val="FootnoteAnchor"/>
          <w:rtl w:val="true"/>
        </w:rPr>
        <w:footnoteReference w:id="809"/>
      </w:r>
      <w:r>
        <w:rPr>
          <w:rFonts w:ascii="Amiri" w:hAnsi="Amiri" w:eastAsia="Amiri" w:cs="Amiri"/>
          <w:color w:val="111111"/>
          <w:sz w:val="28"/>
          <w:sz w:val="28"/>
          <w:szCs w:val="28"/>
          <w:rtl w:val="true"/>
          <w:lang w:bidi="ar-SA"/>
        </w:rPr>
        <w:t>جواز الصلاة لهم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 عموم أدلّة استحبابها الشامل لهؤلاء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فإنّها ساقطة عن المعذور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ما ذکرنا أورد علیهم بأنّه مثل استثناء سائر المستحبّات، کتشییع الجنائز، و قضاء حاجة المؤمن و نحوه، بل یرد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استثناء زمان مقدّمات الجماعة،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أعنی سعیهم إلی المسجد و انصرافهم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لهم الجماعة علی التناوب بأن یقف الإمام و یقف معه واحد یصلّی معه رکعة ثمّ ینفرد و یتمّ صلاته مخفّفا مقدار رکعة من الإمام فیقوم مقام أحد النازحین و یجی‌ء هو یلحق الإمام و ینفرد الآخر فیتمّ صلاته بمقدار الرکعة الثالثة للإمام فیقوم مقام النازح الآخر فیجی‌ء هو و یلحق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حصل فی أثناء التراوح تغیّر فی البئر بحیث یمکن نزح مائها أجمع، فهل یکتفی بالتراوح؟ أو یعدل إلی نزح الجمیع و لو زاد عن یوم التراوح؟</w:t>
      </w:r>
    </w:p>
    <w:p>
      <w:pPr>
        <w:pStyle w:val="BookText"/>
        <w:rPr/>
      </w:pPr>
      <w:r>
        <w:rPr>
          <w:rFonts w:ascii="IRNazanin" w:hAnsi="IRNazanin" w:eastAsia="IRNazanin"/>
          <w:color w:val="111111"/>
          <w:sz w:val="28"/>
          <w:sz w:val="28"/>
          <w:szCs w:val="28"/>
          <w:rtl w:val="true"/>
          <w:lang w:bidi="fa-IR"/>
        </w:rPr>
        <w:t>وجهان، الأقوی و الأحوط الثانی، لأنّ التراوح مطهّر مع الغلبة فإذا انتفت مع نجاسة البئر کان مقتضی الدلیل طهرها بنزح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تبیّن فی أثناء نزح الجمیع غلبة الماء و تعذّر نزحها أو عرضت بعد عدمها، فالأقوی فی الصورة الأولی کون ما نزح محسوبا من التراوح إذا فرض اجتماعه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فروع کثیرة، لکن فائدتها بعد البناء علی استحباب النزح یسیرة،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بنزح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تحدیده وزنا و مساحة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فیها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المراد بها هنا الخیل کما عن بعض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حمار أو 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کلام فیه، ففی روایة عمرو بن سعید بن هلال،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عمّا یقع فی البئر ما بین الفأرة و السنّور إلی الشاة؟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بلغت الحمار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کرّ من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أقلّ ما یقع فی البئر عصفور ینزح منها دلو واحد</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 xml:space="preserve">و فی المعتبر عطف البغل علی الحمار </w:t>
      </w:r>
      <w:r>
        <w:rPr>
          <w:rStyle w:val="FootnoteAnchor"/>
          <w:rtl w:val="true"/>
        </w:rPr>
        <w:footnoteReference w:id="813"/>
      </w:r>
      <w:r>
        <w:rPr>
          <w:rFonts w:ascii="IRNazanin" w:hAnsi="IRNazanin" w:eastAsia="IRNazanin"/>
          <w:color w:val="111111"/>
          <w:sz w:val="28"/>
          <w:sz w:val="28"/>
          <w:szCs w:val="28"/>
          <w:rtl w:val="true"/>
          <w:lang w:bidi="fa-IR"/>
        </w:rPr>
        <w:t>و هی زیادة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سوق الروایة عموم حکم الحمار لما ماثلها فی الجثّة، حیث جعل الحیوانات أصنافا بحسب الجثّة، فیشمل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فی الروایة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إرادة ما بینهما فی الجثّة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سقط فی البئر دابّة صغیرة أو نزل فیها جنب ینزح منها سبع دلاء، و إن مات فیها ثور أو نحوه أو صبّ فیها خمر ینزح الماء کلّه</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 محمّد بن مسلم و برید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و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البئر تقع فیها الدابّة و الفأرة و الکلب و الطیر فیموت؟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ثمّ ینزح من البئر دلاء</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و الظاهر أنّ المراد من الدابّة الصغیرة المماثلة للسنّور و الکلب دون ما یدبّ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فسّرها به أوّلا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خصوص ما یرکب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فسّرها به ثانیا </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الظاهر أنّه أراد ما یقرب من الشاة و الکلب و السنّور و أشباهها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العلّامة قدّس سرّه استظهره منها بعد نفی الأوّل و جعل اللام إمّا للعموم و إمّا لتعریف الماهیة فیفید العموم،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دخل فیها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الحمار و الفرس و البغل و البقر و الإبل، غیر أنّ الإبل و الثور خرجا بما دلّ علی نزح الجمیع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التسویة بین ما عدّه الإمام،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ما استثنی بدلیل منفصل، فیبقی الباقی لعدم المعارض، و أیضا التسویة حاصلة من حیث الحکم بوجوب نزح الدلاء و إن افترقت بالقلّة و الکثرة، و ذلک شی‌ء لم یتعرّض علیه السلام له، إلّا أنّ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ذکرتموه لا یدلّ علی بلوغ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التمحّل بأن 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یبلغ الکرّ جمعا بین المطلق و المقیّد، خصوصا مع الإتیان بجمع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الجمع علی الکثرة استحال إرادة القلّة منه و إلّا لزم الجمع بین إرادتی الحقیقة و المجاز، و إن حمل علی القلّة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استحالة الثانی، سلّمناه و لکن إن حمل علی معناه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مطلق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یلزم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لنا فی کون الصیغ المذکورة حقائق فی الکثرة أو مجازات نظرا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المتأخّرین استدلّ بهذه الروایة علی وجوب النزح للحمار دون الفرس و البقرة و ألحقهما بما لم یرد فیه نصّ و قد روی مثل هذه الروایة البقباق </w:t>
      </w:r>
      <w:r>
        <w:rPr>
          <w:rStyle w:val="FootnoteAnchor"/>
          <w:rtl w:val="true"/>
        </w:rPr>
        <w:footnoteReference w:id="817"/>
      </w:r>
      <w:r>
        <w:rPr>
          <w:rFonts w:ascii="IRNazanin" w:hAnsi="IRNazanin" w:eastAsia="IRNazanin"/>
          <w:color w:val="111111"/>
          <w:sz w:val="28"/>
          <w:sz w:val="28"/>
          <w:szCs w:val="28"/>
          <w:rtl w:val="true"/>
          <w:lang w:bidi="fa-IR"/>
        </w:rPr>
        <w:t xml:space="preserve">عن أبی عبد اللّٰه علیه السلام </w:t>
      </w:r>
      <w:r>
        <w:rPr>
          <w:rStyle w:val="FootnoteAnchor"/>
          <w:rtl w:val="true"/>
        </w:rPr>
        <w:footnoteReference w:id="8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یخلو کلامه قدّس سرّه من مواقع للنظر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الظاهر أنّ مراده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فی المعتبر، لکنّه قدّس سرّه لم یستدلّ بروایة الفضلاء، بل بروایة ابن سعید المتقدّمة الناصّة علی حکم الحمار </w:t>
      </w:r>
      <w:r>
        <w:rPr>
          <w:rStyle w:val="FootnoteAnchor"/>
          <w:rtl w:val="true"/>
        </w:rPr>
        <w:footnoteReference w:id="819"/>
      </w:r>
      <w:r>
        <w:rPr>
          <w:rFonts w:ascii="IRNazanin" w:hAnsi="IRNazanin" w:eastAsia="IRNazanin"/>
          <w:color w:val="111111"/>
          <w:sz w:val="28"/>
          <w:sz w:val="28"/>
          <w:szCs w:val="28"/>
          <w:rtl w:val="true"/>
          <w:lang w:bidi="fa-IR"/>
        </w:rPr>
        <w:t>ثمّ أورد روایة الفضلاء،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لم تتضمّن قدر الدلاء الّتی تنزح، و من المحتمل أن یکون ممّا یبلغ الکرّ فیکون العمل بالمبیّنة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الفرس و البقر و نسب إلحاقهما بالحمار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إلی الثلاثة و طالبهم بدلیل الإلحاق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فإن احتجّوا بروایة ابن سعید،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مقصورة علی الجمل و الحمار و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مثلها فی العظم طالبناهم بدلیل التخطّی إلی المماثل من أین عرفوه؟ و لو ساغ البناء علی المماثلة فی العظم لکانت البقرة کالثور، و لکان الجاموس کالجمل، و ربما کانت الفرس فی عظم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المقلّدة من لو طالبته بدلیل المسألة لادّعی الإجماع لوجوده فی کتب الثلاثة، و هو غلط و جهالة إن لم یکن تجاهلا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فالأوجه أن یجعل الفرس و البقرة فی قسم ما لم یتناوله نصّ علی الخصوص </w:t>
      </w:r>
      <w:r>
        <w:rPr>
          <w:rStyle w:val="FootnoteAnchor"/>
          <w:rtl w:val="true"/>
        </w:rPr>
        <w:footnoteReference w:id="821"/>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غایة الجودة، إلّا أنّا قد ذکرنا أنّه قد یفهم من الأخبار أنّ المراد بالحمار و البغل أمثال ما کان فی جثّتهما، و یخرج ما خرج بالدلیل کالثور و الجمل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عمّم جماعة الحکم، فذکر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الخیل و البغال و الحمیر أهلیة کانت أو غیر أهلیة، و البقرة وحشیة أو غیر وحشیة أو ما ماثلها فی مقدار الجسم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ادّعی فی الغنیة الإجماع علی الخیل و شبهها </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مراد المحقّق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المقلّدة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عبارته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الوسیلة </w:t>
      </w:r>
      <w:r>
        <w:rPr>
          <w:rStyle w:val="FootnoteAnchor"/>
          <w:rtl w:val="true"/>
        </w:rPr>
        <w:footnoteReference w:id="824"/>
      </w:r>
      <w:r>
        <w:rPr>
          <w:rFonts w:ascii="IRNazanin" w:hAnsi="IRNazanin" w:eastAsia="IRNazanin"/>
          <w:color w:val="111111"/>
          <w:sz w:val="28"/>
          <w:sz w:val="28"/>
          <w:szCs w:val="28"/>
          <w:rtl w:val="true"/>
          <w:lang w:bidi="fa-IR"/>
        </w:rPr>
        <w:t xml:space="preserve">و الإصباح </w:t>
      </w:r>
      <w:r>
        <w:rPr>
          <w:rStyle w:val="FootnoteAnchor"/>
          <w:rtl w:val="true"/>
        </w:rPr>
        <w:footnoteReference w:id="825"/>
      </w:r>
      <w:r>
        <w:rPr>
          <w:rFonts w:ascii="IRNazanin" w:hAnsi="IRNazanin" w:eastAsia="IRNazanin"/>
          <w:color w:val="111111"/>
          <w:sz w:val="28"/>
          <w:sz w:val="28"/>
          <w:szCs w:val="28"/>
          <w:rtl w:val="true"/>
          <w:lang w:bidi="fa-IR"/>
        </w:rPr>
        <w:t>الحمار و البقرة و ما أشبههما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المهذّب الخیل و البغال و الحمیر و ما أشبهها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فی الجسم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الکلّ فهموا من روایة الحمار و غیرها ما ذکرنا من إرادة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منزوحات البئر لا یکاد یمکن الالتئام بینها، إلّا أنّ ما فهمه الجماعة لیس ببعید عن مساق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نظر المحقّق قدّس سرّه حیث أنکر علیهم إلی الصراحة أو الظهور اللفظی فی الأخبار، و إنکاره فی غایة الجودة، کما أنّ إنکار ظهور ما ذکرنا من سوق الأخبار فی غیر محلّه،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نزح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دلوا بالدلو المعتادة علی تلک البئر، کما هو صریح بعض </w:t>
      </w:r>
      <w:r>
        <w:rPr>
          <w:rStyle w:val="FootnoteAnchor"/>
          <w:rtl w:val="true"/>
        </w:rPr>
        <w:footnoteReference w:id="827"/>
      </w:r>
      <w:r>
        <w:rPr>
          <w:rFonts w:ascii="IRNazanin" w:hAnsi="IRNazanin" w:eastAsia="IRNazanin"/>
          <w:color w:val="111111"/>
          <w:sz w:val="28"/>
          <w:sz w:val="28"/>
          <w:szCs w:val="28"/>
          <w:rtl w:val="true"/>
          <w:lang w:bidi="fa-IR"/>
        </w:rPr>
        <w:t xml:space="preserve">و ظاهر ما سیذکره المصنّف </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فیها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کما عن الغنیة و المنتهی </w:t>
      </w:r>
      <w:r>
        <w:rPr>
          <w:rStyle w:val="FootnoteAnchor"/>
          <w:rtl w:val="true"/>
        </w:rPr>
        <w:footnoteReference w:id="829"/>
      </w:r>
      <w:r>
        <w:rPr>
          <w:rFonts w:ascii="IRNazanin" w:hAnsi="IRNazanin" w:eastAsia="IRNazanin"/>
          <w:color w:val="111111"/>
          <w:sz w:val="28"/>
          <w:sz w:val="28"/>
          <w:szCs w:val="28"/>
          <w:rtl w:val="true"/>
          <w:lang w:bidi="fa-IR"/>
        </w:rPr>
        <w:t xml:space="preserve">و ظاهر غیرهما </w:t>
      </w:r>
      <w:r>
        <w:rPr>
          <w:rStyle w:val="FootnoteAnchor"/>
          <w:rtl w:val="true"/>
        </w:rPr>
        <w:footnoteReference w:id="830"/>
      </w:r>
      <w:r>
        <w:rPr>
          <w:rFonts w:ascii="IRNazanin" w:hAnsi="IRNazanin" w:eastAsia="IRNazanin"/>
          <w:color w:val="111111"/>
          <w:sz w:val="28"/>
          <w:sz w:val="28"/>
          <w:szCs w:val="28"/>
          <w:rtl w:val="true"/>
          <w:lang w:bidi="fa-IR"/>
        </w:rPr>
        <w:t>و مستنده روایة عمّار الساباطی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ذبح طیرا فوقع دمه فی البئر؟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منها دلاء، هذا إذا کان ذکیّا فهو هکذا، و ما سوی ذلک ممّا یقع فی بئر الماء فیموت، فأکثره الإنسان ینزح منها سبعون دلوا، و أقلّه العصفور ینزح منها دلو واحد</w:t>
      </w:r>
      <w:r>
        <w:rPr>
          <w:rFonts w:eastAsia="IRNazanin" w:cs="IRNazanin"/>
          <w:color w:val="111111"/>
          <w:sz w:val="28"/>
          <w:szCs w:val="28"/>
          <w:rtl w:val="true"/>
          <w:lang w:bidi="fa-IR"/>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اللفظ یشمل الصغیر و الأنثی بلا خلاف، و کذا الکافر علی المشهور، و نسب فی الروض إلی الأصحاب </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فیه الحلّی و وافق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الإسکافی </w:t>
      </w:r>
      <w:r>
        <w:rPr>
          <w:rStyle w:val="FootnoteAnchor"/>
          <w:rtl w:val="true"/>
        </w:rPr>
        <w:footnoteReference w:id="833"/>
      </w:r>
      <w:r>
        <w:rPr>
          <w:rFonts w:ascii="IRNazanin" w:hAnsi="IRNazanin" w:eastAsia="IRNazanin"/>
          <w:color w:val="111111"/>
          <w:sz w:val="28"/>
          <w:sz w:val="28"/>
          <w:szCs w:val="28"/>
          <w:rtl w:val="true"/>
          <w:lang w:bidi="fa-IR"/>
        </w:rPr>
        <w:t xml:space="preserve">فحکم بالجمیع مستدلّا بأنّ الکافر إذا وقع و خرج حیّا وجب له نزح الجمیع، فکیف إذا مات فیها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ذکره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منع وجوب الجمیع للکافر </w:t>
      </w:r>
      <w:r>
        <w:rPr>
          <w:rStyle w:val="FootnoteAnchor"/>
          <w:rtl w:val="true"/>
        </w:rPr>
        <w:footnoteReference w:id="835"/>
      </w:r>
      <w:r>
        <w:rPr>
          <w:rFonts w:ascii="IRNazanin" w:hAnsi="IRNazanin" w:eastAsia="IRNazanin"/>
          <w:color w:val="111111"/>
          <w:sz w:val="28"/>
          <w:sz w:val="28"/>
          <w:szCs w:val="28"/>
          <w:rtl w:val="true"/>
          <w:lang w:bidi="fa-IR"/>
        </w:rPr>
        <w:t xml:space="preserve">فإنّ النصّ فی موت الإنسان نصّ علی الکافر بعمومه، و إذا لم یجب فی میتته إلّا سبعون فأولی فی حیّه </w:t>
      </w:r>
      <w:r>
        <w:rPr>
          <w:rStyle w:val="FootnoteAnchor"/>
          <w:rtl w:val="true"/>
        </w:rPr>
        <w:footnoteReference w:id="83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هذه الأولویة عدم اجتماع الحکم بوجوب الجمیع للکافر </w:t>
      </w:r>
      <w:r>
        <w:rPr>
          <w:rStyle w:val="FootnoteAnchor"/>
          <w:rtl w:val="true"/>
        </w:rPr>
        <w:footnoteReference w:id="837"/>
      </w:r>
      <w:r>
        <w:rPr>
          <w:rFonts w:ascii="IRNazanin" w:hAnsi="IRNazanin" w:eastAsia="IRNazanin"/>
          <w:color w:val="111111"/>
          <w:sz w:val="28"/>
          <w:sz w:val="28"/>
          <w:szCs w:val="28"/>
          <w:rtl w:val="true"/>
          <w:lang w:bidi="fa-IR"/>
        </w:rPr>
        <w:t xml:space="preserve">و السبعین له إذا مات فی البئر، فمقتضی القاعدة إخراج الکافر </w:t>
      </w:r>
      <w:r>
        <w:rPr>
          <w:rStyle w:val="FootnoteAnchor"/>
          <w:rtl w:val="true"/>
        </w:rPr>
        <w:footnoteReference w:id="838"/>
      </w:r>
      <w:r>
        <w:rPr>
          <w:rFonts w:ascii="IRNazanin" w:hAnsi="IRNazanin" w:eastAsia="IRNazanin"/>
          <w:color w:val="111111"/>
          <w:sz w:val="28"/>
          <w:sz w:val="28"/>
          <w:szCs w:val="28"/>
          <w:rtl w:val="true"/>
          <w:lang w:bidi="fa-IR"/>
        </w:rPr>
        <w:t xml:space="preserve">عن حکم ما لا نصّ فیه، لإطلاق الروایة بوجوب السبعین للکافر </w:t>
      </w:r>
      <w:r>
        <w:rPr>
          <w:rStyle w:val="FootnoteAnchor"/>
          <w:rtl w:val="true"/>
        </w:rPr>
        <w:footnoteReference w:id="839"/>
      </w:r>
      <w:r>
        <w:rPr>
          <w:rFonts w:ascii="IRNazanin" w:hAnsi="IRNazanin" w:eastAsia="IRNazanin"/>
          <w:color w:val="111111"/>
          <w:sz w:val="28"/>
          <w:sz w:val="28"/>
          <w:szCs w:val="28"/>
          <w:rtl w:val="true"/>
          <w:lang w:bidi="fa-IR"/>
        </w:rPr>
        <w:t>إذا مات فیها المستلزم لملاقاته لها حیّا فیخرج عن موضوع ما لا نصّ فیه، فما صنعه من تقیید الروایة بحکم ما لا نصّ فیه یشبه طرح الأدلّة اللفظیة بمقتضیات الأصول المحکّمة فیما لا نصّ فیه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النزح إنّما وجب للموت فلا یدلّ علی حکم الکافر من حیث کفره فالإطلاق غیر مجد، مدفوعة بأنّه إن أرید بذلک منع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 للکافر، فلا شاهد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أنّه و إن کان شاملا له إلّا أنّه أوجب نزح السبعین لأجل موته فهو ساکت عمّا یجب نزحه للکفر،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الجهتین فی الکافر متلازمتان فلا معنی للسکوت عن أحدهما، فهو نظیر ما إذا حکم الشارع بصحة الصلاة فی ثوب علیه عذرة الکلب ناسیا، فإنّه لا یمکن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بالصحّة من جهة نجاسة الثوب بالعذرة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من جهة استصحاب فضلة ما لا یؤکل لحمه أو العکس، لأنّ الجهتین متلازمتان یقبح السکوت عن إحداهما فی مقام البیان،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الروایة فی حکم الحیوانات الّتی تحدث النجاسة فیها بالموت لا ما ینفعل الماء به قبل الموت، فمرجع الخلاف إلی دعوی الإطلاق فی النصّ و عدمه، فقول الحلّی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مورد الروایة موت الإنسان فی البئر، فلو وقع میّتا کان خارجا عن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ربما ادّعی القطع بکفایة السبعین </w:t>
      </w:r>
      <w:r>
        <w:rPr>
          <w:rStyle w:val="FootnoteAnchor"/>
          <w:rtl w:val="true"/>
        </w:rPr>
        <w:footnoteReference w:id="840"/>
      </w:r>
      <w:r>
        <w:rPr>
          <w:rFonts w:ascii="Amiri" w:hAnsi="Amiri" w:eastAsia="Amiri" w:cs="Amiri"/>
          <w:color w:val="111111"/>
          <w:sz w:val="28"/>
          <w:sz w:val="28"/>
          <w:szCs w:val="28"/>
          <w:rtl w:val="true"/>
          <w:lang w:bidi="ar-SA"/>
        </w:rPr>
        <w:t>لأنّ الموت فی البئر إمّا أشدّ حکما و إمّا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نظر، نعم لو استفید من النصّ أن السبعین لأجل انفعال البئر بنجاسة موت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الموت فی البئر أو خارجها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محلّه، و کذلک سائر الموارد الّتی ورد مقدّر لموت حیوان فی البئر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یفرق بین میّت المسلم و الکافر إن قلنا بوجوب الجمیع فی موت الکافر؟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مبنیّان علی أنّ المستفاد کون السبعین للنجاسة الحاصلة من الموت الّتی لا فرق فیها بین المسلم و الکافر، أو للنجاسة الحاصلة من موت المسلم و الحاصلة من موت الکافر لعلّها أغلظ، ألا تری أنّ موت الإنسان أغلظ حکما من موت العصفور؟ مع أنّ النجاسة فی کلّها مستندة إلی الموت، و هذا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للشهید و المحقّق الثانیین </w:t>
      </w:r>
      <w:r>
        <w:rPr>
          <w:rStyle w:val="FootnoteAnchor"/>
          <w:rtl w:val="true"/>
        </w:rPr>
        <w:footnoteReference w:id="841"/>
      </w:r>
      <w:r>
        <w:rPr>
          <w:rFonts w:ascii="IRNazanin" w:hAnsi="IRNazanin" w:eastAsia="IRNazanin"/>
          <w:color w:val="111111"/>
          <w:sz w:val="28"/>
          <w:sz w:val="28"/>
          <w:szCs w:val="28"/>
          <w:rtl w:val="true"/>
          <w:lang w:bidi="fa-IR"/>
        </w:rPr>
        <w:t>فاختارا عدم الفرق معلّلا بعموم النصّ، مع اختیارهما وجوب الجمیع لموت الکافر بعد وقوعه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و اعترضهما بعض المعاصرین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 ظاهر فی موت الإنسان فی البئر، فإن سلّم شموله للکافر اکتفی بالسبعین مطلقا، و إلّا وجب نزح الجمیع مطلقا، فالتفصیل بین موته فیها و وقوعه میتا لا وجه له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المفصّل إلی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المستفاد من النصّ أنّ السبعین لأجل نجاسة الموتی، و لا فرق بین المسلم و الکافر فی النجاسة الحاصلة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إیجاب نزح الجمیع لموت الکافر فلیس للفرق بین موته و موت المسلم، بل لخصوص نجاسته الکفریة حال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بنزح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وقعت فیها 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یابسة فذابت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لرطوبتها الذاتیة أو المکتسبة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کما عن غیر واحد </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المعتبر عدم الوقوف علی شاهد له </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الاستشهاد بروایة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العذرة تقع فی البئر؟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تنزح منها عشر دلاء، فإن ذابت فأربعون أو خمسون</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 xml:space="preserve">بناء علی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من الراوی، فیؤخذ بأکثر الاحتمالین لاستصحاب النجاسة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الإنصاف 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أو 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کلیهما من الإمام علیه السلام فیکون علی التخییر، و یحمل الزائد علی أفضل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عن الصدوق من أنّه یطهر بأربعین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خمسین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العذرة خرء الإنسان کما عن جماعة من أهل اللغة </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ظاهر 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إطلاقها علی فضله غیر الإنسان </w:t>
      </w:r>
      <w:r>
        <w:rPr>
          <w:rStyle w:val="FootnoteAnchor"/>
          <w:rtl w:val="true"/>
        </w:rPr>
        <w:footnoteReference w:id="848"/>
      </w:r>
      <w:r>
        <w:rPr>
          <w:rFonts w:ascii="IRNazanin" w:hAnsi="IRNazanin" w:eastAsia="IRNazanin"/>
          <w:color w:val="111111"/>
          <w:sz w:val="28"/>
          <w:sz w:val="28"/>
          <w:szCs w:val="28"/>
          <w:rtl w:val="true"/>
          <w:lang w:bidi="fa-IR"/>
        </w:rPr>
        <w:t xml:space="preserve">و هو ظاهر الحلّی، حیث أضاف العذرة هنا إلی ابن آدم </w:t>
      </w:r>
      <w:r>
        <w:rPr>
          <w:rStyle w:val="FootnoteAnchor"/>
          <w:rtl w:val="true"/>
        </w:rPr>
        <w:footnoteReference w:id="849"/>
      </w:r>
      <w:r>
        <w:rPr>
          <w:rFonts w:ascii="IRNazanin" w:hAnsi="IRNazanin" w:eastAsia="IRNazanin"/>
          <w:color w:val="111111"/>
          <w:sz w:val="28"/>
          <w:sz w:val="28"/>
          <w:szCs w:val="28"/>
          <w:rtl w:val="true"/>
          <w:lang w:bidi="fa-IR"/>
        </w:rPr>
        <w:t>و صریح المعتبر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العذرة و الخرء مترادفان </w:t>
      </w:r>
      <w:r>
        <w:rPr>
          <w:rStyle w:val="FootnoteAnchor"/>
          <w:rtl w:val="true"/>
        </w:rPr>
        <w:footnoteReference w:id="850"/>
      </w:r>
      <w:r>
        <w:rPr>
          <w:rFonts w:ascii="Amiri" w:hAnsi="Amiri" w:eastAsia="Amiri" w:cs="Amiri"/>
          <w:color w:val="111111"/>
          <w:sz w:val="28"/>
          <w:sz w:val="28"/>
          <w:szCs w:val="28"/>
          <w:rtl w:val="true"/>
          <w:lang w:bidi="ar-SA"/>
        </w:rPr>
        <w:t>یعمّان فضلة کلّ حیوان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یشهد لهم خبر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یصلّی و فی ثوبه عذرة من إنسان أو سنّور أو کلب</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و روایة ابن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البئر یقع فیها شی‌ء من عذرة کالبعرة و نحوها</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و الإطلاق و إن کان أعمّ من الحقیقة إلّا أنّ الاشتراک المعنوی أولی من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یجعل اللفظ مشترکا معنویّا منصرفا إلی عذرة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فضلة غیر الإنسان من غیر المأکول غیر منصوص کعذرة الکافر إن قلنا بانصراف النصّ إلی عذرة المسلم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المحکیّ عن الشهید قدّس سرّه فی وجه تسمیة العذرة أنّها سمیّت به لأنّها کانت تلقی فی العذرات، و هی الأفنیة </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فناء الدار، سمّیت بذلک لأنّ العذرة کانت تلقی فی الأفنیة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کثیر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کذبح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بل عن الغنیة الإجماع علیه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ینزح لسائر الدماء النجسة من سائر دماء الحیوانات سواء کان مأکول اللحم أو غیره نجس العین أو غیره ما عدا دم الحیض و الاستحاضة و النفاس إذا کان الدم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أقلّ الکثیر دم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دلوا، و للقلیل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حدّه ما نقص عن دم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دلاء، بغیر خلاف إلّا من شیخنا المفید قدّس سرّه فإنّه ذهب إلی أنّ لکثیر الدم عشر دلاء و للقلیل خمس دلاء </w:t>
      </w:r>
      <w:r>
        <w:rPr>
          <w:rStyle w:val="FootnoteAnchor"/>
          <w:rtl w:val="true"/>
        </w:rPr>
        <w:footnoteReference w:id="857"/>
      </w:r>
      <w:r>
        <w:rPr>
          <w:rFonts w:ascii="IRNazanin" w:hAnsi="IRNazanin" w:eastAsia="IRNazanin"/>
          <w:color w:val="111111"/>
          <w:sz w:val="28"/>
          <w:sz w:val="28"/>
          <w:szCs w:val="28"/>
          <w:rtl w:val="true"/>
          <w:lang w:bidi="fa-IR"/>
        </w:rPr>
        <w:t xml:space="preserve">و الأحوط الأوّل، و علیه العمل </w:t>
      </w:r>
      <w:r>
        <w:rPr>
          <w:rStyle w:val="FootnoteAnchor"/>
          <w:rtl w:val="true"/>
        </w:rPr>
        <w:footnoteReference w:id="85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عن الصدوق </w:t>
      </w:r>
      <w:r>
        <w:rPr>
          <w:rStyle w:val="FootnoteAnchor"/>
          <w:rtl w:val="true"/>
        </w:rPr>
        <w:footnoteReference w:id="859"/>
      </w:r>
      <w:r>
        <w:rPr>
          <w:rFonts w:ascii="IRNazanin" w:hAnsi="IRNazanin" w:eastAsia="IRNazanin"/>
          <w:color w:val="111111"/>
          <w:sz w:val="28"/>
          <w:sz w:val="28"/>
          <w:szCs w:val="28"/>
          <w:rtl w:val="true"/>
          <w:lang w:bidi="fa-IR"/>
        </w:rPr>
        <w:t>و ظاهر الشیخ فی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لکثیر الدم من ثلاثین إلی أربعین </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قرّبه الفاضلان فی المعتبر </w:t>
      </w:r>
      <w:r>
        <w:rPr>
          <w:rStyle w:val="FootnoteAnchor"/>
          <w:rtl w:val="true"/>
        </w:rPr>
        <w:footnoteReference w:id="861"/>
      </w:r>
      <w:r>
        <w:rPr>
          <w:rFonts w:ascii="IRNazanin" w:hAnsi="IRNazanin" w:eastAsia="IRNazanin"/>
          <w:color w:val="111111"/>
          <w:sz w:val="28"/>
          <w:sz w:val="28"/>
          <w:szCs w:val="28"/>
          <w:rtl w:val="true"/>
          <w:lang w:bidi="fa-IR"/>
        </w:rPr>
        <w:t xml:space="preserve">و المنتهی </w:t>
      </w:r>
      <w:r>
        <w:rPr>
          <w:rStyle w:val="FootnoteAnchor"/>
          <w:rtl w:val="true"/>
        </w:rPr>
        <w:footnoteReference w:id="862"/>
      </w:r>
      <w:r>
        <w:rPr>
          <w:rFonts w:ascii="IRNazanin" w:hAnsi="IRNazanin" w:eastAsia="IRNazanin"/>
          <w:color w:val="111111"/>
          <w:sz w:val="28"/>
          <w:sz w:val="28"/>
          <w:szCs w:val="28"/>
          <w:rtl w:val="true"/>
          <w:lang w:bidi="fa-IR"/>
        </w:rPr>
        <w:t xml:space="preserve">و المختلف </w:t>
      </w:r>
      <w:r>
        <w:rPr>
          <w:rStyle w:val="FootnoteAnchor"/>
          <w:rtl w:val="true"/>
        </w:rPr>
        <w:footnoteReference w:id="863"/>
      </w:r>
      <w:r>
        <w:rPr>
          <w:rFonts w:ascii="IRNazanin" w:hAnsi="IRNazanin" w:eastAsia="IRNazanin"/>
          <w:color w:val="111111"/>
          <w:sz w:val="28"/>
          <w:sz w:val="28"/>
          <w:szCs w:val="28"/>
          <w:rtl w:val="true"/>
          <w:lang w:bidi="fa-IR"/>
        </w:rPr>
        <w:t xml:space="preserve">و حسّنه فی الذکری </w:t>
      </w:r>
      <w:r>
        <w:rPr>
          <w:rStyle w:val="FootnoteAnchor"/>
          <w:rtl w:val="true"/>
        </w:rPr>
        <w:footnoteReference w:id="864"/>
      </w:r>
      <w:r>
        <w:rPr>
          <w:rFonts w:ascii="IRNazanin" w:hAnsi="IRNazanin" w:eastAsia="IRNazanin"/>
          <w:color w:val="111111"/>
          <w:sz w:val="28"/>
          <w:sz w:val="28"/>
          <w:szCs w:val="28"/>
          <w:rtl w:val="true"/>
          <w:lang w:bidi="fa-IR"/>
        </w:rPr>
        <w:t>و استوجهه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الروض </w:t>
      </w:r>
      <w:r>
        <w:rPr>
          <w:rStyle w:val="FootnoteAnchor"/>
          <w:rtl w:val="true"/>
        </w:rPr>
        <w:footnoteReference w:id="865"/>
      </w:r>
      <w:r>
        <w:rPr>
          <w:rFonts w:ascii="IRNazanin" w:hAnsi="IRNazanin" w:eastAsia="IRNazanin"/>
          <w:color w:val="111111"/>
          <w:sz w:val="28"/>
          <w:sz w:val="28"/>
          <w:szCs w:val="28"/>
          <w:rtl w:val="true"/>
          <w:lang w:bidi="fa-IR"/>
        </w:rPr>
        <w:t xml:space="preserve">و قوّاه ابن فهد فی المقتصر </w:t>
      </w:r>
      <w:r>
        <w:rPr>
          <w:rStyle w:val="FootnoteAnchor"/>
          <w:rtl w:val="true"/>
        </w:rPr>
        <w:footnoteReference w:id="866"/>
      </w:r>
      <w:r>
        <w:rPr>
          <w:rFonts w:ascii="IRNazanin" w:hAnsi="IRNazanin" w:eastAsia="IRNazanin"/>
          <w:color w:val="111111"/>
          <w:sz w:val="28"/>
          <w:sz w:val="28"/>
          <w:szCs w:val="28"/>
          <w:rtl w:val="true"/>
          <w:lang w:bidi="fa-IR"/>
        </w:rPr>
        <w:t>و قرّبه الفاضل الهندی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عن قرب </w:t>
      </w:r>
      <w:r>
        <w:rPr>
          <w:rStyle w:val="FootnoteAnchor"/>
          <w:rtl w:val="true"/>
        </w:rPr>
        <w:footnoteReference w:id="867"/>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 عن علیّ بن جعفر علیه السلام عن أخیه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ذبح شاة فاضطربت فوقعت فی البئر و أوداجها تشخب دما، هل یتوضّأ من تلک البئر؟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منها ما بین ثلاثین إلی أربعین</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 xml:space="preserve">و طرح هذا الصحیح لأجل الشهرة و الإجماع المدّعی فی الغنیة و عدم الخلاف المدّعی فی السرائر </w:t>
      </w:r>
      <w:r>
        <w:rPr>
          <w:rStyle w:val="FootnoteAnchor"/>
          <w:rtl w:val="true"/>
        </w:rPr>
        <w:footnoteReference w:id="869"/>
      </w:r>
      <w:r>
        <w:rPr>
          <w:rFonts w:ascii="IRNazanin" w:hAnsi="IRNazanin" w:eastAsia="IRNazanin"/>
          <w:color w:val="111111"/>
          <w:sz w:val="28"/>
          <w:sz w:val="28"/>
          <w:szCs w:val="28"/>
          <w:rtl w:val="true"/>
          <w:lang w:bidi="fa-IR"/>
        </w:rPr>
        <w:t xml:space="preserve">مع مخالفة المشایخ الأربعة من القدماء </w:t>
      </w:r>
      <w:r>
        <w:rPr>
          <w:rStyle w:val="FootnoteAnchor"/>
          <w:rtl w:val="true"/>
        </w:rPr>
        <w:footnoteReference w:id="870"/>
      </w:r>
      <w:r>
        <w:rPr>
          <w:rFonts w:ascii="IRNazanin" w:hAnsi="IRNazanin" w:eastAsia="IRNazanin"/>
          <w:color w:val="111111"/>
          <w:sz w:val="28"/>
          <w:sz w:val="28"/>
          <w:szCs w:val="28"/>
          <w:rtl w:val="true"/>
          <w:lang w:bidi="fa-IR"/>
        </w:rPr>
        <w:t xml:space="preserve">و الفاضلین </w:t>
      </w:r>
      <w:r>
        <w:rPr>
          <w:rStyle w:val="FootnoteAnchor"/>
          <w:rtl w:val="true"/>
        </w:rPr>
        <w:footnoteReference w:id="871"/>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872"/>
      </w:r>
      <w:r>
        <w:rPr>
          <w:rFonts w:ascii="IRNazanin" w:hAnsi="IRNazanin" w:eastAsia="IRNazanin"/>
          <w:color w:val="111111"/>
          <w:sz w:val="28"/>
          <w:sz w:val="28"/>
          <w:szCs w:val="28"/>
          <w:rtl w:val="true"/>
          <w:lang w:bidi="fa-IR"/>
        </w:rPr>
        <w:t>من المتأخّرین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العمل بالمشهور أحوط</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المراد من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ثلاثین إلی 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بینهما لیخرج الطرفان، لأنّ الظاهر دخول الغایة، نظیر ما عن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للدم ما بین الواحد إلی العشرین </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یقع فی البئر ما بین الفأرة و السنّور إلی الشاة</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 xml:space="preserve">حیث إنّ المراد من الفأرة إلی الشاة، فما ذکره بعضهم من الخدشة فی نقل المصنّف قدّس سرّه لمعنی الروایة </w:t>
      </w:r>
      <w:r>
        <w:rPr>
          <w:rStyle w:val="FootnoteAnchor"/>
          <w:rtl w:val="true"/>
        </w:rPr>
        <w:footnoteReference w:id="875"/>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روایات أخر مخالفة للروایتین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ثمّ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فی نفسه، و تحدید أقلّه بدم الشاة </w:t>
      </w:r>
      <w:r>
        <w:rPr>
          <w:rStyle w:val="FootnoteAnchor"/>
          <w:rtl w:val="true"/>
        </w:rPr>
        <w:footnoteReference w:id="876"/>
      </w:r>
      <w:r>
        <w:rPr>
          <w:rFonts w:ascii="IRNazanin" w:hAnsi="IRNazanin" w:eastAsia="IRNazanin"/>
          <w:color w:val="111111"/>
          <w:sz w:val="28"/>
          <w:sz w:val="28"/>
          <w:szCs w:val="28"/>
          <w:rtl w:val="true"/>
          <w:lang w:bidi="fa-IR"/>
        </w:rPr>
        <w:t>لم یظهر له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قطب الدین الراوندی ملاحظة الکثرة و القلّة بالإضافة إلی ماء البئر کثرة و قلّة و نقله قطب الرازی عن العلّامة </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عدم العثور علی مستند الحکم، فضلا عن إناطته بلفظ الکثیر لیتکلّم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کلماتهم کالنصوص شمول الحکم لدم نجس العین، و لإلحاقه بغیر النصوص وجه،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بنزح أربعین إن مات فیها ثعلب أو أرنب أو خنزیر أو سنّور أو کلب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و الغزال و ابن آوی و ابن عرس،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أشبه ذلک فی مقدار الجسم علی التقریب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المستند روایة علیّ الضعیفة بالقاسم بن محمّد الجوهری المنجبرة بعمل الحلّی عن أبی عبد اللّٰه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الفأرة تقع فی البئر؟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الطیر و الدجاجة تقع فی البئر؟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دلاء، و السنّور عشرون أو ثلاثون أو أربعون دلوا و الکلب و شبهه</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و نقل فی المعتبر الروایة عن کتاب الحسین 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السنّور؟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دلوا، و الکلب و شبهه</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و فی روایة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سنّورا أو أکبر منه نزحت ثلاثین دلوا أو أربعین</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و فی صحیحة أبی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دلاء للسنّور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و الکلب</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و فی روایتی ابن یقطین و البقباق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ینزح دلاء لموت الکلب</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و فی روایة أبی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تنزح البئر فی موت الکلب</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و فی روایة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ابن مسکان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سقط فیها کلب فقدرت أن تنزح ماءها فافعل</w:t>
      </w:r>
      <w:r>
        <w:rPr>
          <w:rFonts w:eastAsia="IRNazanin" w:cs="IRNazanin"/>
          <w:color w:val="111111"/>
          <w:sz w:val="28"/>
          <w:szCs w:val="28"/>
          <w:rtl w:val="true"/>
          <w:lang w:bidi="fa-IR"/>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الأوفق فی الجمع بین الأخبار العمل بروایة الخمس و حمل ما زاد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کانت شاة و ما أشبهها فتسعة أو عشرة</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و فی روایة عمرو بن سعید بن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عمّا یقع فی البئر ما بین الفأرة و السنّور إلی الشاة؟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دلاء</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عن الهدایة و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النزح من الثلاثین إلی الأربعین فی الکلب و السنّور </w:t>
      </w:r>
      <w:r>
        <w:rPr>
          <w:rStyle w:val="FootnoteAnchor"/>
          <w:rtl w:val="true"/>
        </w:rPr>
        <w:footnoteReference w:id="888"/>
      </w:r>
      <w:r>
        <w:rPr>
          <w:rFonts w:ascii="IRNazanin" w:hAnsi="IRNazanin" w:eastAsia="IRNazanin"/>
          <w:color w:val="111111"/>
          <w:sz w:val="28"/>
          <w:sz w:val="28"/>
          <w:szCs w:val="28"/>
          <w:rtl w:val="true"/>
          <w:lang w:bidi="fa-IR"/>
        </w:rPr>
        <w:t>فلم نعثر له علی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ینزح أربعون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علیّ بن أبی حمزة،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منها أربعون دلوا</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ضعف ابن أبی حمزة غیر قادح بعد الانجبار بنسبته فی المعتبر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890"/>
      </w:r>
      <w:r>
        <w:rPr>
          <w:rFonts w:ascii="IRNazanin" w:hAnsi="IRNazanin" w:eastAsia="IRNazanin"/>
          <w:color w:val="111111"/>
          <w:sz w:val="28"/>
          <w:sz w:val="28"/>
          <w:szCs w:val="28"/>
          <w:rtl w:val="true"/>
          <w:lang w:bidi="fa-IR"/>
        </w:rPr>
        <w:t xml:space="preserve">و فی الغنیة إلی الإجماع </w:t>
      </w:r>
      <w:r>
        <w:rPr>
          <w:rStyle w:val="FootnoteAnchor"/>
          <w:rtl w:val="true"/>
        </w:rPr>
        <w:footnoteReference w:id="891"/>
      </w:r>
      <w:r>
        <w:rPr>
          <w:rFonts w:ascii="IRNazanin" w:hAnsi="IRNazanin" w:eastAsia="IRNazanin"/>
          <w:color w:val="111111"/>
          <w:sz w:val="28"/>
          <w:sz w:val="28"/>
          <w:szCs w:val="28"/>
          <w:rtl w:val="true"/>
          <w:lang w:bidi="fa-IR"/>
        </w:rPr>
        <w:t xml:space="preserve">و عن کشف اللثام عدم الخلاف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اعتذر المحقّق قدّس سرّه عن علیّ بن أبی حمزة بأنّ کونه واقفیّا غیر قادح فی روایته عن الصادق علیه السلام لأنّ تغیّره بعد موت الکاظم علیه السلام </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لأنّ الظاهر أنّ من تحمّل الحدیث عن الإمام علیه السلام یبادر إلی نقله و روایته لغیره و ثبته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من سمعه إنّما سمعه منه قبل موت الکاظم علیه السلام و یبعد أن یکون قد ترک الروایة من زمان الصادق علیه السلام إلی زمان الرضا علیه السلام غیر مرویة و لا مثبتة فی الکتاب، و حینئذ فالاعتراض علی المحقّق قدّس سرّه بأنّ العبرة بحال الراوی حال الروایة لا حال التحمّل </w:t>
      </w:r>
      <w:r>
        <w:rPr>
          <w:rStyle w:val="FootnoteAnchor"/>
          <w:rtl w:val="true"/>
        </w:rPr>
        <w:footnoteReference w:id="894"/>
      </w:r>
      <w:r>
        <w:rPr>
          <w:rFonts w:ascii="IRNazanin" w:hAnsi="IRNazanin" w:eastAsia="IRNazanin"/>
          <w:color w:val="111111"/>
          <w:sz w:val="28"/>
          <w:sz w:val="28"/>
          <w:szCs w:val="28"/>
          <w:rtl w:val="true"/>
          <w:lang w:bidi="fa-IR"/>
        </w:rPr>
        <w:t>،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حمزة لا یعوّل علی روایته، غیر أنّ الأصحاب قبلوها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یطرح ما یعارض الروایة من الأخبار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مورد النصّ </w:t>
      </w:r>
      <w:r>
        <w:rPr>
          <w:rStyle w:val="FootnoteAnchor"/>
          <w:rtl w:val="true"/>
        </w:rPr>
        <w:footnoteReference w:id="896"/>
      </w:r>
      <w:r>
        <w:rPr>
          <w:rFonts w:ascii="IRNazanin" w:hAnsi="IRNazanin" w:eastAsia="IRNazanin"/>
          <w:color w:val="111111"/>
          <w:sz w:val="28"/>
          <w:sz w:val="28"/>
          <w:szCs w:val="28"/>
          <w:rtl w:val="true"/>
          <w:lang w:bidi="fa-IR"/>
        </w:rPr>
        <w:t>و الفتوی بول الرجل، و ظاهره الذکر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متواترة من الأئمّة الطاهرین علیهم السلام علی أنّه ینزح لبول الإنسان أربعون دلوا </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الشمول للمرأة، فضلا عن الصغیر، و هو المحکیّ عن التحریر </w:t>
      </w:r>
      <w:r>
        <w:rPr>
          <w:rStyle w:val="FootnoteAnchor"/>
          <w:rtl w:val="true"/>
        </w:rPr>
        <w:footnoteReference w:id="898"/>
      </w:r>
      <w:r>
        <w:rPr>
          <w:rFonts w:ascii="IRNazanin" w:hAnsi="IRNazanin" w:eastAsia="IRNazanin"/>
          <w:color w:val="111111"/>
          <w:sz w:val="28"/>
          <w:sz w:val="28"/>
          <w:szCs w:val="28"/>
          <w:rtl w:val="true"/>
          <w:lang w:bidi="fa-IR"/>
        </w:rPr>
        <w:t>بل و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الغنیة </w:t>
      </w:r>
      <w:r>
        <w:rPr>
          <w:rStyle w:val="FootnoteAnchor"/>
          <w:rtl w:val="true"/>
        </w:rPr>
        <w:footnoteReference w:id="899"/>
      </w:r>
      <w:r>
        <w:rPr>
          <w:rFonts w:ascii="IRNazanin" w:hAnsi="IRNazanin" w:eastAsia="IRNazanin"/>
          <w:color w:val="111111"/>
          <w:sz w:val="28"/>
          <w:sz w:val="28"/>
          <w:szCs w:val="28"/>
          <w:rtl w:val="true"/>
          <w:lang w:bidi="fa-IR"/>
        </w:rPr>
        <w:t xml:space="preserve">و الإصباح </w:t>
      </w:r>
      <w:r>
        <w:rPr>
          <w:rStyle w:val="FootnoteAnchor"/>
          <w:rtl w:val="true"/>
        </w:rPr>
        <w:footnoteReference w:id="900"/>
      </w:r>
      <w:r>
        <w:rPr>
          <w:rFonts w:ascii="Amiri" w:hAnsi="Amiri" w:eastAsia="Amiri" w:cs="Amiri"/>
          <w:color w:val="111111"/>
          <w:sz w:val="28"/>
          <w:sz w:val="28"/>
          <w:szCs w:val="28"/>
          <w:rtl w:val="true"/>
          <w:lang w:bidi="ar-SA"/>
        </w:rPr>
        <w:t xml:space="preserve">و الإشارة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بنزح عشرة للعذرة الجامدة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قبل میعانها، فالجامدة مقابل الذائبة الّتی تقدّم نزح خمسین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أولی من التعبیر بالیابسة، لخروج الرطبة الغیر المائعة عنها و عدم دخولها فی الذائبة المنزوح لها 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 الحکم روایة أبی بصیر المتقدّمة </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 و الرعاف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أکثر القلیل ما نقص عن دم الشاة </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نعثر له علی مستند کأصل الحکم بالعشر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نسبه فی السرائر إلی روایات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مستفیضا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دلاء</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و فی غیر واحد منها وصف الدلاء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یسیرة</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و لم یظهر وجه دلالتها علی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الشیخ قدّس سرّه </w:t>
      </w:r>
      <w:r>
        <w:rPr>
          <w:rStyle w:val="FootnoteAnchor"/>
          <w:rtl w:val="true"/>
        </w:rPr>
        <w:footnoteReference w:id="906"/>
      </w:r>
      <w:r>
        <w:rPr>
          <w:rFonts w:ascii="IRNazanin" w:hAnsi="IRNazanin" w:eastAsia="IRNazanin"/>
          <w:color w:val="111111"/>
          <w:sz w:val="28"/>
          <w:sz w:val="28"/>
          <w:szCs w:val="28"/>
          <w:rtl w:val="true"/>
          <w:lang w:bidi="fa-IR"/>
        </w:rPr>
        <w:t xml:space="preserve">و غیره </w:t>
      </w:r>
      <w:r>
        <w:rPr>
          <w:rStyle w:val="FootnoteAnchor"/>
          <w:rtl w:val="true"/>
        </w:rPr>
        <w:footnoteReference w:id="907"/>
      </w:r>
      <w:r>
        <w:rPr>
          <w:rFonts w:ascii="IRNazanin" w:hAnsi="IRNazanin" w:eastAsia="IRNazanin"/>
          <w:color w:val="111111"/>
          <w:sz w:val="28"/>
          <w:sz w:val="28"/>
          <w:szCs w:val="28"/>
          <w:rtl w:val="true"/>
          <w:lang w:bidi="fa-IR"/>
        </w:rPr>
        <w:t>فی تقریب الاستدلال بها وجوها غیر خالیة عن النظر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تکرّر وقوع القلیل بحیث بلغ الکثیر، فالظاهر ثبوت مقدار الکثیر، لا مقدّرات القلیل، لصدق وقوع الدم الکثیر، فإنّ الکثیر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لا یقع غالبا إلّا تدریجا، فلو تعلّق حکم القلیل بأوّل ما یقع منه ثمّ بما بعده لم یبق حکم للکثیر غالبا، و الفرق بین اتصال الوقوعین و انفصالهما غیر معقول، مع جریان دلیل وجوب مقدّرات القلیل فیه، و هو کون کلّ وقوع سببا لمقدّر القلیل، فرجوع المجموع إلی المقدر الکثیر یحتاج إلی دلیل، و سیأتی تمام الکلام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بنزح سبع لموت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الثلاثة و أتباعهم </w:t>
      </w:r>
      <w:r>
        <w:rPr>
          <w:rStyle w:val="FootnoteAnchor"/>
          <w:rtl w:val="true"/>
        </w:rPr>
        <w:footnoteReference w:id="908"/>
      </w:r>
      <w:r>
        <w:rPr>
          <w:rFonts w:ascii="IRNazanin" w:hAnsi="IRNazanin" w:eastAsia="IRNazanin"/>
          <w:color w:val="111111"/>
          <w:sz w:val="28"/>
          <w:sz w:val="28"/>
          <w:szCs w:val="28"/>
          <w:rtl w:val="true"/>
          <w:lang w:bidi="fa-IR"/>
        </w:rPr>
        <w:t>بل علی المشهور، لروایة یعقوب بن عثیم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فی البئر الطیر و الدجاجة و الفأرة فانزح منها سبع دلاء</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و مضمرة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الفأرة یقع فی البئر و الطیر؟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أدرکته قبل أن ینتن نزح منها سبع دلاء</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و روایة علیّ بن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الطیر و الدجاجة تقع فی البئر؟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دلاء</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 xml:space="preserve">و عن الفقه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سقط فی البئر فأرة أو طائر أو سنّور نزح منها سبع بدلو هجر، و هو أربعون رطلا، و إذا انفسخ نزح منها عشرون دلوا</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 xml:space="preserve">و فی صحیحة أبی أسامة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الخمس للطیر و الدجاجة</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لکن لم یعثر علی عامل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روایة إسحاق بن عمّار، عن جعفر، عن أبیه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الدجاجة و مثلها تموت فی البئر ینزح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دلوان أو ثلاثة، و إذا کانت شاة و ما أشبهها فتسعة أو عشرة</w:t>
      </w:r>
      <w:r>
        <w:rPr>
          <w:rFonts w:eastAsia="IRNazanin" w:cs="IRNazanin"/>
          <w:color w:val="111111"/>
          <w:sz w:val="28"/>
          <w:szCs w:val="28"/>
          <w:rtl w:val="true"/>
          <w:lang w:bidi="fa-IR"/>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الطیر من الحمامة إلی النعامة، کما عن کثیر من کتب العلّامة </w:t>
      </w:r>
      <w:r>
        <w:rPr>
          <w:rStyle w:val="FootnoteAnchor"/>
          <w:rtl w:val="true"/>
        </w:rPr>
        <w:footnoteReference w:id="915"/>
      </w:r>
      <w:r>
        <w:rPr>
          <w:rFonts w:ascii="IRNazanin" w:hAnsi="IRNazanin" w:eastAsia="IRNazanin"/>
          <w:color w:val="111111"/>
          <w:sz w:val="28"/>
          <w:sz w:val="28"/>
          <w:szCs w:val="28"/>
          <w:rtl w:val="true"/>
          <w:lang w:bidi="fa-IR"/>
        </w:rPr>
        <w:t xml:space="preserve">و الموجز </w:t>
      </w:r>
      <w:r>
        <w:rPr>
          <w:rStyle w:val="FootnoteAnchor"/>
          <w:rtl w:val="true"/>
        </w:rPr>
        <w:footnoteReference w:id="916"/>
      </w:r>
      <w:r>
        <w:rPr>
          <w:rFonts w:ascii="IRNazanin" w:hAnsi="IRNazanin" w:eastAsia="IRNazanin"/>
          <w:color w:val="111111"/>
          <w:sz w:val="28"/>
          <w:sz w:val="28"/>
          <w:szCs w:val="28"/>
          <w:rtl w:val="true"/>
          <w:lang w:bidi="fa-IR"/>
        </w:rPr>
        <w:t xml:space="preserve">و شرحه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الصادق علیه السلام فسّره بذلک </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الحمامة و الدجاجة و ما أشبههما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علی قدر جسمهما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الاقتصار علیهما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لموت الطائر جمیعه نعامة کانت أو غیرها من کباره أو صغاره، ما عدا العصفور و ما فی قدر جسمه </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الصهرشتی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طائر فی حال صغره ینزح له دلو واحد کالفرخ، لأنّه یشابه العصفور </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عدم الفرق</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الفأرة إذا تفسّخت </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لروایة أبی سعید المکاری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الفأرة فی البئر فتسلّخت فانزح منها سبع دلاء</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و فی خبر أبی عیینة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فلا بأس و إن تفسّخت فسبع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دلاء</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 xml:space="preserve">و اعتذر فی الروض عن ضعف أبی سعید بورود الإطلاق بالسبع فی الفأرة و بالثلاث فیها، فیجمع بینهما بالتفسّح و العدم، و الروایة کالأمارة الدالّة علی الفرق و إن لم یکن حجّة فی نفسها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المنقول عن مسائل علیّ بن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ینزح عشرون دلوا إذا تقطّعت</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و نحوه الرضویّ السابق فی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أبی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Style w:val="FootnoteAnchor"/>
          <w:rtl w:val="true"/>
        </w:rPr>
        <w:footnoteReference w:id="929"/>
      </w:r>
      <w:r>
        <w:rPr>
          <w:rFonts w:ascii="Amiri" w:hAnsi="Amiri" w:eastAsia="Amiri" w:cs="Amiri"/>
          <w:color w:val="111111"/>
          <w:sz w:val="28"/>
          <w:sz w:val="28"/>
          <w:szCs w:val="28"/>
          <w:rtl w:val="true"/>
          <w:lang w:bidi="ar-SA"/>
        </w:rPr>
        <w:t>التفسّخ</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المذکور فی کلام جماعة تبعا للمفید قدّس سرّه عطف الانتفاخ علی التفسّخ </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المسالک و 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w:t>
      </w:r>
      <w:r>
        <w:rPr>
          <w:rStyle w:val="FootnoteAnchor"/>
          <w:rtl w:val="true"/>
        </w:rPr>
        <w:footnoteReference w:id="932"/>
      </w:r>
      <w:r>
        <w:rPr>
          <w:rFonts w:ascii="IRNazanin" w:hAnsi="IRNazanin" w:eastAsia="IRNazanin"/>
          <w:color w:val="111111"/>
          <w:sz w:val="28"/>
          <w:sz w:val="28"/>
          <w:szCs w:val="28"/>
          <w:rtl w:val="true"/>
          <w:lang w:bidi="fa-IR"/>
        </w:rPr>
        <w:t>بل عن الغنیة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اقتصر فی اللمعة علی الانتفاخ </w:t>
      </w:r>
      <w:r>
        <w:rPr>
          <w:rStyle w:val="FootnoteAnchor"/>
          <w:rtl w:val="true"/>
        </w:rPr>
        <w:footnoteReference w:id="934"/>
      </w:r>
      <w:r>
        <w:rPr>
          <w:rFonts w:ascii="IRNazanin" w:hAnsi="IRNazanin" w:eastAsia="IRNazanin"/>
          <w:color w:val="111111"/>
          <w:sz w:val="28"/>
          <w:sz w:val="28"/>
          <w:szCs w:val="28"/>
          <w:rtl w:val="true"/>
          <w:lang w:bidi="fa-IR"/>
        </w:rPr>
        <w:t>و هو مؤذن باتّحادهما، کما قال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 التفسّخ الانتفاخ </w:t>
      </w:r>
      <w:r>
        <w:rPr>
          <w:rStyle w:val="FootnoteAnchor"/>
          <w:rtl w:val="true"/>
        </w:rPr>
        <w:footnoteReference w:id="935"/>
      </w:r>
      <w:r>
        <w:rPr>
          <w:rFonts w:ascii="IRNazanin" w:hAnsi="IRNazanin" w:eastAsia="IRNazanin"/>
          <w:color w:val="111111"/>
          <w:sz w:val="28"/>
          <w:sz w:val="28"/>
          <w:szCs w:val="28"/>
          <w:rtl w:val="true"/>
          <w:lang w:bidi="fa-IR"/>
        </w:rPr>
        <w:t xml:space="preserve">و غلّطه فی المعتبر و کشف الالتباس </w:t>
      </w:r>
      <w:r>
        <w:rPr>
          <w:rStyle w:val="FootnoteAnchor"/>
          <w:rtl w:val="true"/>
        </w:rPr>
        <w:footnoteReference w:id="936"/>
      </w:r>
      <w:r>
        <w:rPr>
          <w:rFonts w:ascii="IRNazanin" w:hAnsi="IRNazanin" w:eastAsia="IRNazanin"/>
          <w:color w:val="111111"/>
          <w:sz w:val="28"/>
          <w:sz w:val="28"/>
          <w:szCs w:val="28"/>
          <w:rtl w:val="true"/>
          <w:lang w:bidi="fa-IR"/>
        </w:rPr>
        <w:t>و وجّهه الفاضل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الانتفاخ یوجب تفرّق الأجزاء و 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لم تنقطع فی الحسّ و إن لم یبن بعضها من بعض بینونة ظاهرة،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قد یشکّ فی دخوله فی المتبادر منه عرفا و إن أیّده الاحتیاط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یتغذّی بالطعام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یتغذّ بالطعام فسیجی‌ء حکمه، و إن بلغ فهو رجل مضی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الحکم روایة منصور بن حازم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ینزح منها سبع دلاء إذا بال فیها الصبی أو وقعت فیها فأرة أو نحوها</w:t>
      </w:r>
      <w:r>
        <w:rPr>
          <w:rFonts w:eastAsia="IRNazanin" w:cs="IRNazanin"/>
          <w:color w:val="111111"/>
          <w:sz w:val="28"/>
          <w:szCs w:val="28"/>
          <w:rtl w:val="true"/>
          <w:lang w:bidi="fa-IR"/>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صحیحة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فی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ینزح الکلّ لبول الصبی، کالخمر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الصدوق </w:t>
      </w:r>
      <w:r>
        <w:rPr>
          <w:rStyle w:val="FootnoteAnchor"/>
          <w:rtl w:val="true"/>
        </w:rPr>
        <w:footnoteReference w:id="940"/>
      </w:r>
      <w:r>
        <w:rPr>
          <w:rFonts w:ascii="Amiri" w:hAnsi="Amiri" w:eastAsia="Amiri" w:cs="Amiri"/>
          <w:color w:val="111111"/>
          <w:sz w:val="28"/>
          <w:sz w:val="28"/>
          <w:szCs w:val="28"/>
          <w:rtl w:val="true"/>
          <w:lang w:bidi="ar-SA"/>
        </w:rPr>
        <w:t xml:space="preserve">و السیّد </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الثلاثة لبول الصبی إذا أکل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له علی نصّ </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روایة السبع أحوط و علیه العمل و الإجماع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علیّ بن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عن بول الصبی الفطیم یقع فی البئر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واحد</w:t>
      </w:r>
      <w:r>
        <w:rPr>
          <w:rFonts w:eastAsia="IRNazanin" w:cs="IRNazanin"/>
          <w:color w:val="111111"/>
          <w:sz w:val="28"/>
          <w:szCs w:val="28"/>
          <w:rtl w:val="true"/>
          <w:lang w:bidi="fa-IR"/>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النصّ عدم الشمول للصبیة، فتبقی تحت غیر المنصوص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 لو تغذّی بالطعام مع عدم استغنائه عن الرضاع ففی الحکم إشکال، و مقتضی الأصل السبع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لاغتسال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و لو ترتیبا کما یقتضیه الإطلاق، مع قوّة انصرافه إلی الارتماس، و لذا خصّه به فی السرائر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یدخل البئر فیغتسل منها؟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منها سبع دلاء</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 xml:space="preserve">ظاهرة فی الترتیب، فالأقوی تعمیم الحکم إن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کثیر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کصریح المحکیّ عن جماعة </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الحکم لمطلق مباشرة الجنب و إن لم یغتسل، مثل 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الجنب البئر ینزح منها سبع دلاء</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و روایة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سقط فی البئر دابّة صغیرة أو نزل فیها جنب فانزح منها سبع دلاء</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إطلاقها ینصرف إلی الاغتسال، بل لو ادّعی انصرافها بحکم غلبة الوجود إلی الارتماس لم یکن بعیدا، کما هو الظاهر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الحلبی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وقع فیها جنب فانزح منها سبع دلاء</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و قوله علیه السلام فی روایة ابن أبی یعفور المتقدّمة فی أدلّة نجاسة البئر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تقع فی البئر و لا تفسد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القوم ماءهم</w:t>
      </w:r>
      <w:r>
        <w:rPr>
          <w:rFonts w:eastAsia="IRNazanin" w:cs="IRNazanin"/>
          <w:color w:val="111111"/>
          <w:sz w:val="28"/>
          <w:szCs w:val="28"/>
          <w:rtl w:val="true"/>
          <w:lang w:bidi="fa-IR"/>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هذا الظهور لو سلّم لا ینافی ظهور روایة أبی بصیر فی الترتیب، فیجمع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اعتبار السند و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کلّ من الفردین سببا للحکم، لا بحمل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یعمّ الحکم الکافر؟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الروایة، و من ظهورها فی کون المقدّر للجنابة من حیث هی، فانفعال البئر بنجاسة الکفر یوجب نزحا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الأقوی، بل ظاهر السرائر عدم وجود القول بخلافه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یظهر أنّه لو کان علی بدن الجنب نجاسة عینیة وجب لها مقدّرها، کما لو مات فیها حیوان ملوّث بنجاسة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فیها بین المنیّ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ملازمة بدن الجنب للمنیّ غالبا فعدم التعرّض للتقیید فی الروایة یصیر دلیلا للإطلاق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مسوقا لحکم الجنب من حیث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النزح لسلب الطهوریة؟ أم لنجاسة البئر؟ أم تعبّد شرعیّ؟ ظاهر المعتبر و المحکیّ عن المختلف الأوّل </w:t>
      </w:r>
      <w:r>
        <w:rPr>
          <w:rStyle w:val="FootnoteAnchor"/>
          <w:rtl w:val="true"/>
        </w:rPr>
        <w:footnoteReference w:id="953"/>
      </w:r>
      <w:r>
        <w:rPr>
          <w:rFonts w:ascii="IRNazanin" w:hAnsi="IRNazanin" w:eastAsia="IRNazanin"/>
          <w:color w:val="111111"/>
          <w:sz w:val="28"/>
          <w:sz w:val="28"/>
          <w:szCs w:val="28"/>
          <w:rtl w:val="true"/>
          <w:lang w:bidi="fa-IR"/>
        </w:rPr>
        <w:t>و المحکیّ عن کتب الشهید الثانی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954"/>
      </w:r>
      <w:r>
        <w:rPr>
          <w:rFonts w:ascii="IRNazanin" w:hAnsi="IRNazanin" w:eastAsia="IRNazanin"/>
          <w:color w:val="111111"/>
          <w:sz w:val="28"/>
          <w:sz w:val="28"/>
          <w:szCs w:val="28"/>
          <w:rtl w:val="true"/>
          <w:lang w:bidi="fa-IR"/>
        </w:rPr>
        <w:t xml:space="preserve">و حکی عن بعض الثالث </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ینفیه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المتقدّمة، کما ینفی الأوّل أنّ ظاهره عدم ترتّب أثر علیه، فلا یطهر من الحدث و لا الخبث، بل ظاهره عدم الصلاح فیه رأسا، فلا یصلح للشرب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 هذه الأمور لوازم النجاسة، إلّا أنّ نجاسة البئر بما لا یکون نجسا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علی القول بأنّ الموجب للنزح اغتسال الجنب فیه لا مجرّد ملاقاته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غایة البعد، خصوصا بملاحظة لزوم نجاسة بدن المغتسل بالماء بعد الاغتسال، و هو محذور أولی بتعلیل النهی عن الوقوع فی البئر به فی الروایة </w:t>
      </w:r>
      <w:r>
        <w:rPr>
          <w:rStyle w:val="FootnoteAnchor"/>
          <w:rtl w:val="true"/>
        </w:rPr>
        <w:footnoteReference w:id="956"/>
      </w:r>
      <w:r>
        <w:rPr>
          <w:rFonts w:ascii="IRNazanin" w:hAnsi="IRNazanin" w:eastAsia="IRNazanin"/>
          <w:color w:val="111111"/>
          <w:sz w:val="28"/>
          <w:sz w:val="28"/>
          <w:szCs w:val="28"/>
          <w:rtl w:val="true"/>
          <w:lang w:bidi="fa-IR"/>
        </w:rPr>
        <w:t>من إفساد الماء علی القوم، خصوصا مع أنّ طهارة البدن عن النجاسة أولی من الطهارة عن الحدث، فیجب أن یکون وجوب التیمّم معلّلا بعدم الأمر بالاغتسال إذا استلزم حدوث نجاسة البدن، کما لا أمر به إذا استلزم بقاءها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تقرّر فی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فالاحتمال الأوّل أقوی، إلّا أن لا یعمل بروایة الإفساد فالتعبّد أقوی، و یبقی جواز استعمال الماء بعد الاغتسال مبنیّا علی جواز رفع الحدیث بالمستعمل و عدمه مطلقا أو بشرط القلّة، فإنّ الظاهر أنّ جریان البئر لا یوجب اعتصامه عن هذا الانفعال، کما لا یعصمه عن الانفعال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اغتسل فیها من حدث غیر الجنابة، ففی عدم وجوب شی‌ء أصلا، أو وجوب نزح الجمیع، أو وجوب المقدّر للجنابة، وجوه متدرّجة فی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رفع الجنابة بالاغتسال قولان، مقتضی الأصل و ظاهر روایة الإفساد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یستدلّ بها علی الفساد من جهة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تقع فی البئر و لا تفسد علی القوم ماءهم</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ظاهرها کون الإفساد علّة للنهی عن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مجرّد وقوع الجنب فی البئر مفسدا لها کان ظاهر النهی عنه موجبا للفساد، کما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تغتسل مرتمسا فی نهار رمضان فتفسد صومک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قبیل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تغتسل ارتماسا فی ماء الغیر فإنّه مفسد لمائه و غیر راض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المنهیّ عنه هو ما یوجب الإفساد لو لا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مستلزمة لالتزام عدم فساد البئر بهذا الاغتسال المنهیّ عنه، و لذا لا یصیر الماء فی المثال مستعملا فی رفع الحدث الأکبر، إلّا أن یلتزم بذلک فی المثال و أنّ الماء یصیر مستعملا بالاغتسال الصحیح لو لا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أغمضنا عن هذه الروایة کان الأقوی صحّة الاغتسال، و إن قلنا بنجاسة البئر به، لأنّها بعد الفراغ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 بنزح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لوقوع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الذکری </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أبی مریم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الکلب فی البئر نزحت،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فیها ثمّ خرج حیّا نزحت سبع دلاء</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و شذوذ ظاهر صدرها غیر قادح مع احتمال حمله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أبی أسامة بالاکتفاء بالخمس </w:t>
      </w:r>
      <w:r>
        <w:rPr>
          <w:rStyle w:val="FootnoteAnchor"/>
          <w:rtl w:val="true"/>
        </w:rPr>
        <w:footnoteReference w:id="960"/>
      </w:r>
      <w:r>
        <w:rPr>
          <w:rFonts w:ascii="IRNazanin" w:hAnsi="IRNazanin" w:eastAsia="IRNazanin"/>
          <w:color w:val="111111"/>
          <w:sz w:val="28"/>
          <w:sz w:val="28"/>
          <w:szCs w:val="28"/>
          <w:rtl w:val="true"/>
          <w:lang w:bidi="fa-IR"/>
        </w:rPr>
        <w:t>مع ظهورها فی موت الکلب غیر معمول بها فی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الحلّی وجوب الأربعین الواجب فی موته لطرح خبر السبع، لکونه من الآحاد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بنزح خمس لذرق الدجاج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عند الشیخ القائل بنجاسته </w:t>
      </w:r>
      <w:r>
        <w:rPr>
          <w:rStyle w:val="FootnoteAnchor"/>
          <w:rtl w:val="true"/>
        </w:rPr>
        <w:footnoteReference w:id="962"/>
      </w:r>
      <w:r>
        <w:rPr>
          <w:rFonts w:ascii="IRNazanin" w:hAnsi="IRNazanin" w:eastAsia="IRNazanin"/>
          <w:color w:val="111111"/>
          <w:sz w:val="28"/>
          <w:sz w:val="28"/>
          <w:szCs w:val="28"/>
          <w:rtl w:val="true"/>
          <w:lang w:bidi="fa-IR"/>
        </w:rPr>
        <w:t xml:space="preserve">، أو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المفید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و الدیلمی </w:t>
      </w:r>
      <w:r>
        <w:rPr>
          <w:rStyle w:val="FootnoteAnchor"/>
          <w:rtl w:val="true"/>
        </w:rPr>
        <w:footnoteReference w:id="964"/>
      </w:r>
      <w:r>
        <w:rPr>
          <w:rFonts w:ascii="Amiri" w:hAnsi="Amiri" w:eastAsia="Amiri" w:cs="Amiri"/>
          <w:color w:val="111111"/>
          <w:sz w:val="28"/>
          <w:sz w:val="28"/>
          <w:szCs w:val="28"/>
          <w:rtl w:val="true"/>
          <w:lang w:bidi="ar-SA"/>
        </w:rPr>
        <w:t xml:space="preserve">و الحلّی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اعترف غیر واحد بعدم العثور علی دلیل علیه مطلقا </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 به فی الجلّال من جهة کونه غیر منصوص، أو وجوب الجمیع، أو داخل فی مطلق العذرة الواجب فیها ما تقدّم من التفصیل بین الذائبة و غیرها، إلّا أنّ الإجماع علی عدم وجوب ما زاد علی الخمس أوجب الاقتصار علیها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بنزح ثلاث لموت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کما عن الذکری </w:t>
      </w:r>
      <w:r>
        <w:rPr>
          <w:rStyle w:val="FootnoteAnchor"/>
          <w:rtl w:val="true"/>
        </w:rPr>
        <w:footnoteReference w:id="967"/>
      </w:r>
      <w:r>
        <w:rPr>
          <w:rFonts w:ascii="IRNazanin" w:hAnsi="IRNazanin" w:eastAsia="IRNazanin"/>
          <w:color w:val="111111"/>
          <w:sz w:val="28"/>
          <w:sz w:val="28"/>
          <w:szCs w:val="28"/>
          <w:rtl w:val="true"/>
          <w:lang w:bidi="fa-IR"/>
        </w:rPr>
        <w:t xml:space="preserve">بل عن السرائر نفی الخلاف </w:t>
      </w:r>
      <w:r>
        <w:rPr>
          <w:rStyle w:val="FootnoteAnchor"/>
          <w:rtl w:val="true"/>
        </w:rPr>
        <w:footnoteReference w:id="968"/>
      </w: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الاستدلال علیه بروایة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فی البئر حیوان صغیر فانزح دلاء</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 xml:space="preserve">لکن فی روایة ابن سنان للدابّة الصغیرة سبع </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حملها علی الاستحباب، لکن تقیید الدلاء بها أولی، و هو فتوی ابن بابویه علی حکایة المختلف </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فی المعتبر </w:t>
      </w:r>
      <w:r>
        <w:rPr>
          <w:rStyle w:val="FootnoteAnchor"/>
          <w:rtl w:val="true"/>
        </w:rPr>
        <w:footnoteReference w:id="972"/>
      </w:r>
      <w:r>
        <w:rPr>
          <w:rFonts w:ascii="IRNazanin" w:hAnsi="IRNazanin" w:eastAsia="IRNazanin"/>
          <w:color w:val="111111"/>
          <w:sz w:val="28"/>
          <w:sz w:val="28"/>
          <w:szCs w:val="28"/>
          <w:rtl w:val="true"/>
          <w:lang w:bidi="fa-IR"/>
        </w:rPr>
        <w:t xml:space="preserve">کما عن المنتهی </w:t>
      </w:r>
      <w:r>
        <w:rPr>
          <w:rStyle w:val="FootnoteAnchor"/>
          <w:rtl w:val="true"/>
        </w:rPr>
        <w:footnoteReference w:id="973"/>
      </w:r>
      <w:r>
        <w:rPr>
          <w:rFonts w:ascii="IRNazanin" w:hAnsi="IRNazanin" w:eastAsia="IRNazanin"/>
          <w:color w:val="111111"/>
          <w:sz w:val="28"/>
          <w:sz w:val="28"/>
          <w:szCs w:val="28"/>
          <w:rtl w:val="true"/>
          <w:lang w:bidi="fa-IR"/>
        </w:rPr>
        <w:t>عنه دلوا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و عن المفید إلحاق الوزغة </w:t>
      </w:r>
      <w:r>
        <w:rPr>
          <w:rStyle w:val="FootnoteAnchor"/>
          <w:rtl w:val="true"/>
        </w:rPr>
        <w:footnoteReference w:id="974"/>
      </w:r>
      <w:r>
        <w:rPr>
          <w:rFonts w:ascii="IRNazanin" w:hAnsi="IRNazanin" w:eastAsia="IRNazanin"/>
          <w:color w:val="111111"/>
          <w:sz w:val="28"/>
          <w:sz w:val="28"/>
          <w:szCs w:val="28"/>
          <w:rtl w:val="true"/>
          <w:lang w:bidi="fa-IR"/>
        </w:rPr>
        <w:t xml:space="preserve">و عن الحلبی العقرب </w:t>
      </w:r>
      <w:r>
        <w:rPr>
          <w:rStyle w:val="FootnoteAnchor"/>
          <w:rtl w:val="true"/>
        </w:rPr>
        <w:footnoteReference w:id="975"/>
      </w:r>
      <w:r>
        <w:rPr>
          <w:rFonts w:ascii="IRNazanin" w:hAnsi="IRNazanin" w:eastAsia="IRNazanin"/>
          <w:color w:val="111111"/>
          <w:sz w:val="28"/>
          <w:sz w:val="28"/>
          <w:szCs w:val="28"/>
          <w:rtl w:val="true"/>
          <w:lang w:bidi="fa-IR"/>
        </w:rPr>
        <w:t xml:space="preserve">و عن الشیخ کلیهما </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ضعیف بعد القول بطهارة میت غیر ذی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الفأرة و الوزغة تقع فی البئر؟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منها ثلاث دلاء</w:t>
      </w:r>
      <w:r>
        <w:rPr>
          <w:rFonts w:eastAsia="IRNazanin" w:cs="IRNazanin"/>
          <w:color w:val="111111"/>
          <w:sz w:val="28"/>
          <w:szCs w:val="28"/>
          <w:rtl w:val="true"/>
          <w:lang w:bidi="fa-IR"/>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یظهر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تتفسّخ، لکن ظاهر عطف الوزغة علیها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وجوب السبع بها </w:t>
      </w:r>
      <w:r>
        <w:rPr>
          <w:rStyle w:val="FootnoteAnchor"/>
          <w:rtl w:val="true"/>
        </w:rPr>
        <w:footnoteReference w:id="978"/>
      </w:r>
      <w:r>
        <w:rPr>
          <w:rFonts w:ascii="IRNazanin" w:hAnsi="IRNazanin" w:eastAsia="IRNazanin"/>
          <w:color w:val="111111"/>
          <w:sz w:val="28"/>
          <w:sz w:val="28"/>
          <w:szCs w:val="28"/>
          <w:rtl w:val="true"/>
          <w:lang w:bidi="fa-IR"/>
        </w:rPr>
        <w:t xml:space="preserve">لبعض الإطلاقات </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بابویه دلو واحد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بنزح 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لموت العصفور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یقع فی البئر فیموت فیها العصفور تنزح له دلو واحد</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و یظهر منها حکم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فی المعتبر و المنتهی </w:t>
      </w:r>
      <w:r>
        <w:rPr>
          <w:rStyle w:val="FootnoteAnchor"/>
          <w:rtl w:val="true"/>
        </w:rPr>
        <w:footnoteReference w:id="982"/>
      </w:r>
      <w:r>
        <w:rPr>
          <w:rFonts w:ascii="IRNazanin" w:hAnsi="IRNazanin" w:eastAsia="IRNazanin"/>
          <w:color w:val="111111"/>
          <w:sz w:val="28"/>
          <w:sz w:val="28"/>
          <w:szCs w:val="28"/>
          <w:rtl w:val="true"/>
          <w:lang w:bidi="fa-IR"/>
        </w:rPr>
        <w:t>بقبول روایة عمّار هذه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بول الصبی الذی لم یتغذّ </w:t>
      </w:r>
      <w:r>
        <w:rPr>
          <w:rStyle w:val="FootnoteAnchor"/>
          <w:rtl w:val="true"/>
        </w:rPr>
        <w:footnoteReference w:id="983"/>
      </w:r>
      <w:r>
        <w:rPr>
          <w:rFonts w:ascii="IRNazanin" w:hAnsi="IRNazanin" w:eastAsia="IRNazanin"/>
          <w:color w:val="111111"/>
          <w:sz w:val="28"/>
          <w:sz w:val="28"/>
          <w:szCs w:val="28"/>
          <w:rtl w:val="true"/>
          <w:lang w:bidi="fa-IR"/>
        </w:rPr>
        <w:t>بالطعام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علیّ بن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بول الصبیّ الفطیم یقع فی البئر؟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واحد</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و لعلّه حملها علی المشرف علی الفطام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الرضیع هو المعبّر عنه فی الروایات بالفطیم </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زهرة و الحلبی وجوب الثلاث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کردویه،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البئر یدخلها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المطر و فیه البول و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أبوال الدوابّ و أرواثها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خرء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ینزح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دلوا</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 xml:space="preserve">و ضعف کردویه مجبور بروایة ابن أبی عمیر عنه، مع أنّ الشهرة فی المسألة حکیت عن جماعة کالموجز </w:t>
      </w:r>
      <w:r>
        <w:rPr>
          <w:rStyle w:val="FootnoteAnchor"/>
          <w:rtl w:val="true"/>
        </w:rPr>
        <w:footnoteReference w:id="988"/>
      </w:r>
      <w:r>
        <w:rPr>
          <w:rFonts w:ascii="Amiri" w:hAnsi="Amiri" w:eastAsia="Amiri" w:cs="Amiri"/>
          <w:color w:val="111111"/>
          <w:sz w:val="28"/>
          <w:sz w:val="28"/>
          <w:szCs w:val="28"/>
          <w:rtl w:val="true"/>
          <w:lang w:bidi="ar-SA"/>
        </w:rPr>
        <w:t xml:space="preserve">و الروضة </w:t>
      </w:r>
      <w:r>
        <w:rPr>
          <w:rStyle w:val="FootnoteAnchor"/>
          <w:rtl w:val="true"/>
        </w:rPr>
        <w:footnoteReference w:id="989"/>
      </w:r>
      <w:r>
        <w:rPr>
          <w:rFonts w:ascii="IRNazanin" w:hAnsi="IRNazanin" w:eastAsia="IRNazanin"/>
          <w:color w:val="111111"/>
          <w:sz w:val="28"/>
          <w:sz w:val="28"/>
          <w:szCs w:val="28"/>
          <w:rtl w:val="true"/>
          <w:lang w:bidi="fa-IR"/>
        </w:rPr>
        <w:t xml:space="preserve">و غیرهما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قد اختلفت عبارات الأصحاب فی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الدلو الّتی ینزح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المقدّر، ففی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دلو العادة الّتی یستقی بها دون الدلاء الکبار لأنّه لم یقیّد فی الخبر </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کقول المصنّف قدّس سرّه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جرت العادة باستعمالها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دلو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یستقی بها دون الصغار و الکبار الخارجة عن المعتاد و الغالب، لأنّه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لم یقیّد فی الخبر </w:t>
      </w:r>
      <w:r>
        <w:rPr>
          <w:rStyle w:val="FootnoteAnchor"/>
          <w:rtl w:val="true"/>
        </w:rPr>
        <w:footnoteReference w:id="992"/>
      </w:r>
      <w:r>
        <w:rPr>
          <w:rFonts w:ascii="IRNazanin" w:hAnsi="IRNazanin" w:eastAsia="IRNazanin"/>
          <w:color w:val="111111"/>
          <w:sz w:val="28"/>
          <w:sz w:val="28"/>
          <w:szCs w:val="28"/>
          <w:rtl w:val="true"/>
          <w:lang w:bidi="fa-IR"/>
        </w:rPr>
        <w:t>و فی الغنیة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دلو البئر المألوف </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الدلو دلو العادة </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فی المنتهی و التحریر </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المعتادة صغیرة کانت أو کبیرة، لأنّه لیس فی الشرع لها وضع، فیجب أن یتقیّد بالعرف </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الحوالة فی الدلو علی المعتاد، لعدم التقدیر الشرعیّ </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کتب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المعتادة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فالمراد بدلو العادة فی کلام هؤلاء یحتمل فی بادئ النظر العادة المستقرّة فی زمان صدور الروایات، بناء علی أنّ إرادة الفرد المعتاد علی هذا الوجه لا یحتاج إلی التقیید، لأنّه المتبادر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ما یمکن تسلیمه تبادر ذلک من الأخبار لتعارف تلک العادة فی زمان صدورها، لا من کلمات العلماء، إلّا علی تقدیر اعتیاد ذلک فی زمانهم أیضا، و هو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المعلوم عدم استقرار العادة فی ذلک الزمان علی دلو مضبوط علی جمیع الآبار الّتی هی مشمول الروایات، لاختلاف ذلک باختلاف الآبار و ما ینزح له و به، مع أنّه إذا أرید المعتاد فلا دلیل علی إرادة خصوص مصداقه المحقّق فی ذلک الزمان، بل الظاهر مفهومه المحقّق فی کلّ زمان و ما ینزح له و به، مع أنّه لو اعتبر عادة ذلک الزمان وجب اعتبار مقدار تلک الدلو، لأنّ المفروض عدم العلم بها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هذا الزمان المتأخّر، فضلا عن الاعتیاد بها، فلا وجه لاعتبار العدد فی الدلو المنزوح به فی هذا الزمان، و کان یلزمهم القطع بکفایة المقدار، مع أنّ العلّامة ذکر فی مسألة کفایة دلو تسع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نصّ لأصحابنا فیه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العلّامة </w:t>
      </w:r>
      <w:r>
        <w:rPr>
          <w:rStyle w:val="FootnoteAnchor"/>
          <w:rtl w:val="true"/>
        </w:rPr>
        <w:footnoteReference w:id="1000"/>
      </w:r>
      <w:r>
        <w:rPr>
          <w:rFonts w:ascii="IRNazanin" w:hAnsi="IRNazanin" w:eastAsia="IRNazanin"/>
          <w:color w:val="111111"/>
          <w:sz w:val="28"/>
          <w:sz w:val="28"/>
          <w:szCs w:val="28"/>
          <w:rtl w:val="true"/>
          <w:lang w:bidi="fa-IR"/>
        </w:rPr>
        <w:t xml:space="preserve">و من تأخّر عنه </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بین متردّد فی کفایة مقدار الدلاء إذا أخرج بغیر العدد المعتبر، أو قاطع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التأمّل فی کلام غیر واحد منهم یوجب القطع بعدم إرادة هذا المعنی، مثل قوله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صغیرة أو کبیرة</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فإنّ معنی ذلک عدم الفرق بینهما و أنّ النزح یجزی بکلّ منهما إذا اعتیدت، و لا ریب أنّ المعتادة فی زمان الصدور إحداهما، فلا معنی لإجزاء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بعض ما ذکرنا یظهر فساد احتمال أن یراد بالمعتاد ما هو المعتاد فی کلّ زمان، لاختلاف العادة باختلاف ما نزح منه و له و به، و لأنّ اللازم حینئذ أیضا اعتبار المقدار لا العدد، و لأنّه لا معنی للتسویة فی عبارة المعتبر بین الصغیرة و الکبیرة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إرادة ما هو المعتاد علی تلک البئر، کما صرّح به المحقّق و الشهید الثانیان </w:t>
      </w:r>
      <w:r>
        <w:rPr>
          <w:rStyle w:val="FootnoteAnchor"/>
          <w:rtl w:val="true"/>
        </w:rPr>
        <w:footnoteReference w:id="1003"/>
      </w:r>
      <w:r>
        <w:rPr>
          <w:rFonts w:ascii="IRNazanin" w:hAnsi="IRNazanin" w:eastAsia="IRNazanin"/>
          <w:color w:val="111111"/>
          <w:sz w:val="28"/>
          <w:sz w:val="28"/>
          <w:szCs w:val="28"/>
          <w:rtl w:val="true"/>
          <w:lang w:bidi="fa-IR"/>
        </w:rPr>
        <w:t>و هو الّذی یلتئم علیه العبارات المتقدّمة کلّها، و أظهرها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فیه عبارة السرائر </w:t>
      </w:r>
      <w:r>
        <w:rPr>
          <w:rStyle w:val="FootnoteAnchor"/>
          <w:rtl w:val="true"/>
        </w:rPr>
        <w:footnoteReference w:id="1004"/>
      </w:r>
      <w:r>
        <w:rPr>
          <w:rFonts w:ascii="IRNazanin" w:hAnsi="IRNazanin" w:eastAsia="IRNazanin"/>
          <w:color w:val="111111"/>
          <w:sz w:val="28"/>
          <w:sz w:val="28"/>
          <w:szCs w:val="28"/>
          <w:rtl w:val="true"/>
          <w:lang w:bidi="fa-IR"/>
        </w:rPr>
        <w:t xml:space="preserve">حیث احترز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الشاذّة الّتی یستقی بها، فإنّ 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عطف الصغار و الکبار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شذّ الاستقاء بها و إن کانت متوسّطة فی الصغر و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المستند فی ذلک إطلاقات الروایة فإنّ ظاهر قول الإمام علیه السلام للسائل عن حکم البئر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انزح منها دلاء</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هو الدلو المعتادة علی البئر، کما لو أمر المولی عبده بنزح دلاء من بئر معیّن، و إطلاقه و إن شمل ما لو کان علی ذلک البئر دلو غیر ما اعتیدت علیه، لکنّ الغالب علیها لمّا کان هو الدلو المعتادة علیها جاز إرادة خصوص ذلک اعتمادا علی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المراد من المعتادة علی تلک البئر ما اعتیدت علی نوعها أو شخصها؟ ظاهر النصّ و الفتوی الثانی، مع أنّ نوع البئر لا عادة فیها منضبطة، إلّا أن یراد ما یلیق بها بحسب الضیق و السعة، و إرادة ذلک لیس بأولی من إرادة ما یلیق بالنازح و المنزوح له و به، فالمتعیّن ما یستعمل علیها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یشکل الأمر فیما إذا لم یکن للبئر دلو معتادة، لعدم النزح منها، أو للنزح بها بکلّ ما یتّفق من الدلاء، أو بغیر الدلو من الظروف المختلفة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 ذلک غیر منقّح فی کتب الأصحاب، و الأخذ فیها بالمتیقّن فی التطهیر لعلّه أقوی، مع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صغیر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به الحکم </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انصرافه إلی الکبیر انصرافا معتدّا به، لأنّ الصدق مفروغ عنه، فإذا تحقّق عدم الانصراف حکم بالإطلاق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أنواع </w:t>
      </w:r>
      <w:r>
        <w:rPr>
          <w:rStyle w:val="FootnoteAnchor"/>
          <w:rtl w:val="true"/>
        </w:rPr>
        <w:footnoteReference w:id="1007"/>
      </w:r>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المتخالفة المقدّر کالإنسان و الکلب، أو المماثلة کالشاة و الکلب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لتضاعف النزح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لاستصحاب النجاسة، و لا یعارضه أصالة عدم تعدّد المؤثّر، و لأنّ مقتضی دلیل کلّ نوع سببیة وقوعه لاشتغال الذمّة بنزح المقدّر، فتعدّد السبب یقضی بتعدّد الاشتغال و هو یقضی بتعدّد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یخدش فی هذا الدلیل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المقدّمة الأولی، فإنّ الأسباب الشرعیة لا یجب أن تکون مؤثّرات حقیقة بل قد تکون معرّفات یجوز تعدّدها علی حکم واحد شخصیّ، کما إذا اجتمع سببان لنزح جمیع الماء، و حینئذ فإذا کان ظاهر الدلیل اتّحاد المسبّب و لو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ارتکاب تعدّده الشخصی بتعدّد الأشخاص و لو نوعا، بل ینبغی حمل السبب علی المعرّف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له أنّه لا یفهم عرفا فرق بین ورود الأسباب المتعدّدة لحکم شخصیّ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زنی زید فاقتلوه، و إن ارتدّ فاقتلوه، و بین ورودها لحکم واحد بالنوع قابل للتعدّد الشخصیّ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قدم زید من السفر فأضفه و إن زارک فی بیتک فأضفه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یضعّف بأنّ تعدّد الواحد النوعیّ شخصا بسبب تعدّد علل وجوده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لیس تصرّفا فی اللفظ، فإن کان مقتضی إطلاق الأدلّة سببیة جمیع مصادیق السبب من غیر فرق بین المسبوق بسبب آخر و غیره لزم عقلا تعدّد الحکم الواحد بالنوع فی الخارج، بخلاف صرف ظاهر الدلیل عن التأثیر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المقدّمة الثانیة نظرا إلی أنّ اللازم من تعدّد السبب تعدّد الوجوب و هو لا یقتضی تعدّد الواجب، بل قد یجتمع الإیجابات المتعدّدة فی واجب واحد للتأکید أو لجهات متعدّدة تقتضیه، کما فی مثال قتل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الأوامر المتعدّدة بالصلاة و الزکاة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المسبّب للأسباب المتعدّدة لیس هو الطلب الصادر من المتکلّم، ضرورة حصوله قبل وجود السبب بنفس الکلام الدالّ علی السببیة، بل المسبّب المتأخّر عن سببه هو اشتغال الذمّة بالفعل الفلانی، و من المعلوم أنّ تعدّد الاشتغال لا یکون إلّا مع تعدّد المشتغل به، کما لو حدث اشتغال ذمّة بدرهم أو بضیافة مرّتین، فإنّه لا إشکال فی تعدّد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المتحقّق بعد الشرط هو تنجّز الطلب فهو بمثابة تکرار الطلب المنجّز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اضرب،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ظهور التأکید فی 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بینهما و فهم اشتغال الذمّة فیما نحن فیه علی نحو ما یفهم عند افتراق أحد السببین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أدلّة السببیة کون السبب سببا لنفس الفعل و مؤثّرا فیه فی نظر الآمر، و هو الّذی دعاه إلی الأمر به عنده، فلا یرضی بتخلّفه عنه، فاللازم من تعدّد السبب و تعدّد التأثیر تعدّد الفعل لا مجرّد تعدّد طلبه، فافهم فإنّه لا یخلو عن دقّة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المقدّمة الثالثة، بناء علی کفایة الفعل الواحد لامتثال تکلیفین و إن علم تعدّدهما کما فی 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ظاهر جماعة، و أشار إلیه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العلّامة هنا فی المنتهی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عدم کفایة الفعل الواحد فی تحقّق الامتثال، و لا أقلّ من الشکّ فلا یتیقّن الخروج من العهدة، و لا إطلاق هنا یتمسّک به، إذ لا کلام فی کفایة أیّ فرد یکون، إنّما الکلام فی صدق الإطاعة و الامتثال للتکلیفین بإیجاد واحد،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السبب مؤثّر فی وجود الفعل فی نظر الآمر، فلا بدّ من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القاعدة و إن اقتضت عدم التداخل، إلّا أنّ من المعلوم فی خصوص المقام أنّ النزح لإزالة النجاسة الحاصلة من ملاقاة ما وقع فیها، و النجاسة و إن تعدّدت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یکشف عن ذلک اختلاف کیفیة إزالتها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الثابت من ذلک کفایة مزیل أحد الأفراد لإزالة الفرد الآخر المساوی له فی کیفیّتها، فیکفی مزیل واحد للنجاسة الحاصلة من وقوع شاة و کلب، لأنّ الفرض اتّحاد نجاستهما لاتّحاد مزیلهما، و کفایة مزیل الأشدّ لإزالة الأضعف، فیتداخل الأقلّ مقدارا تحت الأکثر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بأنّ ذلک مبنیّ علی تداخل النجاسات أضعفها فی أشدّها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غیر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ذلک غیر معلوم فی المقام، و لا یجوز قیاسه علی غیره، کما یکشف عن ذلک الفرق فیه بین المتّفقات فی غیره و الجمع فیه بین المختلفات، فالمتیقّن من اجتماع النجسین تضاعف النجاسة و صیرورة النجسین الواردین بمنزلة نجس واحد قدّر له مجموع مقدّریهما، و لو لا إطلاق الأدلّة فی کفایة مقدّر کلّ نجس له و لو حال انضمام نجس آخر و ضعف دعوی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ظهورها فی وقوع تلک النجاسة لا غیر، کان ینبغی الرجوع عند انضمام النجاسات إلی حکم ما لا نصّ فیه، و هو نزح الجمیع،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المخالف فی المسألة العلّامة فی جملة من کتبه </w:t>
      </w:r>
      <w:r>
        <w:rPr>
          <w:rStyle w:val="FootnoteAnchor"/>
          <w:rtl w:val="true"/>
        </w:rPr>
        <w:footnoteReference w:id="1009"/>
      </w:r>
      <w:r>
        <w:rPr>
          <w:rFonts w:ascii="IRNazanin" w:hAnsi="IRNazanin" w:eastAsia="IRNazanin"/>
          <w:color w:val="111111"/>
          <w:sz w:val="28"/>
          <w:sz w:val="28"/>
          <w:szCs w:val="28"/>
          <w:rtl w:val="true"/>
          <w:lang w:bidi="fa-IR"/>
        </w:rPr>
        <w:t>و استدلّ فی المنتهی بأنّ بفعل الأکثر یمتثل الأمرین فیحصل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اعترض علی نفسه بلزوم اجتماع علل متعدّدة علی معلول واحد، و دفعه بأنّه لا استحالة فی اجتماع المعرّفات </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دلیله منع المقدّمة الثالثة للدلیل المتقدّم، و ظاهر اعتراضه و جوابه منع المقدّمة الأولی، و قد عرفت ما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من الدلیل یظهر أنّه لا فرق بین وقوع النجسین مجتمعین أو متعاقبین فی وجوب تضعیف النزح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ینبغی الإشکال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تضعیفه </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بوقوع نجسین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عدّهما فی العرف فردین لحصول الفصل بینهما علی وجه یصدق تعدّد الوقوع، فإنّ الدلیل المذکور آت فیه بعینه، حتّی فیما إذا کان المتکرّر فردین أو إفرادا علّق المقدّر علی الطبیعة الصادقة علیها و علی الفرد الواحد، کالخمر و البول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بعدم الفرق فی الحکم بین مقدار من البول وقع دفعة أو وقع کلّ جزء منه دفعة و أنّا نفهم من أدلّة وقوع هذه الطبائع أنّ السبب وجودها فی البئر و لو بوقوعات متعدّدة، ممنوعة، فالقاعدة المتقدّمة من سببیة کلّ وقوع المقدّر جاریة هنا أیضا، إذ الموجود أوّلا من مصادیق الطبیعة مؤثّر تامّ باعتبار تحقّق الطبیعة فیه، فإذا وجد ثانیا کان مؤثّرا تامّا مستقلا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کالأوّل، فلا بدّ له من أثر غیر الأثر المتقدّم علیه، إذ لا یعقل تأثیر المتأخّر فی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المعاصرین فی الجواب عن ذلک بعد الاعتراف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الدلیل لمّا دلّ علی أنّ العذرة ینزح لها خمسون دلوا و کانت ماهیة صادقة علی القلیل و الکثیر و اشتغل الذمّة بالنزح بالوقوع الأوّل و جاء الوقوع الثانی انقلب الفرد الأوّل إلی الثانی فصارت مصداقا واحدا للماهیة، و هکذا کلّما یزداد فیدخل تحت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العذرة المذابة ینزح لها 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هذا إلّا کتعدّد النوع الواحد من الحدث الأصغر أو الأکبر، کالبول مرّات و الجنابة مرّات </w:t>
      </w:r>
      <w:r>
        <w:rPr>
          <w:rStyle w:val="FootnoteAnchor"/>
          <w:rtl w:val="true"/>
        </w:rPr>
        <w:footnoteReference w:id="101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یعلم له محصّل یرجع إلی منع إحدی مقدّمات الدلیل المذکور، و إنّ صیرورة الوقوعین أو الواقعین بعد الوقوع الثانی مصداقا واحدا هل یردّ الوقوع الأوّل عن السببیة المستقلّة بعد وجوده علی هذا الوجه؟ أو الوقوع الثانی یؤثّر فی المسبّب المتقدّم؟ أو أنّه لغو محض؟ و کلّ ذلک تقیید لإطلاق الأدلّة، و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العذرة تنزح لها 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الکلّ إنّما یوجب حدوث سبب متأخّر عن الکلّ لا انقلاب ما حدث بالأوّل إلی کونه مسبّبا عن المصداق الواحد الصادق علی الکلّ، و هذا واضح</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ذکره إنّما یتوجّه فی الفرد المستمرّ الواحد عرفا، حیث إنّه لا یعدّ سببا إلّا بعد انقطاعه، 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 من الشرع اتّحاده فلا یتعدّد و إن اختلف نوعه، و لا ینقلب الفرد الأوّل فیه إلی الثانی بعد تحقّقه سواء، بخلاف المقام الّذی علم فیه التعدّد و لو مع تساوی المتعدّد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التأثیر کالکلب و الأرنب الّذین لا یوجب أحدهما إلّا ما یوجبه الآخر، فأین ما علم فیه اتّحاد المسبّب و لو مع اختلاف نوع السبب عمّا علم فیه تعدّد المسبّب و لو مع اتّحاد نوع السبب إذا اختلفا فی الصنف؟</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مقتضی الأدلّة اللفظیة بین اختلاف المتعدّد المتکرّر نوعا أو صنفا و بین اختلافهما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فرق بینهما من حیث إنّه لا یفرق فی الأوّلین وقوع المتعدّد دفعة أو متعاقبین، بخلاف الثالث، فإنّه إن کان موضوع الحکم بالمقدّر الفرد الواحد منه فوقوع المتعدّد دفعة حکم المتعاقبین، و احتمال خروج ذلک عن مورد النصّ ضعیف، و إن کان موضوع الحکم بالمقدّر طبیعة کلّیة صادقة علی القلیل و الکثیر، فلا یحصل التعدّد فیها إلّا بالتعاقب مع الفصل الموجب لصدق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وقعت العذرة مستمرة غیر منفصلة أو منفصلة بما لا یوجب التعدّد عرفا کان فی حکم الفرد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جریان الدلیل المذکور حیث إنّه یتحقّق بأوّل الوقوع تأثیر السبب فیجب المقدّر ثمّ ما یقع فی الآن الثانی مؤثّر تامّ أیضا یوجب المقدّر، مدفوع بأنّ الواقع أوّلا لا یحکم بکونه سببا مستقلّا إلّا بعد انقطاعه، نظیر حصول امتثال الأمر المتعلّق بالطبیعة الصادقة علی القلیل و الکثیر المتدرّجة فی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کالأمر بالقراءة و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الفرد المحقّق للامتثال ما انقطع علیه الفعل، لا أوّل ما یوجد من ذلک الفعل لیقع الباقی لغوا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ظهر رجحان أحد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التکافؤ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تقدّم من معارضة ظهور المسبّب فی الاتّحاد لظهور سببیة الطبیعة فی سببیة کلّ فرد، أو معارضة الظهور اللفظی بظهور عدم تضاعف النجاسة بتعدّد الأفراد، و لذا لو وقع دفعة ما وقع علی التعاقب 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یؤثّر قطعا إلّا مع تبدّل العنوان، کما سیجی‌ء فی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المصیر إلی ما اختاره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أحوطه التضعیف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الاحتیاط فی مثل المقام لازم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حصل من تعاقب الفردین من العنوان عنوان آخر، کما إذا وقع دمان قلیلان متعاقبان یصدق علی المجموع الدم الکثیر، ففی الحکم إشکال من حیث إنّ الدم الأوّل قد أوجب نزح العشرة، و الدم الثانی بمقتضی إطلاق حکم دم القلیل لا یوجب إلّا نزح عشرة أیضا، لکن یصدق بعد وقوعه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البئر دم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انصراف إطلاق أدلّة الدم الکثیر إلی صورة وقوعه دفعة عرفیة مع دعوی انصراف إطلاق أدلّة الدم القلیل إلی صورة عدم تعقّبه بدم آخر یوجب زیادة تأثّر الماء و إحداث أثر محدث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کوقوع الدم الکثیر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متکافئتان فی التسلیم و المنع، فالأحوط الرجوع إلی أکثر الأمرین، بل الأقوی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الوقوعین بملاحظة مجموعهما سبب واحد للخمسین و بملاحظة کلّ منهما منفردا سببان للعشرة یوجبان عشرین، و لا یحکم هنا بالسبعین بتوهّم اقتضاء المجموع خمسین و کلّ منهما عشرة، لأنّ مغایرة المجموع لکلّ واحد مغایرة اعتباریة، فلا تعدّد فی الخارج، فالمؤثّر الوقوعان بأحد الاعتبارین، فالموجود فی الخارج علی سبیل البدل إمّا أسباب متعدّدة للعشرة و إمّا سبب واحد للخمسین، فلا وجه لإلغاء تأثیر مصداق السبب الموجب للأکثر، و أمّا الموجب للأقلّ فلا ینبغی تأثیره لکنّه یتداخل فی الأکثر لما ذکرنا من عدم الجمع بین مقتضاهما لیحکم بالسبعین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البناء علی تداخل مقتضی المصداقین لوجودهما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علی سبیل البدل بأحد الاعتبارین، فلا معنی لتداخل الأکثر فی الأقلّ إلّا إسقاط الزائد مع وجود سببه، و هو طرح لإطلاق دلیله من غیر تقیید، بخلاف تداخل الأقلّ فی الأکثر، فإنّه لا یوجب إلغاءه، فلو فرضنا أنّ التعدّد یقتضی أزید من الخمسین، کما إذا وقع القلیل سبع مرّات فصار بالثامن کثیرا، فإنّه و إن صدق علی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الدم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یصدق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فیه سبع مرّات بل ثمانیة دماء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لإلغاء ما یوجبه کلّ مرّة، و لیس فی ذلک إلغاء لمقتضی مصداق الدم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الشهیدان </w:t>
      </w:r>
      <w:r>
        <w:rPr>
          <w:rStyle w:val="FootnoteAnchor"/>
          <w:rtl w:val="true"/>
        </w:rPr>
        <w:footnoteReference w:id="1013"/>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014"/>
      </w:r>
      <w:r>
        <w:rPr>
          <w:rFonts w:ascii="IRNazanin" w:hAnsi="IRNazanin" w:eastAsia="IRNazanin"/>
          <w:color w:val="111111"/>
          <w:sz w:val="28"/>
          <w:sz w:val="28"/>
          <w:szCs w:val="28"/>
          <w:rtl w:val="true"/>
          <w:lang w:bidi="fa-IR"/>
        </w:rPr>
        <w:t>مسألة تحقّق الکثرة بالدم الثانی، فحکموا بمنزوح الکثیر، و لم یعلم مذهبهم فیما إذا کان مقدّر الدم الکثیر أقلّ من مقدّر الدماء المتعدّدة 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لو وقع نجس واحد شخصیّ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وقع الکلب مرّات و خرج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اللازم تعدّد النزح، إلّا أن یستظهر خلاف ذلک من النصّ</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بعض الحیوان إن صدق علیه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نقص منه بعض الأجزاء الغیر المقوّمة للصدق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یصدق علیه ذلک فهو داخل فیما لا نصّ فیه، إلّا أنّا نعلم عدم زیادة حکمه علی حکم الکلّ، فیجری علیه حکم الکلّ، و حینئذ فیترتّب علیه أحکامه حتّی عدم تداخل مقدّرة مع وقوع فردین منه أو تکرّر فرد واحد منه، و حینئذ فالجزء الواقع مکرّرا لا یتداخل مقدّرة، فضلا عمّا لو وقع جزء آخر بعد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الأوّل، بل لو سلّمنا التداخل فی تکرار الکلّ لم یبعد عدم التداخل فی الجزءین، لأنّهما بمنزلة فردین یدّعی أنّ کلّ واحد منهما بمنزلة کلّه، فکأنّه قد تکرّر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المصنّف قدّس سرّه منع عدم </w:t>
      </w:r>
      <w:r>
        <w:rPr>
          <w:rStyle w:val="FootnoteAnchor"/>
          <w:rtl w:val="true"/>
        </w:rPr>
        <w:footnoteReference w:id="1015"/>
      </w:r>
      <w:r>
        <w:rPr>
          <w:rFonts w:ascii="IRNazanin" w:hAnsi="IRNazanin" w:eastAsia="IRNazanin"/>
          <w:color w:val="111111"/>
          <w:sz w:val="28"/>
          <w:sz w:val="28"/>
          <w:szCs w:val="28"/>
          <w:rtl w:val="true"/>
          <w:lang w:bidi="fa-IR"/>
        </w:rPr>
        <w:t xml:space="preserve">التداخل مطلقا فی الجزء الّذی </w:t>
      </w:r>
      <w:r>
        <w:rPr>
          <w:rStyle w:val="FootnoteAnchor"/>
          <w:rtl w:val="true"/>
        </w:rPr>
        <w:footnoteReference w:id="1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بعضا من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الجمیع حتّی یتصوّر التکرار فیه، و کأنّ وجه المنع منع التعدّد مع تکرّر وقوع الجملة، بناء علی أنّ النجاسة الشخصیة لا یتعدّد تأثّرها </w:t>
      </w:r>
      <w:r>
        <w:rPr>
          <w:rStyle w:val="FootnoteAnchor"/>
          <w:rtl w:val="true"/>
        </w:rPr>
        <w:footnoteReference w:id="1017"/>
      </w:r>
      <w:r>
        <w:rPr>
          <w:rFonts w:ascii="IRNazanin" w:hAnsi="IRNazanin" w:eastAsia="IRNazanin"/>
          <w:color w:val="111111"/>
          <w:sz w:val="28"/>
          <w:sz w:val="28"/>
          <w:szCs w:val="28"/>
          <w:rtl w:val="true"/>
          <w:lang w:bidi="fa-IR"/>
        </w:rPr>
        <w:t>و الجزء لا یزید علی حکم جملته، فإذا وقع الجزء الثانی فکأنّه وقع جملته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المقدّمتان قابلتان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الوقوع علی التعاقب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 وقوع أکثر من جزء دفعة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یزید حکم أبعاضها عن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ما اختاره المصنّف قدّس سرّه من عدم التعدّد أو مع الوقوع دفعة، لو وقع جزءان لم یعلم کونهما من جملة واحدة فوجهان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عدم وقوع الجزء من حیوان آخر، و من أصالة بقاء النجاسة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إیجاب التعدّد لانتقاض الیقین بالنجاسة بیقین الطهارة لا ینافی ترتیب آثار عدم وقوع الجزء من حیوان آخر، کما لو لم یعلم کون النجاسة فی الثوب ممّا یحتاج إلی التعدّد أو لا، فإنّه یجمع بین حکم بقاء بالنجاسة و أصالة عدم وصول ما یحتاج إلی التعدّد، إلّا أن یفرق بین المثال و بین ما نحن فیه، فإنّ نجاسة کلّ واحد ممّا لا یحتاج إلی التعدّد و ما یحتاج تتّحد 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الأخری، کما یکشف عن ذلک تداخل حکمهما فی الغسل، أمّا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التزمنا فیه بتعدّد النجاستین علی وجه لا یدخل أحدهما فی الآخر، فالنجاسة المستصحبة إن أرید بها الحاصلة بالسبب الأوّل فقد ارتفعت به قطعا، و إن أرید بها الحاصلة بغیره فهی مشکوکة الحدوث، إلّا أن یدّعی أنّ النجاسة مع هذا تعدّد فی العرف أمرا واحدا مستمرّا و إن فرض تعدّدها فی الوجود بمقتضی تعدّد 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لأجل ذلک رجّح فی الذکری القول بالتعدّد فی هذا الفرع لکن علّله بالاستظهار </w:t>
      </w:r>
      <w:r>
        <w:rPr>
          <w:rStyle w:val="FootnoteAnchor"/>
          <w:rtl w:val="true"/>
        </w:rPr>
        <w:footnoteReference w:id="1018"/>
      </w:r>
      <w:r>
        <w:rPr>
          <w:rFonts w:ascii="IRNazanin" w:hAnsi="IRNazanin" w:eastAsia="IRNazanin"/>
          <w:color w:val="111111"/>
          <w:sz w:val="28"/>
          <w:sz w:val="28"/>
          <w:szCs w:val="28"/>
          <w:rtl w:val="true"/>
          <w:lang w:bidi="fa-IR"/>
        </w:rPr>
        <w:t>و لعلّه أراد الاحتیاط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مع العلم بأنّ الجزءین من نوع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لو احتمل تغایر النوعین فالاستصحاب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من التزم بأنّه لا یجب فی الصورة الأولی إلّا نزح مقدّر واحد استصحابا لطهارة البئر السابقة فرّق فی هذه الصورة الثانیة بین ما لو علم جزء منهما أنّه من جملة خاصّة و شکّ فی الأخری أنّه من تلک الجملة أم لا، فلم یبعّد الاکتفاء بنزح مقدّر الجملة المعلومة استصحابا لطهارة البئر من الآخر، و إن لم یعلم بأحد الجزءین لم یبعّد القول بوجوب مقدّر الجمیع لاستصحاب النجاسة، و لأنّه کما إذا وقع حیوان لم یعلم أنّه کلب أو غیره </w:t>
      </w:r>
      <w:r>
        <w:rPr>
          <w:rStyle w:val="FootnoteAnchor"/>
          <w:rtl w:val="true"/>
        </w:rPr>
        <w:footnoteReference w:id="101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بأیدینا من الأدلّة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للنجاسة منزوح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الأخذ بمقتضی استصحاب الأحکام الثابتة بعد الوقوع بالأدلّة المخصّصة لعمومات جواز استعمال الماء تکلیفا و وضعا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ینزح </w:t>
      </w:r>
      <w:r>
        <w:rPr>
          <w:rStyle w:val="FootnoteAnchor"/>
          <w:rtl w:val="true"/>
        </w:rPr>
        <w:footnoteReference w:id="1020"/>
      </w:r>
      <w:r>
        <w:rPr>
          <w:rFonts w:ascii="IRNazanin" w:hAnsi="IRNazanin" w:eastAsia="IRNazanin"/>
          <w:color w:val="111111"/>
          <w:sz w:val="28"/>
          <w:sz w:val="28"/>
          <w:szCs w:val="28"/>
          <w:rtl w:val="true"/>
          <w:lang w:bidi="fa-IR"/>
        </w:rPr>
        <w:t>جمیع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هنا لإجراء أصالة البراءة، لأنّ الشکّ فی ترتّب آثار الطهارة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إباحة الاستعمال و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وجوب النزح مقدّمة لواجب، فمن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لذلک الواجب هو تطهیر ماء البئر فالتکلیف به تکلیف بمفهوم معلوم لا یکفی فی الخروج عنه إلّا القطع بتحقّقه فی الخارج، و لیس النزح من حیث هو مقدّمة لذلک الواجب حتّی یجری فیه عند دوران الأمر بین الأقلّ و الأکثر أصالة البراءة، علی المختار من جریانها مع الشکّ فی أجزاء الواجب أو 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ما نحن فیه ما إذا أمرنا بتطهیر الثوب فشککنا فی حصول الطهارة بغسل الثوب مرّة أو مرّتین إذا لم یکن هناک إطلاق یقتضی کفایة المرّة، فإنّ الأمر بالغسل أمر حقیقة بالتطهیر المشکوک فی تحقّقه بالغسل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القول بنجاسة البئر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النزح تعبّدا، فإن جعله هذا القائل واجبا مستقلّا غیر معتبر فی جواز استعمال الماء کان الأقوی وجوب الأخذ بالأقلّ المتیقّن بناء علی جریان الأصل فی الأجزاء، و إن جعله شرطا لإباحة الاستعمال کان الحکم فیه کالسابق من الأخذ بالاستصحاب، لعدم کون الشکّ فی الحکم التکلیفی، بل فی ارتفاع المنع السابق، و الأصل عدمه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هنا قولین آخرین لم یعلم المستند لهما، و هو نزح أربعین </w:t>
      </w:r>
      <w:r>
        <w:rPr>
          <w:rStyle w:val="FootnoteAnchor"/>
          <w:rtl w:val="true"/>
        </w:rPr>
        <w:footnoteReference w:id="1021"/>
      </w:r>
      <w:r>
        <w:rPr>
          <w:rFonts w:ascii="IRNazanin" w:hAnsi="IRNazanin" w:eastAsia="IRNazanin"/>
          <w:color w:val="111111"/>
          <w:sz w:val="28"/>
          <w:sz w:val="28"/>
          <w:szCs w:val="28"/>
          <w:rtl w:val="true"/>
          <w:lang w:bidi="fa-IR"/>
        </w:rPr>
        <w:t xml:space="preserve">و نزح ثلاثین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و أضعف منهما ما احتمله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حکی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وجوب شی‌ء، اقتصارا علی موضع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ذکر أنّ هذا لا یتأتّی علی القول بالنجاسة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تعذّر نزحها لم تطهر إلّا بالتراوح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علی الظاهر، و لعلّه لفهم التعدّی من حدیث التراوح </w:t>
      </w: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تعطیل البئر لو قام لأخلّ بالحکم بتطهّرها بنزح الجمیع مع التمکّن، إذ لا وجه له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نزح ما یزیل أقلّ مراتب المحقّق بتلک النجاسة </w:t>
      </w:r>
      <w:r>
        <w:rPr>
          <w:rStyle w:val="FootnoteAnchor"/>
          <w:rtl w:val="true"/>
        </w:rPr>
        <w:footnoteReference w:id="1025"/>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یقع فی 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أوصاف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طهره عند القائلین بعدم الانفعال حکم الجاری المتغیّر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کفایة زوال تغیّره بما یتجدّد من مائها بالنزح، بل ربما قیل بکفایة زوال تغیّره بالنزح و إن لم یتجدّد ماء </w:t>
      </w:r>
      <w:r>
        <w:rPr>
          <w:rStyle w:val="FootnoteAnchor"/>
          <w:rtl w:val="true"/>
        </w:rPr>
        <w:footnoteReference w:id="1026"/>
      </w:r>
      <w:r>
        <w:rPr>
          <w:rFonts w:ascii="IRNazanin" w:hAnsi="IRNazanin" w:eastAsia="IRNazanin"/>
          <w:color w:val="111111"/>
          <w:sz w:val="28"/>
          <w:sz w:val="28"/>
          <w:szCs w:val="28"/>
          <w:rtl w:val="true"/>
          <w:lang w:bidi="fa-IR"/>
        </w:rPr>
        <w:t>لظاهر قوله علیه السلام فی صحیحة ابن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فینزح حتّی یذهب اللّون و یطیب الطعم</w:t>
      </w:r>
      <w:r>
        <w:rPr>
          <w:rFonts w:eastAsia="IRNazanin" w:cs="IRNazanin"/>
          <w:color w:val="111111"/>
          <w:sz w:val="28"/>
          <w:szCs w:val="28"/>
          <w:rtl w:val="true"/>
          <w:lang w:bidi="fa-IR"/>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 بأنّ الإطلاق محمول علی الغالب فلا یشمل ما لو زال التغیّر بالنزح من دون تجدّد نبع</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 منه القول بعد اعتبار النزح و کفایة زوال تغیّره لاتّصاله بماء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المادّة المعتصم بناء علی أنّ علّة النزح فی الصحیحة زوال تغیّره فهو المقصود دونه و ذکره لکونه مقدّمة له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موقوف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 و الظاهر کونها للغایة، و لو سلّم فإطلاق زوال التغیّر ینصرف إلی الغالب، و هو الحاصل بالممازجة بالماء المتجدّد، فإنّه هو الّذی یترتّب علی النزح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زوال التغیّر بنحو آخر، فالظاهر عدم دخل النزح فیه غالبا، فضلا عن استناده إلیه علی وجه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القائلون بانفعال البئر بالملاقاة فالمحکیّ عنهم أقوال تبلغ سبعة أو ثمانیة بعد اتّفاقهم علی وجوب إزالة التغیّر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أحدها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حتّی یزول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بظاهر ما دلّ علی کفایة زوال التغیّر فی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 علیه السلام فی صحیحة ابن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فی أدلّة الطهارة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ماء البئر واسع لا یفسده شی‌ء إلّا أن یتغیّر طعمه أو ریحه فینزح حتّی یذهب اللّون و یطیب الطعم</w:t>
      </w:r>
      <w:r>
        <w:rPr>
          <w:rFonts w:eastAsia="IRNazanin" w:cs="IRNazanin"/>
          <w:color w:val="111111"/>
          <w:sz w:val="28"/>
          <w:szCs w:val="28"/>
          <w:rtl w:val="true"/>
          <w:lang w:bidi="fa-IR"/>
        </w:rPr>
        <w:t xml:space="preserve">» </w:t>
      </w:r>
      <w:r>
        <w:rPr>
          <w:rStyle w:val="FootnoteAnchor"/>
          <w:rtl w:val="true"/>
        </w:rPr>
        <w:footnoteReference w:id="1030"/>
      </w:r>
      <w:r>
        <w:rPr>
          <w:rFonts w:ascii="IRNazanin" w:hAnsi="IRNazanin" w:eastAsia="IRNazanin"/>
          <w:color w:val="111111"/>
          <w:sz w:val="28"/>
          <w:sz w:val="28"/>
          <w:szCs w:val="28"/>
          <w:rtl w:val="true"/>
          <w:lang w:bidi="fa-IR"/>
        </w:rPr>
        <w:t xml:space="preserve">بناء علی تأویلها عند القائلین بالنجاسة بأنّ المراد من الفساد </w:t>
      </w:r>
      <w:r>
        <w:rPr>
          <w:rStyle w:val="FootnoteAnchor"/>
          <w:rtl w:val="true"/>
        </w:rPr>
        <w:footnoteReference w:id="1031"/>
      </w:r>
      <w:r>
        <w:rPr>
          <w:rFonts w:ascii="IRNazanin" w:hAnsi="IRNazanin" w:eastAsia="IRNazanin"/>
          <w:color w:val="111111"/>
          <w:sz w:val="28"/>
          <w:sz w:val="28"/>
          <w:szCs w:val="28"/>
          <w:rtl w:val="true"/>
          <w:lang w:bidi="fa-IR"/>
        </w:rPr>
        <w:t>المنفیّ صیرورة مائها نجس العین بحیث تتوقّف طهارته علی استهلاکه فی ماء آخر، فإنّ إخراج الدلو الواحد لنجاسة البئر بالعصفور أو الثلاثة لغیرها قد لا یوجب تجدّد نبع الماء، فضلا عن امتزاجه بجمیعه،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فضلا عن استهلاکه فیه، و هذا بخلاف المتغیّر، فإنّه لا بدّ من امتزاجه التامّ بماء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موثّقة سماعة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الفأرة تقع فی البئر أو الطیر؟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أدرکته قبل أن ینتن نزحت منها سبع دلاء و إن کانت سنّورا أو أکبر منها نزحت منها ثلاثین دلوا أو أربعین دلوا و إن أنتن حتّی یوجد ریح النتن فی الماء نزحت البئر حتّی یذهب النتن من الماء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الشحّام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الفأرة و السنّور و الدجاجة و الکلب و الطیر؟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یتفسخ أو یتغیّر طعم الماء فیکفیک خمس دلاء، و إن تغیّر الماء فخذ منه حتّی یذهب الریح</w:t>
      </w:r>
      <w:r>
        <w:rPr>
          <w:rFonts w:eastAsia="IRNazanin" w:cs="IRNazanin"/>
          <w:color w:val="111111"/>
          <w:sz w:val="28"/>
          <w:szCs w:val="28"/>
          <w:rtl w:val="true"/>
          <w:lang w:bidi="fa-IR"/>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قطرت فیها قطرة دم أو 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و الخمر و المیت و لحم الخنزیر فی ذلک کلّه واحد ینزح منه عشرون دلوا فإنّ غلب الریح نزحت حتّی تطیب</w:t>
      </w:r>
      <w:r>
        <w:rPr>
          <w:rFonts w:eastAsia="IRNazanin" w:cs="IRNazanin"/>
          <w:color w:val="111111"/>
          <w:sz w:val="28"/>
          <w:szCs w:val="28"/>
          <w:rtl w:val="true"/>
          <w:lang w:bidi="fa-IR"/>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تقدیم هذه الأخبار علی ظاهر ما سیأتی من أخبار وجوب نزح الجمیع للتغیّر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حمل تلک علی ما إذا توقّف زوال التغیر علی نزح الجمیع، إذ لا جمع بینهما أقرب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ظاهر ما دلّ علی وجوب المقدّر للنجاسة الواقعة الشامل بالإطلاق أو بالفحوی لصورة تغیّره بها، بناء علی منع شموله لها لفظا و لا فحوی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دلالة 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أمّا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ظهورها فی عدم انفعال البئر بالملاقاة </w:t>
      </w:r>
      <w:r>
        <w:rPr>
          <w:rStyle w:val="FootnoteAnchor"/>
          <w:rtl w:val="true"/>
        </w:rPr>
        <w:footnoteReference w:id="1035"/>
      </w:r>
      <w:r>
        <w:rPr>
          <w:rFonts w:ascii="IRNazanin" w:hAnsi="IRNazanin" w:eastAsia="IRNazanin"/>
          <w:color w:val="111111"/>
          <w:sz w:val="28"/>
          <w:sz w:val="28"/>
          <w:szCs w:val="28"/>
          <w:rtl w:val="true"/>
          <w:lang w:bidi="fa-IR"/>
        </w:rPr>
        <w:t xml:space="preserve">و وجوب صرفها إلی معنی یلائم القول بالنجاسة علی القول بانفعال البئر، و أقرب وجوه الصرف ما تقدّم من کون المراد بالفساد فساده بحیث لا یصلح إلّا بالممازجة التامّة مع ماء جدید من المادّة، و هذا ثابت مع التغییر منتف مع غیره، و لا ریب أنّ الروایة علی هذا صریحة فی حاجة الماء المتغیّر إلی النزح أزید ممّا یحتاجه الماء مع عدم التغیّر، فلا یدلّ علی کفایة زوال التغیّر و إن لم ینزح المقدّر، لأنّه یلزمه کون الماء مع عدم التغیّر أفسد منه مع التغیّر و هذا خلاف </w:t>
      </w:r>
      <w:r>
        <w:rPr>
          <w:rStyle w:val="FootnoteAnchor"/>
          <w:rtl w:val="true"/>
        </w:rPr>
        <w:footnoteReference w:id="1036"/>
      </w:r>
      <w:r>
        <w:rPr>
          <w:rFonts w:ascii="IRNazanin" w:hAnsi="IRNazanin" w:eastAsia="IRNazanin"/>
          <w:color w:val="111111"/>
          <w:sz w:val="28"/>
          <w:sz w:val="28"/>
          <w:szCs w:val="28"/>
          <w:rtl w:val="true"/>
          <w:lang w:bidi="fa-IR"/>
        </w:rPr>
        <w:t>ما استظهر من الروایة، بل کلّ تأویل یفرض فی الصحیحة لیوافق مذهب المستدلّ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 بنجاسة البئر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صراحة کون الفساد مع التغیّر أقوی و أشدّ و أحوج إلی إخراج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فاستدلال القائلین بالنجاسة بهذه الصحیحة مع ردّهم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بکونها مکاتبة، و اخری بالتأویل، و ثالثة بعدم المعارضة مع أدلّة وجوب النزح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الإشکال، فضلا عن تقدیم ظهورها علی ظهور أخبار المقدّرات و ظهور أخبار وجوب نزح الجمیع</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بعد الصحیحة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مقام عدم کفایة المقدّر المذکور فی مواردها للتطهیر مع التغیّر، إذ من المعلوم عدم زوال التغیّر بما دون خمس دلاء أو سبع أو عشرین، فلا یدلّ علی ما هو المطلوب من کفایة زوال التغیّر و إن لم یبلغ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استظهر أنّه المشهور </w:t>
      </w:r>
      <w:r>
        <w:rPr>
          <w:rStyle w:val="FootnoteAnchor"/>
          <w:rtl w:val="true"/>
        </w:rPr>
        <w:footnoteReference w:id="1037"/>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جمیع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لأنّ النجاسة الحاصلة بالتغیّر غیر منصوص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ظهور اختصاص أدلّة المقدّرات بصورة عدم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للأخبار الواردة بنزح الجمیع للتغیّر، مثل قوله علیه السلام فی روایة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 الثوب و لا تعاد الصلاة ممّا یقع فی البئر إلّا أن ینتن، فإن أنتن غسل الثوب و أعاد الصلاة و نزحت البئر</w:t>
      </w:r>
      <w:r>
        <w:rPr>
          <w:rFonts w:eastAsia="IRNazanin" w:cs="IRNazanin"/>
          <w:color w:val="111111"/>
          <w:sz w:val="28"/>
          <w:szCs w:val="28"/>
          <w:rtl w:val="true"/>
          <w:lang w:bidi="fa-IR"/>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انتفخت الفأرة و نتنت نزح الماء کلّه</w:t>
      </w:r>
      <w:r>
        <w:rPr>
          <w:rFonts w:eastAsia="IRNazanin" w:cs="IRNazanin"/>
          <w:color w:val="111111"/>
          <w:sz w:val="28"/>
          <w:szCs w:val="28"/>
          <w:rtl w:val="true"/>
          <w:lang w:bidi="fa-IR"/>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منهال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کانت جیفة قد أجیفت فاستق منها مائة دلو، فإن غلب الریح علیها بعد مائة دلو فانزحها کلّها</w:t>
      </w:r>
      <w:r>
        <w:rPr>
          <w:rFonts w:eastAsia="IRNazanin" w:cs="IRNazanin"/>
          <w:color w:val="111111"/>
          <w:sz w:val="28"/>
          <w:szCs w:val="28"/>
          <w:rtl w:val="true"/>
          <w:lang w:bidi="fa-IR"/>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عمّار الواردة فی التراوح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بئر یقع فیها کلب أو فأرة أو خنزیر؟ قال تنزف کلّها</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 xml:space="preserve">بناء علی حملها علی صورة التغیّر، کما ذکره الشیخ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منع کون النجاسة مع التغیّر ممّا لا نصّ فیه، لما سیجی‌ء من شمول أخبار المقدّرات له، و کذا أخبار وجوب إزالة التغیّر، و إن لم یدلّ کلّ واحد من هذین القسمین علی کفایة مضمونه، کما تقدّم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الأخبار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محمولة علی ما إذا توقّف زوال التغیّر علی نزح الجمیع، إذ لا جمع أقرب من ذلک، و ربّما احتمل فیها الحمل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احتمالات،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المصنّف قدّس سرّه وفاقا للمحکیّ عن الإسکافی </w:t>
      </w:r>
      <w:r>
        <w:rPr>
          <w:rStyle w:val="FootnoteAnchor"/>
          <w:rtl w:val="true"/>
        </w:rPr>
        <w:footnoteReference w:id="1043"/>
      </w:r>
      <w:r>
        <w:rPr>
          <w:rFonts w:ascii="IRNazanin" w:hAnsi="IRNazanin" w:eastAsia="IRNazanin"/>
          <w:color w:val="111111"/>
          <w:sz w:val="28"/>
          <w:sz w:val="28"/>
          <w:szCs w:val="28"/>
          <w:rtl w:val="true"/>
          <w:lang w:bidi="fa-IR"/>
        </w:rPr>
        <w:t xml:space="preserve">و الصدوقین </w:t>
      </w:r>
      <w:r>
        <w:rPr>
          <w:rStyle w:val="FootnoteAnchor"/>
          <w:rtl w:val="true"/>
        </w:rPr>
        <w:footnoteReference w:id="1044"/>
      </w:r>
      <w:r>
        <w:rPr>
          <w:rFonts w:ascii="Amiri" w:hAnsi="Amiri" w:eastAsia="Amiri" w:cs="Amiri"/>
          <w:color w:val="111111"/>
          <w:sz w:val="28"/>
          <w:sz w:val="28"/>
          <w:szCs w:val="28"/>
          <w:rtl w:val="true"/>
          <w:lang w:bidi="ar-SA"/>
        </w:rPr>
        <w:t xml:space="preserve">و السیّد </w:t>
      </w:r>
      <w:r>
        <w:rPr>
          <w:rStyle w:val="FootnoteAnchor"/>
          <w:rtl w:val="true"/>
        </w:rPr>
        <w:footnoteReference w:id="1045"/>
      </w:r>
      <w:r>
        <w:rPr>
          <w:rFonts w:ascii="IRNazanin" w:hAnsi="IRNazanin" w:eastAsia="IRNazanin"/>
          <w:color w:val="111111"/>
          <w:sz w:val="28"/>
          <w:sz w:val="28"/>
          <w:szCs w:val="28"/>
          <w:rtl w:val="true"/>
          <w:lang w:bidi="fa-IR"/>
        </w:rPr>
        <w:t xml:space="preserve">و الشیخ </w:t>
      </w:r>
      <w:r>
        <w:rPr>
          <w:rStyle w:val="FootnoteAnchor"/>
          <w:rtl w:val="true"/>
        </w:rPr>
        <w:footnoteReference w:id="1046"/>
      </w:r>
      <w:r>
        <w:rPr>
          <w:rFonts w:ascii="Amiri" w:hAnsi="Amiri" w:eastAsia="Amiri" w:cs="Amiri"/>
          <w:color w:val="111111"/>
          <w:sz w:val="28"/>
          <w:sz w:val="28"/>
          <w:szCs w:val="28"/>
          <w:rtl w:val="true"/>
          <w:lang w:bidi="ar-SA"/>
        </w:rPr>
        <w:t xml:space="preserve">و ابن حمزة </w:t>
      </w:r>
      <w:r>
        <w:rPr>
          <w:rStyle w:val="FootnoteAnchor"/>
          <w:rtl w:val="true"/>
        </w:rPr>
        <w:footnoteReference w:id="1047"/>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تراوح علیها أربعة رجال </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مستندهم ما تقدّم من روایة عمّار المتقدّمة أخیرا فی أخبار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أنّهم یشترطون إزالة التغیّر حتّی بعد التراوح، إذ لم یعهد من أحد القول بطهارة الماء المتغیّر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یحمل إطلاق الروایة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حینئذ بزوال التغیّر حکی عن الشیخ فی النهایة </w:t>
      </w:r>
      <w:r>
        <w:rPr>
          <w:rStyle w:val="FootnoteAnchor"/>
          <w:rtl w:val="true"/>
        </w:rPr>
        <w:footnoteReference w:id="1049"/>
      </w:r>
      <w:r>
        <w:rPr>
          <w:rFonts w:ascii="IRNazanin" w:hAnsi="IRNazanin" w:eastAsia="IRNazanin"/>
          <w:color w:val="111111"/>
          <w:sz w:val="28"/>
          <w:sz w:val="28"/>
          <w:szCs w:val="28"/>
          <w:rtl w:val="true"/>
          <w:lang w:bidi="fa-IR"/>
        </w:rPr>
        <w:t xml:space="preserve">و المبسوط </w:t>
      </w:r>
      <w:r>
        <w:rPr>
          <w:rStyle w:val="FootnoteAnchor"/>
          <w:rtl w:val="true"/>
        </w:rPr>
        <w:footnoteReference w:id="1050"/>
      </w:r>
      <w:r>
        <w:rPr>
          <w:rFonts w:ascii="IRNazanin" w:hAnsi="IRNazanin" w:eastAsia="IRNazanin"/>
          <w:color w:val="111111"/>
          <w:sz w:val="28"/>
          <w:sz w:val="28"/>
          <w:szCs w:val="28"/>
          <w:rtl w:val="true"/>
          <w:lang w:bidi="fa-IR"/>
        </w:rPr>
        <w:t xml:space="preserve">و عن کاشف الرموز نقله عن المقنعة </w:t>
      </w:r>
      <w:r>
        <w:rPr>
          <w:rStyle w:val="FootnoteAnchor"/>
          <w:rtl w:val="true"/>
        </w:rPr>
        <w:footnoteReference w:id="1051"/>
      </w:r>
      <w:r>
        <w:rPr>
          <w:rFonts w:ascii="IRNazanin" w:hAnsi="IRNazanin" w:eastAsia="IRNazanin"/>
          <w:color w:val="111111"/>
          <w:sz w:val="28"/>
          <w:sz w:val="28"/>
          <w:szCs w:val="28"/>
          <w:rtl w:val="true"/>
          <w:lang w:bidi="fa-IR"/>
        </w:rPr>
        <w:t>و لعلّ وجهه حمل أخبار زوال التغیّر صرفا أو انصرافا علی ما هو الغالب من تعذّر نزح الجمیع</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إمکان هذا الحمل فی روایة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معارضتها لتلک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زوال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ظهور لها فی مورد یزول التغیّر قبل نزح المقدّر، فینبغی الحکم عند تعذّر نزح الجمیع بأکثر الأمرین من المقدّر و مزیل التغیّر، و هو ثالث هذه الأقوال </w:t>
      </w:r>
      <w:r>
        <w:rPr>
          <w:rStyle w:val="FootnoteAnchor"/>
          <w:rtl w:val="true"/>
        </w:rPr>
        <w:footnoteReference w:id="1052"/>
      </w:r>
      <w:r>
        <w:rPr>
          <w:rFonts w:ascii="IRNazanin" w:hAnsi="IRNazanin" w:eastAsia="IRNazanin"/>
          <w:color w:val="111111"/>
          <w:sz w:val="28"/>
          <w:sz w:val="28"/>
          <w:szCs w:val="28"/>
          <w:rtl w:val="true"/>
          <w:lang w:bidi="fa-IR"/>
        </w:rPr>
        <w:t xml:space="preserve">و هو المحکیّ عن الشیخ </w:t>
      </w:r>
      <w:r>
        <w:rPr>
          <w:rStyle w:val="FootnoteAnchor"/>
          <w:rtl w:val="true"/>
        </w:rPr>
        <w:footnoteReference w:id="1053"/>
      </w:r>
      <w:r>
        <w:rPr>
          <w:rFonts w:ascii="Amiri" w:hAnsi="Amiri" w:eastAsia="Amiri" w:cs="Amiri"/>
          <w:color w:val="111111"/>
          <w:sz w:val="28"/>
          <w:sz w:val="28"/>
          <w:szCs w:val="28"/>
          <w:rtl w:val="true"/>
          <w:lang w:bidi="ar-SA"/>
        </w:rPr>
        <w:t xml:space="preserve">و الحلیّ </w:t>
      </w:r>
      <w:r>
        <w:rPr>
          <w:rStyle w:val="FootnoteAnchor"/>
          <w:rtl w:val="true"/>
        </w:rPr>
        <w:footnoteReference w:id="1054"/>
      </w:r>
      <w:r>
        <w:rPr>
          <w:rFonts w:ascii="IRNazanin" w:hAnsi="IRNazanin" w:eastAsia="IRNazanin"/>
          <w:color w:val="111111"/>
          <w:sz w:val="28"/>
          <w:sz w:val="28"/>
          <w:szCs w:val="28"/>
          <w:rtl w:val="true"/>
          <w:lang w:bidi="fa-IR"/>
        </w:rPr>
        <w:t xml:space="preserve">و المختلف </w:t>
      </w:r>
      <w:r>
        <w:rPr>
          <w:rStyle w:val="FootnoteAnchor"/>
          <w:rtl w:val="true"/>
        </w:rPr>
        <w:footnoteReference w:id="1055"/>
      </w:r>
      <w:r>
        <w:rPr>
          <w:rFonts w:ascii="IRNazanin" w:hAnsi="IRNazanin" w:eastAsia="IRNazanin"/>
          <w:color w:val="111111"/>
          <w:sz w:val="28"/>
          <w:sz w:val="28"/>
          <w:szCs w:val="28"/>
          <w:rtl w:val="true"/>
          <w:lang w:bidi="fa-IR"/>
        </w:rPr>
        <w:t xml:space="preserve">و المسالک </w:t>
      </w:r>
      <w:r>
        <w:rPr>
          <w:rStyle w:val="FootnoteAnchor"/>
          <w:rtl w:val="true"/>
        </w:rPr>
        <w:footnoteReference w:id="1056"/>
      </w:r>
      <w:r>
        <w:rPr>
          <w:rFonts w:ascii="IRNazanin" w:hAnsi="IRNazanin" w:eastAsia="IRNazanin"/>
          <w:color w:val="111111"/>
          <w:sz w:val="28"/>
          <w:sz w:val="28"/>
          <w:szCs w:val="28"/>
          <w:rtl w:val="true"/>
          <w:lang w:bidi="fa-IR"/>
        </w:rPr>
        <w:t xml:space="preserve">و استوجهه فی المدارک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الجمع بین محصّل هذا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أکثر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روایة عمّار الدالّة علی التراوح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المعتضدة بعمل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تعذّر نزح الجمیع، باعتبار أکثر الأمور من المقدّر و مزیل التغیّر و التراوح، و هذا رابع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الاحتمال الأوّل راجع إلی هذا، لأنّ التراوح غالبا یکون بعد استیفاء المقدّر، و أمّا زوال التغیّر فقد عرفت أنّه لا بدّ منه عند القائلین بالاحتمال الأوّل، و هو أقوی هذه الثلاثة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w:t>
      </w:r>
      <w:r>
        <w:rPr>
          <w:rStyle w:val="FootnoteAnchor"/>
          <w:rtl w:val="true"/>
        </w:rPr>
        <w:footnoteReference w:id="1058"/>
      </w:r>
      <w:r>
        <w:rPr>
          <w:rFonts w:ascii="IRNazanin" w:hAnsi="IRNazanin" w:eastAsia="IRNazanin"/>
          <w:color w:val="111111"/>
          <w:sz w:val="28"/>
          <w:sz w:val="28"/>
          <w:szCs w:val="28"/>
          <w:rtl w:val="true"/>
          <w:lang w:bidi="fa-IR"/>
        </w:rPr>
        <w:t xml:space="preserve">الأمرین من المقدّر و مزیل التغیّر، و علیه المحقّق فی النافع و المعتبر </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استحسنه کاشف الرموز و نسبه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إلی الحلّی </w:t>
      </w:r>
      <w:r>
        <w:rPr>
          <w:rStyle w:val="FootnoteAnchor"/>
          <w:rtl w:val="true"/>
        </w:rPr>
        <w:footnoteReference w:id="1061"/>
      </w:r>
      <w:r>
        <w:rPr>
          <w:rFonts w:ascii="IRNazanin" w:hAnsi="IRNazanin" w:eastAsia="IRNazanin"/>
          <w:color w:val="111111"/>
          <w:sz w:val="28"/>
          <w:sz w:val="28"/>
          <w:szCs w:val="28"/>
          <w:rtl w:val="true"/>
          <w:lang w:bidi="fa-IR"/>
        </w:rPr>
        <w:t>و فی النسبة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وجهه الجمع بین ما دلّ علی الأمرین، فإنّ أدلّة المقدّر شاملة له من حیث اعتبار المقدّر إمّا من باب الإطلاق باعتبار شمولها لوقوع النجاسة قبل حدوث التغیّر و إمّا من باب الفحوی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ظهورها فی کفایة المقدّر مطروح بما دلّ علی وجوب إزالة التغیّر، و لا ظهور لها فی کفایة ذلک حتّی یطرح بما دلّ علی أدلّة المقدّرات، مع أنّه متعیّن علی تقدیر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منهما ظهور لفظیّ فی اعتبار مضمونه فی التطهیر و ظهور عقلیّ فی کفایة ذلک، فیطرح ظهور کلّ منهما فی الکفایة بظهور الآخر فی الاعتبار، لأنّه أقوی، مضافا إلی أنّ المرجع بعد التکافؤ استصحاب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هذا الجمع إزالة التغیّر أوّلا ثمّ استیفاء المقدّر، لأنّ استیفاءه أو بعضه قبل زوال التغیّر غیر مجد، لأنّه نظیر ما إذا استوفی المقدّر أو بعضه قبل إخراج عین النجاسة، لأنّ بقاء التغیّر دلیل بقاء عین النجاسة مضافا إلی أنّ ظاهر الأخبار اعتبار النزح حال عدم التغیّر لذهاب النجاسة الحاصلة بالملاقاة، و معلوم عدم مدخلیة النزح فی ذهاب هذه النجاسة ما دام الماء متغیّرا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من هذا هو 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یجب إزالة التغیّر أوّلا ثمّ استیفاء المقدّر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هذین القولین لو لم یکن للمنزوح مقدّر فالظاهر وجوب نزح الجمیع، کما صرّح به بعض أهل کلّ من القولین، کما صرّحوا بالتراوح عند</w:t>
      </w:r>
      <w:bookmarkStart w:id="308" w:name="pg13031_131932"/>
    </w:p>
    <w:p>
      <w:pPr>
        <w:pStyle w:val="BookText"/>
        <w:rPr/>
      </w:pPr>
      <w:bookmarkEnd w:id="3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تعذّر نزح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عن صاحب المعالم و الذخیرة کفایة زوال التغیّر مع عدم المقدّر و کفایة أکثر الأمرین مع المقدّر </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أقوال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السادس لا یخلو عن قوّة و الأحوط هو القول الثالث</w:t>
      </w:r>
      <w:r>
        <w:rPr>
          <w:rFonts w:eastAsia="IRNazanin" w:cs="IRNazanin"/>
          <w:color w:val="111111"/>
          <w:sz w:val="28"/>
          <w:szCs w:val="28"/>
          <w:rtl w:val="true"/>
          <w:lang w:bidi="fa-IR"/>
        </w:rPr>
        <w:t>.</w:t>
      </w:r>
    </w:p>
    <w:p>
      <w:pPr>
        <w:pStyle w:val="Heading6"/>
        <w:numPr>
          <w:ilvl w:val="5"/>
          <w:numId w:val="1"/>
        </w:numPr>
        <w:rPr/>
      </w:pPr>
      <w:bookmarkStart w:id="309" w:name="__RefHeading___Toc6281661_3224264995"/>
      <w:bookmarkStart w:id="310" w:name="_Toc132"/>
      <w:bookmarkEnd w:id="309"/>
      <w:r>
        <w:rPr>
          <w:rtl w:val="true"/>
        </w:rPr>
        <w:t>[</w:t>
      </w:r>
      <w:r>
        <w:rPr>
          <w:rtl w:val="true"/>
        </w:rPr>
        <w:t>استحباب التباعد بین البئر و البالوعة</w:t>
      </w:r>
      <w:r>
        <w:rPr>
          <w:rtl w:val="true"/>
        </w:rPr>
        <w:t>]</w:t>
      </w:r>
      <w:bookmarkEnd w:id="31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یکون بین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ماء المجتمع المحتاج إلیه فی الاستعمال ذا مادّة أو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ثقب فی وسط الدار کما عن الصحاح </w:t>
      </w:r>
      <w:r>
        <w:rPr>
          <w:rStyle w:val="FootnoteAnchor"/>
          <w:rtl w:val="true"/>
        </w:rPr>
        <w:footnoteReference w:id="1063"/>
      </w:r>
      <w:r>
        <w:rPr>
          <w:rFonts w:ascii="IRNazanin" w:hAnsi="IRNazanin" w:eastAsia="IRNazanin"/>
          <w:color w:val="111111"/>
          <w:sz w:val="28"/>
          <w:sz w:val="28"/>
          <w:szCs w:val="28"/>
          <w:rtl w:val="true"/>
          <w:lang w:bidi="fa-IR"/>
        </w:rPr>
        <w:t xml:space="preserve">أو بئر یحفر ضیّق الرأس یجری فیها ماء المطر و نحوه کما عن القاموس </w:t>
      </w:r>
      <w:r>
        <w:rPr>
          <w:rStyle w:val="FootnoteAnchor"/>
          <w:rtl w:val="true"/>
        </w:rPr>
        <w:footnoteReference w:id="1064"/>
      </w:r>
      <w:r>
        <w:rPr>
          <w:rFonts w:ascii="IRNazanin" w:hAnsi="IRNazanin" w:eastAsia="IRNazanin"/>
          <w:color w:val="111111"/>
          <w:sz w:val="28"/>
          <w:sz w:val="28"/>
          <w:szCs w:val="28"/>
          <w:rtl w:val="true"/>
          <w:lang w:bidi="fa-IR"/>
        </w:rPr>
        <w:t xml:space="preserve">و خصّها فی الروضة بمجمع ماء النزح </w:t>
      </w:r>
      <w:r>
        <w:rPr>
          <w:rStyle w:val="FootnoteAnchor"/>
          <w:rtl w:val="true"/>
        </w:rPr>
        <w:footnoteReference w:id="1065"/>
      </w:r>
      <w:r>
        <w:rPr>
          <w:rFonts w:ascii="IRNazanin" w:hAnsi="IRNazanin" w:eastAsia="IRNazanin"/>
          <w:color w:val="111111"/>
          <w:sz w:val="28"/>
          <w:sz w:val="28"/>
          <w:szCs w:val="28"/>
          <w:rtl w:val="true"/>
          <w:lang w:bidi="fa-IR"/>
        </w:rPr>
        <w:t xml:space="preserve">بعد أن فسّرها فی الروض بمرمی مطلق النجاسات </w:t>
      </w:r>
      <w:r>
        <w:rPr>
          <w:rStyle w:val="FootnoteAnchor"/>
          <w:rtl w:val="true"/>
        </w:rPr>
        <w:footnoteReference w:id="10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أذرع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بذراع الید، و هی کما عن القاموس ما بین المرفق و طرف الإصبع الوسطی </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حدّها جماعة فی باب المسافة بخمسة و عشرین إصبعا عرضا </w:t>
      </w:r>
      <w:r>
        <w:rPr>
          <w:rStyle w:val="FootnoteAnchor"/>
          <w:rtl w:val="true"/>
        </w:rPr>
        <w:footnoteReference w:id="1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المتوسّطة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أرض الجبل 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کانت البئر فوق البالوعة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قراریهما أو سطح مائهما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یکن </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صلبة و لإقرار البئر 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علی الظاهر، و فی مرسلة قدامة بن أبی 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کم أدنی ما یکون بین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البالوعة؟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سهلا فسبع أذرع، و إن کان جبلا فخمس أذرع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الماء إلی القبلة إلی یمین، و یجری عن یمین القبلة إلی یسار القبلة، و یجری عن یسار القبلة إلی یمین القبلة، و لا یجری من القبلة إلی دبر القبلة</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و فی روایة الحسن بن رباط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البالوعة تکون فوق البئر؟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أسفل من البئر فخمسة أذرع، و إن کانت فوق البئر فسبعة أذرع من کلّ ناحیة، و ذلک کثیر</w:t>
      </w:r>
      <w:r>
        <w:rPr>
          <w:rFonts w:eastAsia="IRNazanin" w:cs="IRNazanin"/>
          <w:color w:val="111111"/>
          <w:sz w:val="28"/>
          <w:szCs w:val="28"/>
          <w:rtl w:val="true"/>
          <w:lang w:bidi="fa-IR"/>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جمع المشهور بینهما بتقیید حکم السبع فی الروایتین مع إرادة عدم فوقیة البئر من الفقرة الثانیة من الروایة الثانیة، إذ المتبادر من مثله نقیض الشرطیة الاولی لا ضدّها، و حاصل هذا الجمع کفایة کلّ من صلابة الأرض و فوقیة البئر فی الخمس، فیکون الخمس فی أربع صور من الستّ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الإرشاد عکس هذا الجمع، بتقیید حکم الخمس فی الروایتین مع إبقاء الفقرة الثانیة من الروایة الثانیة علی ظاهرها من خصوصیة فوقیة البالوعة، قال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تباعد البئر عن البالوعة بسبع أذرع إن کانت الأرض رخوة أو کانت البالوعة فوقها و إلّا فخمس </w:t>
      </w:r>
      <w:r>
        <w:rPr>
          <w:rStyle w:val="FootnoteAnchor"/>
          <w:rtl w:val="true"/>
        </w:rPr>
        <w:footnoteReference w:id="1072"/>
      </w:r>
      <w:r>
        <w:rPr>
          <w:rFonts w:ascii="IRNazanin" w:hAnsi="IRNazanin" w:eastAsia="IRNazanin"/>
          <w:color w:val="111111"/>
          <w:sz w:val="28"/>
          <w:sz w:val="28"/>
          <w:szCs w:val="28"/>
          <w:rtl w:val="true"/>
          <w:lang w:bidi="fa-IR"/>
        </w:rPr>
        <w:t xml:space="preserve">و عن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فیوافق ظاهر ما عن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یستحبّ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تباعد البئر عن البالوعة بسبع أذرع مع الرخاوة و التحتیة و إلّا فخمس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یکون بین البئر الّتی یستقی منها و بین البالوعة سبعة أذرع إذا کانت البئر تحت و کانت الأرض سهلة، و خمسة أذرع إذا کانت فوقها و الأرض أیضا سهلة، و إن کانت الأرض صلبة فخمس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 هذا القول الجمع بین الروایتین بتقیید حکم السبع فی إحداهما بالآخر، إلّا أن الفقرة الثانیة باقیة علی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إرادة خصوص فوقیة البالوعة علی ظاهر السرائر، و یراد بها نقیض الفقرة الاولی و هو عدم فوقیة البئر بناء علی ظاهر التلخیص و نسخة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جمع رابع، و هو تقیید فقرتی الروایة الثانیة بالأولی فیکون المدار علی الصلابة و الرخاوة، و هو المحکیّ عن ظاهر الصدوق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مشایخنا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تزییف جمع المشهور بعدم جریانه علی القواعد من غیر بیان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مجموع الروایتین أنّ السبعة لها سببان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السهولة و فوقیة البالوعة، و الخمسة أیضا لها سببان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الجبلیة و أسفلیة البالوعة، و یحصل التعارض عند تعارض سببین، کما إذا کانت الأرض سهلة و البالوعة أسفل، فلا بدّ من مرجّح خارجی، و کذا إذا کانت الأرض جبلیة و البالوعة فوق البئر، و لعلّه بالنسبة إلینا یکفی الشهرة فی الترجیح فیحکّم کلّ منهما علی الآخر بمعونتها، و بالنسبة إلیهم لا نعلم المرجّح، و لعلّه دلیل خارجیّ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تعارض السببین إنّما یکون بعد الفراغ عن دلیلهما و عدم تصرّف فیهما کما فی تعارض البیّنتین، و نحوه فی المقام من قبیل تعارض الدلیلین و تعیین وجوه التصرّف لیثبت بذلک الخمس بتعدّد السبب کالمشهور، أو السبع کالإرشاد، أو اختصاص کلّ منهما بسبب واحد کالصدوق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جمع المشهور لعلّه ناظر إلی أنّ الصلابة و فوقیة البئر من قبیل المانع و أنّ البعد بما دون السبع مظنّة لتوهّم نفوذ النجاسة من البالوعة إلّا أن یکون هنا مانع من النفوذ من صلابة أو علوّ البئر، فوجوب السبع مع السهولة أو تساوی القرارین لیس مستندا إلیهما، بل إلی عدم المانع عن النفوذ فیما دون </w:t>
      </w:r>
      <w:r>
        <w:rPr>
          <w:rStyle w:val="FootnoteAnchor"/>
          <w:rtl w:val="true"/>
        </w:rPr>
        <w:footnoteReference w:id="1077"/>
      </w:r>
      <w:r>
        <w:rPr>
          <w:rFonts w:ascii="IRNazanin" w:hAnsi="IRNazanin" w:eastAsia="IRNazanin"/>
          <w:color w:val="111111"/>
          <w:sz w:val="28"/>
          <w:sz w:val="28"/>
          <w:szCs w:val="28"/>
          <w:rtl w:val="true"/>
          <w:lang w:bidi="fa-IR"/>
        </w:rPr>
        <w:t>مع وجود مقتضی النفوذ، و هو استعداد الماء للنفوذ إلی سبعة أذرع من جوانبه لو خلّی و طبعه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الجمع مطابق للأصل، لأصالة عدم استحباب السبع عند صلابة الأرض إذا کانت البالوعة فوق البئر، بناء علی إجراء أصالة العدم هنا، دون أصالة عدم الامتثال بالمستحبّ و عدم ارتفاع ما لاحظه الشارع من مظنّة النفوذ مع القرب، فکان أولی من قول الإرشاد و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الأوفق بالأصل من ذلک قول التلخیص، لحکمه بعدم السبع مع تساوی القرارین فی الأرض الرخوة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تقیید أحد فقرتی السبع بالآخر لا وجه له، لعدم التنافی، فلا وجه لاطراح إطلاق السبعة فی الروایة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عرفت قوّة قول المشهور مع قطع النظر عن الشهرة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المحکیّ عن الإسکافی فی مختصره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أستحبّ الطهارة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من بئر یکون بئر النجاسة الّتی یستقرّ فیها النجاسة من أعلاها فی مجری الوادی، إلّا إذا کان بینهما فی الأرض الرخوة اثنا عشر ذراعا و فی الأرض الصلبة سبع أذرع، فإن کان تحتها و النظیفة أعلاها فلا بأس و إن کانت محاذیتها فی سمت القبلة، فإذا کان بینهما سبعة أذرع فلا بأس، لما رواه ابن یحیی، عن سلیمان، عن أبی عبد اللّٰه علیه السلام </w:t>
      </w:r>
      <w:r>
        <w:rPr>
          <w:rStyle w:val="FootnoteAnchor"/>
          <w:rtl w:val="true"/>
        </w:rPr>
        <w:footnoteReference w:id="107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روایة سلیمان الدیلمی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البئر یکون إلی جنبها الکنیف؟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مجری العیون کلّها من مهبّ الشمال، فإذا کانت البئر النظیفة فوق الشمال، و الکنیف أسفل منها لم یضرّها إذا کان بینهما أذرع، و إن کان الکنیف فوق النظیفة فلا أقلّ من اثنی عشر ذراعا، و إن کانت تجاها بحذاء القبلة و هما مستویان فی مهبّ الشمال فسبعة أذرع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قدّس سرّه فهم من إطلاق الأرض الرخوة، لأنّها الغالب، و تحدیده البعد فی الصلبة بسبع لروایة الحسن بن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السبع مع فوقیة البالوعة، بناء علی أنّ المراد بالفوقیة أعمّ من العلوّ من حیث الجهة، بحملها علی الصلبة لکونها الفرد المتیقّن من الإطلاق، کالرخوة فی هذه الروایة، فیطرح ظاهر کلّ بنص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فیه إطراحا لروایة ابن أبی زید </w:t>
      </w:r>
      <w:r>
        <w:rPr>
          <w:rStyle w:val="FootnoteAnchor"/>
          <w:rtl w:val="true"/>
        </w:rPr>
        <w:footnoteReference w:id="1081"/>
      </w:r>
      <w:r>
        <w:rPr>
          <w:rFonts w:ascii="IRNazanin" w:hAnsi="IRNazanin" w:eastAsia="IRNazanin"/>
          <w:color w:val="111111"/>
          <w:sz w:val="28"/>
          <w:sz w:val="28"/>
          <w:szCs w:val="28"/>
          <w:rtl w:val="true"/>
          <w:lang w:bidi="fa-IR"/>
        </w:rPr>
        <w:t>رأسا أو حملا لها علی أقلّ مراتب الاستحباب، کما أشار إلیه جامع المقاصد،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 الجمع حمل ما دلّ علی الزیادة علی المبالغة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الاستحباب، و حینئذ فیعتبر الفوقیة و التحتیة باعتبار المجری، فإنّ جهة الشمال فوق بالنسبة إلی ما یقابلها، کما دلّ علیه الروایة، و إنّما یظهر أثر ذلک مع التساوی فی القرار و یضمّ إلی الفوقیة و التحتیة باعتبار القرار و إلی صلابة الأرض و رخاوتها، فیحصل أربع و عشرون صورة </w:t>
      </w:r>
      <w:r>
        <w:rPr>
          <w:rStyle w:val="FootnoteAnchor"/>
          <w:rtl w:val="true"/>
        </w:rPr>
        <w:footnoteReference w:id="10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 علوّ جهة الشمال ما تقدّم من قوله علیه السلام فی روایة ابن أبی زید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یجری من القبلة إلی دبر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دبر قبلة العراقی هی جهة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تحصیل الصور الأربع و عشرین فواضح، لأنّ الستّ السابقة یضرب فی أربع، هی کون البئر فی طرف الشمال و البالوعة فی طرف الجنوب و عکسها، و کون البئر فی طرف المشرق و البالوعة فی طرف المغرب و عکسها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تقیید علوّ الجهة بعلوّ القرار بصورة عدم معارضته به فیشکل استفادته من الأخبار و إن ساعده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الخمس فی جمیع صور صلابة الأرض، و هی اثنتا عشرة، و جمیع صور علوّ البئر حسّا من صور الرخاوة، و هی أربع من اثنتی عشرة، و صورة واحدة من صور تساوی القرارین، و هی صورة علوّ البئر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السبع فیما عدا ذلک، و هی جمیع الصور الأربع من صورة علوّ قرار البالوعة و ثلاث من صور تساوی القرارین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یشکل بما ذکره شارح الدروس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فوقیة القرار إمّا أنّ</w:t>
      </w:r>
      <w:bookmarkStart w:id="311" w:name="pg13031_131938"/>
    </w:p>
    <w:p>
      <w:pPr>
        <w:pStyle w:val="BookText"/>
        <w:rPr/>
      </w:pPr>
      <w:bookmarkEnd w:id="3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تعارض فوقیة الجهة فیکون بمنزلة المتساویین، أو لا، فعلی الأوّل ینبغی السبع فی ثمان، لخروج واحدة من الصور الأربع لفوقیة قرار البئر المحکوم فیها بالخمس، و علی الثانی ینبغی السبع فی ستّ لخروج صورة واحدة من الصور الأربع لفوقیة قرار البالوعة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علوّ الجهة فی البئر تعارض بعلوّ البالوعة حسّا فلا یوجب کفایة الخمس، بخلاف علوّ الجهة فی البالوعة فإنّه لا یعارض بعلوّ البئر 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علوّ البئر کالسلیم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الأخبار قیام علوّ الجهة فی البئر فی مقام علوّها حسّا إذا لم یعارض بعلوّ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العلوّ الحسّی فی طرف البالوعة لا یؤثّر شیئا، و لذا حکمه حکم عدمه و تساوی القرارین، فکیف یعارض علوّ الجهة؟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بنجاسة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قربها من البالوعة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یعلم وصول ماء البالوعة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تغیّرها بأوصاف النجاسة علی المختار من عدم انفعال البئر، أو مطلقا علی القول بالانفعال، لقوله علیه السلام حین سئل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 یکون بینها و بین الکنیف خمسة أذرع أو أقل أو أکثر، یتوضّأ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یکره من قرب و لا بعد، یتوضّأ منها و یغتسل ما لم یتغیّر الماء</w:t>
      </w:r>
      <w:r>
        <w:rPr>
          <w:rFonts w:eastAsia="IRNazanin" w:cs="IRNazanin"/>
          <w:color w:val="111111"/>
          <w:sz w:val="28"/>
          <w:szCs w:val="28"/>
          <w:rtl w:val="true"/>
          <w:lang w:bidi="fa-IR"/>
        </w:rPr>
        <w:t xml:space="preserve">»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التغیّر علی المختار لکونه سببا فی النجاسة، و علی القول الآخر لأنّه الکاشف غالبا عن نفوذ الماء النجس من الکنیف</w:t>
      </w:r>
      <w:r>
        <w:rPr>
          <w:rFonts w:eastAsia="IRNazanin" w:cs="IRNazanin"/>
          <w:color w:val="111111"/>
          <w:sz w:val="28"/>
          <w:szCs w:val="28"/>
          <w:rtl w:val="true"/>
          <w:lang w:bidi="fa-IR"/>
        </w:rPr>
        <w:t>.</w:t>
      </w:r>
    </w:p>
    <w:p>
      <w:pPr>
        <w:pStyle w:val="Heading6"/>
        <w:numPr>
          <w:ilvl w:val="5"/>
          <w:numId w:val="1"/>
        </w:numPr>
        <w:rPr/>
      </w:pPr>
      <w:bookmarkStart w:id="312" w:name="__RefHeading___Toc6281663_3224264995"/>
      <w:bookmarkStart w:id="313" w:name="_Toc133"/>
      <w:bookmarkEnd w:id="312"/>
      <w:r>
        <w:rPr>
          <w:rtl w:val="true"/>
        </w:rPr>
        <w:t>[</w:t>
      </w:r>
      <w:r>
        <w:rPr>
          <w:rtl w:val="true"/>
        </w:rPr>
        <w:t>حکم الماء النجس</w:t>
      </w:r>
      <w:r>
        <w:rPr>
          <w:rtl w:val="true"/>
        </w:rPr>
        <w:t>]</w:t>
      </w:r>
      <w:bookmarkEnd w:id="313"/>
    </w:p>
    <w:p>
      <w:pPr>
        <w:pStyle w:val="Heading6"/>
        <w:numPr>
          <w:ilvl w:val="5"/>
          <w:numId w:val="1"/>
        </w:numPr>
        <w:rPr/>
      </w:pPr>
      <w:bookmarkStart w:id="314" w:name="__RefHeading___Toc6281665_3224264995"/>
      <w:bookmarkStart w:id="315" w:name="_Toc134"/>
      <w:bookmarkEnd w:id="314"/>
      <w:r>
        <w:rPr>
          <w:rtl w:val="true"/>
        </w:rPr>
        <w:t>اشارة</w:t>
      </w:r>
      <w:bookmarkEnd w:id="31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حکم بنجاسة الماء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یجز، بل حرم کما فی القواعد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و البیان </w:t>
      </w:r>
      <w:r>
        <w:rPr>
          <w:rStyle w:val="FootnoteAnchor"/>
          <w:rtl w:val="true"/>
        </w:rPr>
        <w:footnoteReference w:id="1086"/>
      </w:r>
      <w:r>
        <w:rPr>
          <w:rFonts w:ascii="IRNazanin" w:hAnsi="IRNazanin" w:eastAsia="IRNazanin"/>
          <w:color w:val="111111"/>
          <w:sz w:val="28"/>
          <w:sz w:val="28"/>
          <w:szCs w:val="28"/>
          <w:rtl w:val="true"/>
          <w:lang w:bidi="fa-IR"/>
        </w:rPr>
        <w:t xml:space="preserve">و غیرهما </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استعماله فی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الشامل لإزالة الخبث و التنظیف المطلوب فی الأغسال و الوضوءات المندوبة و غیرها من موارد رجحان استعمال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ترتّب الأثر المقصود من هذه الأمور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المفروض فعله بقصد ترتّب الأثر علیه، و إلّا لم یکن مستعملا للماء فی الطهارة، و لذا قال 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استعماله فی صورة الطهارة و الإزالة مع اعتقاد عدم حصولهما لا إثم فیه و لیس استعمالا له فیهما </w:t>
      </w:r>
      <w:r>
        <w:rPr>
          <w:rStyle w:val="FootnoteAnchor"/>
          <w:rtl w:val="true"/>
        </w:rPr>
        <w:footnoteReference w:id="108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بالحرمة عدم ترتّب الأثر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لعلّه لأنّه المستفاد من النهی الوارد فی مقام بیان الموانع کاستفادة الحکم الوضعیّ من الأمر الوارد فی مقام بیان الشروط، و هذه غیر الحرمة الناشئة من ذات الفعل، و لذا صحّ جعل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مختصّ بصورة العلم و الاختیار، فإنّ الحرمة الذاتیة لا یجری فیها کمن تطهّر معتقدا لطهارة الماء أو مکرها علیه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یستظهر فی المقام تحقّق الحرمة الذاتیة أیضا من ظواهر النهی عن التوضّی بالماء النجس </w:t>
      </w:r>
      <w:r>
        <w:rPr>
          <w:rStyle w:val="FootnoteAnchor"/>
          <w:rtl w:val="true"/>
        </w:rPr>
        <w:footnoteReference w:id="1090"/>
      </w:r>
      <w:r>
        <w:rPr>
          <w:rFonts w:ascii="IRNazanin" w:hAnsi="IRNazanin" w:eastAsia="IRNazanin"/>
          <w:color w:val="111111"/>
          <w:sz w:val="28"/>
          <w:sz w:val="28"/>
          <w:szCs w:val="28"/>
          <w:rtl w:val="true"/>
          <w:lang w:bidi="fa-IR"/>
        </w:rPr>
        <w:t>و نحوه، و حکمهم بوجوب اجتناب الماءین المشتبهین فی الطهارة عن الخبث فی ظاهر کلامهم، فإنّ الحرمة التشریعیة لا تمنع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الاحتیاط بالجمع بین الواجب و غیره المحرّم تشریعا، کما فی اشتباه المطلق بالمضاف و اشتباه القبلة و الفائتة و غیر ذلک، لعدم تحقّق عنوان التشریع مع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یضعّف الاستظهار من ظاهر النواهی بأنّ النهی فیها وارد فی مقام رفع اعتقاد الإجزاء الحاصل من إطلاق أوامر الطهارة، فإنّ الأمر المطلق کقول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لی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الرخصة فی الوضوء بالماء النجس و الصلاة فی الثوب النجس و شراء الرقبة الغیر المؤمنة، و هذه الرخصة رخصة وضعیة حاصلة من تخییر العقل فی امتثال المطلق فی ضمن أیّ فرد کان، فإذا ورد بعد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تتوضّأ بالماء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تصلّ فی الثوب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 رقبة غیر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بذلک إلّا رفع تلک 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رفع الإذن عن امتثال المطلق فی ضمن الفرد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الامتثال فی ضمن هذا الفرد غیر مأذون فیه، و معلوم أنّ هذا لا یوجب تحریما أصلا فضلا عن أن یکون 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التعرّض للامتثال فیما لم یأذن الشارع فی الامتثال به تشریع محرّم بالأدلّة الأربعة، و لا یجوز أن یکون حرمة هذا التشریع بتلک النواهی، لأنّها محصّلة و محقّقة لموضوع التشریع، فلا یصحّ أن یکون منهیّا عنه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حکمهم بوجوب اجتناب المشتبهین فلأجل النصّ الوارد بوجوب التیمّم معهما، فیقتصر علی مورد النصّ و ما یفهم منه التعدّی إلیه، کأزید من الإناءین، و اشتباه نجس العین بالطاهر، و غیر ذلک ممّا سنذکر فی فروع المسألة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یحرم استعمال الماء النجس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بخلطه مع المأکول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بالعجن و الطبخ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الشرب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أو ممزوجا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المسوّغة لسائر المحظورات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العبارة کجمیع من تأخّر عنه اختصاص الحرام بهذه الاستعمالات دون غیرها، کسقی الدابّة و الشجر، و بلّ الطین و الجصّ به، و عجن الصبغ به، کالحناء و غیره من الأصباغ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الشیخ قدّس سرّه فی المبسوط عدم جواز استعماله بحال </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الظاهر أیضا من جماعة من القدماء، کالمفید </w:t>
      </w:r>
      <w:r>
        <w:rPr>
          <w:rStyle w:val="FootnoteAnchor"/>
          <w:rtl w:val="true"/>
        </w:rPr>
        <w:footnoteReference w:id="1093"/>
      </w:r>
      <w:r>
        <w:rPr>
          <w:rFonts w:ascii="Amiri" w:hAnsi="Amiri" w:eastAsia="Amiri" w:cs="Amiri"/>
          <w:color w:val="111111"/>
          <w:sz w:val="28"/>
          <w:sz w:val="28"/>
          <w:szCs w:val="28"/>
          <w:rtl w:val="true"/>
          <w:lang w:bidi="ar-SA"/>
        </w:rPr>
        <w:t xml:space="preserve">و السیّدین </w:t>
      </w:r>
      <w:r>
        <w:rPr>
          <w:rStyle w:val="FootnoteAnchor"/>
          <w:rtl w:val="true"/>
        </w:rPr>
        <w:footnoteReference w:id="1094"/>
      </w:r>
      <w:r>
        <w:rPr>
          <w:rFonts w:ascii="Amiri" w:hAnsi="Amiri" w:eastAsia="Amiri" w:cs="Amiri"/>
          <w:color w:val="111111"/>
          <w:sz w:val="28"/>
          <w:sz w:val="28"/>
          <w:szCs w:val="28"/>
          <w:rtl w:val="true"/>
          <w:lang w:bidi="ar-SA"/>
        </w:rPr>
        <w:t xml:space="preserve">و الحلیّ </w:t>
      </w:r>
      <w:r>
        <w:rPr>
          <w:rStyle w:val="FootnoteAnchor"/>
          <w:rtl w:val="true"/>
        </w:rPr>
        <w:footnoteReference w:id="1095"/>
      </w:r>
      <w:r>
        <w:rPr>
          <w:rFonts w:ascii="IRNazanin" w:hAnsi="IRNazanin" w:eastAsia="IRNazanin"/>
          <w:color w:val="111111"/>
          <w:sz w:val="28"/>
          <w:sz w:val="28"/>
          <w:szCs w:val="28"/>
          <w:rtl w:val="true"/>
          <w:lang w:bidi="fa-IR"/>
        </w:rPr>
        <w:t xml:space="preserve">فی باب الأطعمة و الأشربة، بل المکاسب، حیث حرّموا الانتفاع بالمتنجّس مطلقا، و قد ذکرنا فی المکاسب ما یوضح جواز الانتفاع فی غیر الأکل و الشرب و الاستصباح تحت الظلّ علی خلاف فی الأخیر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تخیّل بعض </w:t>
      </w:r>
      <w:r>
        <w:rPr>
          <w:rStyle w:val="FootnoteAnchor"/>
          <w:rtl w:val="true"/>
        </w:rPr>
        <w:footnoteReference w:id="1097"/>
      </w:r>
      <w:r>
        <w:rPr>
          <w:rFonts w:ascii="IRNazanin" w:hAnsi="IRNazanin" w:eastAsia="IRNazanin"/>
          <w:color w:val="111111"/>
          <w:sz w:val="28"/>
          <w:sz w:val="28"/>
          <w:szCs w:val="28"/>
          <w:rtl w:val="true"/>
          <w:lang w:bidi="fa-IR"/>
        </w:rPr>
        <w:t>من ملاحظة ظواهر کلمات القدماء و ظواهر بعض الأخبار أنّ الأصل فی المتنجّس حرمة الانتفاع به، إلّا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قوّینا فی ذلک الباب أنّ الأصل بالعکس، کما یظهر من المحقّق و جماعة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النجس لا یجوز استعماله فی رفع حدث و لا إزالة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خبث مطلقا، و لا فی الأکل و الشرب إلّا عند الضرورة، و أطلق الشیخ رحمه اللّٰه المنع عن استعماله إلّا عند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أنّ مقتضی الدلیل جواز الاستعمال فنترک العمل به فیما ذکرنا بالاتّفاق و النقل، و بقی الباقی علی الأصل </w:t>
      </w:r>
      <w:r>
        <w:rPr>
          <w:rStyle w:val="FootnoteAnchor"/>
          <w:rtl w:val="true"/>
        </w:rPr>
        <w:footnoteReference w:id="109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اشتبه الإناء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أو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أو المتعدّد المحصور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للعلم بالاجتناب عن النجس الواقعیّ الواجب بحکم العقل الملزم لدفع العقاب المحتمل مع ارتکاب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الإقدام علی ما لا یؤمن فیه المفسدة و العقاب فی القبح کالإقدام علی ما یقطع فیه بذلک علی ما حکم به العقل و شهد به جماعة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ما ذکرنا یرجع استدلال الشیخ فی الخلاف علی هذا الحکم بأنّه متیقّن النجاسة فی أحدهما و لا یؤمن من الإقدام علی استعماله </w:t>
      </w:r>
      <w:r>
        <w:rPr>
          <w:rStyle w:val="FootnoteAnchor"/>
          <w:rtl w:val="true"/>
        </w:rPr>
        <w:footnoteReference w:id="1101"/>
      </w:r>
      <w:r>
        <w:rPr>
          <w:rFonts w:ascii="IRNazanin" w:hAnsi="IRNazanin" w:eastAsia="IRNazanin"/>
          <w:color w:val="111111"/>
          <w:sz w:val="28"/>
          <w:sz w:val="28"/>
          <w:szCs w:val="28"/>
          <w:rtl w:val="true"/>
          <w:lang w:bidi="fa-IR"/>
        </w:rPr>
        <w:t xml:space="preserve">و قرّر هذا الدلیل العلّامة فی کتبه بأنّ الاجتناب الواجب لا یتمّ إلّا باجتنابهما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استدلال المحقّق علیه بأنّ یقین الطهارة معارض بیقین النجاسة </w:t>
      </w:r>
      <w:r>
        <w:rPr>
          <w:rStyle w:val="FootnoteAnchor"/>
          <w:rtl w:val="true"/>
        </w:rPr>
        <w:footnoteReference w:id="1103"/>
      </w:r>
      <w:r>
        <w:rPr>
          <w:rFonts w:ascii="IRNazanin" w:hAnsi="IRNazanin" w:eastAsia="IRNazanin"/>
          <w:color w:val="111111"/>
          <w:sz w:val="28"/>
          <w:sz w:val="28"/>
          <w:szCs w:val="28"/>
          <w:rtl w:val="true"/>
          <w:lang w:bidi="fa-IR"/>
        </w:rPr>
        <w:t>فهو مشعر بالتسالم علی وجوب الاحتیاط فی مثل المقام فی نفسه، إلّا أنّه قد یتوهّم جریان أصالة الطهارة المتیقّنة الحاکمة علی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بالمعارضة الموجب فی مثل المقام لتساقطهما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یمنع وجوب الاحتیاط فی المسألة، إمّا لمنع شمول الخطاب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بالاجتناب لغیر المعلوم نجاسته تفصیلا، و إمّا لمنع وجوب الموافقة القطعیة للتکالیف الواقعیة و جعل المسلّم هی حرمة القطع بالمخالفة، و إمّا لحکم الشارع فی الظاهر بالطهارة و الحلّ فی کلّ مشکوک النجاسة و الحرمة، غایة الأمر عدم جواز ارتکاب المشتبهین للزوم العلم بالمخالفة، و لا مانع من ارتکاب أحدهما للرخصة المستفادة من أدلّة أصالتی الحلّ و الطهارة، فهو نظیر ما إذا رخّص الشارع للمتحیّر فی ترک الصلاة إلی بعض الجهات، فیکون ترک المشتبه الآخر فی المقام کفعل الصلاة إلی بعض الجهات امتثالا ظاهریّا للتکلیف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 مدفوع بما بیّن فی الأصول مستقصی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دفع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الخطابات فی وجوب الاجتناب عن النجس الواقعیّ و إلّا لزم ارتفاع النجاسة فی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دفع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العقل بوجوب تحصیل الیقین بالموافقة و عدم قناعته باحتمال الموافقة مع فرض ثبوت تکلیف یقضی بالاجتناب عن النجس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دفع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أدلّة طهارة ما لم یعلم نجاسته و حلّیة ما لم یعلم حرمته، لأنّ جریانه فی کلا المشتبهین یوجب المخالفة القطعیة، و فی أحدهما المعیّن دون الآخر ترجیح بلا مرجّح، و فی أحدهما المخیّر غیر مستفاد من تلک الأدلّة، لأنّ أحدهما المخیّر فیه غیر داخل تحت العامّ، مع أنّ أحدهما المعیّن، واقعا خارج، لکونه معلوم الحرمة، فإذا وجب الاجتناب عنه بحکم هذه الأخبار وجب الاجتناب عمّا یحتمله بحکم العقل، فهذه العمومات بضمیمة حکم العقل دالّة علی المطلوب، فتأمّل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بملاحظة القاعدة الجاریة فی کلّ شبهة محصورة بین المشتبهین،</w:t>
      </w:r>
      <w:bookmarkStart w:id="316" w:name="pg13031_131944"/>
    </w:p>
    <w:p>
      <w:pPr>
        <w:pStyle w:val="BookText"/>
        <w:rPr/>
      </w:pPr>
      <w:bookmarkEnd w:id="3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 إلّا فالاتّفاقات المستفیضة کافیة فی المسألة، بل یکفی فیها النصّ الآمر بإهراقهما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یجد غیر مائهما </w:t>
      </w:r>
      <w:r>
        <w:rPr>
          <w:rStyle w:val="FootnoteAnchor"/>
          <w:rtl w:val="true"/>
        </w:rPr>
        <w:footnoteReference w:id="1104"/>
      </w:r>
      <w:r>
        <w:rPr>
          <w:rFonts w:ascii="Amiri" w:hAnsi="Amiri" w:eastAsia="Amiri" w:cs="Amiri"/>
          <w:color w:val="111111"/>
          <w:sz w:val="28"/>
          <w:sz w:val="28"/>
          <w:szCs w:val="28"/>
          <w:rtl w:val="true"/>
          <w:lang w:bidi="ar-SA"/>
        </w:rPr>
        <w:t>تیمّم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w:t>
      </w:r>
      <w:r>
        <w:rPr>
          <w:rStyle w:val="FootnoteAnchor"/>
          <w:rtl w:val="true"/>
        </w:rPr>
        <w:footnoteReference w:id="1105"/>
      </w:r>
      <w:r>
        <w:rPr>
          <w:rFonts w:ascii="IRNazanin" w:hAnsi="IRNazanin" w:eastAsia="IRNazanin"/>
          <w:color w:val="111111"/>
          <w:sz w:val="28"/>
          <w:sz w:val="28"/>
          <w:szCs w:val="28"/>
          <w:rtl w:val="true"/>
          <w:lang w:bidi="fa-IR"/>
        </w:rPr>
        <w:t>موثّقا سماعة و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معه إناءان وقع فی أحدهما قذر و لا یدری أیّهما هو و لیس یقدر علی ماء غیرهما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یهریقهما و یتیمّم</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 xml:space="preserve">و عن المعتبر و المنتهی عمل الأصحاب بهما و قبولهم لهما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7" w:name="__RefHeading___Toc6281667_3224264995"/>
      <w:bookmarkStart w:id="318" w:name="_Toc135"/>
      <w:bookmarkEnd w:id="317"/>
      <w:r>
        <w:rPr>
          <w:rtl w:val="true"/>
        </w:rPr>
        <w:t>[</w:t>
      </w:r>
      <w:r>
        <w:rPr>
          <w:rtl w:val="true"/>
        </w:rPr>
        <w:t>تنبیهات المسألة</w:t>
      </w:r>
      <w:r>
        <w:rPr>
          <w:rtl w:val="true"/>
        </w:rPr>
        <w:t>]</w:t>
      </w:r>
      <w:bookmarkEnd w:id="318"/>
    </w:p>
    <w:p>
      <w:pPr>
        <w:pStyle w:val="Heading6"/>
        <w:numPr>
          <w:ilvl w:val="5"/>
          <w:numId w:val="1"/>
        </w:numPr>
        <w:rPr/>
      </w:pPr>
      <w:bookmarkStart w:id="319" w:name="__RefHeading___Toc6281669_3224264995"/>
      <w:bookmarkStart w:id="320" w:name="_Toc136"/>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ثمّ إنّ فی المسألة أمورا یجب التنبیه علیها</w:t>
      </w:r>
      <w:r>
        <w:rPr>
          <w:rFonts w:eastAsia="IRNazanin" w:cs="IRNazanin"/>
          <w:color w:val="111111"/>
          <w:sz w:val="28"/>
          <w:szCs w:val="28"/>
          <w:rtl w:val="true"/>
          <w:lang w:bidi="fa-IR"/>
        </w:rPr>
        <w:t>:</w:t>
      </w:r>
    </w:p>
    <w:p>
      <w:pPr>
        <w:pStyle w:val="Heading6"/>
        <w:numPr>
          <w:ilvl w:val="5"/>
          <w:numId w:val="1"/>
        </w:numPr>
        <w:rPr/>
      </w:pPr>
      <w:bookmarkStart w:id="321" w:name="__RefHeading___Toc6281671_3224264995"/>
      <w:bookmarkStart w:id="322" w:name="_Toc137"/>
      <w:bookmarkEnd w:id="321"/>
      <w:r>
        <w:rPr>
          <w:rtl w:val="true"/>
        </w:rPr>
        <w:t>الأوّل</w:t>
      </w:r>
      <w:bookmarkEnd w:id="322"/>
    </w:p>
    <w:p>
      <w:pPr>
        <w:pStyle w:val="BookText"/>
        <w:rPr/>
      </w:pPr>
      <w:r>
        <w:rPr>
          <w:rFonts w:ascii="IRNazanin" w:hAnsi="IRNazanin" w:eastAsia="IRNazanin"/>
          <w:color w:val="111111"/>
          <w:sz w:val="28"/>
          <w:sz w:val="28"/>
          <w:szCs w:val="28"/>
          <w:rtl w:val="true"/>
          <w:lang w:bidi="fa-IR"/>
        </w:rPr>
        <w:t>أنّه لا فرق فی المشتبهین بین کونهما مسبوقین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مورد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بالنجاسة، أو غیر معلوم الحالة السابقة، لشمول ما ذکر من القاعدة و معقد الاتّفاقات المنقولة و فحوی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ضعیفا الفرق بین الصور بالحکم بجواز ارتکاب أحدهما فی الأولی دون الأخیرتین أو فی الاولی و الأخیرة دون الثانیة</w:t>
      </w:r>
      <w:r>
        <w:rPr>
          <w:rFonts w:eastAsia="IRNazanin" w:cs="IRNazanin"/>
          <w:color w:val="111111"/>
          <w:sz w:val="28"/>
          <w:szCs w:val="28"/>
          <w:rtl w:val="true"/>
          <w:lang w:bidi="fa-IR"/>
        </w:rPr>
        <w:t>.</w:t>
      </w:r>
    </w:p>
    <w:p>
      <w:pPr>
        <w:pStyle w:val="Heading6"/>
        <w:numPr>
          <w:ilvl w:val="5"/>
          <w:numId w:val="1"/>
        </w:numPr>
        <w:rPr/>
      </w:pPr>
      <w:bookmarkStart w:id="323" w:name="__RefHeading___Toc6281673_3224264995"/>
      <w:bookmarkStart w:id="324" w:name="_Toc138"/>
      <w:bookmarkEnd w:id="323"/>
      <w:r>
        <w:rPr>
          <w:rtl w:val="true"/>
        </w:rPr>
        <w:t>الثانی</w:t>
      </w:r>
      <w:bookmarkEnd w:id="32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انصبّ أحد الإناءین المشتبهین وجب الامتناع من الآخر، لبقاء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حکم العقل الثابت قبل الانصباب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لارتفاعه بتعذّر الامتناع عن المنصبّ، فهو مسقط للتکلیف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یتمسّک هنا باستصحاب وجوب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بوجوب الاجتناب عقلیّ من باب المقدّمة العلمیة و هو باق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الاشتباه فی الإناءین بعد انصباب أحدهما علی وجه لا یثبت التکلیف بالاجتناب عن المنصبّ علی تقدیر العلم التفصیلیّ بکونه هو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انصبّ فی البالوعة و غیرها ممّا لا یؤثّر انصبابه فیه شیئا لنجاسته، أو لاستهلاکه للمنصبّ کالماء الکثیر المستهلک له، أو جفّفته الشمس بعد الانصباب بحیث صار محلّه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الاجتناب عن الباقی، لعدم العلم بالتکلیف الفعلی بالاجتناب عن النجس الواقعیّ المردّد بین المشتبهین، لاحتمال کون النجس هو المنصبّ، فأصالة الطهارة فی الآخر 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عدم ثبوت التکلیف بالاجتناب عن أحد المشتبهین علی تقدیر العلم التفصیلی بحرمته أو نجاسته عدم تنجّز التکلیف به عرفا علی ذلک التقدیر لعدم ابتلاء المکلّف به و قبح التکلیف به فی العرف إلّا مشروطا بابتلائه به، کما لو قطع بوقوع النجاسة إمّا فی الماء الموضوع عنده أو فی الثوب الشخص العابر من عنده الّذی لا ابتلاء له فعلا بثیابه، بحیث لو فرض صدور التکلیف منجّزا بالاجتناب عن ثیابه کان لغوا عرفا، بل لا یحسن التکلیف المذکور إلّا مشروطا بابتلائه بها و اتّفاق وقوعها فی یده، فإنّ التکلیف بالاجتناب عن النجس الواقعیّ المردّد بین هذا الماء و ذلک الثوب غیر منجّز، لاحتمال کون النجس هو ذلک الثوب</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لو عبر الشخص فی أرض یعلم بوقوع النجاسة فی ثوبه أو فی تلک الأرض الّتی لا حاجة قریبة له إلی استعمالها فیما یشترط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و کذلک لو علم إجمالا بوقوع النجاسة علی الماء أو ظهر الإناء الّذی لا یبتلی به فی الاستعمالات المشروطة بالطهارة، کما هو مورد صحیحة علیّ بن جعفر علیه السلام الواردة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رعف فامتخط فصار الدم قطعا صغارا فأصاب إناءه، هل یصلح له الوضوء منه؟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شی‌ء یستبین فی الماء فلا بأس، و إن کان شیئا بیّنا فلا</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 xml:space="preserve">حیث حملها المشهور فی مقابل الشیخ قدّس سرّه </w:t>
      </w:r>
      <w:r>
        <w:rPr>
          <w:rStyle w:val="FootnoteAnchor"/>
          <w:rtl w:val="true"/>
        </w:rPr>
        <w:footnoteReference w:id="1109"/>
      </w:r>
      <w:r>
        <w:rPr>
          <w:rFonts w:ascii="IRNazanin" w:hAnsi="IRNazanin" w:eastAsia="IRNazanin"/>
          <w:color w:val="111111"/>
          <w:sz w:val="28"/>
          <w:sz w:val="28"/>
          <w:szCs w:val="28"/>
          <w:rtl w:val="true"/>
          <w:lang w:bidi="fa-IR"/>
        </w:rPr>
        <w:t>علی ما إذا تحقّق إصابة الدم للإناء و لم یتحقّق إصابته للماء، فلم یجعله الإمام من قبیل الشبهة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ما ذکرنا من عدم تنجّز التکلیف بالاجتناب عن استعمال النجس المردّد إذ لو علم تفصیلا بکون النجس هو ظهر الإناء لم یکن علیه تحریم منجّز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ما فی کلام السیّد قدّس سرّه فی المدارک، حیث قال بعد منع بعض مقدّمات دلیل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یستفاد من قواعد الأصحاب أنّه لو تعلّق الشکّ بوقوع النجاسة فی الماء أو خارجه لم ینجس الماء و لم یمنع من استعماله و هو مؤیّد لما ذکرنا </w:t>
      </w:r>
      <w:r>
        <w:rPr>
          <w:rStyle w:val="FootnoteAnchor"/>
          <w:rtl w:val="true"/>
        </w:rPr>
        <w:footnoteReference w:id="11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المراد بخارج الماء إن کان جسما آخر یصحّ التکلیف عرفا منجّزا بالاجتناب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کمأکول أو مشروب آخر أو ما یلبسه أو یسجد علیه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منعنا حکم الأصحاب بالطهارة فی أحدهما، و إن کان ممّا لا یبتلی المکلّف بالنهی عن استعماله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کظهر الإناء أو أرض لا یبتلی المکلّف بالسجود علیها أو التیمّم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فی الحکم بطهارة الماء عدم التکلیف</w:t>
      </w:r>
      <w:bookmarkStart w:id="325" w:name="pg13031_131947"/>
    </w:p>
    <w:p>
      <w:pPr>
        <w:pStyle w:val="BookText"/>
        <w:rPr/>
      </w:pPr>
      <w:bookmarkEnd w:id="3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الفعلیّ بالاجتناب عن استعمال النجس الواقعی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 به عنه فی الحدائق أوّلا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فرضه من الشبهة الغیر المحصورة،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القاعدة المذکورة إنّما تتعلّق بالأفراد المندرجة تحت ماهیة واحدة و الجزئیّات الّتی تحویها حقیقة واحدة إذا اشتبه طاهرها بنجسها فیفرّق فیها بین المحصور و غیر المحصور لا وقوع الاشتباه کیف اتّفق </w:t>
      </w:r>
      <w:r>
        <w:rPr>
          <w:rStyle w:val="FootnoteAnchor"/>
          <w:rtl w:val="true"/>
        </w:rPr>
        <w:footnoteReference w:id="11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فرضه فی المدارک غیر ظاهر فی غیر المحصور، بل المستفاد من قواعد الأصحاب أنّه لو کان طرف الشبهة موضعا خاصّا من ظهر الإناء أو لباس الغیر حکم بطهارة الماء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إناطة حکم الشبهة المحصورة بالأفراد المندرجة تحت ماهیة واحدة غیر منضبط أوّلا، إذ ما من مشتبهین إلّا و یمکن جعلهما فردین لماهیة واحدة، و لا دلیل علی تخصیص القاعدة به ثانیا، فإنّ مستند تلک القاعدة من العقل و النقل لا اختصاص له بما ذکر أصلا، کما لا یخفی</w:t>
      </w:r>
      <w:r>
        <w:rPr>
          <w:rFonts w:eastAsia="IRNazanin" w:cs="IRNazanin"/>
          <w:color w:val="111111"/>
          <w:sz w:val="28"/>
          <w:szCs w:val="28"/>
          <w:rtl w:val="true"/>
          <w:lang w:bidi="fa-IR"/>
        </w:rPr>
        <w:t>.</w:t>
      </w:r>
    </w:p>
    <w:p>
      <w:pPr>
        <w:pStyle w:val="Heading6"/>
        <w:numPr>
          <w:ilvl w:val="5"/>
          <w:numId w:val="1"/>
        </w:numPr>
        <w:rPr/>
      </w:pPr>
      <w:bookmarkStart w:id="326" w:name="__RefHeading___Toc6281675_3224264995"/>
      <w:bookmarkStart w:id="327" w:name="_Toc139"/>
      <w:bookmarkEnd w:id="326"/>
      <w:r>
        <w:rPr>
          <w:rtl w:val="true"/>
        </w:rPr>
        <w:t>الثالث</w:t>
      </w:r>
      <w:bookmarkEnd w:id="32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الساری من حکم النجس الواقعی إلی کلّ من المشتبهین هو الحکم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وجوب الاجتناب، لأنّ الاجتناب عن کلّ واحد مقدّمة علمیة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الحکم الوضعیّ و هی نفس النجاسة فلا یعقل سرایتها إلیهما، بل هی قائمة بما هو نجس واقعا، و حینئذ فملاقی أحدهما لم یعلم بملاقاته لنجس، و إنّما علم ملاقاته لما یجب الاجتناب عنه مقدّمة، فهو باق علی أصالة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الطهارة، فلا یجری فیه دلیل وجوب الاجتناب عن النجاسة الواقعیة بعد حکم الشارع بأنّه طاهر غیر نجس، و إنّما وجب الاجتناب عن نفس المشتبهین لعدم جریان أصالة الطهارة فی شی‌ء منهما، لأنّ الأصلین مع العلم الإجمالی فی هذا المقام متساقطان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أنّ الموجب لسقوط أصالة الطهارة فی المشتبه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معارضتها بأصالة طهارة المشتبه الآخر موجود بعینه فی الثالث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أصالة طهارته أیضا فیجب الاجتناب عنه مقدّمة للواجب الواقعیّ، مدفوع بأنّ الشکّ فی طهارة الثالث و نجاسته مسبّب عن الشکّ فی طهارة المشتبه الملاقی أو صاحبه، و قد تقرّر فی تعارض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الجاری فی الشکّ السببی کالدلیل بالنسبة إلی الأصل الجاری فی الشکّ المسبّب </w:t>
      </w:r>
      <w:r>
        <w:rPr>
          <w:rStyle w:val="FootnoteAnchor"/>
          <w:rtl w:val="true"/>
        </w:rPr>
        <w:footnoteReference w:id="1112"/>
      </w:r>
      <w:r>
        <w:rPr>
          <w:rFonts w:ascii="IRNazanin" w:hAnsi="IRNazanin" w:eastAsia="IRNazanin"/>
          <w:color w:val="111111"/>
          <w:sz w:val="28"/>
          <w:sz w:val="28"/>
          <w:szCs w:val="28"/>
          <w:rtl w:val="true"/>
          <w:lang w:bidi="fa-IR"/>
        </w:rPr>
        <w:t>سواء کان معارضا له أم معاضدا، فأصالة الطهارة فی کلّ من المشتبهین کدلیلین بالنسبة إلی أصالة طهارة الثالث، فإذا تساقطا وجب الرجوع إلی ذلک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قاعدة مطّردة فی کلّ أصلین تعارضا و تساقطا، فإنّه یرجع إلی الأصل فی آثارهما، سواء کان الأصل جاریا فی أثر أحدهما، کما إذا وقع رطوبة مشتبهة بین الماء و البول علی الثوب، فإنّه یحکم بطهارة الثوب، أم کان جاریا فی آثار کلیهما، کما إذا وقع ثوب بعضه متنجّس فی کرّ مردّد بین الماء المطلق و المضاف و البول، فإنّه یرجع بعد تعارض أصالتی عدم وقوعه فی المطلق و فی المضاف بأصالة بقاء طهارة المائع و نجاسة الثوب</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فالأصل الجاری فی الشکّ المسبّب عن شکّ جری فیه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أصلان مکافئان سالم عن المعارض متّبع فی جمیع المقامات، فإذا جرت أصالة الطهارة خرج موردها عن المقدّمة العلمیة و عن وجوب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لاقی الآخر ملاق أیضا وجب الاجتناب عنهما، لدخولهما تحت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فقد أحد المشتبهین بعد ملاقاته الثالث لم یزل أصالة الطهارة فی الثالث و اختصّ وجوب الاجتناب بالمشتبه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الاشتباه بعد الملاقاة و الفقد کان الملاقی مع الباقی من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المخالف فی أصل المسألة العلّامة قدّس سرّه فی المنتهی، حیث حکم بأنّه لو استعمل أحد الإناءین و صلّی به لم یصحّ صلاته و وجب غسل ما أصابه، لأنّ المشتبه کالنجس، ثمّ نقل عن بعض العامّة عدم وجوب غسل ما أصابه لأنّ المحلّ طاهر بیقین فلا یزول طهارته بالشکّ، و أجاب بأنّه لا فرق فی المنع بین یقین النجاسة و شکّها هاهنا و إن فرّق بینهما فی غیره </w:t>
      </w:r>
      <w:r>
        <w:rPr>
          <w:rStyle w:val="FootnoteAnchor"/>
          <w:rtl w:val="true"/>
        </w:rPr>
        <w:footnoteReference w:id="111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بالنجاسة موجب للیقین بنجاسة ما أصابه، و أمّا الشکّ فیها فلا یوجب الیقین بنجاسة ما أصابه، فیبقی علی 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الفرق بین الیقین و الشکّ هنا شرعا إنّما هو فی وجوب الاجتناب، لا فی تنجیس الملاقی، فالفرق الحسی بین الیقین و الشکّ موجود، و التسویة الشرعیة بینهما لم یثبت فی المقام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انتصر صاحب الحدائق لما فی المنتهی بأنّ المستفاد من استقراء موارد</w:t>
      </w:r>
      <w:bookmarkStart w:id="328" w:name="pg13031_131950"/>
    </w:p>
    <w:p>
      <w:pPr>
        <w:pStyle w:val="BookText"/>
        <w:rPr/>
      </w:pPr>
      <w:bookmarkEnd w:id="3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الشبهة المحصورة إعطاء الشارع المشتبه بالنجس و الحرام حکمهما،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 ملاقاة النجاسة بعض أجزاء الثوب مع الاشتباه بباقی أجزائه موجب لغسله کلّا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نجد فی موارد الشبهة المحصورة موردا زاد الشارع فیه علی إیجاب الاجتناب عن المشتبهین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استشهاده قدّس سرّه بما ذکره من مسألة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الشارع لم یزد فیه علی وجوب الاجتناب عن النجس الواقعی فی الصلاة الّذی لا یتمّ العلم به إلّا بالاجتناب عن هذا الثوب قبل غسل مجموعه، و أمّا نجاسة ما لاقی موضعا منه فلیست إلّا عین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وجوب الاجتناب عن شی‌ء من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کالمیتة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الاجتناب عن ملاقیه کما یستفاد من بعض الأخبار </w:t>
      </w:r>
      <w:r>
        <w:rPr>
          <w:rStyle w:val="FootnoteAnchor"/>
          <w:rtl w:val="true"/>
        </w:rPr>
        <w:footnoteReference w:id="1115"/>
      </w:r>
      <w:r>
        <w:rPr>
          <w:rFonts w:ascii="IRNazanin" w:hAnsi="IRNazanin" w:eastAsia="IRNazanin"/>
          <w:color w:val="111111"/>
          <w:sz w:val="28"/>
          <w:sz w:val="28"/>
          <w:szCs w:val="28"/>
          <w:rtl w:val="true"/>
          <w:lang w:bidi="fa-IR"/>
        </w:rPr>
        <w:t xml:space="preserve">و کلمات بعض الأصحاب </w:t>
      </w:r>
      <w:r>
        <w:rPr>
          <w:rStyle w:val="FootnoteAnchor"/>
          <w:rtl w:val="true"/>
        </w:rPr>
        <w:footnoteReference w:id="1116"/>
      </w:r>
      <w:r>
        <w:rPr>
          <w:rFonts w:ascii="IRNazanin" w:hAnsi="IRNazanin" w:eastAsia="IRNazanin"/>
          <w:color w:val="111111"/>
          <w:sz w:val="28"/>
          <w:sz w:val="28"/>
          <w:szCs w:val="28"/>
          <w:rtl w:val="true"/>
          <w:lang w:bidi="fa-IR"/>
        </w:rPr>
        <w:t>حیث إنّ الاجتناب المطلق یعمّ الاجتناب عن الملاقی، فتأمّل</w:t>
      </w:r>
      <w:r>
        <w:rPr>
          <w:rFonts w:eastAsia="IRNazanin" w:cs="IRNazanin"/>
          <w:color w:val="111111"/>
          <w:sz w:val="28"/>
          <w:szCs w:val="28"/>
          <w:rtl w:val="true"/>
          <w:lang w:bidi="fa-IR"/>
        </w:rPr>
        <w:t>.</w:t>
      </w:r>
    </w:p>
    <w:p>
      <w:pPr>
        <w:pStyle w:val="Heading6"/>
        <w:numPr>
          <w:ilvl w:val="5"/>
          <w:numId w:val="1"/>
        </w:numPr>
        <w:rPr/>
      </w:pPr>
      <w:bookmarkStart w:id="329" w:name="__RefHeading___Toc6281677_3224264995"/>
      <w:bookmarkStart w:id="330" w:name="_Toc140"/>
      <w:bookmarkEnd w:id="329"/>
      <w:r>
        <w:rPr>
          <w:rtl w:val="true"/>
        </w:rPr>
        <w:t>الرابع</w:t>
      </w:r>
      <w:bookmarkEnd w:id="33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اشتبه أحدهما بطاهر وجب الاجتناب عنهما لعین الدلیل الجاری فی أصل المشتبهین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علّلنا الحکم فی نفس المشتبهین بالنصّ المعتضد</w:t>
      </w:r>
      <w:bookmarkStart w:id="331" w:name="pg13031_131951"/>
    </w:p>
    <w:p>
      <w:pPr>
        <w:pStyle w:val="BookText"/>
        <w:rPr/>
      </w:pPr>
      <w:bookmarkEnd w:id="3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بالاتّفاق، فإن تعدّینا من مورد النصّ إلی أزید من إناءین فلا ینبغی الإشکال فی هذا الفرض، و إلّا فالأقوی عدم الإلحاق إلّا إذا بنینا علی أنّ الحکم المشتبه حکم النجس، فحینئذ یجب الاجتناب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تقدّم ضعف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نظر فی ذلک صاحب المعالم معلّلا بخروجه عن مورد النصّ و الوفاق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2" w:name="__RefHeading___Toc6281679_3224264995"/>
      <w:bookmarkStart w:id="333" w:name="_Toc141"/>
      <w:bookmarkEnd w:id="332"/>
      <w:r>
        <w:rPr>
          <w:rtl w:val="true"/>
        </w:rPr>
        <w:t>الخامس</w:t>
      </w:r>
      <w:bookmarkEnd w:id="33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لا إشکال فی وجوب التیمّم مع انحصار الماء فی المشتبهین، لأجل النصّ و الإجماع المتقدّمین </w:t>
      </w:r>
      <w:r>
        <w:rPr>
          <w:rStyle w:val="FootnoteAnchor"/>
          <w:rtl w:val="true"/>
        </w:rPr>
        <w:footnoteReference w:id="1118"/>
      </w:r>
      <w:r>
        <w:rPr>
          <w:rFonts w:ascii="IRNazanin" w:hAnsi="IRNazanin" w:eastAsia="IRNazanin"/>
          <w:color w:val="111111"/>
          <w:sz w:val="28"/>
          <w:sz w:val="28"/>
          <w:szCs w:val="28"/>
          <w:rtl w:val="true"/>
          <w:lang w:bidi="fa-IR"/>
        </w:rPr>
        <w:t>و هل هو علی القاعدة لیتعدّی إلی ما لا یشمله النصّ أو لا؟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لم یمکن الجمع بینهما مع القطع بوقوع صلاته مع طهارة البدن عن النجاسة الواقعیة الحاصلة له من استعمال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بتطهیر البدن بعد الوضوء بأحدهما من الماء الآخر، أو بالصلاة عقیب کلّ وضوء من الوضوئین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التیمّم، لفحوی ما دلّ من النصّ </w:t>
      </w:r>
      <w:r>
        <w:rPr>
          <w:rStyle w:val="FootnoteAnchor"/>
          <w:rtl w:val="true"/>
        </w:rPr>
        <w:footnoteReference w:id="1119"/>
      </w:r>
      <w:r>
        <w:rPr>
          <w:rFonts w:ascii="IRNazanin" w:hAnsi="IRNazanin" w:eastAsia="IRNazanin"/>
          <w:color w:val="111111"/>
          <w:sz w:val="28"/>
          <w:sz w:val="28"/>
          <w:szCs w:val="28"/>
          <w:rtl w:val="true"/>
          <w:lang w:bidi="fa-IR"/>
        </w:rPr>
        <w:t xml:space="preserve">و الإجماع </w:t>
      </w:r>
      <w:r>
        <w:rPr>
          <w:rStyle w:val="FootnoteAnchor"/>
          <w:rtl w:val="true"/>
        </w:rPr>
        <w:footnoteReference w:id="1120"/>
      </w:r>
      <w:r>
        <w:rPr>
          <w:rFonts w:ascii="IRNazanin" w:hAnsi="IRNazanin" w:eastAsia="IRNazanin"/>
          <w:color w:val="111111"/>
          <w:sz w:val="28"/>
          <w:sz w:val="28"/>
          <w:szCs w:val="28"/>
          <w:rtl w:val="true"/>
          <w:lang w:bidi="fa-IR"/>
        </w:rPr>
        <w:t>علی تقدیم رفع النجاسة الموجودة علی الطهارة المائیة، إذ الجمع بینهما فی الوضوء یوجب إلغاء حکم النجاسة المتیقّنة مراعاة للطهارة الحدثیة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المتیقّنة، و الجمع بین الوضوء بأحدهما و التیمّم یوجب إلغاء احتمال النجاسة الغیر المدفوع بالأصل مراعاة لاحتمال الطهارة، و کلاهما مدفوع بالفحوی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مبنیّ علی أنّ یصلّی مع بقاء رطوبة الوضوء علی بدنه و المنع عن النجاسة المحمولة، أمّا إذا جفّفها أو قلنا بعدم قدح حمل النجاسة فاحتمال نجاسة البدن مدفوع بالأصل و احتمال نجاسة الرطوبة لا یقدح، فمراعاة احتمال حصول الطهارة الحدثیة سلیمة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أمکن ذلک، فعلی القول بتحریم الطهارة بالنجس حرمة ذاتیة لا تشریعیة تعیّن التیمّم أیضا، إمّا لما ذکره غیر واحد من تغلیب جانب الحرمة عند تعارضها مع الوجوب </w:t>
      </w:r>
      <w:r>
        <w:rPr>
          <w:rStyle w:val="FootnoteAnchor"/>
          <w:rtl w:val="true"/>
        </w:rPr>
        <w:footnoteReference w:id="1121"/>
      </w:r>
      <w:r>
        <w:rPr>
          <w:rFonts w:ascii="IRNazanin" w:hAnsi="IRNazanin" w:eastAsia="IRNazanin"/>
          <w:color w:val="111111"/>
          <w:sz w:val="28"/>
          <w:sz w:val="28"/>
          <w:szCs w:val="28"/>
          <w:rtl w:val="true"/>
          <w:lang w:bidi="fa-IR"/>
        </w:rPr>
        <w:t>و إمّا لأنّ الواجب له بدل و هو التیمّم بخلاف الحرام، ففی التیمّم نوع جمع بین الواجب و ترک الحرام، و کأنّه لذلک یجب التیمّم فی کلّ مورد یلزم من الطهارة المائیة فوات واجب لا بدل له، و لا یختصّ بما لا یلزم منه فعل محرّم، و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فهم من أدلّة التیمّم عند العذر فی استعمال الماء الشمول لمورد مزاحمة واجب أو استلزام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فی بعض الأخبار تقدیم مراعاة سائر الواجبات و المحرّمات علی الطهارة المائیة بأنّ اللّٰه جعل للماء بدلا </w:t>
      </w:r>
      <w:r>
        <w:rPr>
          <w:rStyle w:val="FootnoteAnchor"/>
          <w:rtl w:val="true"/>
        </w:rPr>
        <w:footnoteReference w:id="112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تطهّر بهما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تطهّر بدنه عن النجاسة الحاصلة له من استعمالهما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صحّة الوضوء، لعدم النهی و کذا لو تطهّر بأحدهما معتقدا أنّه ماء ثالث غیر أحد المشتبهین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بالحرمة</w:t>
      </w:r>
      <w:bookmarkStart w:id="334" w:name="pg13031_131953"/>
    </w:p>
    <w:p>
      <w:pPr>
        <w:pStyle w:val="BookText"/>
        <w:rPr/>
      </w:pPr>
      <w:bookmarkEnd w:id="3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الذاتیة یعترف بشرطیة الطهارة لماء الوضوء، و هی غیر محرزة هنا، فیجب ضمّ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بالحرمة التشریعیة فالأقوی وجوب الجمع، کما إذا اشتبه المطلق بالمضاف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تطهّر بأحدهما معتقدا أنّه غیر أحد المشتبهین لم یصح، لعدم إحراز شرط الوضوء، و قد تقدّم أن لا دلیل علی الحرمة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فیمکن تنزیل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تطبیقه مع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إذا لم یتمکّن من إزالة النجاسة المتیقّنة عن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الصلاة مع کلّ وضوء و إن کان ممکنا، إلّا أنّه قد لا یتمکّن من إزالتها للصلاة الآتیة و لسائر استعمالاته المتوقّفة علی طهارة یده 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الاستفصال لا یفید العموم فی هذا المورد بالنسبة إلی صورة غیر صورة لزوم وقوعه فی المحذور من استعمال النجس فی الصلاة و الأکل و الشرب و نجاسة ما یتضرّر من نجاسته من المأکول و المشروب و نحوهما</w:t>
      </w:r>
      <w:r>
        <w:rPr>
          <w:rFonts w:eastAsia="IRNazanin" w:cs="IRNazanin"/>
          <w:color w:val="111111"/>
          <w:sz w:val="28"/>
          <w:szCs w:val="28"/>
          <w:rtl w:val="true"/>
          <w:lang w:bidi="fa-IR"/>
        </w:rPr>
        <w:t>.</w:t>
      </w:r>
    </w:p>
    <w:p>
      <w:pPr>
        <w:pStyle w:val="Heading6"/>
        <w:numPr>
          <w:ilvl w:val="5"/>
          <w:numId w:val="1"/>
        </w:numPr>
        <w:rPr/>
      </w:pPr>
      <w:bookmarkStart w:id="335" w:name="__RefHeading___Toc6281681_3224264995"/>
      <w:bookmarkStart w:id="336" w:name="_Toc142"/>
      <w:bookmarkEnd w:id="335"/>
      <w:r>
        <w:rPr>
          <w:rtl w:val="true"/>
        </w:rPr>
        <w:t>السادس</w:t>
      </w:r>
      <w:bookmarkEnd w:id="33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یجب الإراقة تعبّدا؟ کما یظهر من المقنعة </w:t>
      </w:r>
      <w:r>
        <w:rPr>
          <w:rStyle w:val="FootnoteAnchor"/>
          <w:rtl w:val="true"/>
        </w:rPr>
        <w:footnoteReference w:id="1123"/>
      </w:r>
      <w:r>
        <w:rPr>
          <w:rFonts w:ascii="IRNazanin" w:hAnsi="IRNazanin" w:eastAsia="IRNazanin"/>
          <w:color w:val="111111"/>
          <w:sz w:val="28"/>
          <w:sz w:val="28"/>
          <w:szCs w:val="28"/>
          <w:rtl w:val="true"/>
          <w:lang w:bidi="fa-IR"/>
        </w:rPr>
        <w:t xml:space="preserve">أو الأمر بها کنایة عن عدم الانتفاع بهما </w:t>
      </w:r>
      <w:r>
        <w:rPr>
          <w:rStyle w:val="FootnoteAnchor"/>
          <w:rtl w:val="true"/>
        </w:rPr>
        <w:footnoteReference w:id="1124"/>
      </w:r>
      <w:r>
        <w:rPr>
          <w:rFonts w:ascii="IRNazanin" w:hAnsi="IRNazanin" w:eastAsia="IRNazanin"/>
          <w:color w:val="111111"/>
          <w:sz w:val="28"/>
          <w:sz w:val="28"/>
          <w:szCs w:val="28"/>
          <w:rtl w:val="true"/>
          <w:lang w:bidi="fa-IR"/>
        </w:rPr>
        <w:t>؟ أو بیان لاشتراطها فی التیمم؟ وجوه بل أقوال، من ظاهر الأمر، و من عدم وجوب إراقة نجس العین من الإناء فضلا عن المتنجّس، و من أنّ السؤال عن حکم الشخص من حیث إنّه لا یجد ماء غیرهما و یرید الصلاة لا عن مطلق حکمهما حتّی یجاب بوجوب الإهراق،</w:t>
      </w:r>
      <w:bookmarkStart w:id="337" w:name="pg13031_131954"/>
    </w:p>
    <w:p>
      <w:pPr>
        <w:pStyle w:val="BookText"/>
        <w:rPr/>
      </w:pPr>
      <w:bookmarkEnd w:id="3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فالظاهر أنّ الإراقة مقدّمة للتیمّم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الوجوه أوسطها</w:t>
      </w:r>
      <w:r>
        <w:rPr>
          <w:rFonts w:eastAsia="IRNazanin" w:cs="IRNazanin"/>
          <w:color w:val="111111"/>
          <w:sz w:val="28"/>
          <w:szCs w:val="28"/>
          <w:rtl w:val="true"/>
          <w:lang w:bidi="fa-IR"/>
        </w:rPr>
        <w:t>.</w:t>
      </w:r>
    </w:p>
    <w:p>
      <w:pPr>
        <w:pStyle w:val="Heading6"/>
        <w:numPr>
          <w:ilvl w:val="5"/>
          <w:numId w:val="1"/>
        </w:numPr>
        <w:rPr/>
      </w:pPr>
      <w:bookmarkStart w:id="338" w:name="__RefHeading___Toc6281683_3224264995"/>
      <w:bookmarkStart w:id="339" w:name="_Toc143"/>
      <w:bookmarkEnd w:id="338"/>
      <w:r>
        <w:rPr>
          <w:rtl w:val="true"/>
        </w:rPr>
        <w:t>السابع</w:t>
      </w:r>
      <w:bookmarkEnd w:id="339"/>
    </w:p>
    <w:p>
      <w:pPr>
        <w:pStyle w:val="BookText"/>
        <w:rPr/>
      </w:pPr>
      <w:r>
        <w:rPr>
          <w:rFonts w:ascii="IRNazanin" w:hAnsi="IRNazanin" w:eastAsia="IRNazanin"/>
          <w:color w:val="111111"/>
          <w:sz w:val="28"/>
          <w:sz w:val="28"/>
          <w:szCs w:val="28"/>
          <w:rtl w:val="true"/>
          <w:lang w:bidi="fa-IR"/>
        </w:rPr>
        <w:t>لو انصبّ أحدهما، فهل یعمل علی طبق النصّ؟ أو یعمل بالقاعدة بخروجه عن مورد النصّ، و هو الجمع بین الوضوء بالباقی و التیمّم؟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أقواهما الأوّل، لأنّ الظاهر من النصّ کون کلّ منهما فی حکم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الأحوط الوضوء بالباقی و الصلاة ثمّ التیمّم و الصلاة، أو الوضوء ثمّ تجفیف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حاملا فی الصلاة للمشتبه بالنجس الّذی یجب اجتنابه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التیمّم</w:t>
      </w:r>
      <w:r>
        <w:rPr>
          <w:rFonts w:eastAsia="IRNazanin" w:cs="IRNazanin"/>
          <w:color w:val="111111"/>
          <w:sz w:val="28"/>
          <w:szCs w:val="28"/>
          <w:rtl w:val="true"/>
          <w:lang w:bidi="fa-IR"/>
        </w:rPr>
        <w:t>.</w:t>
      </w:r>
    </w:p>
    <w:p>
      <w:pPr>
        <w:pStyle w:val="Heading6"/>
        <w:numPr>
          <w:ilvl w:val="5"/>
          <w:numId w:val="1"/>
        </w:numPr>
        <w:rPr/>
      </w:pPr>
      <w:bookmarkStart w:id="340" w:name="__RefHeading___Toc6281685_3224264995"/>
      <w:bookmarkStart w:id="341" w:name="_Toc144"/>
      <w:bookmarkEnd w:id="340"/>
      <w:r>
        <w:rPr>
          <w:rtl w:val="true"/>
        </w:rPr>
        <w:t>الثامن</w:t>
      </w:r>
      <w:bookmarkEnd w:id="341"/>
    </w:p>
    <w:p>
      <w:pPr>
        <w:pStyle w:val="BookText"/>
        <w:rPr/>
      </w:pPr>
      <w:r>
        <w:rPr>
          <w:rFonts w:ascii="IRNazanin" w:hAnsi="IRNazanin" w:eastAsia="IRNazanin"/>
          <w:color w:val="111111"/>
          <w:sz w:val="28"/>
          <w:sz w:val="28"/>
          <w:szCs w:val="28"/>
          <w:rtl w:val="true"/>
          <w:lang w:bidi="fa-IR"/>
        </w:rPr>
        <w:t>هل یجوز إزالة النجاسة بأحدهما أو بهما؟ أو لا یجوز؟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إطلاقات الغسل بالماء خرج ما علم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یدفع استصحاب نجاسة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النجس المردّد بینهما مضافا لم یکن مورد للإطلاقات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 الطهارة شرط و هی غیر محرزة إلّا إذا غسل بهما متعاقبا، فإنّه یعلم حینئذ غسله بماء طاهر، فیقطع بزوال نجاسته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تنجّسه بالماء النجس غیر معلوم، لاحتمال غسله به أوّلا فلا یؤثّر فیه، فالماء المتنّجس مردّد بین وقوعه علی محلّ نجس فلا حکم له، و وقوعه علی محلّ طاهر فیؤثّر فیه، و الأصل بقاء تلک الطهارة، و لو فرض معارضتها بأصالة بقاء النجاسة المعلوم ثبوتها عند ملاقاة الماء النجس و إن لم یعلم نجاسته المسبّبة عنه کان غایة الأمر تساقطهما، فیرجع إلی قاعدة طهارة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اختاره جماعة، منهم السیّد العلّامة الطباطبائی رحمه اللّٰه حیث قال فی منظومته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تواردا علی رفع الحدث لم یرتفع، و لیس هکذا الخبث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و من أنّ المرجع بعد تساقط الأصلین عموم ما دلّ علی وجوب غسل الثوب من النجاسة المردّدة </w:t>
      </w:r>
      <w:r>
        <w:rPr>
          <w:rStyle w:val="FootnoteAnchor"/>
          <w:rtl w:val="true"/>
        </w:rPr>
        <w:footnoteReference w:id="1126"/>
      </w:r>
      <w:r>
        <w:rPr>
          <w:rFonts w:ascii="IRNazanin" w:hAnsi="IRNazanin" w:eastAsia="IRNazanin"/>
          <w:color w:val="111111"/>
          <w:sz w:val="28"/>
          <w:sz w:val="28"/>
          <w:szCs w:val="28"/>
          <w:rtl w:val="true"/>
          <w:lang w:bidi="fa-IR"/>
        </w:rPr>
        <w:t>فإذا فرضناها بولا دلّ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علی وجوب الغسل عقیب کلّ بول، و الأمر بالغسل و إن لم یعلم بقاؤه، إلّا أنّ الاحتیاط اللازم عند الشکّ فی سقوط الأمر یقتضی وجوب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أنّا نقطع بأنّ وجوب الغسل لتحصیل الطهارة، فإذا حصلت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بحکم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یفرض کلّ فرد من النجاسة الملاقیة سببا لوجوب غسل الثوب منها، فإذا تحقّق بعد زمن العلم بالحال الغسل بهما فالنجاسة الملاقیة للثوب من أحد المشتبهین مع الطهارة الحاصلة له من استعمال الآخر نظیر الحدیث مع الطهارة المشکوک فی تقدّمها علیه، و الفرق بین المقام و مسألة الطهارة و الحدث جریان الأصل فیه لا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یحتاج إلی تأمّل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فقد أحد المشتبهین، فهل یجب غسل الثوب النجس بالآخر؟</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أنّه بعد الغسل محکوم بنجاسة شرعا بالاستصحاب فلا یفید، خصوصا فیما یلزم فیه تکثیر النجاسة ظاهرا، حیث یحکم بالاستصحاب بنجاسة أزید من موضع النجس المتیقّن، بناء علی أنّ مقتضی النجاسة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تنجّس الماء المغسول به، لأنّ ما حول المحلّ النجس لا ینفعل بالغسالة و لم یعلم کونها غسالة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 عدم العلم بالنجاسة أولی فی نظر الشارع من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فیما یلزم منه تکثیر النجاسة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لاستصحاب طهارة ما عدا المحلّ النجس الیقینیّ، و عموم تنجّس ملاقی النجس بعد تخصّصه بما عدا أطراف المحلّ النجس من قبیل المخصّص بالمجمل یرجع فیه إلی الأصل، فتأمّل</w:t>
      </w:r>
      <w:r>
        <w:rPr>
          <w:rFonts w:eastAsia="IRNazanin" w:cs="IRNazanin"/>
          <w:color w:val="111111"/>
          <w:sz w:val="28"/>
          <w:szCs w:val="28"/>
          <w:rtl w:val="true"/>
          <w:lang w:bidi="fa-IR"/>
        </w:rPr>
        <w:t>.</w:t>
      </w:r>
      <w:bookmarkStart w:id="342" w:name="pg13031_131957"/>
    </w:p>
    <w:p>
      <w:pPr>
        <w:pStyle w:val="BookText"/>
        <w:rPr/>
      </w:pPr>
      <w:bookmarkEnd w:id="3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Heading6"/>
        <w:numPr>
          <w:ilvl w:val="5"/>
          <w:numId w:val="1"/>
        </w:numPr>
        <w:rPr/>
      </w:pPr>
      <w:bookmarkStart w:id="343" w:name="__RefHeading___Toc6281687_3224264995"/>
      <w:bookmarkStart w:id="344" w:name="_Toc145"/>
      <w:bookmarkEnd w:id="343"/>
      <w:r>
        <w:rPr>
          <w:rtl w:val="true"/>
        </w:rPr>
        <w:t>[</w:t>
      </w:r>
      <w:r>
        <w:rPr>
          <w:rtl w:val="true"/>
        </w:rPr>
        <w:t>الطرف الثانی فی الماء المضاف</w:t>
      </w:r>
      <w:r>
        <w:rPr>
          <w:rtl w:val="true"/>
        </w:rPr>
        <w:t>]</w:t>
      </w:r>
      <w:bookmarkEnd w:id="344"/>
    </w:p>
    <w:p>
      <w:pPr>
        <w:pStyle w:val="Heading6"/>
        <w:numPr>
          <w:ilvl w:val="5"/>
          <w:numId w:val="1"/>
        </w:numPr>
        <w:rPr/>
      </w:pPr>
      <w:bookmarkStart w:id="345" w:name="__RefHeading___Toc6281689_3224264995"/>
      <w:bookmarkStart w:id="346" w:name="_Toc146"/>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 xml:space="preserve">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و هو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مائع یصحّ إطلاق اسم الماء علیه لعلاقة المشابهة الصوریة، فیخرج المائعات الّتی لا یصحّ إطلاق اسم الماء علیها إلّا من باب المبالغة فی المیعان، کما یقال للدهن و العسل المائعین مبالغة فی میعانهما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حصل بالتصعید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کماء الورد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اعتصر من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کماء الحصرم و النیمو </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مزج به مزجا یسلبه الإطلاق</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کالمرق و الخلّ و ماء الزعفران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سلب الإطلاق موکول إلی العرف، و لا عبرة بکمیّة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تحدیده بعدم أکثریة المضاف </w:t>
      </w:r>
      <w:r>
        <w:rPr>
          <w:rStyle w:val="FootnoteAnchor"/>
          <w:rtl w:val="true"/>
        </w:rPr>
        <w:footnoteReference w:id="1130"/>
      </w:r>
      <w:r>
        <w:rPr>
          <w:rFonts w:ascii="IRNazanin" w:hAnsi="IRNazanin" w:eastAsia="IRNazanin"/>
          <w:color w:val="111111"/>
          <w:sz w:val="28"/>
          <w:sz w:val="28"/>
          <w:szCs w:val="28"/>
          <w:rtl w:val="true"/>
          <w:lang w:bidi="fa-IR"/>
        </w:rPr>
        <w:t>و عن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مع التساوی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متمسّکا بالاحتیاط </w:t>
      </w:r>
      <w:r>
        <w:rPr>
          <w:rStyle w:val="FootnoteAnchor"/>
          <w:rtl w:val="true"/>
        </w:rPr>
        <w:footnoteReference w:id="1131"/>
      </w:r>
      <w:r>
        <w:rPr>
          <w:rFonts w:ascii="IRNazanin" w:hAnsi="IRNazanin" w:eastAsia="IRNazanin"/>
          <w:color w:val="111111"/>
          <w:sz w:val="28"/>
          <w:sz w:val="28"/>
          <w:szCs w:val="28"/>
          <w:rtl w:val="true"/>
          <w:lang w:bidi="fa-IR"/>
        </w:rPr>
        <w:t>فی مقابل تمسّک الشیخ بأصالة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من تأخّر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 العرفی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قد یکون واضحا، و قد یکون خفیّا علی العرف للشکّ فی اندراج هذا الفرد تحت المطلق أو المضاف، فیجب حینئذ الرجوع إلی الأصول و مقتضاها انفعاله بالملاقاة و لو کان کثیرا، لأنّ الأصل فی ملاقی النجس النجاسة، و لذا استدلّ فی الغنیة علی نجاسة الماء القلیل بالملاقاة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Style w:val="FootnoteAnchor"/>
          <w:rtl w:val="true"/>
        </w:rPr>
        <w:footnoteReference w:id="1133"/>
      </w:r>
      <w:r>
        <w:rPr>
          <w:rFonts w:ascii="IRNazanin" w:hAnsi="IRNazanin" w:eastAsia="IRNazanin"/>
          <w:color w:val="111111"/>
          <w:sz w:val="28"/>
          <w:sz w:val="28"/>
          <w:szCs w:val="28"/>
          <w:rtl w:val="true"/>
          <w:lang w:bidi="fa-IR"/>
        </w:rPr>
        <w:t>لأنّ المرکوز فی أذهان المتشرّعة اقتضاء النجاسة فی ذاتها للسرایة، کما یظهر بتتبّع الأخبار، مثل قوله علیه السلام فی الرّد علی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 طعامی من أجل فأرة ماتت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استخففت بدینک، إنّ اللّٰه حرّم المیتة من کلّ شی‌ء</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فإنّ أکل الطعام المذکور لا یکون استخفافا بحکم الشارع بحرمة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جهة ما هو المرکوز فی الأذهان من استلزام نجاسة الشی‌ء لنجاسة ما یلاقیه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أنّ المستفاد من أدلّة کرّیة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عاصمة عن الانفعال، فعلم أنّ الانفعال مقتضی نفس الملاقاة، فإذا شکّ فی إطلاق مقدار الکرّ و إضافته لم یتحقّق المانع عن الانفعال، و المفروض وجود المقتضی له، نظیر الماء المشکوک فی کرّیته مع جهالة حالته السابقة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جمیع ما ذکرنا یظهر ضعف التمسّک فی المقام بأصالة عدم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موافقة المشهور علی اعتبار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فی خلط المضاف المسلوب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کمنقطع الرائحة من ماء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تقدیرها </w:t>
      </w:r>
      <w:r>
        <w:rPr>
          <w:rStyle w:val="FootnoteAnchor"/>
          <w:rtl w:val="true"/>
        </w:rPr>
        <w:footnoteReference w:id="1135"/>
      </w:r>
      <w:r>
        <w:rPr>
          <w:rFonts w:ascii="IRNazanin" w:hAnsi="IRNazanin" w:eastAsia="IRNazanin"/>
          <w:color w:val="111111"/>
          <w:sz w:val="28"/>
          <w:sz w:val="28"/>
          <w:szCs w:val="28"/>
          <w:rtl w:val="true"/>
          <w:lang w:bidi="fa-IR"/>
        </w:rPr>
        <w:t xml:space="preserve">و حکی عنه تقدیر الوسط منها دون الصفة الشخصیة الموجودة قبل السلب </w:t>
      </w: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یعتبر الوسط فی المخالفة فلا یعتبر فی الطعم حدّة الخلّ و لا فی الرائحة ذکاء المسک، و ینبغی اعتبار صفات الماء فی العذوبة و الرقّة و الصفاء و أضدادها </w:t>
      </w:r>
      <w:r>
        <w:rPr>
          <w:rStyle w:val="FootnoteAnchor"/>
          <w:rtl w:val="true"/>
        </w:rPr>
        <w:footnoteReference w:id="113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یقم علی هذا القول دلیل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امتزج المطلق بالمضاف علی وجه یعلم بعدم صدق الاسمین، فالظاهر إجراء أحکام المضاف علیه، لأنّ سلب اسم الماء عنه یکفی فی عدم ترتّب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یتخیّل احتمال ترتّب آثار المطلق علی أجزاء المطلق الموجودة فیه و ترتّب آثار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أجزاء المضاف</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کذلک بناء علی عدم استهلاک أحدهما بالآخر فیصحّ ارتماس الجنب لانغماره بالأجزاء المائیة الموجودة فیه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منوطة بالماء العرفیّ، و هو ما کان لأجزائه اتّصال لا کالأجزاء المتلاشیة فی المضاف</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امتزج الماء بمائع غیر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بجامد فشکّ فی سلب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الإطلاق، فمقتضی الأصل بقاء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یخدش فیه بأنّ ما نحن فیه من قبیل الشکّ فی اندراج هذا الجزئی الحقیقیّ تحت العنوان و هذا لم یکن متیقّنا فی الآن السابق و ما کان مندرجا فی السابق تحت ذلک العنوان کان جزئیّا حقیقیا آخر متشخّصا بمشخّصات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کلمات العلماء فی نظائر هذه المسألة جریان الاستصحاب و أنّ المرجع فی تعیین الموضوع فی الاستصحاب و بقائه فی الآن اللاحق لیحمل علیه المستصحب هو العرف، و لذا اتّفقوا علی إجرائه فیما لو شکّ فی بقائه علی القلّة أو الکثرة بعد زیادة شی‌ء من الماء علیه أو نقصانه عنه،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المضاف مع طهارة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لکن لا یزیل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أصغر و لا أکبر، و لا حکمهما عن مثل السلس و المستحاضة، و لا شبههما من القذارة المعنویة الّتی یطلب لأجلها الأغسال المسنونة و بعض الوضوءات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صریح جماعة </w:t>
      </w:r>
      <w:r>
        <w:rPr>
          <w:rStyle w:val="FootnoteAnchor"/>
          <w:rtl w:val="true"/>
        </w:rPr>
        <w:footnoteReference w:id="1139"/>
      </w:r>
      <w:r>
        <w:rPr>
          <w:rFonts w:ascii="IRNazanin" w:hAnsi="IRNazanin" w:eastAsia="IRNazanin"/>
          <w:color w:val="111111"/>
          <w:sz w:val="28"/>
          <w:sz w:val="28"/>
          <w:szCs w:val="28"/>
          <w:rtl w:val="true"/>
          <w:lang w:bidi="fa-IR"/>
        </w:rPr>
        <w:t xml:space="preserve">و نفی الخلاف عنه فی المبسوط بین الطائفة </w:t>
      </w:r>
      <w:r>
        <w:rPr>
          <w:rStyle w:val="FootnoteAnchor"/>
          <w:rtl w:val="true"/>
        </w:rPr>
        <w:footnoteReference w:id="1140"/>
      </w:r>
      <w:r>
        <w:rPr>
          <w:rFonts w:ascii="IRNazanin" w:hAnsi="IRNazanin" w:eastAsia="IRNazanin"/>
          <w:color w:val="111111"/>
          <w:sz w:val="28"/>
          <w:sz w:val="28"/>
          <w:szCs w:val="28"/>
          <w:rtl w:val="true"/>
          <w:lang w:bidi="fa-IR"/>
        </w:rPr>
        <w:t xml:space="preserve">و فی السرائر بین المحصّلین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فی المعتبر عن الخلاف حکایة جواز الوضوء بماء الورد عن بعض أصحاب الحدیث منّا </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عن ابن بابویه فی کتابه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لا بأس بالوضوء و الغسل من الجنابة و الاستیاک بماء الورد </w:t>
      </w:r>
      <w:r>
        <w:rPr>
          <w:rStyle w:val="FootnoteAnchor"/>
          <w:rtl w:val="true"/>
        </w:rPr>
        <w:footnoteReference w:id="11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کان مستنده روایة سهل بن زیاد عن محمّد بن عیسی عن یونس عن أبی الحسن علیه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یغتسل بماء الورد و یتوضّأ به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 xml:space="preserve">و ردّها تارة بضعف سندها بسهل و ابن عیسی، و اخری باحتمال إرادة التنظیف أو الماء المخلوط بقلیل لا یسلبه الإطلاق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ما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شاذّة أجمعت العصابة علی ترک العمل بها </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یعلم عدم جواز حملها علی الضرورة، کما عن العمانی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خبثا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المشهور، للأصل،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یطهر من غیر ماء؟</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و قوله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بنو إسرائیل إذا أصاب أحدهم قطرة البول قرضوا لحومهم بالمقاریض و قد وسّع اللّٰه علیکم بأوسع ما بین السماء و الأرض و جعل لکم الماء طهورا</w:t>
      </w:r>
      <w:r>
        <w:rPr>
          <w:rFonts w:eastAsia="IRNazanin" w:cs="IRNazanin"/>
          <w:color w:val="111111"/>
          <w:sz w:val="28"/>
          <w:szCs w:val="28"/>
          <w:rtl w:val="true"/>
          <w:lang w:bidi="fa-IR"/>
        </w:rPr>
        <w:t xml:space="preserve">» </w:t>
      </w:r>
      <w:r>
        <w:rPr>
          <w:rStyle w:val="FootnoteAnchor"/>
          <w:rtl w:val="true"/>
        </w:rPr>
        <w:footnoteReference w:id="1150"/>
      </w:r>
      <w:r>
        <w:rPr>
          <w:rFonts w:ascii="IRNazanin" w:hAnsi="IRNazanin" w:eastAsia="IRNazanin"/>
          <w:color w:val="111111"/>
          <w:sz w:val="28"/>
          <w:sz w:val="28"/>
          <w:szCs w:val="28"/>
          <w:rtl w:val="true"/>
          <w:lang w:bidi="fa-IR"/>
        </w:rPr>
        <w:t>فإنّ قصر الحکم علی الماء فی مقام الامتنان یدلّ علی انحصار المطهّر فیه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یظهر جواز الاستدلال بقوله تعالی وَ أَنْزَلْنٰا مِنَ السَّمٰاءِ مٰاءً طَهُوراً </w:t>
      </w:r>
      <w:r>
        <w:rPr>
          <w:rStyle w:val="FootnoteAnchor"/>
          <w:rtl w:val="true"/>
        </w:rPr>
        <w:footnoteReference w:id="1151"/>
      </w:r>
      <w:r>
        <w:rPr>
          <w:rFonts w:ascii="IRNazanin" w:hAnsi="IRNazanin" w:eastAsia="IRNazanin"/>
          <w:color w:val="111111"/>
          <w:sz w:val="28"/>
          <w:sz w:val="28"/>
          <w:szCs w:val="28"/>
          <w:rtl w:val="true"/>
          <w:lang w:bidi="fa-IR"/>
        </w:rPr>
        <w:t>إلّا أن یکون الامتنان باعتبار مطهّریّته من الحدث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غیر وارد علی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طهور إناء أحدکم إذا ولغ فیه الکلب أن یغسل ثلاثا أوّلهنّ بالتراب</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فإنّ ظاهره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دلّ علی وجوب صرف الماء الکافی للطهارة عن الحدث فی إزالة الخبث و التیمّم </w:t>
      </w:r>
      <w:r>
        <w:rPr>
          <w:rStyle w:val="FootnoteAnchor"/>
          <w:rtl w:val="true"/>
        </w:rPr>
        <w:footnoteReference w:id="1153"/>
      </w:r>
      <w:r>
        <w:rPr>
          <w:rFonts w:ascii="IRNazanin" w:hAnsi="IRNazanin" w:eastAsia="IRNazanin"/>
          <w:color w:val="111111"/>
          <w:sz w:val="28"/>
          <w:sz w:val="28"/>
          <w:szCs w:val="28"/>
          <w:rtl w:val="true"/>
          <w:lang w:bidi="fa-IR"/>
        </w:rPr>
        <w:t>من غیر استفصال بین وجود المضاف المزیل للنجاسة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بیان کیفیة تطهیر الإناء و غیره ممّا ظاهره تعیین الماء للإزالة و هی کثیرة متفرّقة فی أبواب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کلّه یقیّد إطلاق أوامر الغسل لو سلّم عدم ظهورها فی کونه بالماء المطلق، إمّا لوضعه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فی المنتهی و الذکری </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لانصرافه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للمحکیّ عن المفید و السیّد قدّس سرّهما فی شرح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عندنا إزالة النجاسة بالمائع الطاهر غیر الماء، و بمثله قال المفید فی المسائل الخلافیة </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المحقّق فی بعض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أضاف ذلک إلی مذهبنا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 له فی المعتبر بإطلاقات الغسل، و بأنّ الأصل جواز الإزالة بکلّ مزیل للعین، فیجب عند الأمر المطلق جوازه تمسّکا بالأصل، و بأنّ الغرض إزالة عین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لذلک ما رواه حکم بن حکیم الصیرفی، قال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أصیب الماء و قد أصاب یدی البول فأمسحه بالحائط و التراب ثمّ تعرق یدی فأمسح وجهی أو بعض جسدی أو یصیب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ثوبی؟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 xml:space="preserve">و عن غیاث بن إبراهیم عن أبی عبد اللّٰه علیه السلام عن علیّ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یغسل الدم بالبصاق</w:t>
      </w:r>
      <w:r>
        <w:rPr>
          <w:rFonts w:eastAsia="IRNazanin" w:cs="IRNazanin"/>
          <w:color w:val="111111"/>
          <w:sz w:val="28"/>
          <w:szCs w:val="28"/>
          <w:rtl w:val="true"/>
          <w:lang w:bidi="fa-IR"/>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فی المعتبر بمعارضة الأصل بأصالة المنع عن الدخول فی الصلاة، و بانصراف الإطلاق إلی المتعارف، کما فی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زوال النجاسة بالتراب لا یقول به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غیاث متروک، أو محمول علی جواز الاستعانة فی غسله بالبصاق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فیما أجاب، غیر أنّ معارضة الأصل بأصالة المنع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نسبة ذلک إلی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وجّهه المحقّق بأنّ من مذهبنا العمل بالبراءة الأصلیة ما لم یثبت الناقل </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لم یثبت، و لو لا هذا التوجیه لظننّا موافقة بعض من تقدّم علیهما لهما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حکی عن السیّد قدّس سرّه أنّه بعد ما تفطّن للاعتراض علی التمسّک بالإطلاقات بدعوی انصرافها إلی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الغسل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ذلک أوّلا بأنّ تطهیر الثوب لیس إلّا إزالة النجاسة عنه و قد زالت بغیر الماء مشاهدة، لأنّ الثوب لا یلحقه عبادة، و بأنّه لو کان کذلک لوجب المنع عن غسل الثوب بماء الکبریت و النفط، و لمّا جاز ذلک إجماعا علمنا عدم الاشتراط بالعادة و أنّ المراد بالغسل ما یتناوله اسمه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کفایة زوال العین مشاهدة فی طهارة الثوب و إلّا لما احتاج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إلی الغسل، و النقض بماء النفط و الکبریت مندفع بالفرق بین الانصرافین، مع أنّ شمول المطلق أو حکمه لبعض الأفراد النادرة لا یوجب التعدّی إلی غیره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المحدّث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حکی عن السیّد جواز تطهیر الأجسام الصقیلة بالمسح بحیث یزول العین عنها لزوال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لا یخلو من قوّة، إذ غایة ما یستفاد من الشرع وجوب اجتناب أعیان النجاسات، أمّا وجوب غسلها بالماء من کلّ جسم فلا، فما علم زوال النجاسة عنه قطعا حکم بتطهّره </w:t>
      </w:r>
      <w:r>
        <w:rPr>
          <w:rStyle w:val="FootnoteAnchor"/>
          <w:rtl w:val="true"/>
        </w:rPr>
        <w:footnoteReference w:id="1162"/>
      </w:r>
      <w:r>
        <w:rPr>
          <w:rFonts w:ascii="IRNazanin" w:hAnsi="IRNazanin" w:eastAsia="IRNazanin"/>
          <w:color w:val="111111"/>
          <w:sz w:val="28"/>
          <w:sz w:val="28"/>
          <w:szCs w:val="28"/>
          <w:rtl w:val="true"/>
          <w:lang w:bidi="fa-IR"/>
        </w:rPr>
        <w:t>إلّا ما خرج بدلیل یقتضی اشتراط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کالثوب 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یظهر طهارة البواطن بزوال العین و طهارة أعضاء الحیوان النجسة غیر الآدمیّ، کما یستفاد من الصحاح </w:t>
      </w:r>
      <w:r>
        <w:rPr>
          <w:rStyle w:val="FootnoteAnchor"/>
          <w:rtl w:val="true"/>
        </w:rPr>
        <w:footnoteReference w:id="11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ضعف ما ذکره من جهة مخالفته للفتاوی و الأخبار الکثیرة الصریحة أو الظاهرة، و لاستصحاب حکم النجاسة المتّفق علیه بین الکلّ حتّی الأخباریّین، بل عدّ مثله المحدّث الأمین الأسترآبادی من ضروریّات الدین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المضاف کغیره من المائعات و الجوامد الرطبة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لاقته نجاسة </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 و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الکثرة غیر عاصمة فی غیر الماء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یجز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أکل و لا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منقولا بل محصّلا، یستفاد من قاعدة تنجّس کلّ مائع بالملاقاة للنجاسة أو المتنجّس، بل کلّ ملاق برطوبة متعدّیة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الاجتناب عن النجاسات، حیث یستفاد منها وجوب الاجتناب عن ملاقیها، و قد تقدّم أنّه استدلّ فی الغنیة بقوله تعالی وَ الرُّجْزَ فَاهْجُرْ علی نجاسة الماء القلیل بملاقاة النجاسة </w:t>
      </w:r>
      <w:r>
        <w:rPr>
          <w:rStyle w:val="FootnoteAnchor"/>
          <w:rtl w:val="true"/>
        </w:rPr>
        <w:footnoteReference w:id="1166"/>
      </w:r>
      <w:r>
        <w:rPr>
          <w:rFonts w:ascii="IRNazanin" w:hAnsi="IRNazanin" w:eastAsia="IRNazanin"/>
          <w:color w:val="111111"/>
          <w:sz w:val="28"/>
          <w:sz w:val="28"/>
          <w:szCs w:val="28"/>
          <w:rtl w:val="true"/>
          <w:lang w:bidi="fa-IR"/>
        </w:rPr>
        <w:t xml:space="preserve">و أنّ لأجل هذه الاستفادة عدّ الإمام من ارتکب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الملاقی للمیتة مخفّفا للشارع فی تحریمه لها،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الفأرة أهون علیّ من أن أدع طعامی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استخففت بدینک فإنّ اللّٰه حرّم المیتة من کلّ شی‌ء</w:t>
      </w:r>
      <w:r>
        <w:rPr>
          <w:rFonts w:eastAsia="IRNazanin" w:cs="IRNazanin"/>
          <w:color w:val="111111"/>
          <w:sz w:val="28"/>
          <w:szCs w:val="28"/>
          <w:rtl w:val="true"/>
          <w:lang w:bidi="fa-IR"/>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نجاسة السمن و الزیت إذا ماتت فیه الفأرة إذا کان ذائبا </w:t>
      </w:r>
      <w:r>
        <w:rPr>
          <w:rStyle w:val="FootnoteAnchor"/>
          <w:rtl w:val="true"/>
        </w:rPr>
        <w:footnoteReference w:id="1168"/>
      </w:r>
      <w:r>
        <w:rPr>
          <w:rFonts w:ascii="IRNazanin" w:hAnsi="IRNazanin" w:eastAsia="IRNazanin"/>
          <w:color w:val="111111"/>
          <w:sz w:val="28"/>
          <w:sz w:val="28"/>
          <w:szCs w:val="28"/>
          <w:rtl w:val="true"/>
          <w:lang w:bidi="fa-IR"/>
        </w:rPr>
        <w:t>فإنّ الظاهر منه علّیة الذوبان و المیعان للتأثّر، فیستفاد منه نجاسة المضاف و کلّ مائع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استدلّوا بهذه الأخبار علی انفعال المضاف، و اعترضهم بعض من لم یتفطّن لإناطة الانفعال بالمیعان فی هذه الأخبار بأنّ موردها لیس من المضاف</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إراقة المرق الّذی وجدت فیه فأرة </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دلّ علی طهارة القدر الواقع فیه دم معلّلا بأنّ النار یأکل الدم </w:t>
      </w:r>
      <w:r>
        <w:rPr>
          <w:rStyle w:val="FootnoteAnchor"/>
          <w:rtl w:val="true"/>
        </w:rPr>
        <w:footnoteReference w:id="1170"/>
      </w:r>
      <w:r>
        <w:rPr>
          <w:rFonts w:ascii="IRNazanin" w:hAnsi="IRNazanin" w:eastAsia="IRNazanin"/>
          <w:color w:val="111111"/>
          <w:sz w:val="28"/>
          <w:sz w:val="28"/>
          <w:szCs w:val="28"/>
          <w:rtl w:val="true"/>
          <w:lang w:bidi="fa-IR"/>
        </w:rPr>
        <w:t>فإنّ الظاهر منه وجود المقتضی للانفعال إلّا أنّ الغلیان مطهّر له کما فی العصیر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نجاسة سؤر الیهودیّ و النصرانیّ </w:t>
      </w:r>
      <w:r>
        <w:rPr>
          <w:rStyle w:val="FootnoteAnchor"/>
          <w:rtl w:val="true"/>
        </w:rPr>
        <w:footnoteReference w:id="1171"/>
      </w:r>
      <w:r>
        <w:rPr>
          <w:rFonts w:ascii="IRNazanin" w:hAnsi="IRNazanin" w:eastAsia="IRNazanin"/>
          <w:color w:val="111111"/>
          <w:sz w:val="28"/>
          <w:sz w:val="28"/>
          <w:szCs w:val="28"/>
          <w:rtl w:val="true"/>
          <w:lang w:bidi="fa-IR"/>
        </w:rPr>
        <w:t>فإنّه یشمل المضاف و کلّ مائع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مورد أکثر هذه الأخبار و إن کان ظاهر فی القلیل، إلّا أنّ المستفاد منها أنّ العلّة فی الانفعال هی الملاقاة للمائع و لو کان کثیرا، بل یستفاد من أدلّة اعتصام الکثیر المطلق </w:t>
      </w:r>
      <w:r>
        <w:rPr>
          <w:rStyle w:val="FootnoteAnchor"/>
          <w:rtl w:val="true"/>
        </w:rPr>
        <w:footnoteReference w:id="1172"/>
      </w:r>
      <w:r>
        <w:rPr>
          <w:rFonts w:ascii="IRNazanin" w:hAnsi="IRNazanin" w:eastAsia="IRNazanin"/>
          <w:color w:val="111111"/>
          <w:sz w:val="28"/>
          <w:sz w:val="28"/>
          <w:szCs w:val="28"/>
          <w:rtl w:val="true"/>
          <w:lang w:bidi="fa-IR"/>
        </w:rPr>
        <w:t>أنّ کرّیة الماء عاصمة، و إلّا فالمقتضی للانفعال فی الکثیر أیضا موجود، کما یشهد بذلک استناد عدم الانفعال إلی الکرّیة، فهی مانعة، و إذا استند عدم الشی‌ء إلی وجود مانعة دلّ علی وجود المقتضی له، و لذا کان استناد الفقیر الّذی لا یملک شیئا فی ترک التجارة إلی خوف الطریق قبیحا عرفا، بل کذبا، لأنّ ظاهر الاستناد إلی ذلک وجود المقتضی للتجارة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تنجّس المائع بالنجس یستلزم تنجّس الجامد الرطب باعتبار ما علیه من الرطوبة، إذ لا نعنی بنجاسة الثوب إلّا قیام رطوبة نجسة به، فثبت أنّ کلّا من المائع و الجامد ینجس بملاقاة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شکّ من بعض المتأخّرین </w:t>
      </w:r>
      <w:r>
        <w:rPr>
          <w:rStyle w:val="FootnoteAnchor"/>
          <w:rtl w:val="true"/>
        </w:rPr>
        <w:footnoteReference w:id="1173"/>
      </w:r>
      <w:r>
        <w:rPr>
          <w:rFonts w:ascii="IRNazanin" w:hAnsi="IRNazanin" w:eastAsia="IRNazanin"/>
          <w:color w:val="111111"/>
          <w:sz w:val="28"/>
          <w:sz w:val="28"/>
          <w:szCs w:val="28"/>
          <w:rtl w:val="true"/>
          <w:lang w:bidi="fa-IR"/>
        </w:rPr>
        <w:t>فی تنجّس الشی‌ء بملاقاة المتنجّس الّذی لیس معه نجاسة عینیة، بل قوّی عدمه لاستظهار ذلک من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الظهور و معارضته بکثیر من الأخبار، مع کونه إجماعیّا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المتشرّعة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أنّ السرایة فی المضاف علی نحوها فی المطلق، فلا یسری من السافل؟ أو لا بل عدم السرایة فی المطلق إنّما خرج عن عموم الملاقاة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بالإجماع و الضرورة؟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و أشهرهما الأوّل، بل الظاهر أنّه مذهب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سیّد مشایخنا فی مناهله مدّعیا شمول إطلاق فتاویهم و معاقد إجماعاتهم علی انفعال المضاف بالملاقاة لما إذا کان المضاف عالیا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ظاهرهم تنجّس المضاف مطلقا علی نحو تنجّس المطلق القلیل، بل الملاقاة فی کلامهم غیر معلوم الشمول لهذا الفرد، خصوصا عند من لا یری اتّحاد العالی مع السافل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فالقاعدة المتقدّمة المستفادة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نجاسة المائع الملاقی للنجس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شموله للأجزاء العالیة من المائع الملاقی بعضه للنجس، فلاحظها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المرکوز فی أذهان المتشرّعة عدم السرایة، و لذا استقرّت سیرتهم علی العمل علی ذلک، بل صرّح فی الروض بأنّه لا یعقل سرایة النجاسة من الأسفل إلی الأعلی </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کان ممنوعا، إلّا أنّ دعواه کاشفة عن عدم وجدانه الخلاف فی ذلک عن أحد من العقلاء فضلا عن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مضافا إلی الإجماع الظاهر من کلام غیر واحد، منهم الشهید الثانی فی الروض </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السیّد العلّامة الطباطبائی فی المصابیح فی خصوص ماء الورد </w:t>
      </w:r>
      <w:r>
        <w:rPr>
          <w:rStyle w:val="FootnoteAnchor"/>
          <w:rtl w:val="true"/>
        </w:rPr>
        <w:footnoteReference w:id="1176"/>
      </w:r>
      <w:r>
        <w:rPr>
          <w:rFonts w:ascii="IRNazanin" w:hAnsi="IRNazanin" w:eastAsia="IRNazanin"/>
          <w:color w:val="111111"/>
          <w:sz w:val="28"/>
          <w:sz w:val="28"/>
          <w:szCs w:val="28"/>
          <w:rtl w:val="true"/>
          <w:lang w:bidi="fa-IR"/>
        </w:rPr>
        <w:t>و فی منظومته،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ینجس القلیل و الکثیر منه و لا یشترط التغییر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نجسا لاقی عدا جار علا علی الملاقی باتّفاق من خلا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و ادّعی صاحب المدارک القطع بعدم السرایة </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عند التأمّل بین دعوی القطع و دعوی الإجماع و دعوی التواتر الّتی ذکر المحقّق الثانی أنّها لا تقصر عن دعوی الإجماع </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أقف علی کلام فی ذلک لمن قبلهم، إلّا أنّه یمکن أن یستظهر من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کالمحقّق و العلّامة و ابن إدریس، فی مسألة إزالة الخبث بالمضاف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السرایة، حیث إنّهم ذکروا من أدلّة عدم جواز الإزالة بالمضاف أنّ ملاقاة المضاف للنجس یوجب تنجّسه، و لو کان العالی و ما فی الإناء منفعلا عندهم بملاقاة النجاسة لکان أشنع فی إلزامه و أنسب بالذکر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المعتبر فی بیان أدلّة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ملاقاة النجاسة موجب لنجاسته، و النجس لا یزول به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ارتفعت النجاسة بالماء مع تنجّسه بالملاقاة فکذا المائع، لأنّا نمنع نجاسة الماء مع وروده علی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مذهب علم الهدی فی الناصریّات </w:t>
      </w: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الدلیل المنع فیهما، ترک العمل به فی الماء إجماعا و لضرورة الحاجة </w:t>
      </w:r>
      <w:r>
        <w:rPr>
          <w:rStyle w:val="FootnoteAnchor"/>
          <w:rtl w:val="true"/>
        </w:rPr>
        <w:footnoteReference w:id="118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ما فی المنتهی و السرائر </w:t>
      </w:r>
      <w:r>
        <w:rPr>
          <w:rStyle w:val="FootnoteAnchor"/>
          <w:rtl w:val="true"/>
        </w:rPr>
        <w:footnoteReference w:id="1182"/>
      </w:r>
      <w:r>
        <w:rPr>
          <w:rFonts w:ascii="IRNazanin" w:hAnsi="IRNazanin" w:eastAsia="IRNazanin"/>
          <w:color w:val="111111"/>
          <w:sz w:val="28"/>
          <w:sz w:val="28"/>
          <w:szCs w:val="28"/>
          <w:rtl w:val="true"/>
          <w:lang w:bidi="fa-IR"/>
        </w:rPr>
        <w:t>مع الاقتصار فی الأوّل علی الوجه الثانی فی دفع النقض، و فی الثانی علی الوجه الأوّل، و مرجع الوجه الثانی إلی تسلیم تنجّس الماء عند الغسل و قیام الدلیل علی التطهّر،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تنجّسه مختصّ بالجزء المصبوب علی النجس، فعلم من ذلک أنّ إلزام القائل بجواز الإزالة بتنجّس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هذا المقدار دون باقی المضاف الکائن فی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الوجه الأوّل إلی أنّ ورود الماء یوجب عدم انفعاله و لو کان قلیلا، و المراد عدم انفعال المقدار المصبوب لا الباقی فی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فکلامهم ظاهر فی أنّ احتجاجهم علی القائل بجواز الإزالة بالمضاف بنجاسة نفس المقدار المصبوب من المضاف بالملاقاة، و تقدّم أنّه لو کان النجاسة ساریة إلی العالی و ما فی الإناء کان الأنسب بل اللازم ذکر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یبق موقع للنقض بالماء المطلق، فإنّ عدم السرایة فیه إلی العالی و ما فی الإناء من أبده البدیهیّات و لم یحتج إلی التفصّی بالإجماع و ضرورة الحاجة،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بعدم السرایة متعیّن، لأنّ دلیل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القاعدة المستفادة من تتبّع الأخبار، و إمّا المستفادة من أدلّة الکرّیة الدالّة علی أنّه مانع، و لولاه لکان المقتضی للانفعال موجودا فی النجاسات، لأنّ دلیل السرایة باطل، کما تقدّم فی الماء المطلق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فالإنصاف أنّه لم یستفد منها إلّا السرایة إلی المساوی أو السافل، خصوصا بعد مشاهدة السیرة العظیمة المستقرّة علی ذلک مع اطّلاعهم علی نجاسة المضاف بالملاقاة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 من أدلّة مانعیة الکرّ عن الانفعال و قیام المقتضی فی نفس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عدم ظهور اختصاص ذلک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تعرّض لکیفیة التنجیس، لأنّ قول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الفلانیّ منجّس أو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فیه علی کیفیة التطهیر و لا التنجیس إلّا ببیان تفصیلیّ من الشارع أو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إجمالیّ یکشف عنه ما هو المرکوز فی أذهان المتشرّعة، و البیان التفصیلیّ مفقود، و الإجمالی المکشوف عنه فی الأذهان هی السرایة مع تساوی السطوح أو علوّ النجاسة دون غیرهما، بل عرفت من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یعقل سرایة النجاسة إلی العالی </w:t>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مراده عدم تعقّل المتشرّعة له و عدم دخوله فی أذهانهم لا عدم المعقولیة المصطلح علیه عند أهل 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مع جریان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وقوف العالی علی السافل من غیر جریان، فلا إشکال فی النجاسة، کما لو أدخل إبرة نجسة فی قارورة من ماء الورد فإنّه لا إشکال فی انفعال جمیعه و لا خلاف، و کذا الماء المطلق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لا ینبغی ترکه، کما لا ینبغی ترکه فی موارد الاشتباه فی العلوّ المعتدّ به و عدمه، و إن کان ظاهر عبائر بعضهم فی الماء المطلق کفایة مطلق العلوّ، إلّا أنّ فی بعض أفراده لا یبعد إلحاقه بالتساوی، و الاحتیاط لا ینبغی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طریق تطهیر المضاف المتنجّس غیر مذکور فی کلام المصنّف قدّس سرّه، و المشهور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یختلط بالماء المعتصم حتّی یصیر ماء مطلقا، و المستند فی 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بعدم اختلاف الماءین الممتزجین غایة الامتزاج، فیلزم إمّا طهارة المضاف و هو المطلوب، أو نجاسة المعتصم و هو مخالف لأدلّة اعتصامه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ذلک ممّا دلّ علی عدم انفعال الماء الکثیر بوقوع الأبواب النجسة و الدم و العذرة، إذ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النجاسات توجب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إضافة أجزاء من الماء مجاورة لها و لو یسیرة، بل توجب صیرورة أنفسها بالاختلاط مضافة، فحکم الشارع بطهارة الجمیع لا یکون إلّا بالاستهلاک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المضاف النجس یصیر ماء مطلقا فیطهر بامتزاجه بالکثیر إجماعا، کما تقدّم فی تطهیر الماء القلیل المنفعل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اعتبار کون الامتزاج بالکثیر بعد صدق کونه ماء مطلقا و المفروض أنّ إطلاقه بالامتزاج فلا مطهّر له بعد صیرورته مطلقا، مدفوعة بأنّ المقصود من الامتزاج تلاشی الأجزاء و لو قبل صیرورته ماء مطلقا، إذ المفروض انعقاد الإجماع علی أنّ الماء المطلق المتلاشی فی أجزاء الکثیر لا یقبل النجاسة العارضة و لا یتحمّل النجاسة السابقة الکائنة فیه، و مرجع هذا إلی الوجه الأوّل، و هو عدم اختلاف الأجزاء المتلاشیة فی الطهارة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لا فرق بین صیرورة الماء المطلق متغیّرا بأوصاف المضاف المتنجّس و عدمها، بناء علی المشهور من عدم انفعال الکثیر بتغیّر أوصافه بالمتنجّس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علی القول بانفعاله به عدم الطهارة، لخروج الماء بالتغیّر عن الاعتصام، و قد یستفاد من کلام الشیخ فی المبسوط و المحقّق فی المعتبر و العلّامة فی التحریر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یطهر إلّا بأنّ یختلط بما زاد عن الکرّ الطاهر المطلق، ثمّ نظر فیه، فإنّ لم یسلبه إطلاق اسم الماء و لا غیّر أحد أوصافه، فإنّ سلبه أو غیّر أحد أوصافه لم یجز استعماله، و إن لم یغیّره و لم یسلبه جاز استعماله فی ما یستعمل فیه المیاه الطاهرة </w:t>
      </w:r>
      <w:r>
        <w:rPr>
          <w:rStyle w:val="FootnoteAnchor"/>
          <w:rtl w:val="true"/>
        </w:rPr>
        <w:footnoteReference w:id="118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عندنا من النسخة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 لا بأو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المائع الواقع فی الماء نجسا، فان غلب علی أحد أوصاف المطلق کان نجسا، و لو لم یغلب أحد أوصافه و کان الماء کرّا فان استهلکه الماء صار بحکم المطلق و جاز استعمالها </w:t>
      </w:r>
      <w:r>
        <w:rPr>
          <w:rStyle w:val="FootnoteAnchor"/>
          <w:rtl w:val="true"/>
        </w:rPr>
        <w:footnoteReference w:id="1187"/>
      </w:r>
      <w:r>
        <w:rPr>
          <w:rFonts w:ascii="IRNazanin" w:hAnsi="IRNazanin" w:eastAsia="IRNazanin"/>
          <w:color w:val="111111"/>
          <w:sz w:val="28"/>
          <w:sz w:val="28"/>
          <w:szCs w:val="28"/>
          <w:rtl w:val="true"/>
          <w:lang w:bidi="fa-IR"/>
        </w:rPr>
        <w:t xml:space="preserve">أجمع، و لو کانت النجاسة جامدة جاز استعمال الماء حتّی ینقص عن الکرّ، ثمّ ینجس الباقی لما فیه من عین النجاسة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بإلقاء کرّ علیه فما زاد دفعة، بشرط أن لا یسلبه الإطلاق و لا یغیّر أحد أوصافه </w:t>
      </w:r>
      <w:r>
        <w:rPr>
          <w:rStyle w:val="FootnoteAnchor"/>
          <w:rtl w:val="true"/>
        </w:rPr>
        <w:footnoteReference w:id="118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غیّر أحد أوصافه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المطابق لما فی باقی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من عبارة المعتبر إرادة نجس العین، بقرینة قوله فی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کانت النجاسة جامدة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یرید تغیّر أوصافه بما فی المضاف من صفة عین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w:t>
      </w:r>
      <w:r>
        <w:rPr>
          <w:rStyle w:val="FootnoteAnchor"/>
          <w:rtl w:val="true"/>
        </w:rPr>
        <w:footnoteReference w:id="1190"/>
      </w:r>
      <w:r>
        <w:rPr>
          <w:rFonts w:ascii="IRNazanin" w:hAnsi="IRNazanin" w:eastAsia="IRNazanin"/>
          <w:color w:val="111111"/>
          <w:sz w:val="28"/>
          <w:sz w:val="28"/>
          <w:szCs w:val="28"/>
          <w:rtl w:val="true"/>
          <w:lang w:bidi="fa-IR"/>
        </w:rPr>
        <w:t>من الشرطین بقاء الماء علی إطلاقه و اعتصامه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التغیّر الموجب للنجاسة موکول إلی مقامه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فالمتیقّن مخالفة الشیخ قدّس سرّه فی المبسوط، کما فهم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کالعلّامة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و الشهید </w:t>
      </w:r>
      <w:r>
        <w:rPr>
          <w:rStyle w:val="FootnoteAnchor"/>
          <w:rtl w:val="true"/>
        </w:rPr>
        <w:footnoteReference w:id="1191"/>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بعض أدلّة الانفعال بالتغیّر مطلقا و إن أوهم ذلک، إلّا أنّ التأمّل فی المجموع یعطی الاختصاص بنجس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الإشکال فی أنّه لو سلب المضاف إطلاق الماء الکثیر تدریجا انفعل جمیعه و إن لم یبق عنوان المضاف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القی الدبس المتنجس فی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دلیل علی طهره بمجرّد ملاقاته للکرّ و مماسّة الکرّ لبعض سطوحه، لعدم جریان الأدلّة السابقة و فقد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ما یتوهّم من إطلاق مطهّریة الماء، و قد مرّ </w:t>
      </w:r>
      <w:r>
        <w:rPr>
          <w:rStyle w:val="FootnoteAnchor"/>
          <w:rtl w:val="true"/>
        </w:rPr>
        <w:footnoteReference w:id="1192"/>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الإغماض عن سنده و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ظهور له فی کفایة ملاقاة بعض سطوح النجاسة، بل هو إمّا مجمل من حیث کیفیة التطهیر، و إمّا محمول علی ما هو المرکوز فی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الروایات اعتبار غلبة الماء علی النجاسة، و هی مفقودة فیما نحن فیه، فإذا بقی المضاف علی نجاسته ینجس به الماء المسلوب الإطلاق، لمخالطة بعضه، لأنّه مضاف لاقی نجسا، و ینجس به ما بقی من الماء المطلق إذا صار أقلّ من کرّ، و إلّا فبعد صیرورته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أنّ استهلاک المضاف فی الماء المطلق و حدوث إضافته صار دفعة حقیقیة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المضاف لم یلاق نجسا، بل الکثیر بتلاشیه فیه صار مضافا، و المفروض حدوث الطهارة بنفس التلاشی، لأنّ الکثیر لا ینفعل، فالاختلاط سبب للتطهّر و الإضافة معا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شکّ فی طهارة المضاف حینئذ شکّ فی نجاسة الکرّ، و الأصل عدمهما فیتساقطان، و یرجع إلی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فرض الامتزاج دفعة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ممّا لا یوجد فی الخارج، و بدونه لا مناص عن التزام النجاسة،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ینبغی الحکم بالانفعال مع الدفعة إذا القی الکرّ علی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فرضه فی المنتهی </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محلّه یبقی علی النجاسة فینجس المضاف بملاقاته، کما نبّه علیه کاشف اللثام </w:t>
      </w:r>
      <w:r>
        <w:rPr>
          <w:rStyle w:val="FootnoteAnchor"/>
          <w:rtl w:val="true"/>
        </w:rPr>
        <w:footnoteReference w:id="1194"/>
      </w:r>
      <w:r>
        <w:rPr>
          <w:rFonts w:ascii="IRNazanin" w:hAnsi="IRNazanin" w:eastAsia="IRNazanin"/>
          <w:color w:val="111111"/>
          <w:sz w:val="28"/>
          <w:sz w:val="28"/>
          <w:szCs w:val="28"/>
          <w:rtl w:val="true"/>
          <w:lang w:bidi="fa-IR"/>
        </w:rPr>
        <w:t xml:space="preserve">تبعا لجامع المقاصد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فظهر ضعف ما ذکره العلّامة فی ظاهر المنتهی و القواعد من کفایة مجرّد الاتّصال بالکرّ </w:t>
      </w:r>
      <w:r>
        <w:rPr>
          <w:rStyle w:val="FootnoteAnchor"/>
          <w:rtl w:val="true"/>
        </w:rPr>
        <w:footnoteReference w:id="1196"/>
      </w:r>
      <w:r>
        <w:rPr>
          <w:rFonts w:ascii="IRNazanin" w:hAnsi="IRNazanin" w:eastAsia="IRNazanin"/>
          <w:color w:val="111111"/>
          <w:sz w:val="28"/>
          <w:sz w:val="28"/>
          <w:szCs w:val="28"/>
          <w:rtl w:val="true"/>
          <w:lang w:bidi="fa-IR"/>
        </w:rPr>
        <w:t xml:space="preserve">بل نسب ذلک إلی ما عدا النهایة من کتبه </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نظر لتصریحه فی التحریر و التذکرة علی اشتراط بقاء الإطلاق </w:t>
      </w:r>
      <w:r>
        <w:rPr>
          <w:rStyle w:val="FootnoteAnchor"/>
          <w:rtl w:val="true"/>
        </w:rPr>
        <w:footnoteReference w:id="1198"/>
      </w:r>
      <w:r>
        <w:rPr>
          <w:rFonts w:ascii="IRNazanin" w:hAnsi="IRNazanin" w:eastAsia="IRNazanin"/>
          <w:color w:val="111111"/>
          <w:sz w:val="28"/>
          <w:sz w:val="28"/>
          <w:szCs w:val="28"/>
          <w:rtl w:val="true"/>
          <w:lang w:bidi="fa-IR"/>
        </w:rPr>
        <w:t xml:space="preserve">بل فی موضع من المنتهی التصریح بأنّ الماء الکثیر المتغیّر بالمسک أو الزعفران النجس لو سلب الإطلاق تنجّس </w:t>
      </w:r>
      <w:r>
        <w:rPr>
          <w:rStyle w:val="FootnoteAnchor"/>
          <w:rtl w:val="true"/>
        </w:rPr>
        <w:footnoteReference w:id="1199"/>
      </w:r>
      <w:r>
        <w:rPr>
          <w:rFonts w:ascii="IRNazanin" w:hAnsi="IRNazanin" w:eastAsia="IRNazanin"/>
          <w:color w:val="111111"/>
          <w:sz w:val="28"/>
          <w:sz w:val="28"/>
          <w:szCs w:val="28"/>
          <w:rtl w:val="true"/>
          <w:lang w:bidi="fa-IR"/>
        </w:rPr>
        <w:t>و الفرق بین المسألتین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یتوهّم من عبارة الذکری أیضا موافقته </w:t>
      </w:r>
      <w:r>
        <w:rPr>
          <w:rStyle w:val="FootnoteAnchor"/>
          <w:rtl w:val="true"/>
        </w:rPr>
        <w:footnoteReference w:id="1200"/>
      </w:r>
      <w:r>
        <w:rPr>
          <w:rFonts w:ascii="IRNazanin" w:hAnsi="IRNazanin" w:eastAsia="IRNazanin"/>
          <w:color w:val="111111"/>
          <w:sz w:val="28"/>
          <w:sz w:val="28"/>
          <w:szCs w:val="28"/>
          <w:rtl w:val="true"/>
          <w:lang w:bidi="fa-IR"/>
        </w:rPr>
        <w:t>و یندفع بالتأمّل فیها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جهة ظهور ضعف قول العلّامة قدّس سرّه حاول بعضهم </w:t>
      </w:r>
      <w:r>
        <w:rPr>
          <w:rStyle w:val="FootnoteAnchor"/>
          <w:rtl w:val="true"/>
        </w:rPr>
        <w:footnoteReference w:id="1201"/>
      </w:r>
      <w:r>
        <w:rPr>
          <w:rFonts w:ascii="IRNazanin" w:hAnsi="IRNazanin" w:eastAsia="IRNazanin"/>
          <w:color w:val="111111"/>
          <w:sz w:val="28"/>
          <w:sz w:val="28"/>
          <w:szCs w:val="28"/>
          <w:rtl w:val="true"/>
          <w:lang w:bidi="fa-IR"/>
        </w:rPr>
        <w:t>تأویله بما هو أضعف، فإنّ القول مشهور عن العلّامة، 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نجس المضاف ثمّ امتزج بالمطلق الکثیر فغیّر أحد أوصافه فالمطلق علی طهارته فإن سلبه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الإطلاق خرج عن کونه مطهّرا لا طاهرا </w:t>
      </w:r>
      <w:r>
        <w:rPr>
          <w:rStyle w:val="FootnoteAnchor"/>
          <w:rtl w:val="true"/>
        </w:rPr>
        <w:footnoteReference w:id="120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یطهر المضاف بإلقاء کرّ دفعة و إن بقی التغیّر ما لم یسلبه الإطلاق فیخرج عن الطهوریة </w:t>
      </w:r>
      <w:r>
        <w:rPr>
          <w:rStyle w:val="FootnoteAnchor"/>
          <w:rtl w:val="true"/>
        </w:rPr>
        <w:footnoteReference w:id="12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کلامه صریح فی الامتزاج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الروضة </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باشتراط وصول الماء إلی کلّ جزء من النجس محلّ نظر، إذ لا منافاة بین الوصول و صیرورة الماء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الوصول تدریجا لم یمکن التطهیر، کما لو فرض کون المضاف فی غایة الحموضة أو الرائحة فاختلط بأضعافه من الکثیر و استهلکه إلی جنسه، فإنّ وصول الماء إلی کلّ جزء محقّق، و لذا لو کان هذا المقدار من المضاف قلیل الطعم أو الرائحة انقلب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یعتبر إطلاق الاسم فی مزج النجس من المضاف بکثیر المطلق فکذا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مزج طاهره بالمطلق اعتبر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أحکام الماء علی المجموع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الاسم </w:t>
      </w: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حینئذ إزالة الحدث و الخبث به لو لم یوجد غیره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وجوب المزج قولان للشیخ </w:t>
      </w:r>
      <w:r>
        <w:rPr>
          <w:rStyle w:val="FootnoteAnchor"/>
          <w:rtl w:val="true"/>
        </w:rPr>
        <w:footnoteReference w:id="1206"/>
      </w:r>
      <w:r>
        <w:rPr>
          <w:rFonts w:ascii="Amiri" w:hAnsi="Amiri" w:eastAsia="Amiri" w:cs="Amiri"/>
          <w:color w:val="111111"/>
          <w:sz w:val="28"/>
          <w:sz w:val="28"/>
          <w:szCs w:val="28"/>
          <w:rtl w:val="true"/>
          <w:lang w:bidi="ar-SA"/>
        </w:rPr>
        <w:t xml:space="preserve">و العلّامة </w:t>
      </w:r>
      <w:r>
        <w:rPr>
          <w:rStyle w:val="FootnoteAnchor"/>
          <w:rtl w:val="true"/>
        </w:rPr>
        <w:footnoteReference w:id="1207"/>
      </w:r>
      <w:r>
        <w:rPr>
          <w:rFonts w:ascii="IRNazanin" w:hAnsi="IRNazanin" w:eastAsia="IRNazanin"/>
          <w:color w:val="111111"/>
          <w:sz w:val="28"/>
          <w:sz w:val="28"/>
          <w:szCs w:val="28"/>
          <w:rtl w:val="true"/>
          <w:lang w:bidi="fa-IR"/>
        </w:rPr>
        <w:t>من تعلّق الحکم بوجوب الإزالة علی الوجدان و قبل المزج غیر واجد، لأنّ وجود جزئی المرکّب لا یکفی فی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یصدق عدم وجدان السکنجبین فی الدار أو السوق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مع وجدان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 الظاهر أنّ المراد من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تعلیل الحکم فی الکتاب و السنّة بنفی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تیسّر التحصیل و هو حاصل فی الفرض، کما لا عبرة بالوجدان مع عدم تیسّر الاستعمال، فکذا لا عبرة بعدم الوجدان مع تیسّر التحصیل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تکره الطهارة بالماء المسخّن </w:t>
      </w:r>
      <w:r>
        <w:rPr>
          <w:rStyle w:val="FootnoteAnchor"/>
          <w:rtl w:val="true"/>
        </w:rPr>
        <w:footnoteReference w:id="1208"/>
      </w:r>
      <w:r>
        <w:rPr>
          <w:rFonts w:ascii="IRNazanin" w:hAnsi="IRNazanin" w:eastAsia="IRNazanin"/>
          <w:color w:val="111111"/>
          <w:sz w:val="28"/>
          <w:sz w:val="28"/>
          <w:szCs w:val="28"/>
          <w:rtl w:val="true"/>
          <w:lang w:bidi="fa-IR"/>
        </w:rPr>
        <w:t>بالشمس فی الآنیة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رواه إبراهیم بن عبد الحمید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لعائشة لمّا وضعت قمقمتها بالشمس لتغسل رأسها و جسدها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تعودی فإنّه یورث البرص</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 xml:space="preserve">و فیما رواه إسماعیل بن زیاد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تسخّنه الشمس لا تتوضّئوا به و لا تغتسلوا به و لا تعجنوا به فإنّه یورث البرص</w:t>
      </w:r>
      <w:r>
        <w:rPr>
          <w:rFonts w:eastAsia="IRNazanin" w:cs="IRNazanin"/>
          <w:color w:val="111111"/>
          <w:sz w:val="28"/>
          <w:szCs w:val="28"/>
          <w:rtl w:val="true"/>
          <w:lang w:bidi="fa-IR"/>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الکراهة للإجماع ظاهرا، و ظهور التعلیل فی ذلک، فإنّ مخافة البرص حکمة الکراهة دون الحرمة، و لما عن الصادق علیه السلام من نفی البأس بالوضوء بالماء الّذی یوضع فی الشمس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ظاهرهما کراهة مطلق الاستعمال و لو مع عدم قصد الاستسخان کما عن النهایة </w:t>
      </w:r>
      <w:r>
        <w:rPr>
          <w:rStyle w:val="FootnoteAnchor"/>
          <w:rtl w:val="true"/>
        </w:rPr>
        <w:footnoteReference w:id="1212"/>
      </w:r>
      <w:r>
        <w:rPr>
          <w:rFonts w:ascii="Amiri" w:hAnsi="Amiri" w:eastAsia="Amiri" w:cs="Amiri"/>
          <w:color w:val="111111"/>
          <w:sz w:val="28"/>
          <w:sz w:val="28"/>
          <w:szCs w:val="28"/>
          <w:rtl w:val="true"/>
          <w:lang w:bidi="ar-SA"/>
        </w:rPr>
        <w:t xml:space="preserve">و المهذّب </w:t>
      </w:r>
      <w:r>
        <w:rPr>
          <w:rStyle w:val="FootnoteAnchor"/>
          <w:rtl w:val="true"/>
        </w:rPr>
        <w:footnoteReference w:id="1213"/>
      </w:r>
      <w:r>
        <w:rPr>
          <w:rFonts w:ascii="IRNazanin" w:hAnsi="IRNazanin" w:eastAsia="IRNazanin"/>
          <w:color w:val="111111"/>
          <w:sz w:val="28"/>
          <w:sz w:val="28"/>
          <w:szCs w:val="28"/>
          <w:rtl w:val="true"/>
          <w:lang w:bidi="fa-IR"/>
        </w:rPr>
        <w:t xml:space="preserve">و الجامع </w:t>
      </w:r>
      <w:r>
        <w:rPr>
          <w:rStyle w:val="FootnoteAnchor"/>
          <w:rtl w:val="true"/>
        </w:rPr>
        <w:footnoteReference w:id="1214"/>
      </w:r>
      <w:r>
        <w:rPr>
          <w:rFonts w:ascii="IRNazanin" w:hAnsi="IRNazanin" w:eastAsia="IRNazanin"/>
          <w:color w:val="111111"/>
          <w:sz w:val="28"/>
          <w:sz w:val="28"/>
          <w:szCs w:val="28"/>
          <w:rtl w:val="true"/>
          <w:lang w:bidi="fa-IR"/>
        </w:rPr>
        <w:t>و ظاهر المحکیّ عن الخلاف کراهة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التوضّی مع القصد </w:t>
      </w:r>
      <w:r>
        <w:rPr>
          <w:rStyle w:val="FootnoteAnchor"/>
          <w:rtl w:val="true"/>
        </w:rPr>
        <w:footnoteReference w:id="1215"/>
      </w:r>
      <w:r>
        <w:rPr>
          <w:rFonts w:ascii="IRNazanin" w:hAnsi="IRNazanin" w:eastAsia="IRNazanin"/>
          <w:color w:val="111111"/>
          <w:sz w:val="28"/>
          <w:sz w:val="28"/>
          <w:szCs w:val="28"/>
          <w:rtl w:val="true"/>
          <w:lang w:bidi="fa-IR"/>
        </w:rPr>
        <w:t xml:space="preserve">و هو صریح السرائر أیضا مع تخصیصه الکراهة بالطهارتین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الذکری ألحق العجین بالطهارة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الروایة الأخیرة بقاء الکراهة مع زوال السخونة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لجماعة </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الفرق بین القلیل و غیره و إن خصّه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کالمصنّف قدّس سرّه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بالآنیة، بل عن العلّامة فی التذکرة و النهایة الإجماع علی الاختصاص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النهی من حیث شموله لمطلق الاستعمال الکراهة المصطلحة فیشکل اتّحاده مع العبادة فی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أشکل من ذلک حکم الشهید الثانی فی الروض ببقاء الکراهة مع انحصار الماء،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منافاة بین الوجوب و الکراهة کما فی الصلاة و غیرها من العبادات علی بعض الوجوه، فلو لم یجد ماء غیره لم یزل الکراهة و إن وجب استعماله عینا لبقاء العلّة، مع احتمال الزوال</w:t>
      </w:r>
      <w:r>
        <w:rPr>
          <w:rFonts w:eastAsia="IRNazanin" w:cs="IRNazanin"/>
          <w:color w:val="111111"/>
          <w:sz w:val="28"/>
          <w:szCs w:val="28"/>
          <w:rtl w:val="true"/>
          <w:lang w:bidi="fa-IR"/>
        </w:rPr>
        <w:t xml:space="preserve">» </w:t>
      </w:r>
      <w:r>
        <w:rPr>
          <w:rStyle w:val="FootnoteAnchor"/>
          <w:rtl w:val="true"/>
        </w:rPr>
        <w:footnoteReference w:id="1220"/>
      </w:r>
      <w:r>
        <w:rPr>
          <w:rFonts w:ascii="IRNazanin" w:hAnsi="IRNazanin" w:eastAsia="IRNazanin"/>
          <w:color w:val="111111"/>
          <w:sz w:val="28"/>
          <w:sz w:val="28"/>
          <w:szCs w:val="28"/>
          <w:rtl w:val="true"/>
          <w:lang w:bidi="fa-IR"/>
        </w:rPr>
        <w:t>و قد تقرّر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الکراهة الجامعة مع العبادات الراجحة لا تکون بالمعنی المصطلح مع وجود البدل لها، فکیف یجامع ما لا بدل له من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الکراهة علی غیر المصطلح لا یستقیم مع إرادة الکراهة المصطلحة بالنسبة إلی غیر العبادة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للإرشاد، کما ذکره أوّلا فی الروض معلّلا بأنّ المصلحة دنیویة فلا ینافی رجحان الفعل لمصلحة 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منع رجوع دفع الضرر الدنیوی إلی المصلحة الدنیویة و منافاة ذلک لحکم الأصحاب قاطبة بالکراهة الظاهرة فی المصطلحة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یصلح وجها للحکم بالکراهة مع الانحصار، لأنّ النهی الإرشادی لا یخلو عن طلب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نواهی المریض و 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یترتّب علی موافقتها و مخالفتها سوی خاصیة نفس المأمور به و المنهیّ عنه الموجودة مطلقا حتّی حال أمر الشارع بمخالفتها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الموجود هنا مصلحة الطلب الإرشادی لا نفسه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تکره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بماء أسخن </w:t>
      </w:r>
      <w:r>
        <w:rPr>
          <w:rStyle w:val="FootnoteAnchor"/>
          <w:rtl w:val="true"/>
        </w:rPr>
        <w:footnoteReference w:id="1221"/>
      </w:r>
      <w:r>
        <w:rPr>
          <w:rFonts w:ascii="IRNazanin" w:hAnsi="IRNazanin" w:eastAsia="IRNazanin"/>
          <w:color w:val="111111"/>
          <w:sz w:val="28"/>
          <w:sz w:val="28"/>
          <w:szCs w:val="28"/>
          <w:rtl w:val="true"/>
          <w:lang w:bidi="fa-IR"/>
        </w:rPr>
        <w:t>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محکیّا عن غیر واحد </w:t>
      </w:r>
      <w:r>
        <w:rPr>
          <w:rStyle w:val="FootnoteAnchor"/>
          <w:rtl w:val="true"/>
        </w:rPr>
        <w:footnoteReference w:id="1222"/>
      </w:r>
      <w:r>
        <w:rPr>
          <w:rFonts w:ascii="IRNazanin" w:hAnsi="IRNazanin" w:eastAsia="IRNazanin"/>
          <w:color w:val="111111"/>
          <w:sz w:val="28"/>
          <w:sz w:val="28"/>
          <w:szCs w:val="28"/>
          <w:rtl w:val="true"/>
          <w:lang w:bidi="fa-IR"/>
        </w:rPr>
        <w:t>لصحیحة زرارة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یسخّن الماء للمیّت</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له النار</w:t>
      </w:r>
      <w:r>
        <w:rPr>
          <w:rFonts w:eastAsia="IRNazanin" w:cs="IRNazanin"/>
          <w:color w:val="111111"/>
          <w:sz w:val="28"/>
          <w:szCs w:val="28"/>
          <w:rtl w:val="true"/>
          <w:lang w:bidi="fa-IR"/>
        </w:rPr>
        <w:t xml:space="preserve">» </w:t>
      </w:r>
      <w:r>
        <w:rPr>
          <w:rStyle w:val="FootnoteAnchor"/>
          <w:rtl w:val="true"/>
        </w:rPr>
        <w:footnoteReference w:id="1224"/>
      </w:r>
      <w:r>
        <w:rPr>
          <w:rFonts w:ascii="IRNazanin" w:hAnsi="IRNazanin" w:eastAsia="IRNazanin"/>
          <w:color w:val="111111"/>
          <w:sz w:val="28"/>
          <w:sz w:val="28"/>
          <w:szCs w:val="28"/>
          <w:rtl w:val="true"/>
          <w:lang w:bidi="fa-IR"/>
        </w:rPr>
        <w:t xml:space="preserve">و نحوها روایة یعقوب بن یزید عن أبی عبد اللّٰه علیه السلام </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یقرب المیّت ماء حمیما</w:t>
      </w:r>
      <w:r>
        <w:rPr>
          <w:rFonts w:eastAsia="IRNazanin" w:cs="IRNazanin"/>
          <w:color w:val="111111"/>
          <w:sz w:val="28"/>
          <w:szCs w:val="28"/>
          <w:rtl w:val="true"/>
          <w:lang w:bidi="fa-IR"/>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و ظاهر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بملاحظة ذیل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استعماله و لو فی مقدّمات الغسل کإزالة النجاسة عن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یراد بقول المصنّف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غسل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منه و ما یتعلّق به، و المحکیّ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استثناء ما إذا کان علی بدنه نجاسة لا یقلعها إلّا الماء الحارّ </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التسخین أعمّ من کونه بالنار، خصوصا بملاحظة الروایة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ظاهر من أطلق التسخین، إلّا أنّ التعجیل بالنار فی ذیل الخبرین </w:t>
      </w:r>
      <w:r>
        <w:rPr>
          <w:rStyle w:val="FootnoteAnchor"/>
          <w:rtl w:val="true"/>
        </w:rPr>
        <w:footnoteReference w:id="1228"/>
      </w:r>
      <w:r>
        <w:rPr>
          <w:rFonts w:ascii="IRNazanin" w:hAnsi="IRNazanin" w:eastAsia="IRNazanin"/>
          <w:color w:val="111111"/>
          <w:sz w:val="28"/>
          <w:sz w:val="28"/>
          <w:szCs w:val="28"/>
          <w:rtl w:val="true"/>
          <w:lang w:bidi="fa-IR"/>
        </w:rPr>
        <w:t>یصلح بأن یستظهر به إرادة الأخصّ</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إشکال فی استثناء صورة الحاجة،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تعسّر علی الغاسل لبرد یضرّ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 الروایات قوله علیه السلام بعد النهی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الماء باردا جدّا فتوقی المیّت ممّا توقی منه نفسک</w:t>
      </w:r>
      <w:r>
        <w:rPr>
          <w:rFonts w:eastAsia="IRNazanin" w:cs="IRNazanin"/>
          <w:color w:val="111111"/>
          <w:sz w:val="28"/>
          <w:szCs w:val="28"/>
          <w:rtl w:val="true"/>
          <w:lang w:bidi="fa-IR"/>
        </w:rPr>
        <w:t xml:space="preserve">» </w:t>
      </w:r>
      <w:r>
        <w:rPr>
          <w:rStyle w:val="FootnoteAnchor"/>
          <w:rtl w:val="true"/>
        </w:rPr>
        <w:footnoteReference w:id="1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یراد بذلک أنّه إذا کنت محتاجا إلی توقیة نفسک عن استعماله فلا بأس بأن توقی المیّت منه و تغسله بالماء الحارّ، و التعبیر بتوقیة المیّت المشعرة بالاحترام للإشارة إلی أنّ التسخین حینئذ لیس تعجیلا له بالنار، بل ینبغی أن یقصد به احترامه کما فی حال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و إن صبرت علی تغسیله بالماء البارد شدیدا لأنّ المباشر له لیس إلّا یدک المعتادة علی تحمّل البرد، إلّا أنّه ینبغی أن توقی جسد المیّت عن البرودة الشدیدة لو استعملته علی جسدک بقدر استعماله کمّا و کیفا و زمانا أشرفت نفسک علی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 علی المعنی الأوّل لا یکون استثناء زائدا علی حاجة الغاسل، و علی المعنی الثانی یکون أمرا زائدا علیه، و حیث إنّ الروایة محتملة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کونها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الید عن الکراهة الثابتة بالأدلّة المعتبرة مشکلة جدّا،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الاستشفاء بالعیون الحارّة، ذکر ذلک جماعة </w:t>
      </w:r>
      <w:r>
        <w:rPr>
          <w:rStyle w:val="FootnoteAnchor"/>
          <w:rtl w:val="true"/>
        </w:rPr>
        <w:footnoteReference w:id="1230"/>
      </w:r>
      <w:r>
        <w:rPr>
          <w:rFonts w:ascii="IRNazanin" w:hAnsi="IRNazanin" w:eastAsia="IRNazanin"/>
          <w:color w:val="111111"/>
          <w:sz w:val="28"/>
          <w:sz w:val="28"/>
          <w:szCs w:val="28"/>
          <w:rtl w:val="true"/>
          <w:lang w:bidi="fa-IR"/>
        </w:rPr>
        <w:t xml:space="preserve">و حکی علیه روایات </w:t>
      </w:r>
      <w:r>
        <w:rPr>
          <w:rStyle w:val="FootnoteAnchor"/>
          <w:rtl w:val="true"/>
        </w:rPr>
        <w:footnoteReference w:id="1231"/>
      </w:r>
      <w:r>
        <w:rPr>
          <w:rFonts w:ascii="IRNazanin" w:hAnsi="IRNazanin" w:eastAsia="IRNazanin"/>
          <w:color w:val="111111"/>
          <w:sz w:val="28"/>
          <w:sz w:val="28"/>
          <w:szCs w:val="28"/>
          <w:rtl w:val="true"/>
          <w:lang w:bidi="fa-IR"/>
        </w:rPr>
        <w:t>فلا بأس بالقول به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المستعمل فی رفع الخبث </w:t>
      </w:r>
      <w:r>
        <w:rPr>
          <w:rStyle w:val="FootnoteAnchor"/>
          <w:rtl w:val="true"/>
        </w:rPr>
        <w:footnoteReference w:id="1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مطهّر عن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المعروف بین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المقنعة </w:t>
      </w:r>
      <w:r>
        <w:rPr>
          <w:rStyle w:val="FootnoteAnchor"/>
          <w:rtl w:val="true"/>
        </w:rPr>
        <w:footnoteReference w:id="1233"/>
      </w:r>
      <w:r>
        <w:rPr>
          <w:rFonts w:ascii="IRNazanin" w:hAnsi="IRNazanin" w:eastAsia="IRNazanin"/>
          <w:color w:val="111111"/>
          <w:sz w:val="28"/>
          <w:sz w:val="28"/>
          <w:szCs w:val="28"/>
          <w:rtl w:val="true"/>
          <w:lang w:bidi="fa-IR"/>
        </w:rPr>
        <w:t xml:space="preserve">و المبسوط </w:t>
      </w:r>
      <w:r>
        <w:rPr>
          <w:rStyle w:val="FootnoteAnchor"/>
          <w:rtl w:val="true"/>
        </w:rPr>
        <w:footnoteReference w:id="1234"/>
      </w:r>
      <w:r>
        <w:rPr>
          <w:rFonts w:ascii="IRNazanin" w:hAnsi="IRNazanin" w:eastAsia="IRNazanin"/>
          <w:color w:val="111111"/>
          <w:sz w:val="28"/>
          <w:sz w:val="28"/>
          <w:szCs w:val="28"/>
          <w:rtl w:val="true"/>
          <w:lang w:bidi="fa-IR"/>
        </w:rPr>
        <w:t xml:space="preserve">و العبارة المحکیة فی السرائر عن السیّد </w:t>
      </w:r>
      <w:r>
        <w:rPr>
          <w:rStyle w:val="FootnoteAnchor"/>
          <w:rtl w:val="true"/>
        </w:rPr>
        <w:footnoteReference w:id="1235"/>
      </w:r>
      <w:r>
        <w:rPr>
          <w:rFonts w:ascii="IRNazanin" w:hAnsi="IRNazanin" w:eastAsia="IRNazanin"/>
          <w:color w:val="111111"/>
          <w:sz w:val="28"/>
          <w:sz w:val="28"/>
          <w:szCs w:val="28"/>
          <w:rtl w:val="true"/>
          <w:lang w:bidi="fa-IR"/>
        </w:rPr>
        <w:t xml:space="preserve">و الوسیلة </w:t>
      </w:r>
      <w:r>
        <w:rPr>
          <w:rStyle w:val="FootnoteAnchor"/>
          <w:rtl w:val="true"/>
        </w:rPr>
        <w:footnoteReference w:id="1236"/>
      </w:r>
      <w:r>
        <w:rPr>
          <w:rFonts w:ascii="IRNazanin" w:hAnsi="IRNazanin" w:eastAsia="IRNazanin"/>
          <w:color w:val="111111"/>
          <w:sz w:val="28"/>
          <w:sz w:val="28"/>
          <w:szCs w:val="28"/>
          <w:rtl w:val="true"/>
          <w:lang w:bidi="fa-IR"/>
        </w:rPr>
        <w:t xml:space="preserve">و السرائر </w:t>
      </w:r>
      <w:r>
        <w:rPr>
          <w:rStyle w:val="FootnoteAnchor"/>
          <w:rtl w:val="true"/>
        </w:rPr>
        <w:footnoteReference w:id="1237"/>
      </w:r>
      <w:r>
        <w:rPr>
          <w:rFonts w:ascii="IRNazanin" w:hAnsi="IRNazanin" w:eastAsia="IRNazanin"/>
          <w:color w:val="111111"/>
          <w:sz w:val="28"/>
          <w:sz w:val="28"/>
          <w:szCs w:val="28"/>
          <w:rtl w:val="true"/>
          <w:lang w:bidi="fa-IR"/>
        </w:rPr>
        <w:t xml:space="preserve">و المعتبر </w:t>
      </w:r>
      <w:r>
        <w:rPr>
          <w:rStyle w:val="FootnoteAnchor"/>
          <w:rtl w:val="true"/>
        </w:rPr>
        <w:footnoteReference w:id="1238"/>
      </w:r>
      <w:r>
        <w:rPr>
          <w:rFonts w:ascii="IRNazanin" w:hAnsi="IRNazanin" w:eastAsia="IRNazanin"/>
          <w:color w:val="111111"/>
          <w:sz w:val="28"/>
          <w:sz w:val="28"/>
          <w:szCs w:val="28"/>
          <w:rtl w:val="true"/>
          <w:lang w:bidi="fa-IR"/>
        </w:rPr>
        <w:t xml:space="preserve">و کتب أکثر من تأخّر عنه </w:t>
      </w:r>
      <w:r>
        <w:rPr>
          <w:rStyle w:val="FootnoteAnchor"/>
          <w:rtl w:val="true"/>
        </w:rPr>
        <w:footnoteReference w:id="1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المعتبر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ذلک </w:t>
      </w:r>
      <w:r>
        <w:rPr>
          <w:rStyle w:val="FootnoteAnchor"/>
          <w:rtl w:val="true"/>
        </w:rPr>
        <w:footnoteReference w:id="1240"/>
      </w:r>
      <w:r>
        <w:rPr>
          <w:rFonts w:ascii="IRNazanin" w:hAnsi="IRNazanin" w:eastAsia="IRNazanin"/>
          <w:color w:val="111111"/>
          <w:sz w:val="28"/>
          <w:sz w:val="28"/>
          <w:szCs w:val="28"/>
          <w:rtl w:val="true"/>
          <w:lang w:bidi="fa-IR"/>
        </w:rPr>
        <w:t>و عن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 عدم ارتفاع الحدث بماء الاستنجاء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فالمقام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روایة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الّذی یغسل به الثوب أو یغتسل به الرجل من الجنابة لا یجوز أن یتوضّأ منه و أشباهه</w:t>
      </w:r>
      <w:r>
        <w:rPr>
          <w:rFonts w:eastAsia="IRNazanin" w:cs="IRNazanin"/>
          <w:color w:val="111111"/>
          <w:sz w:val="28"/>
          <w:szCs w:val="28"/>
          <w:rtl w:val="true"/>
          <w:lang w:bidi="fa-IR"/>
        </w:rPr>
        <w:t xml:space="preserve">» </w:t>
      </w:r>
      <w:r>
        <w:rPr>
          <w:rStyle w:val="FootnoteAnchor"/>
          <w:rtl w:val="true"/>
        </w:rPr>
        <w:footnoteReference w:id="1242"/>
      </w:r>
      <w:r>
        <w:rPr>
          <w:rFonts w:ascii="IRNazanin" w:hAnsi="IRNazanin" w:eastAsia="IRNazanin"/>
          <w:color w:val="111111"/>
          <w:sz w:val="28"/>
          <w:sz w:val="28"/>
          <w:szCs w:val="28"/>
          <w:rtl w:val="true"/>
          <w:lang w:bidi="fa-IR"/>
        </w:rPr>
        <w:t>لکن فی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الإغماض عن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حیث اقترانه بالماء المستعمل فی رفع الجنابة و لا نقول فیه بالمنع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یمکن حملها علی نجاسة المحلّ، کما فی التذکرة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اغتسال الجنب ترتیبا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علی بدنه نجاسة أزالها ثمّ اغتسل، فإن خالف و اغتسل أوّلا فقد ارتفع حدث الجنابة و علیه أن یزیل النجاسة إن کانت لم تزل و إن زالت بالاغتسال فقد أجزأه عن غسلها </w:t>
      </w:r>
      <w:r>
        <w:rPr>
          <w:rStyle w:val="FootnoteAnchor"/>
          <w:rtl w:val="true"/>
        </w:rPr>
        <w:footnoteReference w:id="124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ینجس </w:t>
      </w:r>
      <w:r>
        <w:rPr>
          <w:rStyle w:val="FootnoteAnchor"/>
          <w:rtl w:val="true"/>
        </w:rPr>
        <w:footnoteReference w:id="1245"/>
      </w:r>
      <w:r>
        <w:rPr>
          <w:rFonts w:ascii="IRNazanin" w:hAnsi="IRNazanin" w:eastAsia="IRNazanin"/>
          <w:color w:val="111111"/>
          <w:sz w:val="28"/>
          <w:sz w:val="28"/>
          <w:szCs w:val="28"/>
          <w:rtl w:val="true"/>
          <w:lang w:bidi="fa-IR"/>
        </w:rPr>
        <w:t>سواء تغیّر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أو لم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طاهر مع عدم التغیّر فیه؟ أقوال متکثّرة باعتبار ظاهر کلمات الأصحاب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هذا الخلاف بعد الاتّفاق علی نجاسة الماء القلیل بملاقاة النجاسة و إن ورد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قلنا بعدم نجاسة القلیل مطلقا کالعمانی </w:t>
      </w:r>
      <w:r>
        <w:rPr>
          <w:rStyle w:val="FootnoteAnchor"/>
          <w:rtl w:val="true"/>
        </w:rPr>
        <w:footnoteReference w:id="1246"/>
      </w:r>
      <w:r>
        <w:rPr>
          <w:rFonts w:ascii="IRNazanin" w:hAnsi="IRNazanin" w:eastAsia="IRNazanin"/>
          <w:color w:val="111111"/>
          <w:sz w:val="28"/>
          <w:sz w:val="28"/>
          <w:szCs w:val="28"/>
          <w:rtl w:val="true"/>
          <w:lang w:bidi="fa-IR"/>
        </w:rPr>
        <w:t xml:space="preserve">أو مع وروده علیها کالسیّد فی ظاهر الناصریّات </w:t>
      </w:r>
      <w:r>
        <w:rPr>
          <w:rStyle w:val="FootnoteAnchor"/>
          <w:rtl w:val="true"/>
        </w:rPr>
        <w:footnoteReference w:id="1247"/>
      </w:r>
      <w:r>
        <w:rPr>
          <w:rFonts w:ascii="IRNazanin" w:hAnsi="IRNazanin" w:eastAsia="IRNazanin"/>
          <w:color w:val="111111"/>
          <w:sz w:val="28"/>
          <w:sz w:val="28"/>
          <w:szCs w:val="28"/>
          <w:rtl w:val="true"/>
          <w:lang w:bidi="fa-IR"/>
        </w:rPr>
        <w:t xml:space="preserve">و الحلیّ فی ظاهر کلامه عند حکایة ذلک عن السیّد </w:t>
      </w:r>
      <w:r>
        <w:rPr>
          <w:rStyle w:val="FootnoteAnchor"/>
          <w:rtl w:val="true"/>
        </w:rPr>
        <w:footnoteReference w:id="1248"/>
      </w:r>
      <w:r>
        <w:rPr>
          <w:rFonts w:ascii="IRNazanin" w:hAnsi="IRNazanin" w:eastAsia="IRNazanin"/>
          <w:color w:val="111111"/>
          <w:sz w:val="28"/>
          <w:sz w:val="28"/>
          <w:szCs w:val="28"/>
          <w:rtl w:val="true"/>
          <w:lang w:bidi="fa-IR"/>
        </w:rPr>
        <w:t>فلا یعقل إنکار الطهارة بما یرد علی المتنجّس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لتطهیره، کما هو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فالخلاف فی استثناء الغسالة من کلّیة انفعال الماء القلیل مطلقا، فعدّ مثل العمانی و السیّد و الحلّی من القائلین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وقع من کاشف الالتباس </w:t>
      </w:r>
      <w:r>
        <w:rPr>
          <w:rStyle w:val="FootnoteAnchor"/>
          <w:rtl w:val="true"/>
        </w:rPr>
        <w:footnoteReference w:id="1249"/>
      </w:r>
      <w:r>
        <w:rPr>
          <w:rFonts w:ascii="IRNazanin" w:hAnsi="IRNazanin" w:eastAsia="IRNazanin"/>
          <w:color w:val="111111"/>
          <w:sz w:val="28"/>
          <w:sz w:val="28"/>
          <w:szCs w:val="28"/>
          <w:rtl w:val="true"/>
          <w:lang w:bidi="fa-IR"/>
        </w:rPr>
        <w:t>حیث نسب القول بالطهارة فی محلّ الخلاف إلی شیوخ المذهب،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کابن عقیل و الشیخ و السیّد و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إلّا إرادة تکثیر سواد أهل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خصّ بالسیّد و الحلیّ الطهارة بالماء الوارد للإزالة کان لما ذکر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النجاسة وفاقا للفاضلین </w:t>
      </w:r>
      <w:r>
        <w:rPr>
          <w:rStyle w:val="FootnoteAnchor"/>
          <w:rtl w:val="true"/>
        </w:rPr>
        <w:footnoteReference w:id="1250"/>
      </w:r>
      <w:r>
        <w:rPr>
          <w:rFonts w:ascii="IRNazanin" w:hAnsi="IRNazanin" w:eastAsia="IRNazanin"/>
          <w:color w:val="111111"/>
          <w:sz w:val="28"/>
          <w:sz w:val="28"/>
          <w:szCs w:val="28"/>
          <w:rtl w:val="true"/>
          <w:lang w:bidi="fa-IR"/>
        </w:rPr>
        <w:t xml:space="preserve">و أکثر من تأخّر عنهما </w:t>
      </w:r>
      <w:r>
        <w:rPr>
          <w:rStyle w:val="FootnoteAnchor"/>
          <w:rtl w:val="true"/>
        </w:rPr>
        <w:footnoteReference w:id="1251"/>
      </w:r>
      <w:r>
        <w:rPr>
          <w:rFonts w:ascii="IRNazanin" w:hAnsi="IRNazanin" w:eastAsia="IRNazanin"/>
          <w:color w:val="111111"/>
          <w:sz w:val="28"/>
          <w:sz w:val="28"/>
          <w:szCs w:val="28"/>
          <w:rtl w:val="true"/>
          <w:lang w:bidi="fa-IR"/>
        </w:rPr>
        <w:t xml:space="preserve">و حکی عن الإصباح </w:t>
      </w:r>
      <w:r>
        <w:rPr>
          <w:rStyle w:val="FootnoteAnchor"/>
          <w:rtl w:val="true"/>
        </w:rPr>
        <w:footnoteReference w:id="1252"/>
      </w:r>
      <w:r>
        <w:rPr>
          <w:rFonts w:ascii="IRNazanin" w:hAnsi="IRNazanin" w:eastAsia="IRNazanin"/>
          <w:color w:val="111111"/>
          <w:sz w:val="28"/>
          <w:sz w:val="28"/>
          <w:szCs w:val="28"/>
          <w:rtl w:val="true"/>
          <w:lang w:bidi="fa-IR"/>
        </w:rPr>
        <w:t xml:space="preserve">و ظاهر المقنع </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الذکری عن ابن بابویه و کثیر من الأصحاب عدم جواز استعمال الغسالة </w:t>
      </w:r>
      <w:r>
        <w:rPr>
          <w:rStyle w:val="FootnoteAnchor"/>
          <w:rtl w:val="true"/>
        </w:rPr>
        <w:footnoteReference w:id="1254"/>
      </w:r>
      <w:r>
        <w:rPr>
          <w:rFonts w:ascii="IRNazanin" w:hAnsi="IRNazanin" w:eastAsia="IRNazanin"/>
          <w:color w:val="111111"/>
          <w:sz w:val="28"/>
          <w:sz w:val="28"/>
          <w:szCs w:val="28"/>
          <w:rtl w:val="true"/>
          <w:lang w:bidi="fa-IR"/>
        </w:rPr>
        <w:t>و ظاهر إطلاقه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التحریر و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غسل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نجاسة المستعمل فی الغسل إذا کان علی البدن نجاسة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 قول الشیخ قدّس سرّه لکن ظاهره فی مواضع من المبسوط اختیار هذا القول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المستعمل، حیث إنّه بعد الحکم بأنّه طاهر مطهّر من الخبث لا من الحدث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أبدانهما خالیة عن نجاسة، فإن کان علیها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شی‌ء من نجاسة فإنّه ینجّس الماء و لا یجوز استعماله بحال </w:t>
      </w:r>
      <w:r>
        <w:rPr>
          <w:rStyle w:val="FootnoteAnchor"/>
          <w:rtl w:val="true"/>
        </w:rPr>
        <w:footnoteReference w:id="125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تطهیر الثیاب،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ترک تحت الثوب النجس إجّانة و صبّ علیه الماء و جری الماء فی الإجّانة لا یجوز استعماله لأنّه نجس </w:t>
      </w:r>
      <w:r>
        <w:rPr>
          <w:rStyle w:val="FootnoteAnchor"/>
          <w:rtl w:val="true"/>
        </w:rPr>
        <w:footnoteReference w:id="12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الصلاة فی حکم الثوب و البدن و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الماء الّذی تزال به النجاسة نجس، لأنّه ماء قلیل خالطه نجاسة،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بنجس إذا لم یغلب علی أحد أوصافه، بدلالة أنّ ما یبقی فی الثوب جزء منه و هو طاهر بالإجماع، فما انفصل عنه فهو مثله، و هذا قویّ و الأول أحوط، و الوجه فیه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عفی عنه للمشقّة </w:t>
      </w:r>
      <w:r>
        <w:rPr>
          <w:rStyle w:val="FootnoteAnchor"/>
          <w:rtl w:val="true"/>
        </w:rPr>
        <w:footnoteReference w:id="125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بالأحوط لیس مجرّد الاحتیاط المستحبّ، و إلّا لم یحتج إلی إبطال دلیل الطهارة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فالتعبیر به لکون دلیل الحکم مطابقا للاحتیاط، و إلّا فلیس المبسوط رسالة عملیة للعوام یرشدهم فیها إلی الاحتیاطات المستحبّة المختفیة علیهم لعدم الاطّلاع علی الخلاف فی المسألة، و هو واضح، و یزیده وضوحا تتبّع مثل هذه الموارد من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تقویة قد ردّها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مذهبه النجاسة، و فی نسبة القول بالطهارة إلی بعض الناس إشعار بعدم القائل بها من الخاصّة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قدّس سرّه عبارات أخر یظهر منها قوله بالطهارة مطلقا أو فی ما عدا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الغسلة الأولی، تأتی إن شاء اللّٰه تعالی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المختار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الإجماعان المنقولان </w:t>
      </w:r>
      <w:r>
        <w:rPr>
          <w:rStyle w:val="FootnoteAnchor"/>
          <w:rtl w:val="true"/>
        </w:rPr>
        <w:footnoteReference w:id="1260"/>
      </w:r>
      <w:r>
        <w:rPr>
          <w:rFonts w:ascii="IRNazanin" w:hAnsi="IRNazanin" w:eastAsia="IRNazanin"/>
          <w:color w:val="111111"/>
          <w:sz w:val="28"/>
          <w:sz w:val="28"/>
          <w:szCs w:val="28"/>
          <w:rtl w:val="true"/>
          <w:lang w:bidi="fa-IR"/>
        </w:rPr>
        <w:t>المعتضدان بالشهرة المحقّقة،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أدلّة انفعال الماء القلیل،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Style w:val="FootnoteAnchor"/>
          <w:rtl w:val="true"/>
        </w:rPr>
        <w:footnoteReference w:id="1261"/>
      </w:r>
      <w:r>
        <w:rPr>
          <w:rFonts w:ascii="IRNazanin" w:hAnsi="IRNazanin" w:eastAsia="IRNazanin"/>
          <w:color w:val="111111"/>
          <w:sz w:val="28"/>
          <w:sz w:val="28"/>
          <w:szCs w:val="28"/>
          <w:rtl w:val="true"/>
          <w:lang w:bidi="fa-IR"/>
        </w:rPr>
        <w:t xml:space="preserve">و توهّم عدم العموم فی المفهوم من جهة صیرورة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فی سیاق الإثبات و أنّ ارتفاع السلب الکلی فی المنطوق أعمّ من الإیجاب الکلی فی المفهوم، کما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خفت من اللّٰه فلا تخف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فلا تکرم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القاعدة إفادة المفهوم فی هذه للموجبة الکلّیة، لأنّ انتفاء الحکم عن کلّ واحد من الأفراد فی طرف المنطوق إذا فرض استناده إلی وجود الشرط الّذی هو ظاهر فی العلّیة التامّة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المفروض من القول بحجّیة مفهوم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عقلا من ذلک أنّ کلّ فرد منها إذا انتفی الشرط یثبت له الحکم المنفیّ فی المنطوق، و هذا واضح جدّا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استفید من المنطوق کون الشرط علّة للحکم العامّ بوصف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لعموم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المنفیّ فی المفهوم هو ذلک الحکم الثابت للحکم العامّ بوصف العموم، فیکفی ثبوته لبعض الأفراد، لکنّ العموم فی السالبة الکلّیة لیس من قیود السلب حتّی یکفی فی انتفائه انتفاء قیده، و لا یصلح أن یکون من قیود المسلوب، و إلّا لم یکن السلب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القرینة من الخارج علی أنّ الشرط لیس علّة منحصرة لحکم الجزاء بل له أسباب أخر، کعدم المقتضی أو وجود مانع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المثالین المذکورین، حیث یعلم من الخارج أنّ لعدم الخوف من کثیر من الآحاد، و لعدم إکرام کثیر من الناس أسبابا أخر، و لیس عدم الخوف و الإکرام فی کلّ أحد مستندا إلی الخوف من اللّٰه أو مجی‌ء زید بالبدیهة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یفد المفهوم إلّا ثبوت الحکم المنفیّ فی المنطوق عن الأفراد المستند عدم الجزاء فیها إلی عدم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خبیر بأنّه لا مناص مع عدم القرینة عن التزام ظهور الکلام فی کون الشرط سببا منحصرا لا یشترکه سبب آخر یقوم مقامه، فإنّ هذا هو معنی القول بمفهوم الشرط و إنکاره إنکار له، و لهذا أنکر السیّد المرتضی قدّس سرّه مفهوم الشرط استنادا إلی عدم ظهوره فی انحصار السبب </w:t>
      </w:r>
      <w:r>
        <w:rPr>
          <w:rStyle w:val="FootnoteAnchor"/>
          <w:rtl w:val="true"/>
        </w:rPr>
        <w:footnoteReference w:id="1262"/>
      </w:r>
      <w:r>
        <w:rPr>
          <w:rFonts w:ascii="IRNazanin" w:hAnsi="IRNazanin" w:eastAsia="IRNazanin"/>
          <w:color w:val="111111"/>
          <w:sz w:val="28"/>
          <w:sz w:val="28"/>
          <w:szCs w:val="28"/>
          <w:rtl w:val="true"/>
          <w:lang w:bidi="fa-IR"/>
        </w:rPr>
        <w:t>فلعلّ المجی‌ء سبب لإکرام زید و یقوم مقامه عند انتفائه سبب آخر فلا ینتفی الجزاء</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عدم دلالة المفهوم بمقتضی نفس الترکیب علی العموم، لکنّ القرینة هنا علیه موجودة، لأنّ المراد بالشی‌ء فی المنطوق لیس کلّ شی‌ء من أشیاء العالم، بل المراد ما من شأنه تنجیس ملاقیه من النجاسات المقتضیة للتنجیس، فإذا فرض کون کلّ فرد منها مقتضیا للتنجیس و کانت الکرّیة مانعة لزم عند انتفاء الکرّیة المانعة ثبوت الحکم المنفیّ لکلّ فرد من الشی‌ء باقتضائه السلیم من منع المانع، و أوّل المثالین من هذا القبیل، فإنّ المنفیّ مع ثبوت الخوف من اللّٰه هو الخوف عن کلّ من یوجد فیه مقتضی الخوف منه، فمع عدم الخوف من اللّٰه یثبت الخوف من کلّ واحد من هذه المخوّفات باقتضاء نفسه، و من هذا القبیل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توکّلت علی اللّٰه فلا یضرّک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هذا الجواب و سابقه یظهر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عدم العموم فی المفهوم من جهة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فی الاستدلال أصلا، لأنّ محلّ الحاجة فی المقام هو عموم الحکم لجمیع أنحاء الملاقاة من ورود الماء مطلقا أو بقصد الإزالة، فإنّا نفرض الثوب نجسا بالنجاسة الّتی یعترف الخصم بانفعال الماء بها مع عدم غسلها، فیدلّ المفهوم علی تنجّس ذلک الماء، و هذا کاف،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الثوب النجس نجاسة ینجّسه التلاقی لماء قلیل لا یتعدّد أفراده بکونه مغسولا بذلک الماء أو غیر مغسول حتّی یدّعی عدم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لجمیع أفراده، فالعمدة فی المقام الکلام فی عموم المفهوم بالنسبة إلی أنحاء الملاقاة لا بالنسبة إلی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الواضح عند المتشرّعة أنّهم لا یفهمون من تنجیس الشی‌ء النجس لغیره إلّا تأثیره به عند التلاقی من غیر فرق بین أنحائه، ألا تری أنّه لو شکّ فی تأثیر الشی‌ء بملاقاة النجس بالرطوبة من فوقه أو من تحته أو عن أحد جانبیه ردّ علیه فی ذلک کافّة المتشرّعة، و کذا لو شکّ فی تفاوت الدواعی و الأغراض فی الملاقاة، بأن یکون غرضه من الملاقاة إزالته أو عدم إزالته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حاجة فی إثبات عموم الحکم بصورتی الورودین إلی التشبّث بعموم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عدم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المفهوم کما وقع من العلّامة الطباطبائی </w:t>
      </w:r>
      <w:r>
        <w:rPr>
          <w:rStyle w:val="FootnoteAnchor"/>
          <w:rtl w:val="true"/>
        </w:rPr>
        <w:footnoteReference w:id="1263"/>
      </w:r>
      <w:r>
        <w:rPr>
          <w:rFonts w:ascii="IRNazanin" w:hAnsi="IRNazanin" w:eastAsia="IRNazanin"/>
          <w:color w:val="111111"/>
          <w:sz w:val="28"/>
          <w:sz w:val="28"/>
          <w:szCs w:val="28"/>
          <w:rtl w:val="true"/>
          <w:lang w:bidi="fa-IR"/>
        </w:rPr>
        <w:t>لأنّ التحقیق أنّ عموم الکلام لصورتی الورودین من عموم الأحوال لا عموم الأفراد حتّی یحتاج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إثبات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أظنّ التأمّل فی عموم المفهوم المذکور إلّا من قلّة التأمّل، و لذا لم یتأمّل فیه بعد مخالفة العمانی أحد إلّا لدلیل مخصّص، کما وقع من السیّد و الحلیّ قدّس سرّهما فی التفرقة بین الورودین </w:t>
      </w:r>
      <w:r>
        <w:rPr>
          <w:rStyle w:val="FootnoteAnchor"/>
          <w:rtl w:val="true"/>
        </w:rPr>
        <w:footnoteReference w:id="1264"/>
      </w:r>
      <w:r>
        <w:rPr>
          <w:rFonts w:ascii="IRNazanin" w:hAnsi="IRNazanin" w:eastAsia="IRNazanin"/>
          <w:color w:val="111111"/>
          <w:sz w:val="28"/>
          <w:sz w:val="28"/>
          <w:szCs w:val="28"/>
          <w:rtl w:val="true"/>
          <w:lang w:bidi="fa-IR"/>
        </w:rPr>
        <w:t xml:space="preserve">و لذا جعل فی الذکری ماء الغسالة من مستثنیات الماء القلیل علی القول بطهارته </w:t>
      </w:r>
      <w:r>
        <w:rPr>
          <w:rStyle w:val="FootnoteAnchor"/>
          <w:rtl w:val="true"/>
        </w:rPr>
        <w:footnoteReference w:id="1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فی المعتبر فی الطعن علی روایة تطهیر الأرض بالذنوب إنّها منافیة للأصول لأنّ الماء المنفصل عن محلّ النجاسة نجس لأنّه قلیل لاقی نجسا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صدر عن بعض المعاصرین فی حاشیته علی المعالم فی مسألة مفهوم الشرط مع بعض المحقّقیین المدّعی لعموم مفهوم الروایة فی حاشیته علی المدارک ما لا یلیق بهما </w:t>
      </w:r>
      <w:r>
        <w:rPr>
          <w:rStyle w:val="FootnoteAnchor"/>
          <w:rtl w:val="true"/>
        </w:rPr>
        <w:footnoteReference w:id="1267"/>
      </w:r>
      <w:r>
        <w:rPr>
          <w:rFonts w:ascii="IRNazanin" w:hAnsi="IRNazanin" w:eastAsia="IRNazanin"/>
          <w:color w:val="111111"/>
          <w:sz w:val="28"/>
          <w:sz w:val="28"/>
          <w:szCs w:val="28"/>
          <w:rtl w:val="true"/>
          <w:lang w:bidi="fa-IR"/>
        </w:rPr>
        <w:t>فراجعهما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 ما ذکرنا من القاعدة العمومات الدالّة علی جواز رفع الحدث بالماء الطاهر، فإنّها یدلّ بعکس النقیض علی أنّ کلّ ما لا یرفع الحدث لیس بطاهر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الماء المستعمل فی رفع الحدث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ماء الاستنجاء لا یقدح فی العمومات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الماء طاهرا لجاز رفع الحدث به، و سند الملازمة الإطلاقات، و سند بطلان التالی ما تقدّم من الإجماع و النصّ</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الأخبار، مثل ما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روی العیص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أصابه قطرة من طست فیه 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کان من بول أو قذر فیغسل ثوبه و إن کان من وضوء للصلاة فلا بأس</w:t>
      </w:r>
      <w:r>
        <w:rPr>
          <w:rFonts w:eastAsia="IRNazanin" w:cs="IRNazanin"/>
          <w:color w:val="111111"/>
          <w:sz w:val="28"/>
          <w:szCs w:val="28"/>
          <w:rtl w:val="true"/>
          <w:lang w:bidi="fa-IR"/>
        </w:rPr>
        <w:t xml:space="preserve">» </w:t>
      </w:r>
      <w:r>
        <w:rPr>
          <w:rStyle w:val="FootnoteAnchor"/>
          <w:rtl w:val="true"/>
        </w:rPr>
        <w:footnoteReference w:id="1268"/>
      </w:r>
      <w:r>
        <w:rPr>
          <w:rFonts w:ascii="IRNazanin" w:hAnsi="IRNazanin" w:eastAsia="IRNazanin"/>
          <w:color w:val="111111"/>
          <w:sz w:val="28"/>
          <w:sz w:val="28"/>
          <w:szCs w:val="28"/>
          <w:rtl w:val="true"/>
          <w:lang w:bidi="fa-IR"/>
        </w:rPr>
        <w:t>و ظاهر نسبة الروایة إلی العیص وجدانه فی کتابه، لعدم احتمال المشافهة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الشیخ إلی کتاب العیص حسن جدّا، فالقدح فی الروایة بالإرسال ضعیف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أضعف منه القدح فیها بالإضمار، فإنّه لا یقدح مع الاطمئنان بأنّ المسئول هو الإمام علیه السلام و إنّ الاستغناء عن التصریح باسمه الشریف لسبق ذکره فی أوّل الروایة، فیستهجن تکراره فی الکلام الواحد المشتمل علی سؤالات متعدّدة، و المنشأ فی ذلک تقطیع الأخبار لداعی جعل الروایات مبوّبة أو عدم تعلق غرض الفقیه بصدر الروایة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 قدّس سرّه فی الذکری و إن ارتکب ما ارتکب فی حمل الروایة علی صورة التغیّر </w:t>
      </w:r>
      <w:r>
        <w:rPr>
          <w:rStyle w:val="FootnoteAnchor"/>
          <w:rtl w:val="true"/>
        </w:rPr>
        <w:footnoteReference w:id="1269"/>
      </w:r>
      <w:r>
        <w:rPr>
          <w:rFonts w:ascii="IRNazanin" w:hAnsi="IRNazanin" w:eastAsia="IRNazanin"/>
          <w:color w:val="111111"/>
          <w:sz w:val="28"/>
          <w:sz w:val="28"/>
          <w:szCs w:val="28"/>
          <w:rtl w:val="true"/>
          <w:lang w:bidi="fa-IR"/>
        </w:rPr>
        <w:t>لکنّه أحسن فی عدم تضعیفه لسندها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یستدلّ أیضا بموثّقة عمّار الواردة فی الإناء أو الکوز القذر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یغسل؟ و کم مرّة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ثلاث مرّات، یصبّ فیه الماء فیحرّک فیه ثمّ یفرغ منه، ثمّ یصبّ فیه ماء آخر فیحرّک فیه ثمّ یفرغ ذلک الماء، ثمّ یصبّ فیه ماء آخر فیحرّک فیه ثمّ یفرغ منه، و قد طهر</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دلّ علی وجوب إفراغ المیاه الثلاثة، و لو کانت الغسالة طاهرة لم یجب الإفراغ خصوصا فی الثلاثة، غایة الأمر وجوب صبّ ماء آخر غیر المیاه السابقة علی القول بأنّ الغسالة علی تقدیر طهارتها غیر مزیلة للخبث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الإفراغ لتوقّف تحقّق مفهوم الغسل علی إخراج الغسالة،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یجب إذا فرضنا الغسلة بإجراء ماء معتصم علیه کالکثیر و الجاری و المطر؟ فیعلم أنّ الإفراغ لیس إلّا لنجاسة الغسالة، فإذا غسل بالمعتصم لم ینفعل بملاقاة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هذه الروایة فی المطلوب، لأنّ الأمر بالإفراغ فیما عدا الأخیرة بعد الالتزام بعدم مطهّریة الغسالة من الخبث لعدم الفائدة فی إبقائه و خلط الماء الجدید به، و أمّا فی الأخیرة فلاستقذاره عرفا فی الشرب و عدم جواز إزالة الحدث و الخبث به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أضعف من هذا الاستدلال ما فی المعتبر و المنتهی </w:t>
      </w:r>
      <w:r>
        <w:rPr>
          <w:rStyle w:val="FootnoteAnchor"/>
          <w:rtl w:val="true"/>
        </w:rPr>
        <w:footnoteReference w:id="1271"/>
      </w:r>
      <w:r>
        <w:rPr>
          <w:rFonts w:ascii="IRNazanin" w:hAnsi="IRNazanin" w:eastAsia="IRNazanin"/>
          <w:color w:val="111111"/>
          <w:sz w:val="28"/>
          <w:sz w:val="28"/>
          <w:szCs w:val="28"/>
          <w:rtl w:val="true"/>
          <w:lang w:bidi="fa-IR"/>
        </w:rPr>
        <w:t>من الاستدلال بروایة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الناهیة عن التوضّی بماء یغسل به الثوب، بناء علی إرادة مطلق التنظیف، و إلّا فعدم رفع الحدث بالغسالة لا یدلّ علی نجاستها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الآخر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یحک صریحا عن أحد منّا، لأنّ الشیخ فی المبسوط نسب طهارة ما یزال به النجاسة إلی بعض الناس، و لم یعلم أنّه من الإمامیة، و استدلّ له بطهارة ما یبقی فی الثوب من أجزائه إجماعا فکذا المنفصل </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هذا مختصّ بالغسلة المطهّرة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المحقّق فلم یذکر فی مقابل القول بالنجاسة مطلقا إلّا قول الشیخ بطهارة الغسلة الثانیة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نعم، جزم فی الخلاف </w:t>
      </w:r>
      <w:r>
        <w:rPr>
          <w:rStyle w:val="FootnoteAnchor"/>
          <w:rtl w:val="true"/>
        </w:rPr>
        <w:footnoteReference w:id="1275"/>
      </w:r>
      <w:r>
        <w:rPr>
          <w:rFonts w:ascii="IRNazanin" w:hAnsi="IRNazanin" w:eastAsia="IRNazanin"/>
          <w:color w:val="111111"/>
          <w:sz w:val="28"/>
          <w:sz w:val="28"/>
          <w:szCs w:val="28"/>
          <w:rtl w:val="true"/>
          <w:lang w:bidi="fa-IR"/>
        </w:rPr>
        <w:t xml:space="preserve">و أوّل المبسوط </w:t>
      </w:r>
      <w:r>
        <w:rPr>
          <w:rStyle w:val="FootnoteAnchor"/>
          <w:rtl w:val="true"/>
        </w:rPr>
        <w:footnoteReference w:id="1276"/>
      </w:r>
      <w:r>
        <w:rPr>
          <w:rFonts w:ascii="IRNazanin" w:hAnsi="IRNazanin" w:eastAsia="IRNazanin"/>
          <w:color w:val="111111"/>
          <w:sz w:val="28"/>
          <w:sz w:val="28"/>
          <w:szCs w:val="28"/>
          <w:rtl w:val="true"/>
          <w:lang w:bidi="fa-IR"/>
        </w:rPr>
        <w:t xml:space="preserve">بطهارة ماء الغسلتین من الولوغ، إلّا أنّه رجع بعد ذلک إلی ما حکینا عنه من جعله النجاسة مطلقا أحوط، و أوضحنا أنّ مثل هذا فتوی، لا احتیاط مستحبّ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العلّامة قدّس سرّه فی المنتهی، فجعل محلّ الخلاف الغسلة الّتی یطهر المحلّ بعدها </w:t>
      </w:r>
      <w:r>
        <w:rPr>
          <w:rStyle w:val="FootnoteAnchor"/>
          <w:rtl w:val="true"/>
        </w:rPr>
        <w:footnoteReference w:id="1278"/>
      </w:r>
      <w:r>
        <w:rPr>
          <w:rFonts w:ascii="IRNazanin" w:hAnsi="IRNazanin" w:eastAsia="IRNazanin"/>
          <w:color w:val="111111"/>
          <w:sz w:val="28"/>
          <w:sz w:val="28"/>
          <w:szCs w:val="28"/>
          <w:rtl w:val="true"/>
          <w:lang w:bidi="fa-IR"/>
        </w:rPr>
        <w:t xml:space="preserve">و قد اشتهر حکایة هذا القول عن المرتضی </w:t>
      </w:r>
      <w:r>
        <w:rPr>
          <w:rStyle w:val="FootnoteAnchor"/>
          <w:rtl w:val="true"/>
        </w:rPr>
        <w:footnoteReference w:id="1279"/>
      </w:r>
      <w:r>
        <w:rPr>
          <w:rFonts w:ascii="Amiri" w:hAnsi="Amiri" w:eastAsia="Amiri" w:cs="Amiri"/>
          <w:color w:val="111111"/>
          <w:sz w:val="28"/>
          <w:sz w:val="28"/>
          <w:szCs w:val="28"/>
          <w:rtl w:val="true"/>
          <w:lang w:bidi="ar-SA"/>
        </w:rPr>
        <w:t xml:space="preserve">و الحلّی </w:t>
      </w:r>
      <w:r>
        <w:rPr>
          <w:rStyle w:val="FootnoteAnchor"/>
          <w:rtl w:val="true"/>
        </w:rPr>
        <w:footnoteReference w:id="1280"/>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أنّهما إن قالا بعدم انفعال الماء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علی النجاسة العینیة الغیر القابلة للطهارة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معهما کالعمانی مفروغ عنه فی محلّه، و إن خصّا بالوارد للتطهیر فما ذکر السیّد فی دلیل ذلک مختصّ بالغسلة الأخیرة فیما یحتاج إلی التعدّد، لأنّه قدّس سرّه ذکر أنّه لو حکمنا بنجاسة الماء الوارد لزم أن لا یطهّر الثوب إلّا بإیراد کرّ علیه، و قرّره الحلّی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بثبوت الطهارة بإیراد القلیل من غیر حاجة إلی الکثیر، فدلّ علی عدم انفعال الماء الوارد للإزالة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منتف فیما عدا الغسلة الأخیرة، لأنّ المحلّ بعده نجس و لو ورد علیه کرّ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فاستدلال السیّد قدّس سرّه أمّا أخصّ من مدّعاه و إمّا أنّ مورد کلامه الغسلة المطهّرة و الألیق هو الثانی، لأنّ جعل العلّة مخصّصة للحکم أولی من نسبة الخطأ إلی المتکلّم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المحقّق لم یفهم من کلامه المحکیّ عن المصباح فی ماء الاستنجاء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قوله بالطهارة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صریح فی العفو دون الطهارة </w:t>
      </w:r>
      <w:r>
        <w:rPr>
          <w:rStyle w:val="FootnoteAnchor"/>
          <w:rtl w:val="true"/>
        </w:rPr>
        <w:footnoteReference w:id="1281"/>
      </w:r>
      <w:r>
        <w:rPr>
          <w:rFonts w:ascii="IRNazanin" w:hAnsi="IRNazanin" w:eastAsia="IRNazanin"/>
          <w:color w:val="111111"/>
          <w:sz w:val="28"/>
          <w:sz w:val="28"/>
          <w:szCs w:val="28"/>
          <w:rtl w:val="true"/>
          <w:lang w:bidi="fa-IR"/>
        </w:rPr>
        <w:t>فکیف یصرّح بالطهارة فی غیر ماء الاستنجاء؟</w:t>
      </w:r>
    </w:p>
    <w:p>
      <w:pPr>
        <w:pStyle w:val="BookText"/>
        <w:rPr/>
      </w:pPr>
      <w:r>
        <w:rPr>
          <w:rFonts w:ascii="IRNazanin" w:hAnsi="IRNazanin" w:eastAsia="IRNazanin"/>
          <w:color w:val="111111"/>
          <w:sz w:val="28"/>
          <w:sz w:val="28"/>
          <w:szCs w:val="28"/>
          <w:rtl w:val="true"/>
          <w:lang w:bidi="fa-IR"/>
        </w:rPr>
        <w:t xml:space="preserve">نعم، صرّح الحلیّ بطهارة ماء غسلتی الولوغ </w:t>
      </w:r>
      <w:r>
        <w:rPr>
          <w:rStyle w:val="FootnoteAnchor"/>
          <w:rtl w:val="true"/>
        </w:rPr>
        <w:footnoteReference w:id="1282"/>
      </w:r>
      <w:r>
        <w:rPr>
          <w:rFonts w:ascii="IRNazanin" w:hAnsi="IRNazanin" w:eastAsia="IRNazanin"/>
          <w:color w:val="111111"/>
          <w:sz w:val="28"/>
          <w:sz w:val="28"/>
          <w:szCs w:val="28"/>
          <w:rtl w:val="true"/>
          <w:lang w:bidi="fa-IR"/>
        </w:rPr>
        <w:t xml:space="preserve">و لم یعلم منه حکم غیر الإناء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Style w:val="FootnoteAnchor"/>
          <w:rtl w:val="true"/>
        </w:rPr>
        <w:footnoteReference w:id="1283"/>
      </w:r>
      <w:r>
        <w:rPr>
          <w:rFonts w:ascii="IRNazanin" w:hAnsi="IRNazanin" w:eastAsia="IRNazanin"/>
          <w:color w:val="111111"/>
          <w:sz w:val="28"/>
          <w:sz w:val="28"/>
          <w:szCs w:val="28"/>
          <w:rtl w:val="true"/>
          <w:lang w:bidi="fa-IR"/>
        </w:rPr>
        <w:t xml:space="preserve">المحکیّ عنه فی المعتبر عند الاستدلال علی عدم سرایة النجاسة من المیّت أنّه لو کان مباشر المیّت نجسا لم یکن الماء الّذی یستعمله فی غسل المسّ طاهرا، مع أنّ الإجماع علی طهارته </w:t>
      </w:r>
      <w:r>
        <w:rPr>
          <w:rStyle w:val="FootnoteAnchor"/>
          <w:rtl w:val="true"/>
        </w:rPr>
        <w:footnoteReference w:id="1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Style w:val="FootnoteAnchor"/>
          <w:rtl w:val="true"/>
        </w:rPr>
        <w:footnoteReference w:id="1285"/>
      </w:r>
      <w:r>
        <w:rPr>
          <w:rFonts w:ascii="IRNazanin" w:hAnsi="IRNazanin" w:eastAsia="IRNazanin"/>
          <w:color w:val="111111"/>
          <w:sz w:val="28"/>
          <w:sz w:val="28"/>
          <w:szCs w:val="28"/>
          <w:rtl w:val="true"/>
          <w:lang w:bidi="fa-IR"/>
        </w:rPr>
        <w:t>ظاهر فی نجاسة الوارد، لأنّ المستعمل فی غسل المسّ وارد علی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 حمزة فی الوسیلة، فجعل أوّلا الماء عشرة أقسام، و عدّ منها المستعمل، و منها الماء النجس،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المستعمل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 فی الوضوء، و المستعمل فی غسل الجنابة و الحیض و نحوهما، و المستعمل فی إزالة النجاسة،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الأوّل یجوز استعماله ثانیا فی رفع الحدث و إزالة الخبث، و الأخیران لا یجوز ذلک فیهما إلّا أن یبلغا کرّا فصاعدا </w:t>
      </w:r>
      <w:r>
        <w:rPr>
          <w:rStyle w:val="FootnoteAnchor"/>
          <w:rtl w:val="true"/>
        </w:rPr>
        <w:footnoteReference w:id="128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فی حکم الماء النجس أنّه لا یجوز استعماله بحال إلّا حال الضرورة للشرب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فالاقتصار فی حکم المستعمل علی عدم جواز التطهیر به و التعمیم فی حرمة الاستعمال للماء النجس مع جعلهما عند القسمة متقابلین ظاهر فی قوله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بطهارة الغسالة مطلقا، و لذا نسب فی الذکری </w:t>
      </w:r>
      <w:r>
        <w:rPr>
          <w:rStyle w:val="FootnoteAnchor"/>
          <w:rtl w:val="true"/>
        </w:rPr>
        <w:footnoteReference w:id="1288"/>
      </w:r>
      <w:r>
        <w:rPr>
          <w:rFonts w:ascii="IRNazanin" w:hAnsi="IRNazanin" w:eastAsia="IRNazanin"/>
          <w:color w:val="111111"/>
          <w:sz w:val="28"/>
          <w:sz w:val="28"/>
          <w:szCs w:val="28"/>
          <w:rtl w:val="true"/>
          <w:lang w:bidi="fa-IR"/>
        </w:rPr>
        <w:t xml:space="preserve">إلیه و إلی البصروی التسویة بینها </w:t>
      </w:r>
      <w:r>
        <w:rPr>
          <w:rStyle w:val="FootnoteAnchor"/>
          <w:rtl w:val="true"/>
        </w:rPr>
        <w:footnoteReference w:id="1289"/>
      </w:r>
      <w:r>
        <w:rPr>
          <w:rFonts w:ascii="IRNazanin" w:hAnsi="IRNazanin" w:eastAsia="IRNazanin"/>
          <w:color w:val="111111"/>
          <w:sz w:val="28"/>
          <w:sz w:val="28"/>
          <w:szCs w:val="28"/>
          <w:rtl w:val="true"/>
          <w:lang w:bidi="fa-IR"/>
        </w:rPr>
        <w:t>و بین الماء المستعمل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قوله أخیرا یدلّ علی نجاسة الماء الرافع للحدث الأکبر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أنّه حکم فی الماء القلیل بنجاسته بارتماس الجنب فیه بعد ما حکم بنجاسته لوقوع النجاسة فیه </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استبعاد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لنقل الإجماع علی طهارة ذلک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یدفعه قوله بعدم جواز إزالة الخبث بذلک الماء، مع نقل العلّامة و ولده فخر الدین الإجماع علی جواز إزالة الخبث به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ذکرنا ظهر أنّ نسبة هذا القول إلی المرتضی و جلّ الطبقة الأولی کما فی اللوامع </w:t>
      </w:r>
      <w:r>
        <w:rPr>
          <w:rStyle w:val="FootnoteAnchor"/>
          <w:rtl w:val="true"/>
        </w:rPr>
        <w:footnoteReference w:id="1292"/>
      </w:r>
      <w:r>
        <w:rPr>
          <w:rFonts w:ascii="IRNazanin" w:hAnsi="IRNazanin" w:eastAsia="IRNazanin"/>
          <w:color w:val="111111"/>
          <w:sz w:val="28"/>
          <w:sz w:val="28"/>
          <w:szCs w:val="28"/>
          <w:rtl w:val="true"/>
          <w:lang w:bidi="fa-IR"/>
        </w:rPr>
        <w:t xml:space="preserve">أو إلی شیوخ المذهب کالمرتضی و ابن إدریس و ابن حمزة و الشیخ و العمانی کما فی کشف الالتباس </w:t>
      </w:r>
      <w:r>
        <w:rPr>
          <w:rStyle w:val="FootnoteAnchor"/>
          <w:rtl w:val="true"/>
        </w:rPr>
        <w:footnoteReference w:id="1293"/>
      </w:r>
      <w:r>
        <w:rPr>
          <w:rFonts w:ascii="IRNazanin" w:hAnsi="IRNazanin" w:eastAsia="IRNazanin"/>
          <w:color w:val="111111"/>
          <w:sz w:val="28"/>
          <w:sz w:val="28"/>
          <w:szCs w:val="28"/>
          <w:rtl w:val="true"/>
          <w:lang w:bidi="fa-IR"/>
        </w:rPr>
        <w:t>لم یقع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استدلّ أو یمکن أن یستدلّ به لهم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بعد منع کلّیة انفعال الماء القلیل کما فی الروض </w:t>
      </w:r>
      <w:r>
        <w:rPr>
          <w:rStyle w:val="FootnoteAnchor"/>
          <w:rtl w:val="true"/>
        </w:rPr>
        <w:footnoteReference w:id="1294"/>
      </w:r>
      <w:r>
        <w:rPr>
          <w:rFonts w:ascii="IRNazanin" w:hAnsi="IRNazanin" w:eastAsia="IRNazanin"/>
          <w:color w:val="111111"/>
          <w:sz w:val="28"/>
          <w:sz w:val="28"/>
          <w:szCs w:val="28"/>
          <w:rtl w:val="true"/>
          <w:lang w:bidi="fa-IR"/>
        </w:rPr>
        <w:t xml:space="preserve">و شرح الجعفریة </w:t>
      </w:r>
      <w:r>
        <w:rPr>
          <w:rStyle w:val="FootnoteAnchor"/>
          <w:rtl w:val="true"/>
        </w:rPr>
        <w:footnoteReference w:id="1295"/>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فساد ذلک مستوفی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کلام السیّد الّذی ارتضاه الحلّی </w:t>
      </w:r>
      <w:r>
        <w:rPr>
          <w:rStyle w:val="FootnoteAnchor"/>
          <w:rtl w:val="true"/>
        </w:rPr>
        <w:footnoteReference w:id="1296"/>
      </w:r>
      <w:r>
        <w:rPr>
          <w:rFonts w:ascii="IRNazanin" w:hAnsi="IRNazanin" w:eastAsia="IRNazanin"/>
          <w:color w:val="111111"/>
          <w:sz w:val="28"/>
          <w:sz w:val="28"/>
          <w:szCs w:val="28"/>
          <w:rtl w:val="true"/>
          <w:lang w:bidi="fa-IR"/>
        </w:rPr>
        <w:t>و کاشف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الالتباس </w:t>
      </w:r>
      <w:r>
        <w:rPr>
          <w:rStyle w:val="FootnoteAnchor"/>
          <w:rtl w:val="true"/>
        </w:rPr>
        <w:footnoteReference w:id="1297"/>
      </w:r>
      <w:r>
        <w:rPr>
          <w:rFonts w:ascii="IRNazanin" w:hAnsi="IRNazanin" w:eastAsia="IRNazanin"/>
          <w:color w:val="111111"/>
          <w:sz w:val="28"/>
          <w:sz w:val="28"/>
          <w:szCs w:val="28"/>
          <w:rtl w:val="true"/>
          <w:lang w:bidi="fa-IR"/>
        </w:rPr>
        <w:t>،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انفعل لم یطهر المحلّ به، لأنّ النجس غیر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أرید تقریره علی وجه یشمل غسالة الأولی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نجسا لم یؤثّر فی التطهیر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الملازمة لیست عقلیة لانتقاضها بحجر الاستنجاء و تتمیم القلیل النجس کرّا بنجس علی ما یظهر من جماعة </w:t>
      </w:r>
      <w:r>
        <w:rPr>
          <w:rStyle w:val="FootnoteAnchor"/>
          <w:rtl w:val="true"/>
        </w:rPr>
        <w:footnoteReference w:id="1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 الطهارة إلی اجتماعهما دون کلّ منهما مشترک الورود، لإمکان دعوی کون الغسل ناقلا للنجاسة من محلّه إلی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المرکوز فی أذهان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بأبعد من ارتفاع النجاسة باجتماع نجسین، و ثبوتها شرعا لیس إلّا لعموم اشتراط طهارة الماء فی إزالة النجاسة أو لعموم تنجّس ملاقی النجس، فیکف یوجب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مستند الأوّل هو الثانی، أمّا الأوّل فالمتیقّن منه اعتبار طهارة الماء من غیر جهة الملاقاة المزیلة بأن یکون </w:t>
      </w:r>
      <w:r>
        <w:rPr>
          <w:rStyle w:val="FootnoteAnchor"/>
          <w:rtl w:val="true"/>
        </w:rPr>
        <w:footnoteReference w:id="1300"/>
      </w:r>
      <w:r>
        <w:rPr>
          <w:rFonts w:ascii="IRNazanin" w:hAnsi="IRNazanin" w:eastAsia="IRNazanin"/>
          <w:color w:val="111111"/>
          <w:sz w:val="28"/>
          <w:sz w:val="28"/>
          <w:szCs w:val="28"/>
          <w:rtl w:val="true"/>
          <w:lang w:bidi="fa-IR"/>
        </w:rPr>
        <w:t>نجسا قبل الملاقاة أو حینها بغیر نجاسة المحلّ، إذ لیس هنا عموم لفظیّ یتمسّک به، و القاعدة المستفادة من منع الوارد لا یفید إلّا اشتراط عدم تنجّسه بالنجاسة الخارجة عن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دعواه العلم بعموم القاعدة خالیة عن مجازفة، فإنّ العموم المستفاد من تتبّع جزئیّات القاعدة لا بدّ من أن یستند إلی ورود نصّ عامّ لفظی قابل لإخراج مثل حجر الاستنجاء و تتمیم القلیل النجس کرّا بنجس عنه، و أین هذه الدعوی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المقام عند المنصف من دعوی عموم أدلّة الانفعال؟ و لذا نری المرکوز فی الأذهان هو عدم کون النجس مطهّرا، و مع ذلک بناؤهم علی نجاسة الغسالة و طهارة المحلّ بعد الاطّلاع علی عمومات الانفعال، و لیس ذلک إلّا لکون نجاسة الماء من جهة المحلّ غیر قادحة فی التطهیر، بل لو لا أدلّة الانفعال أیضا لفهموا من أدلّة غسل النجاسة بالماء انتقالها عن المحلّ إلیه،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نجاسة الملاقی للنجس، فلا ریب فی شمولها لکلّ من الماء و المحلّ، إذ اللازم من نجاسة الماء بالمحلّ نجاسة المحلّ بالماء، لحصول الملاقاة من الطرفین، فالتزام عدم نجاسة الماء و إلّا لنجس المحلّ و لم یطهّره لیس بأولی من التزام عدم نجاسة المحلّ به، بل الأوّل أبعد، لأنّ ما تأثّر من الشی‌ء لا یؤثّر فیه ذلک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أن یؤثّر فیه خلافه بنقل ما فیه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عن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لزوم عدم نجاسة الماء المطهّر حتّی من جهة ملاقاة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التشبّث فی المقام بقاعدة تنجّس </w:t>
      </w:r>
      <w:r>
        <w:rPr>
          <w:rStyle w:val="FootnoteAnchor"/>
          <w:rtl w:val="true"/>
        </w:rPr>
        <w:footnoteReference w:id="1301"/>
      </w:r>
      <w:r>
        <w:rPr>
          <w:rFonts w:ascii="IRNazanin" w:hAnsi="IRNazanin" w:eastAsia="IRNazanin"/>
          <w:color w:val="111111"/>
          <w:sz w:val="28"/>
          <w:sz w:val="28"/>
          <w:szCs w:val="28"/>
          <w:rtl w:val="true"/>
          <w:lang w:bidi="fa-IR"/>
        </w:rPr>
        <w:t>کلّ متنجّس مع عدم تنجیس الغسالة لمحلّها لا وجه له أصلا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الدلیل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بأنّ الغسالة لو کانت طاهرة لجاز التطهیر بها من الحدث، لأنّ التفکیک بینهما یوجب التقیید فی إطلاق ما دلّ علی جواز رفع الحدث بالماء الطاهر، خرج ماء الاستنجاء کما خرج حجره من الدلیل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الماء جمع بین ما هو لازم للطهارة إلّا ما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تطهیر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للنجاسة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إلّا ما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جواز رفع الحدث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فأدلة المتلازمتین متعارضة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عموم الدلیل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یعارض بالإطلاقات المذکورة، کذلک یعارض بأدلّة انفعال الماء القلیل، و التعارض بین الکلّ بالعموم من وجه فیجب التوقّف و الرجوع إلی أصالة عدم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منعه بأنّ ارتکاب التقیید فی دلیل واحد خصوصا مثل هذا الإطلاق الّذی لم یسلّم إلّا تنزّلا أولی من ارتکابه فی الأدلّة المتعدّدة فلا یرجع إلی الأصل، 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المرجع بعد التوقّف هو ما استقرّ فی أذهان المتشرّعة من انتقال النجاسة من المحلّ إلی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یدفع ذلک بأنّ هذا لأجل قیاسهم النجاسة علی القذارة الخارجیة الّتی یستهلک فی الماء و یتوزّع فیه، أمّا بعد اطّلاعهم علی أنّ کلّ جزء من الماء یکتسب قذارة کقذارة المحلّ بعینها فیتحاشون عن انفعال الماء بالمحلّ و صیرورة کلّ قطرة من الماء کالرطوبة النجسة من البول أو الدم الّتی أرید إزالتها بالماء مع زوال النجاسة من المحلّ، کما یفهم ذلک لو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الماء المنصبّ علی المحلّ لإزالة ما به من رطوبة الوسخ الفلانی یصیر کلّ جزء صغیر منه متّصفا بوسخ تلک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رفع الید عن تصویرات العرف و قیاسات الأمور الشرعیة بأشباهها من الأمور الحسّیة، و الرجوع إلی الأدلّة اللفظیة الشرعیة </w:t>
      </w:r>
      <w:r>
        <w:rPr>
          <w:rStyle w:val="FootnoteAnchor"/>
          <w:rtl w:val="true"/>
        </w:rPr>
        <w:footnoteReference w:id="1302"/>
      </w:r>
      <w:r>
        <w:rPr>
          <w:rFonts w:ascii="IRNazanin" w:hAnsi="IRNazanin" w:eastAsia="IRNazanin"/>
          <w:color w:val="111111"/>
          <w:sz w:val="28"/>
          <w:sz w:val="28"/>
          <w:szCs w:val="28"/>
          <w:rtl w:val="true"/>
          <w:lang w:bidi="fa-IR"/>
        </w:rPr>
        <w:t>أو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الأخبار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تعلیل طهارة ماء الاستنجاء فی روایة الأحول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المحکیة عن العیون </w:t>
      </w:r>
      <w:r>
        <w:rPr>
          <w:rStyle w:val="FootnoteAnchor"/>
          <w:rtl w:val="true"/>
        </w:rPr>
        <w:footnoteReference w:id="1303"/>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تدری لم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ماء 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الماء أکثر من القذر</w:t>
      </w:r>
      <w:r>
        <w:rPr>
          <w:rFonts w:eastAsia="IRNazanin" w:cs="IRNazanin"/>
          <w:color w:val="111111"/>
          <w:sz w:val="28"/>
          <w:szCs w:val="28"/>
          <w:rtl w:val="true"/>
          <w:lang w:bidi="fa-IR"/>
        </w:rPr>
        <w:t xml:space="preserve">» </w:t>
      </w:r>
      <w:r>
        <w:rPr>
          <w:rStyle w:val="FootnoteAnchor"/>
          <w:rtl w:val="true"/>
        </w:rPr>
        <w:footnoteReference w:id="1304"/>
      </w:r>
      <w:r>
        <w:rPr>
          <w:rFonts w:ascii="IRNazanin" w:hAnsi="IRNazanin" w:eastAsia="IRNazanin"/>
          <w:color w:val="111111"/>
          <w:sz w:val="28"/>
          <w:sz w:val="28"/>
          <w:szCs w:val="28"/>
          <w:rtl w:val="true"/>
          <w:lang w:bidi="fa-IR"/>
        </w:rPr>
        <w:t>فإنّ المراد من الأکثریة لیس خصوص الکمّ، بل المراد استهلاک القذر فی الماء الّذی یورده علیه، فدلّ علی أنّ کلّ ماء ورد علی قذر فاستهلکه بحیث لم یظهر فیه أوصافه کان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غسالة الحمّام الّتی لا تنفکّ عن الماء المستعمل فی إزالة النجاسة، مثل مرسلة الواسطی، عن بعض أصحابنا، عن أبی الحسن علیه 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مجمع الماء فی الحمام من غسالة الناس؟ قال لا بأس</w:t>
      </w:r>
      <w:r>
        <w:rPr>
          <w:rFonts w:eastAsia="IRNazanin" w:cs="IRNazanin"/>
          <w:color w:val="111111"/>
          <w:sz w:val="28"/>
          <w:szCs w:val="28"/>
          <w:rtl w:val="true"/>
          <w:lang w:bidi="fa-IR"/>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صبّ الماء علی الثوب من بول الصبیّ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أمر النبی صلّی اللّٰه علیه و آله و سلّم بتطهیر المسجد من بول الأعرابی بصبّ ذنوب من الماء علیه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النبیّ صلّی اللّٰه علیه و آله و سلّم لا یأمر بطهارة المسجد بما یزیده تنجیسا </w:t>
      </w:r>
      <w:r>
        <w:rPr>
          <w:rStyle w:val="FootnoteAnchor"/>
          <w:rtl w:val="true"/>
        </w:rPr>
        <w:footnoteReference w:id="1308"/>
      </w:r>
      <w:r>
        <w:rPr>
          <w:rFonts w:ascii="IRNazanin" w:hAnsi="IRNazanin" w:eastAsia="IRNazanin"/>
          <w:color w:val="111111"/>
          <w:sz w:val="28"/>
          <w:sz w:val="28"/>
          <w:szCs w:val="28"/>
          <w:rtl w:val="true"/>
          <w:lang w:bidi="fa-IR"/>
        </w:rPr>
        <w:t>فیلزم أن یکون الماء باقیا علی طهارته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صحیحة محمّد بن مسلم فی غسل الثوب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فی المرکن مرّتین، و إن غسلته فی ماء جار فمرّة واحدة</w:t>
      </w:r>
      <w:r>
        <w:rPr>
          <w:rFonts w:eastAsia="IRNazanin" w:cs="IRNazanin"/>
          <w:color w:val="111111"/>
          <w:sz w:val="28"/>
          <w:szCs w:val="28"/>
          <w:rtl w:val="true"/>
          <w:lang w:bidi="fa-IR"/>
        </w:rPr>
        <w:t xml:space="preserve">» </w:t>
      </w:r>
      <w:r>
        <w:rPr>
          <w:rStyle w:val="FootnoteAnchor"/>
          <w:rtl w:val="true"/>
        </w:rPr>
        <w:footnoteReference w:id="1309"/>
      </w:r>
      <w:r>
        <w:rPr>
          <w:rFonts w:ascii="IRNazanin" w:hAnsi="IRNazanin" w:eastAsia="IRNazanin"/>
          <w:color w:val="111111"/>
          <w:sz w:val="28"/>
          <w:sz w:val="28"/>
          <w:szCs w:val="28"/>
          <w:rtl w:val="true"/>
          <w:lang w:bidi="fa-IR"/>
        </w:rPr>
        <w:t>و لعلّ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نجاسة الغسالة یوجب نجاسة المرکن فلا یطهر بالغسلة الثانیة، خصوصا مع إحاطتها بجمیع ما ینجس منه 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الثوب یصیبه البول فینفذ إلی الجانب الآخر، و عن الفرو و ما فیه من الحشو؟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ما أصاب منه و مسّ الجانب الآخر، فإن أصبت مسّ شی‌ء منه فاغسله، و إلّا فانضحه بالماء</w:t>
      </w:r>
      <w:r>
        <w:rPr>
          <w:rFonts w:eastAsia="IRNazanin" w:cs="IRNazanin"/>
          <w:color w:val="111111"/>
          <w:sz w:val="28"/>
          <w:szCs w:val="28"/>
          <w:rtl w:val="true"/>
          <w:lang w:bidi="fa-IR"/>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نفی العسر </w:t>
      </w:r>
      <w:r>
        <w:rPr>
          <w:rStyle w:val="FootnoteAnchor"/>
          <w:rtl w:val="true"/>
        </w:rPr>
        <w:footnoteReference w:id="1311"/>
      </w:r>
      <w:r>
        <w:rPr>
          <w:rFonts w:ascii="IRNazanin" w:hAnsi="IRNazanin" w:eastAsia="IRNazanin"/>
          <w:color w:val="111111"/>
          <w:sz w:val="28"/>
          <w:sz w:val="28"/>
          <w:szCs w:val="28"/>
          <w:rtl w:val="true"/>
          <w:lang w:bidi="fa-IR"/>
        </w:rPr>
        <w:t>فانّ التحرّز عن الغسالة حرج فی کثیر من المقامات من جهة جریانها إلی غیر محلّ النجاسة و بالنسبة إلی المقدار المتقاطر و المقدار المتخلّف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اتّفق أنّ بعض الناس صبّ علی فمه و بقی یهزّ رأسه لقطع الغسالة المتخلّفة فی شعر شاربه و لحیته و منخره لعدوّه من المجانین، بل من المخالفین لشریعة سیّد المرسلین صلّی اللّٰه علیه و آله و سلّم بل هؤلاء الحاکمون بالنجاسة لا ینظرون شیئا من ذلک و یبقی تتقاطر علی ثیابهم، بل لعلّ المتخلّف المتساقط علیهم أکثر من المنفصل بمراتب شتّی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تدری لم صار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عند التأمّل فی أنّ هذا الحکم خارج عن مقتضی القاعدة الأوّلیة، کما یدلّ علیه ابتداء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حکمه بنفی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لتعریض السائل للسؤال عن علّة الحکم، و یشعر به التعبیر عن جعل الحکم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الانتقال فهذا الحکم الخارج عن مقتضی القاعدة الأوّلیة أمّا طهارة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ماء الاستنجاء بالخصوص الخارج عن قاعدة نجاسة الغسالة، أو طهارته من حیث کونها غسالة خارجة عن قاعدة انفعال الماء القلیل، و لا دلیل علی الثانی لاحتمال الأوّل، و التعلیل بالأکثریة مخالف لهما، بل هو دالّ علی طهارته من حیث إنّه ماء قلیل لم یتغیّر بالنجاسة، فیدلّ علی مذهب العمّانی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التزام المستدلّ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ظهور صدره فی کون الحکم علی خلاف القاعدة الأوّلیة، لأنّ عدم انفعال الماء القلیل علی القاعدة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یراد بها ما استفید من أدلّة النجاسات بأنّ النجاسة مقتضیة لتنجیس ما یلاقیه، کما أوضحناه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فعموم التعلیل لا یقول به المستدلّ، و توجیهه مشترک بین مطلق الغسالة و خصوص ماء الاستنجاء، و لیس المقام من العامّ المخصّص لیقتصر فیه علی ما عدا الغسالة، مع أنّ مثل هذا التخصیص مستهجن فی العامّ، فضلا عن التعلیل المطلوب فیه، بل المقصود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الاطّراد و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لا یدلّ علی کونها مستعملة فی إزالة الأخباث، 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لا یخلو عن 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لا یخلو عن ملاقاة نجس العین، فإنّ تعلیل النهی عنها فی کثیر من الأخبار الکثیرة باغتسال أصناف الکفّار </w:t>
      </w:r>
      <w:r>
        <w:rPr>
          <w:rStyle w:val="FootnoteAnchor"/>
          <w:rtl w:val="true"/>
        </w:rPr>
        <w:footnoteReference w:id="1313"/>
      </w:r>
      <w:r>
        <w:rPr>
          <w:rFonts w:ascii="IRNazanin" w:hAnsi="IRNazanin" w:eastAsia="IRNazanin"/>
          <w:color w:val="111111"/>
          <w:sz w:val="28"/>
          <w:sz w:val="28"/>
          <w:szCs w:val="28"/>
          <w:rtl w:val="true"/>
          <w:lang w:bidi="fa-IR"/>
        </w:rPr>
        <w:t>الظاهر فی عدم الانفکاک لا أقلّ من حمله علی کون الغالب ذلک، فلا بدّ من حمل الروایة علی ماء مجتمع خاصّ لم یعلم بملاقاته لنجس، و هی الغسالة الّتی وقع الخلاف فی طهارتها و نجاستها، و الأقوی طهارته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احتمال الروایة لإرادة صورة اتّصال الماء المجتمع بالمادّة، کما یشهد به روایة حنان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أدخل الحمّام فی السحر و فیه الجنب و غیر ذلک، فأقوم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 أغتسل فینتضح علیّ بعد ما أفرغ من مائهم؟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هو جار؟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و روایة بکر بن حبیب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الحمّام لا بأس به إذا کان له مادّة</w:t>
      </w:r>
      <w:r>
        <w:rPr>
          <w:rFonts w:eastAsia="IRNazanin" w:cs="IRNazanin"/>
          <w:color w:val="111111"/>
          <w:sz w:val="28"/>
          <w:szCs w:val="28"/>
          <w:rtl w:val="true"/>
          <w:lang w:bidi="fa-IR"/>
        </w:rPr>
        <w:t xml:space="preserve">» </w:t>
      </w:r>
      <w:r>
        <w:rPr>
          <w:rStyle w:val="FootnoteAnchor"/>
          <w:rtl w:val="true"/>
        </w:rPr>
        <w:footnoteReference w:id="1315"/>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الحمّام کما النهر یطهّر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ماء الحمّام یغتسل منه الجنب و الیهودیّ و الصبیّ و النصرانی و المجوسیّ؟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روایة الصبّ فی بول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علی طهارة غسالته المنفصلة و لا نقول أیضا بنجاسة ما لا یلزم انفصاله عن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روایة أبی هریرة علی ما فی المعتبر عن الخلاف، قال بعد حکایتها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عندنا ضعیفة الطریق و منافیة للأصول، لأنّا بیّنا أنّ الماء المنفصل عن محلّ النجاسة نجس تغیّر أم لم یتغیّر، لأنّه ماء قلیل لاقی نجسا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روایة الغسل فی المرکن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ینافی القول بنجاسة الغسالة، و لذا عمل بها العلامة و غیره </w:t>
      </w:r>
      <w:r>
        <w:rPr>
          <w:rStyle w:val="FootnoteAnchor"/>
          <w:rtl w:val="true"/>
        </w:rPr>
        <w:footnoteReference w:id="1318"/>
      </w:r>
      <w:r>
        <w:rPr>
          <w:rFonts w:ascii="IRNazanin" w:hAnsi="IRNazanin" w:eastAsia="IRNazanin"/>
          <w:color w:val="111111"/>
          <w:sz w:val="28"/>
          <w:sz w:val="28"/>
          <w:szCs w:val="28"/>
          <w:rtl w:val="true"/>
          <w:lang w:bidi="fa-IR"/>
        </w:rPr>
        <w:t>إمّا بالتزام نجاسة المرکن و الماء الباقی فیه، و إمّا بالتزام طهارة المرکن بالغسلة الثانیة کالخشبة الّتی یغتسل علیها المیّت و کید الغاسل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روایة الفرو و ما فیه من الحشو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Style w:val="FootnoteAnchor"/>
          <w:rtl w:val="true"/>
        </w:rPr>
        <w:footnoteReference w:id="1319"/>
      </w:r>
      <w:r>
        <w:rPr>
          <w:rFonts w:ascii="IRNazanin" w:hAnsi="IRNazanin" w:eastAsia="IRNazanin"/>
          <w:color w:val="111111"/>
          <w:sz w:val="28"/>
          <w:sz w:val="28"/>
          <w:szCs w:val="28"/>
          <w:rtl w:val="true"/>
          <w:lang w:bidi="fa-IR"/>
        </w:rPr>
        <w:t>علی غسل ما أصابه البول من جانبیه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أنّه لا یتحقّق إلّا بإخراج الغسالة منه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نضح ما لم یصب النجاسة علیه بعد المسّ علی جانبه الآخر، و النضح لیس للاحتیاط، لعدم کفایته فی الغسل قطعا، بل هو تنظیف صوریّ تعبدی کالرشّ مع جفاف المتلاقیین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لزوم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جهة کثرة الابتلاء بذلک فهو فی محلّ المنع، مع أنّ اعتبار الحرج النوعیّ مع قیام الدلیل ساقط، و الحرج الشخصی مسقط لأکثر التکالیف، و منها الاجتناب عن الغسالة، لا لنجاسة ما دلّ الدلیل علی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ابتلاء الشخص أحیانا بتطهیر فیه و عدّه فیما یفعله من قطع الغسالة عن موارد نزولها من المجانین، منقوض علیه بما لو فرض تغیّر الغسالة، و دعوی ندرته لا تنفع، لأنّ غرضه استهجان نفس الفعل و عدّه خارجا عن فعل العقلاء بل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المشقّة من جهة کثرة الابتلاء، و لا ریب أنّه لا ینبغی الاعتناء بمثل هذه الخطابیّات فی رفع الید عن القاعدة المعدودة من الأصول </w:t>
      </w:r>
      <w:r>
        <w:rPr>
          <w:rStyle w:val="FootnoteAnchor"/>
          <w:rtl w:val="true"/>
        </w:rPr>
        <w:footnoteReference w:id="1321"/>
      </w:r>
      <w:r>
        <w:rPr>
          <w:rFonts w:ascii="IRNazanin" w:hAnsi="IRNazanin" w:eastAsia="IRNazanin"/>
          <w:color w:val="111111"/>
          <w:sz w:val="28"/>
          <w:sz w:val="28"/>
          <w:szCs w:val="28"/>
          <w:rtl w:val="true"/>
          <w:lang w:bidi="fa-IR"/>
        </w:rPr>
        <w:t xml:space="preserve">فی لسان مثل المحقّق و الشهید </w:t>
      </w:r>
      <w:r>
        <w:rPr>
          <w:rStyle w:val="FootnoteAnchor"/>
          <w:rtl w:val="true"/>
        </w:rPr>
        <w:footnoteReference w:id="1322"/>
      </w:r>
      <w:r>
        <w:rPr>
          <w:rFonts w:ascii="IRNazanin" w:hAnsi="IRNazanin" w:eastAsia="IRNazanin"/>
          <w:color w:val="111111"/>
          <w:sz w:val="28"/>
          <w:sz w:val="28"/>
          <w:szCs w:val="28"/>
          <w:rtl w:val="true"/>
          <w:lang w:bidi="fa-IR"/>
        </w:rPr>
        <w:t>و غیرهما من الفحول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 فی المسألة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التفصیل بین الغسلة المطهّرة و غیرها مطلقا، سواء کان فی الثوب أو البدن أو الإناء، و لو فی ولوغ الکلب، و هو المحکیّ صریحا عن العلّامة الطباطبائی </w:t>
      </w:r>
      <w:r>
        <w:rPr>
          <w:rStyle w:val="FootnoteAnchor"/>
          <w:rtl w:val="true"/>
        </w:rPr>
        <w:footnoteReference w:id="1323"/>
      </w:r>
      <w:r>
        <w:rPr>
          <w:rFonts w:ascii="IRNazanin" w:hAnsi="IRNazanin" w:eastAsia="IRNazanin"/>
          <w:color w:val="111111"/>
          <w:sz w:val="28"/>
          <w:sz w:val="28"/>
          <w:szCs w:val="28"/>
          <w:rtl w:val="true"/>
          <w:lang w:bidi="fa-IR"/>
        </w:rPr>
        <w:t>و کلّ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الغسالة کالمحلّ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و لعلّ حجّته علی النجاسة فیما عداها ما تقدّم، و علی الطهارة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ملاقاته للمحلّ سبب فی طهارته، و الظاهر من أدلّة انفعال القلیل انفعاله بما یکون نجسا حین الملاقاة لا ما یکون الملاقاة سببا لزوال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أنّه لا یدخل فی أذهان العرف صیرورة الماء الملاقی للمحلّ النجس بمنزلة نفس النجس مع طهارة المحلّ الملاقی له، و قیاسه علی إزالة الأوساخ الحسیّة قد عرفت بطلانه بإبداء الفرق الواضح، و قد تقدّم أنّ کیفیة تنجیس الشی‌ء أمر لم یدلّ علیها جامع شامل للمقام، و المستفاد من تتبّع المقامات الخاصّة لا یشمل الملاقاة المزیلة، و تقدّم أنّه إذا عرض علی العرف صیرورة کلّ جزء صغیر من الماء بمنزلة عین الأثر الموجود فی الثوب من الوسخ أنکروا طهارته به، و إذا عرض علیهم طهارته به أنکروا صیرورته کذلک فإذا فرض قطعهم بالثانی لم یفهموا من أدلّة الانفعال شمولها لهذا النحو من الملاقاة المزیلة، فلم یبق إلّا عموم معاقد الإجماعات فی نجاسة الماء القلیل الملاقی للنجس أو مطلق الجسم الرطب الملاقی له، لکن من المعلوم عدم إرادة القائلین بطهارة الغسالة هذا العموم من کلامهم فی دعوی الإجماع، و أمّا القائلون بنجاستها فلو اکتفی بهم کفی قولهم بنجاسة الغسالة فی دعوی الإجماع علیها، فتأمّل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روایة العیص المتقدّمة </w:t>
      </w:r>
      <w:r>
        <w:rPr>
          <w:rStyle w:val="FootnoteAnchor"/>
          <w:rtl w:val="true"/>
        </w:rPr>
        <w:footnoteReference w:id="1324"/>
      </w:r>
      <w:r>
        <w:rPr>
          <w:rFonts w:ascii="IRNazanin" w:hAnsi="IRNazanin" w:eastAsia="IRNazanin"/>
          <w:color w:val="111111"/>
          <w:sz w:val="28"/>
          <w:sz w:val="28"/>
          <w:szCs w:val="28"/>
          <w:rtl w:val="true"/>
          <w:lang w:bidi="fa-IR"/>
        </w:rPr>
        <w:t>فالاستدلال بها فی المقام مبنیّ علی کفایة الغسلة الواحدة فی مطلق القذارات، و إلّا أمکن حمل الروایة علی الغالب من اجتماع الغسالتین، بل یمکن حملها بناء علی الاکتفاء فی التطهیر بالغسلة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کالإجماعات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الغالب من اجتماع الأجزاء المنفصلة من المحلّ قبل زوال العین، فإنّ المنفصل عن المحلّ قبل زوال العین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عنه لیس منفصلا من الغسلة المطهّرة، فحکمه کالمنفصل من الغسلة الاولی، بل هو أشدّ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ینبغی أن یکون محلّا للنزاع، لأنّ النزاع فی المنفصل عن الغسل المؤثّر فی التطهیر الشرعی الواجب کونه بالماء المطلق الطاهر، و المنفصل قبل زوال العین إنّما انفصل عن غسلة غیر معتبرة فی نظر الشارع، لعدم إفادتها إلّا زوال العین الّذی یحصل بالماء المضاف و النجس و المسح بجسم طاهر أو نجس، و لذا احتاج الثوب بعده إلی غسلتین لکن یکفی فی الأولی منهما استمرار الصبّ الأوّل آنا ما بعد زوال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یشهد بخروج هذا الماء عن محلّ النزاع أنّ من جملة الأقوال فی هذه المسألة القول بأنّ الغسالة کالمحلّ بعدها </w:t>
      </w:r>
      <w:r>
        <w:rPr>
          <w:rStyle w:val="FootnoteAnchor"/>
          <w:rtl w:val="true"/>
        </w:rPr>
        <w:footnoteReference w:id="1325"/>
      </w:r>
      <w:r>
        <w:rPr>
          <w:rFonts w:ascii="IRNazanin" w:hAnsi="IRNazanin" w:eastAsia="IRNazanin"/>
          <w:color w:val="111111"/>
          <w:sz w:val="28"/>
          <w:sz w:val="28"/>
          <w:szCs w:val="28"/>
          <w:rtl w:val="true"/>
          <w:lang w:bidi="fa-IR"/>
        </w:rPr>
        <w:t>و جعلوا هذا القول مقابلا للقول بکونها کالمحلّ قبل الغسل،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الماء المنفصل قبل زوال العین لا فرق بین أن یکون کالمحلّ بعده أو قبل الغسل، لأنّ المحلّ بعده علی ما کان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الکلام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المنفصل عن المحلّ ینقسم باعتبار حالات المحلّ إلی أقسام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إمّا أن ینفصل قبل زوال العین عن المحلّ أو بعده، و علی الثانی فإمّا أن یکون واردا علی المحلّ قبل الحکم بطهارته أو بعده، و علی الأوّل منهما فإمّا أن لا یحصل به طهارة المحلّ أو یحصل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هنا أنّه لا ینبغی التأمّل فی نجاسته، بل لا ینبغی أن یکون محلّا للخلاف، لعدم جریان شی‌ء من أدلّتهم فیه عدا منع عموم أدلّة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الانفعال، و هو فی مثل هذا الفرد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سابقا أنّ الظاهر من المبسوط و الخلاف و المعتبر و المنتهی و الناصریّات </w:t>
      </w:r>
      <w:r>
        <w:rPr>
          <w:rStyle w:val="FootnoteAnchor"/>
          <w:rtl w:val="true"/>
        </w:rPr>
        <w:footnoteReference w:id="1326"/>
      </w:r>
      <w:r>
        <w:rPr>
          <w:rFonts w:ascii="IRNazanin" w:hAnsi="IRNazanin" w:eastAsia="IRNazanin"/>
          <w:color w:val="111111"/>
          <w:sz w:val="28"/>
          <w:sz w:val="28"/>
          <w:szCs w:val="28"/>
          <w:rtl w:val="true"/>
          <w:lang w:bidi="fa-IR"/>
        </w:rPr>
        <w:t xml:space="preserve">و السرائر أنّ محلّ الخلاف غیره </w:t>
      </w:r>
      <w:r>
        <w:rPr>
          <w:rStyle w:val="FootnoteAnchor"/>
          <w:rtl w:val="true"/>
        </w:rPr>
        <w:footnoteReference w:id="1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ظاهر بعض و صریح آخرین وجود القول به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المتیقّن من محلّ النزاع، و قد نفینا البعد عن القول بطهارته </w:t>
      </w:r>
      <w:r>
        <w:rPr>
          <w:rStyle w:val="FootnoteAnchor"/>
          <w:rtl w:val="true"/>
        </w:rPr>
        <w:footnoteReference w:id="1329"/>
      </w:r>
      <w:r>
        <w:rPr>
          <w:rFonts w:ascii="IRNazanin" w:hAnsi="IRNazanin" w:eastAsia="IRNazanin"/>
          <w:color w:val="111111"/>
          <w:sz w:val="28"/>
          <w:sz w:val="28"/>
          <w:szCs w:val="28"/>
          <w:rtl w:val="true"/>
          <w:lang w:bidi="fa-IR"/>
        </w:rPr>
        <w:t>بناء علی منع عموم أدلّة الانفعال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سائر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للملاقاة الّتی یحصل بها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فالمنفصل من الثوب قبل تمام عصره من الثانیة نجس لبقاء المحلّ حین الملاقاة علی النجاسة و عدم زوالها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الوارد علی المحلّ بعد الحکم بطهارته، فلا ینبغی الإشکال و لا الخلاف فی طهارته، لعدم المقتضی للنجاسة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الشهید قدّس سرّه فی حاشیة منه علی ألفیّته حکی عن بعض الأصحاب قولا بأنّ الغسالة کالمحلّ قبل الغسل و إن حکم بطهارة المحلّ بل و إن ترامت الغسلات لا إلی نهایة، محتجّا بأنّه ماء قلیل لاقی نجسا، 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تطهیر المحلّ بالقلیل علی خلاف الأصل المقرّر من نجاسة القلیل بالملاقاة، فیقتصر فیه علی موضع الحاجة، و هو المحلّ دون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یدفعه حکم الشارع بالطهارة بعد تمام الغسلات فلا اعتبار بما یحصل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بعد ذلک </w:t>
      </w:r>
      <w:r>
        <w:rPr>
          <w:rStyle w:val="FootnoteAnchor"/>
          <w:rtl w:val="true"/>
        </w:rPr>
        <w:footnoteReference w:id="133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ینبغی أن یحمل علیه کلام هذا القائل أنّه إذا فرض تحقّق الغسلة المطهّرة و لم ینفصل الماء عن المحلّ فالمحلّ طاهر و الماء الموجود فیه نجس، فإذا غسل مرّة أخری لاقی ماءه الماء الباقی من الغسل المطهّر و المفروض أنّه نجس، و إن طهر المحلّ، فینفعل به الماء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الماء فی الغسلة الغیر المؤثّرة إذا ورد علی المحلّ الطاهر الخالی عن الماء النجس نجس، فهو ممّا لا ینبغی من الشهید حکایته، فکیف من بعض الأصحاب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یستفاد ذلک من المحکیّ عن نهایة العلّامة من أنّه یحتمل أن یکون الماء نجسا انفصل عن الغسلة المطهّرة أو لم ینفصل </w:t>
      </w:r>
      <w:r>
        <w:rPr>
          <w:rStyle w:val="FootnoteAnchor"/>
          <w:rtl w:val="true"/>
        </w:rPr>
        <w:footnoteReference w:id="1331"/>
      </w:r>
      <w:r>
        <w:rPr>
          <w:rFonts w:ascii="IRNazanin" w:hAnsi="IRNazanin" w:eastAsia="IRNazanin"/>
          <w:color w:val="111111"/>
          <w:sz w:val="28"/>
          <w:sz w:val="28"/>
          <w:szCs w:val="28"/>
          <w:rtl w:val="true"/>
          <w:lang w:bidi="fa-IR"/>
        </w:rPr>
        <w:t>فإنّ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انفصاله عن الغسلة المطهّرة، لا انفصاله عن غیرها من الغسلة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المناسب حینئذ مقابلة الغسلة المطهّرة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مقابلة الانفصال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فإذا فرض نجاسة غیر المنفصل فکلّما لاقاه الماء نجس به و إن ترامی إلی غیر النهایة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القول حسن جدّا، بل هو الّذی ینبغی أن یقول به کلّ من یقول بنجاسة الغسالة، لأنّ النجاسة لا یختصّ بما بعد الانفصال کما یظهر من العلّامة فی المختلف </w:t>
      </w:r>
      <w:r>
        <w:rPr>
          <w:rStyle w:val="FootnoteAnchor"/>
          <w:rtl w:val="true"/>
        </w:rPr>
        <w:footnoteReference w:id="1332"/>
      </w:r>
      <w:r>
        <w:rPr>
          <w:rFonts w:ascii="IRNazanin" w:hAnsi="IRNazanin" w:eastAsia="IRNazanin"/>
          <w:color w:val="111111"/>
          <w:sz w:val="28"/>
          <w:sz w:val="28"/>
          <w:szCs w:val="28"/>
          <w:rtl w:val="true"/>
          <w:lang w:bidi="fa-IR"/>
        </w:rPr>
        <w:t>حتّی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الذکری </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تأخّر المعلول و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النجاسة عن العلّة، و هی الملاقاة، و إن کان الإیراد غیر وارد، لمنع تمام العلّة بالملاقاة، بل یلتزم بطهارة المحلّ للإجماع و نجاسة الماء و لو فی المحلّ بعموم أدلّة الانفعال، إلّا أنّه لا یؤثّر فی المحلّ نجاسة، فیکون ذلک تخصیصا فی قاعدة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عمومها لمثل ما نحن فیه، کما تقدّم، فیکون ما یلاقی هذا الماء قبل الانفصال من الماء و غیره من الأجسام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الماء باقیا فی المحلّ من الغسلة الأولی فصبّ علیه الماء لم یعد هذا الصبّ غسلة مطهّرة، لأنّه لا یطهّر الماء الأوّل، لأنّ الماء النجس لا یطهر بالقلیل فینفعل به و لا یطهر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 من عدم انفصال الغسالة بعد تحقّق الغسل واضح فی غسل ما یحتاج إلی العصر بناء علی خروج العصر عن مفهوم الغسل، و إلّا لم یتحقّق الطهارة قبله کما فی البدن و إن قلنا بدخول انفصال الغسالة فی مفهوم الغسل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کفایة مجرّد الصبّ فیه، ففرض بقاء الغسالة فی المحلّ و طهارته مع عدم انفصال الغسالة یتصوّر فی القطرات العالقة بطرف البدن المحتاجة فی الانفصال إلی العلاج بنفض الید أو أخذها بخرقة أو ید أو غیر ذلک، فلا بدّ من ملاحظة أنّ مثلها داخلة فی الغسالة المبحوث عنها أم لا؟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أنّه جزء من الماء المستعمل فی إزالة الخبث و هو محلّ النزاع، لا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اسم لما ینفصل بالغسل، کما فی أمثالها من هذا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کالقراضة و النخامة و النخالة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عموم الانفصال لما هو مشرف علیه و أنّ الحکم بالنجاسة معلّق علی الماء القلیل الملاقی للمحلّ، و المحکوم بطهارته إجماعا بعد الغسل نفس البدن و الرطوبة الکائنة علیه،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لعدم اعتبار التجفیف إجماعا إلّا من ظاهر المفید فی إناء الولوغ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أنّ ظاهر کثیر من کلماتهم الاختصاص بالمنفصل فعلا بنفسه حین الصبّ أو بعده بیسیر، دون المحتاجة فی الانفصال إلی العلاج، بل صریح عبارة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یبقی علی البدن طاهر إجماعا </w:t>
      </w:r>
      <w:r>
        <w:rPr>
          <w:rStyle w:val="FootnoteAnchor"/>
          <w:rtl w:val="true"/>
        </w:rPr>
        <w:footnoteReference w:id="1335"/>
      </w:r>
      <w:r>
        <w:rPr>
          <w:rFonts w:ascii="IRNazanin" w:hAnsi="IRNazanin" w:eastAsia="IRNazanin"/>
          <w:color w:val="111111"/>
          <w:sz w:val="28"/>
          <w:sz w:val="28"/>
          <w:szCs w:val="28"/>
          <w:rtl w:val="true"/>
          <w:lang w:bidi="fa-IR"/>
        </w:rPr>
        <w:t>، و هو یشمل مثل هذه القطرات، و لا یختصّ بالرطوبة الکائنة علی المغسول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طهارتها لإطلاق الأمر بصبّ الماء </w:t>
      </w:r>
      <w:r>
        <w:rPr>
          <w:rStyle w:val="FootnoteAnchor"/>
          <w:rtl w:val="true"/>
        </w:rPr>
        <w:footnoteReference w:id="1336"/>
      </w:r>
      <w:r>
        <w:rPr>
          <w:rFonts w:ascii="IRNazanin" w:hAnsi="IRNazanin" w:eastAsia="IRNazanin"/>
          <w:color w:val="111111"/>
          <w:sz w:val="28"/>
          <w:sz w:val="28"/>
          <w:szCs w:val="28"/>
          <w:rtl w:val="true"/>
          <w:lang w:bidi="fa-IR"/>
        </w:rPr>
        <w:t>من غیر تقیید بشی‌ء آخر بعد الصبّ من علاج لفصل الماء</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یظهر منه طهارة المحلّ بمجرّد الصبّ و لا کلام فیه، إنّما الکلام فی طهارة ما علی طرف المحلّ من بقیة الماء، کما أنّ إطلاق الأمر بغسل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دخول العصر فی مفهوم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نجاسة ما یرسب فیه من الغسالة و وجوب إخراجه بعصر و نحوه لأجل ذلک،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کون أخبار الغسل و الصبّ فی مقام علاج البدن و الثوب النجسین حتّی یجوز استعمالهما </w:t>
      </w:r>
      <w:r>
        <w:rPr>
          <w:rStyle w:val="FootnoteAnchor"/>
          <w:rtl w:val="true"/>
        </w:rPr>
        <w:footnoteReference w:id="1337"/>
      </w:r>
      <w:r>
        <w:rPr>
          <w:rFonts w:ascii="IRNazanin" w:hAnsi="IRNazanin" w:eastAsia="IRNazanin"/>
          <w:color w:val="111111"/>
          <w:sz w:val="28"/>
          <w:sz w:val="28"/>
          <w:szCs w:val="28"/>
          <w:rtl w:val="true"/>
          <w:lang w:bidi="fa-IR"/>
        </w:rPr>
        <w:t>فیما یتوقّف علی الطهارة،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طهارة المحلّ مع نجاسة القطرات العالقة لا ینفع فی استعمال الثوب، و لذا لو قلنا بعدم دخول العصر فی مفهوم غسل الثیاب و لم یدلّ دلیل من الخارج علی اعتباره لم نقل بوجوبه لإخراج ماء الغسالة، بل لو قلنا بوجوب إخراجه لکنّ الثوب بعد العصر لا یخلو عن قطرات عالقة علی الثوب الملویّ تنجذب عند انحلاله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من اللیّ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یوضح ذلک ما فی روایة عمّار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تطهیر الإناء من إدخال الماء و إفراغه منه ثلاث مرّات </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دلّ علی طهارته بمجرّد إفراغ الماء منه، فإنّ لازم الحکم بطهارة الکوز بمجرّد الإفراغ جواز جعله علی الاستقامة بعد قلبه لإفراغ الماء منه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ینفکّ بعد الإفراغ عن قطرات عالقة علی فم الکوز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أیضا خلوّ روایات الاستنجاء من البول و الغائط </w:t>
      </w:r>
      <w:r>
        <w:rPr>
          <w:rStyle w:val="FootnoteAnchor"/>
          <w:rtl w:val="true"/>
        </w:rPr>
        <w:footnoteReference w:id="1339"/>
      </w:r>
      <w:r>
        <w:rPr>
          <w:rFonts w:ascii="IRNazanin" w:hAnsi="IRNazanin" w:eastAsia="IRNazanin"/>
          <w:color w:val="111111"/>
          <w:sz w:val="28"/>
          <w:sz w:val="28"/>
          <w:szCs w:val="28"/>
          <w:rtl w:val="true"/>
          <w:lang w:bidi="fa-IR"/>
        </w:rPr>
        <w:t>الواردة فی مقام البیان عن نفض البدن عن القطرات الباقیة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علی تقدیر القول بنجاسة الغسالة حتّی فی الغسلة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بطهارتها فلا إشکال فی القطرات الباقیة منها و لا فی الباقیة من الغسلة الاولی من حیث جواز إیراد الماء الثانی قبل فصلها و عدم انفعال الماء الثانی بها، لإطلاقات الصبّ أو الغسل مرّتین و عدم تقیید الغسلة الثانیة بکونها بعد أخذ القطرات الباقیة من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یرد هنا مثل ما ورد سابقا من أنّ الاجتزاء بالمرّتین فی طهارة المحلّ لا ینافی نجاسة الماء، لأنّ وجوب أخذ القطرات الاولی مناف للاجتزاء بالصبّ الثانی کیف ما اتّفق، حتّی أنّ جماعة ذهبوا إلی الاجتزاء عن الصبّ الثانی باستمرار الأوّل، و إن اختلفوا بین مجتز فی الاستمرار بمقدار الصبّین کالذکری </w:t>
      </w:r>
      <w:r>
        <w:rPr>
          <w:rStyle w:val="FootnoteAnchor"/>
          <w:rtl w:val="true"/>
        </w:rPr>
        <w:footnoteReference w:id="1340"/>
      </w:r>
      <w:r>
        <w:rPr>
          <w:rFonts w:ascii="IRNazanin" w:hAnsi="IRNazanin" w:eastAsia="IRNazanin"/>
          <w:color w:val="111111"/>
          <w:sz w:val="28"/>
          <w:sz w:val="28"/>
          <w:szCs w:val="28"/>
          <w:rtl w:val="true"/>
          <w:lang w:bidi="fa-IR"/>
        </w:rPr>
        <w:t xml:space="preserve">و معتبر فیه کونه بمقدارهما و الفصل المتخلّل بینهما کما فی المدارک </w:t>
      </w:r>
      <w:r>
        <w:rPr>
          <w:rStyle w:val="FootnoteAnchor"/>
          <w:rtl w:val="true"/>
        </w:rPr>
        <w:footnoteReference w:id="1341"/>
      </w:r>
      <w:r>
        <w:rPr>
          <w:rFonts w:ascii="IRNazanin" w:hAnsi="IRNazanin" w:eastAsia="IRNazanin"/>
          <w:color w:val="111111"/>
          <w:sz w:val="28"/>
          <w:sz w:val="28"/>
          <w:szCs w:val="28"/>
          <w:rtl w:val="true"/>
          <w:lang w:bidi="fa-IR"/>
        </w:rPr>
        <w:t>و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بقی الکلام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حکی فی المدارک عن جماعة أنّ کلّ من قال بطهارة الغسالة اعتبر ورود الماء علی النجاسة </w:t>
      </w:r>
      <w:r>
        <w:rPr>
          <w:rStyle w:val="FootnoteAnchor"/>
          <w:rtl w:val="true"/>
        </w:rPr>
        <w:footnoteReference w:id="1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علی الملازمة لا من أدلّتهم و لا من عنواناتهم، سواء أراد من ذلک أنّ القائل بالطهارة اعتبر فی الغسل الورود حتّی لا یسمّی ما ورد علیه النجاسة غسالة لعدم زوال الخبث به، أم أراد أنّ الإزالة و إن تحقّقت بإیراد النجس علی الماء، إلّا أنّ الطهارة منحصرة فی صورة الإزالة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الشهید فی الدروس </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 التفصیل بین ورود الماء و عکسه قولا فی مسألة ما یزیل به 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وجود القول بالطهارة مع الاعتراف بعدم اعتبار الورود فی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الذکری فی مسألة الغسالة إلی الطهارة </w:t>
      </w:r>
      <w:r>
        <w:rPr>
          <w:rStyle w:val="FootnoteAnchor"/>
          <w:rtl w:val="true"/>
        </w:rPr>
        <w:footnoteReference w:id="1344"/>
      </w:r>
      <w:r>
        <w:rPr>
          <w:rFonts w:ascii="IRNazanin" w:hAnsi="IRNazanin" w:eastAsia="IRNazanin"/>
          <w:color w:val="111111"/>
          <w:sz w:val="28"/>
          <w:sz w:val="28"/>
          <w:szCs w:val="28"/>
          <w:rtl w:val="true"/>
          <w:lang w:bidi="fa-IR"/>
        </w:rPr>
        <w:t xml:space="preserve">و فی مسألة إزالة النجاسات إلی عدم اعتبار الورود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عدم الخلاف فی عدم جواز رفع الحدث بالغسالة علی تقدیر القول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إزالة الخبث بها علی هذا القول، ففیه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المبسوط و صریح الوسیلة المنع،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إزالة النجاسة إلّا بما یرفع به الحدث </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استند فی عدم انفعال الغسالة إلی ما یقتضی نفی البأس عنه </w:t>
      </w:r>
      <w:r>
        <w:rPr>
          <w:rStyle w:val="FootnoteAnchor"/>
          <w:rtl w:val="true"/>
        </w:rPr>
        <w:footnoteReference w:id="1347"/>
      </w:r>
      <w:r>
        <w:rPr>
          <w:rFonts w:ascii="IRNazanin" w:hAnsi="IRNazanin" w:eastAsia="IRNazanin"/>
          <w:color w:val="111111"/>
          <w:sz w:val="28"/>
          <w:sz w:val="28"/>
          <w:szCs w:val="28"/>
          <w:rtl w:val="true"/>
          <w:lang w:bidi="fa-IR"/>
        </w:rPr>
        <w:t>أمکن الجمع بینه و بین أدلّة انفعال القلیل بکونها نجسة معفوّ عنها من حیث تنجیس الملاقی، فیرجع فی جواز غسل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النجاسة بها إلی اشتراط الطهارة فی ماء الإزالة أو یکفی أن لا یؤثّر فی نجاسة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عبارة الوسیلة فی أوّل المسألة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ربّما حکی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المنع من رفع الحدث دون الخبث خرق للإجماع </w:t>
      </w:r>
      <w:r>
        <w:rPr>
          <w:rStyle w:val="FootnoteAnchor"/>
          <w:rtl w:val="true"/>
        </w:rPr>
        <w:footnoteReference w:id="1349"/>
      </w:r>
      <w:r>
        <w:rPr>
          <w:rFonts w:ascii="IRNazanin" w:hAnsi="IRNazanin" w:eastAsia="IRNazanin"/>
          <w:color w:val="111111"/>
          <w:sz w:val="28"/>
          <w:sz w:val="28"/>
          <w:szCs w:val="28"/>
          <w:rtl w:val="true"/>
          <w:lang w:bidi="fa-IR"/>
        </w:rPr>
        <w:t xml:space="preserve">لکن حکی عن بعض </w:t>
      </w:r>
      <w:r>
        <w:rPr>
          <w:rStyle w:val="FootnoteAnchor"/>
          <w:rtl w:val="true"/>
        </w:rPr>
        <w:footnoteReference w:id="1350"/>
      </w:r>
      <w:r>
        <w:rPr>
          <w:rFonts w:ascii="IRNazanin" w:hAnsi="IRNazanin" w:eastAsia="IRNazanin"/>
          <w:color w:val="111111"/>
          <w:sz w:val="28"/>
          <w:sz w:val="28"/>
          <w:szCs w:val="28"/>
          <w:rtl w:val="true"/>
          <w:lang w:bidi="fa-IR"/>
        </w:rPr>
        <w:t>الجواز لاختصاص الدلیل المانع برفع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الأقوی، لإطلاقات أدلّة الغسل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انصرافها إلی غیر هذا الفرد مجازفة، و الاستصحاب لا یقابل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یستظهر من بعض الأخبار المنع، مثل روایة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الآمرة بإفراغ ماء الغسالة عن الکوز </w:t>
      </w:r>
      <w:r>
        <w:rPr>
          <w:rStyle w:val="FootnoteAnchor"/>
          <w:rtl w:val="true"/>
        </w:rPr>
        <w:footnoteReference w:id="1351"/>
      </w:r>
      <w:r>
        <w:rPr>
          <w:rFonts w:ascii="IRNazanin" w:hAnsi="IRNazanin" w:eastAsia="IRNazanin"/>
          <w:color w:val="111111"/>
          <w:sz w:val="28"/>
          <w:sz w:val="28"/>
          <w:szCs w:val="28"/>
          <w:rtl w:val="true"/>
          <w:lang w:bidi="fa-IR"/>
        </w:rPr>
        <w:t>بناء علی أنّ الوجه فیه عدم جواز استعماله ثانیا فی الغسلة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ظهورها فی عدم جواز تحریک الماء فی الإناء ثانیا لحصول الغسلة اللاحقة، ففیه أنّ ذلک لعدم حصول تعدّد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ظهورها فی عدم جواز استعمال الماء المفرغ ثانیا، فلا ریب أنّ الروایة واردة علی النحو المتعارف من عدم جمع الغسالة ثمّ 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 المسألة علی الاستناد فی عدم انفعال الغسالة إلی غیر منع عموم أدلّة الانفعال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قلنا بالنجاسة، فمقتضی القاعدة کون حکمها کمطلق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النجاسات الّتی لم یرد فی غسلها نصّ خاصّ بالوحدة و التعدّد، إلّا أنّ الاعتبار یقتضی بأنّها لا یکون أشدّ من المحلّ قبلها، فإذا انفصلت من الغسلة الأخیرة لزم بحکم الاعتبار الاکتفاء فی إزالتها بالمرّة الواحدة، و إن قلنا بوجوب التعدّد، فیما لا نصّ فیه علی الوحدة أو التعدّد، إلّا أنّ الاعتناء بهذا الاعتبار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فی مطلق النجاسة بالتعدّد، فغسالة ما نصّ علی کفایة الوحدة فیه محتاجة علی هذا إلی التعدّد، إلّا أنّ فحوی کفایة المرّة فی محلّها تدلّ علی الاکتفاء بها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کالاعتبار السابق، لأنّا لم نعلم أنّ المناط فی الاکتفاء فی المحلّ بالغسلة الباقیة حصول الخفّة فی نجاستها، لاحتمال کون الوجه فیه هو لزوم التسلسل و استحالة التطهیر، بخلاف ما اکتفی فی إزالته بالمرّة الواحدة، فإنّ الظاهر أنّه لخفّة النجاسة فلا یعقل أشدّیة غسالته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الوجه فی الاکتفاء بالمرّة فی الأصل لزوم الحرج، لعموم الابتلاء به، و هذا غیر جار فی غسالته، کما أنّ ما دون الدرهم معفوّ من نفس الدم دون غسالته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فالأحوط بل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حکم النجاسة فی الغسالة و إن کان طهارة المحلّ متوقّفة علی أقلّ من العدد لاستیفاء بعض غسلاته أو لغیر ذلک إلّا أن یعلم کونه لأجل خفّة نجاسته فلا یزید حکم الفرع علی الأصل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الخلاف فی الغسالة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ماء الاستنجاء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کما عن مصباح السیّد </w:t>
      </w:r>
      <w:r>
        <w:rPr>
          <w:rStyle w:val="FootnoteAnchor"/>
          <w:rtl w:val="true"/>
        </w:rPr>
        <w:footnoteReference w:id="1352"/>
      </w:r>
      <w:r>
        <w:rPr>
          <w:rFonts w:ascii="IRNazanin" w:hAnsi="IRNazanin" w:eastAsia="IRNazanin"/>
          <w:color w:val="111111"/>
          <w:sz w:val="28"/>
          <w:sz w:val="28"/>
          <w:szCs w:val="28"/>
          <w:rtl w:val="true"/>
          <w:lang w:bidi="fa-IR"/>
        </w:rPr>
        <w:t>و فی السرائر مدّعیا الإجماع علیه تارة و عدم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الخلاف فیه اخری </w:t>
      </w:r>
      <w:r>
        <w:rPr>
          <w:rStyle w:val="FootnoteAnchor"/>
          <w:rtl w:val="true"/>
        </w:rPr>
        <w:footnoteReference w:id="1353"/>
      </w:r>
      <w:r>
        <w:rPr>
          <w:rFonts w:ascii="IRNazanin" w:hAnsi="IRNazanin" w:eastAsia="IRNazanin"/>
          <w:color w:val="111111"/>
          <w:sz w:val="28"/>
          <w:sz w:val="28"/>
          <w:szCs w:val="28"/>
          <w:rtl w:val="true"/>
          <w:lang w:bidi="fa-IR"/>
        </w:rPr>
        <w:t xml:space="preserve">و معفوّ عنه کما عن المنتهی </w:t>
      </w:r>
      <w:r>
        <w:rPr>
          <w:rStyle w:val="FootnoteAnchor"/>
          <w:rtl w:val="true"/>
        </w:rPr>
        <w:footnoteReference w:id="1354"/>
      </w:r>
      <w:r>
        <w:rPr>
          <w:rFonts w:ascii="IRNazanin" w:hAnsi="IRNazanin" w:eastAsia="IRNazanin"/>
          <w:color w:val="111111"/>
          <w:sz w:val="28"/>
          <w:sz w:val="28"/>
          <w:szCs w:val="28"/>
          <w:rtl w:val="true"/>
          <w:lang w:bidi="fa-IR"/>
        </w:rPr>
        <w:t xml:space="preserve">و عن غیره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ینجّس الثوب و البدن کما فی المقنعة </w:t>
      </w:r>
      <w:r>
        <w:rPr>
          <w:rStyle w:val="FootnoteAnchor"/>
          <w:rtl w:val="true"/>
        </w:rPr>
        <w:footnoteReference w:id="1356"/>
      </w:r>
      <w:r>
        <w:rPr>
          <w:rFonts w:ascii="IRNazanin" w:hAnsi="IRNazanin" w:eastAsia="IRNazanin"/>
          <w:color w:val="111111"/>
          <w:sz w:val="28"/>
          <w:sz w:val="28"/>
          <w:szCs w:val="28"/>
          <w:rtl w:val="true"/>
          <w:lang w:bidi="fa-IR"/>
        </w:rPr>
        <w:t xml:space="preserve">و عن غیره </w:t>
      </w:r>
      <w:r>
        <w:rPr>
          <w:rStyle w:val="FootnoteAnchor"/>
          <w:rtl w:val="true"/>
        </w:rPr>
        <w:footnoteReference w:id="1357"/>
      </w:r>
      <w:r>
        <w:rPr>
          <w:rFonts w:ascii="IRNazanin" w:hAnsi="IRNazanin" w:eastAsia="IRNazanin"/>
          <w:color w:val="111111"/>
          <w:sz w:val="28"/>
          <w:sz w:val="28"/>
          <w:szCs w:val="28"/>
          <w:rtl w:val="true"/>
          <w:lang w:bidi="fa-IR"/>
        </w:rPr>
        <w:t xml:space="preserve">و المحکیّ عن ظاهر جماعة الاتّفاق علیه </w:t>
      </w:r>
      <w:r>
        <w:rPr>
          <w:rStyle w:val="FootnoteAnchor"/>
          <w:rtl w:val="true"/>
        </w:rPr>
        <w:footnoteReference w:id="1358"/>
      </w:r>
      <w:r>
        <w:rPr>
          <w:rFonts w:ascii="IRNazanin" w:hAnsi="IRNazanin" w:eastAsia="IRNazanin"/>
          <w:color w:val="111111"/>
          <w:sz w:val="28"/>
          <w:sz w:val="28"/>
          <w:szCs w:val="28"/>
          <w:rtl w:val="true"/>
          <w:lang w:bidi="fa-IR"/>
        </w:rPr>
        <w:t xml:space="preserve">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الکتاب و القواعد </w:t>
      </w:r>
      <w:r>
        <w:rPr>
          <w:rStyle w:val="FootnoteAnchor"/>
          <w:rtl w:val="true"/>
        </w:rPr>
        <w:footnoteReference w:id="1359"/>
      </w:r>
      <w:r>
        <w:rPr>
          <w:rFonts w:ascii="IRNazanin" w:hAnsi="IRNazanin" w:eastAsia="IRNazanin"/>
          <w:color w:val="111111"/>
          <w:sz w:val="28"/>
          <w:sz w:val="28"/>
          <w:szCs w:val="28"/>
          <w:rtl w:val="true"/>
          <w:lang w:bidi="fa-IR"/>
        </w:rPr>
        <w:t xml:space="preserve">و اشتهر بین المتأخّرین، و عن غیر واحد </w:t>
      </w:r>
      <w:r>
        <w:rPr>
          <w:rStyle w:val="FootnoteAnchor"/>
          <w:rtl w:val="true"/>
        </w:rPr>
        <w:footnoteReference w:id="1360"/>
      </w:r>
      <w:r>
        <w:rPr>
          <w:rFonts w:ascii="IRNazanin" w:hAnsi="IRNazanin" w:eastAsia="IRNazanin"/>
          <w:color w:val="111111"/>
          <w:sz w:val="28"/>
          <w:sz w:val="28"/>
          <w:szCs w:val="28"/>
          <w:rtl w:val="true"/>
          <w:lang w:bidi="fa-IR"/>
        </w:rPr>
        <w:t xml:space="preserve">نقل الإجماع علیها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المعتبرة، ففی حسنة الأحول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من الخلاء فأستنجی بالماء فیقع ثوبی فی الماء الّذی استنجیت 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362"/>
      </w:r>
      <w:r>
        <w:rPr>
          <w:rFonts w:ascii="IRNazanin" w:hAnsi="IRNazanin" w:eastAsia="IRNazanin"/>
          <w:color w:val="111111"/>
          <w:sz w:val="28"/>
          <w:sz w:val="28"/>
          <w:szCs w:val="28"/>
          <w:rtl w:val="true"/>
          <w:lang w:bidi="fa-IR"/>
        </w:rPr>
        <w:t>و رواها فی العلل بزیادة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تدری لم صار لا بأس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الماء أکثر من القذر</w:t>
      </w:r>
      <w:r>
        <w:rPr>
          <w:rFonts w:eastAsia="IRNazanin" w:cs="IRNazanin"/>
          <w:color w:val="111111"/>
          <w:sz w:val="28"/>
          <w:szCs w:val="28"/>
          <w:rtl w:val="true"/>
          <w:lang w:bidi="fa-IR"/>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محمّد بن النعمان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أستنجی ثمّ یقع ثوبی به و أنا جنب؟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عبد الکریم بن عتبة الهاشمی،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الرجل یقع ثوبه علی الماء الّذی استنجی به، أ ینجّس ذلک ثوبه؟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تنجیس شی‌ء ممّا یلاقیه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کما أنّ المتبادر المرکوز فی أذهان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التنجیس فی الجملة من لوازم ماهیة النجس و إن لم ینجس بعض الأشیاء، کما أنّ الغسالة لا ینجس المحلّ، فإذا فرض أنّهم سمعوا أنّ هذا الماء إذا القی علی مثله أو أقلّ بقی ذلک الماء علی طهارته جزموا بطهارة الماء الملقی، بل لم یفهم الطهارة فی غالب ما سئل عنه فی الروایات إلّا من الجواب بعدم وجوب غسل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بمحض العفو دون الطهارة جمعا بین أدلّة نجاسة الغسالة و هذه الأخبار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المتعیّن تخصیص ما دلّ علی انفعاله من عمومات انفعال الماء القلیل </w:t>
      </w:r>
      <w:r>
        <w:rPr>
          <w:rStyle w:val="FootnoteAnchor"/>
          <w:rtl w:val="true"/>
        </w:rPr>
        <w:footnoteReference w:id="1366"/>
      </w:r>
      <w:r>
        <w:rPr>
          <w:rFonts w:ascii="IRNazanin" w:hAnsi="IRNazanin" w:eastAsia="IRNazanin"/>
          <w:color w:val="111111"/>
          <w:sz w:val="28"/>
          <w:sz w:val="28"/>
          <w:szCs w:val="28"/>
          <w:rtl w:val="true"/>
          <w:lang w:bidi="fa-IR"/>
        </w:rPr>
        <w:t xml:space="preserve">و روایة العیص المتقدّمة </w:t>
      </w:r>
      <w:r>
        <w:rPr>
          <w:rStyle w:val="FootnoteAnchor"/>
          <w:rtl w:val="true"/>
        </w:rPr>
        <w:footnoteReference w:id="1367"/>
      </w:r>
      <w:r>
        <w:rPr>
          <w:rFonts w:ascii="IRNazanin" w:hAnsi="IRNazanin" w:eastAsia="IRNazanin"/>
          <w:color w:val="111111"/>
          <w:sz w:val="28"/>
          <w:sz w:val="28"/>
          <w:szCs w:val="28"/>
          <w:rtl w:val="true"/>
          <w:lang w:bidi="fa-IR"/>
        </w:rPr>
        <w:t>بما عدا المقام، و هو أولی من تخصیص القاعدة المستفادة من تعدّی نجاسة کلّ 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القاعدة ساقطة باعتبار القطع بخروج الفرد المردّد بین ماء الاستنجاء و ملاقیه عن عمومها، فتبقی أدلّة تنجّس الماء القلیل و أدلّة عدم البأس بماء الاستنجاء علی حالها من عدم التعارض، لأنّ التعارض بینهما فرع شمول القاعدة المذکورة لهذا الماء</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فالقول بأنّه نجس لا ینجّس ملاقیه قویّ، فنجاسة </w:t>
      </w:r>
      <w:r>
        <w:rPr>
          <w:rStyle w:val="FootnoteAnchor"/>
          <w:rtl w:val="true"/>
        </w:rPr>
        <w:footnoteReference w:id="1368"/>
      </w:r>
      <w:r>
        <w:rPr>
          <w:rFonts w:ascii="IRNazanin" w:hAnsi="IRNazanin" w:eastAsia="IRNazanin"/>
          <w:color w:val="111111"/>
          <w:sz w:val="28"/>
          <w:sz w:val="28"/>
          <w:szCs w:val="28"/>
          <w:rtl w:val="true"/>
          <w:lang w:bidi="fa-IR"/>
        </w:rPr>
        <w:t>الغیر المنجّسة المستفادة من أدلّة انفعال الماء القلیل و أدلّة عدم تنجیسه الثوب ممّا لا محیص عن 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و أمّا الإجماع علی الطهارة دون العفو فلم یثبت، لخلوّ کلام السیّد فی المصباح </w:t>
      </w:r>
      <w:r>
        <w:rPr>
          <w:rStyle w:val="FootnoteAnchor"/>
          <w:rtl w:val="true"/>
        </w:rPr>
        <w:footnoteReference w:id="1369"/>
      </w:r>
      <w:r>
        <w:rPr>
          <w:rFonts w:ascii="IRNazanin" w:hAnsi="IRNazanin" w:eastAsia="IRNazanin"/>
          <w:color w:val="111111"/>
          <w:sz w:val="28"/>
          <w:sz w:val="28"/>
          <w:szCs w:val="28"/>
          <w:rtl w:val="true"/>
          <w:lang w:bidi="fa-IR"/>
        </w:rPr>
        <w:t xml:space="preserve">و المفید فی المقنعة </w:t>
      </w:r>
      <w:r>
        <w:rPr>
          <w:rStyle w:val="FootnoteAnchor"/>
          <w:rtl w:val="true"/>
        </w:rPr>
        <w:footnoteReference w:id="1370"/>
      </w:r>
      <w:r>
        <w:rPr>
          <w:rFonts w:ascii="IRNazanin" w:hAnsi="IRNazanin" w:eastAsia="IRNazanin"/>
          <w:color w:val="111111"/>
          <w:sz w:val="28"/>
          <w:sz w:val="28"/>
          <w:szCs w:val="28"/>
          <w:rtl w:val="true"/>
          <w:lang w:bidi="fa-IR"/>
        </w:rPr>
        <w:t xml:space="preserve">و الشیخ فی المبسوط </w:t>
      </w:r>
      <w:r>
        <w:rPr>
          <w:rStyle w:val="FootnoteAnchor"/>
          <w:rtl w:val="true"/>
        </w:rPr>
        <w:footnoteReference w:id="1371"/>
      </w:r>
      <w:r>
        <w:rPr>
          <w:rFonts w:ascii="IRNazanin" w:hAnsi="IRNazanin" w:eastAsia="IRNazanin"/>
          <w:color w:val="111111"/>
          <w:sz w:val="28"/>
          <w:sz w:val="28"/>
          <w:szCs w:val="28"/>
          <w:rtl w:val="true"/>
          <w:lang w:bidi="fa-IR"/>
        </w:rPr>
        <w:t xml:space="preserve">و الحلّی فی السرائر </w:t>
      </w:r>
      <w:r>
        <w:rPr>
          <w:rStyle w:val="FootnoteAnchor"/>
          <w:rtl w:val="true"/>
        </w:rPr>
        <w:footnoteReference w:id="1372"/>
      </w:r>
      <w:r>
        <w:rPr>
          <w:rFonts w:ascii="IRNazanin" w:hAnsi="IRNazanin" w:eastAsia="IRNazanin"/>
          <w:color w:val="111111"/>
          <w:sz w:val="28"/>
          <w:sz w:val="28"/>
          <w:szCs w:val="28"/>
          <w:rtl w:val="true"/>
          <w:lang w:bidi="fa-IR"/>
        </w:rPr>
        <w:t>عن التصریح بالطهارة، مع أنّه لا ینفع ممّن قال بطهارة الغسالة، لأنّ الطهارة عنده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الاتّفاق الملفّق من القول بکونه استثناء من نجاسة الغسالة و القول بکونه علی قاعدتها من الطهارة لا یثمر الظنّ، فضلا عن الحدس القطعیّ الّذی هو المناط فی تحقّق الإجماع عند المتأخّرین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المذکورة معارضة نفسها </w:t>
      </w:r>
      <w:r>
        <w:rPr>
          <w:rStyle w:val="FootnoteAnchor"/>
          <w:rtl w:val="true"/>
        </w:rPr>
        <w:footnoteReference w:id="1373"/>
      </w:r>
      <w:r>
        <w:rPr>
          <w:rFonts w:ascii="IRNazanin" w:hAnsi="IRNazanin" w:eastAsia="IRNazanin"/>
          <w:color w:val="111111"/>
          <w:sz w:val="28"/>
          <w:sz w:val="28"/>
          <w:szCs w:val="28"/>
          <w:rtl w:val="true"/>
          <w:lang w:bidi="fa-IR"/>
        </w:rPr>
        <w:t>لأدلّة تنجّس القلیل فتخصّصها، لأنّ النجاسة فی الشرع إمّا وجوب الاجتناب عن الشی‌ء فی الصلاة و الأکل و ما الحق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قواعد الشهید قدّس سرّه </w:t>
      </w:r>
      <w:r>
        <w:rPr>
          <w:rStyle w:val="FootnoteAnchor"/>
          <w:rtl w:val="true"/>
        </w:rPr>
        <w:footnoteReference w:id="1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صفة منتزعة عن هذه الأحکام، فإذا حکم الشارع بأنّه لا بأس بالثوب الواقع فی ماء الاستنجاء، فهو کالتصریح بجواز الصلاة و الطواف فیه، و إذا لم ینجس الطعام المطبوخ به جاز أکله، فإذا لم یجب الاجتناب عنه فی الصلاة و لا فی الأکل لم یکن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سائر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کحرمة شربه و إدخاله المسجد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جاء من أدلّة وجوب الاجتناب عن النجس، و المفروض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یستفاد ذلک من التعلیل المتقدّم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الماء أکثر من القذر</w:t>
      </w:r>
      <w:r>
        <w:rPr>
          <w:rFonts w:eastAsia="IRNazanin" w:cs="IRNazanin"/>
          <w:color w:val="111111"/>
          <w:sz w:val="28"/>
          <w:szCs w:val="28"/>
          <w:rtl w:val="true"/>
          <w:lang w:bidi="fa-IR"/>
        </w:rPr>
        <w:t xml:space="preserve">» </w:t>
      </w:r>
      <w:r>
        <w:rPr>
          <w:rStyle w:val="FootnoteAnchor"/>
          <w:rtl w:val="true"/>
        </w:rPr>
        <w:footnoteReference w:id="1375"/>
      </w:r>
      <w:r>
        <w:rPr>
          <w:rFonts w:ascii="IRNazanin" w:hAnsi="IRNazanin" w:eastAsia="IRNazanin"/>
          <w:color w:val="111111"/>
          <w:sz w:val="28"/>
          <w:sz w:val="28"/>
          <w:szCs w:val="28"/>
          <w:rtl w:val="true"/>
          <w:lang w:bidi="fa-IR"/>
        </w:rPr>
        <w:t>بناء علی أنّ ظاهره عدم انفعال الماء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بالقذر و عدم تأثّره منه، بل استهلاکه له، و هذا الکلام من قبیل قوله علیه السلام فیما ورد علی الثوب من ماء المطر الواقع علی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ما أصابه من الماء أکثر منه</w:t>
      </w:r>
      <w:r>
        <w:rPr>
          <w:rFonts w:eastAsia="IRNazanin" w:cs="IRNazanin"/>
          <w:color w:val="111111"/>
          <w:sz w:val="28"/>
          <w:szCs w:val="28"/>
          <w:rtl w:val="true"/>
          <w:lang w:bidi="fa-IR"/>
        </w:rPr>
        <w:t xml:space="preserve">» </w:t>
      </w:r>
      <w:r>
        <w:rPr>
          <w:rStyle w:val="FootnoteAnchor"/>
          <w:rtl w:val="true"/>
        </w:rPr>
        <w:footnoteReference w:id="137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المراد بالعفو بعد الإجماع علی عدم تنجّس ملاقیه یحتمل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حکمة فی الطهارة کما حکی عن بعض </w:t>
      </w:r>
      <w:r>
        <w:rPr>
          <w:rStyle w:val="FootnoteAnchor"/>
          <w:rtl w:val="true"/>
        </w:rPr>
        <w:footnoteReference w:id="1377"/>
      </w:r>
      <w:r>
        <w:rPr>
          <w:rFonts w:ascii="IRNazanin" w:hAnsi="IRNazanin" w:eastAsia="IRNazanin"/>
          <w:color w:val="111111"/>
          <w:sz w:val="28"/>
          <w:sz w:val="28"/>
          <w:szCs w:val="28"/>
          <w:rtl w:val="true"/>
          <w:lang w:bidi="fa-IR"/>
        </w:rPr>
        <w:t>فیکون الاختلاف فی التعبیر، و 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تمسّکهم بالحرج فی الاجتناب لا إشعار فیه به، فضلا عن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نجسا معفوّا عنه علی الإطلاق بمعنی أن لا یحکم علیه بتکلیف من التکالیف المتفرّعة علی النجاسة، و هو الّذی استظهره المحقّق الثانی من النصّ و کلام الأصحاب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رجوع هذا إلی القول بالطهارة، بناء علی أنّ النجاسة حکم شرعیّ بالاجتناب فی أمور، أو منتزعة من ذلک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تظهر الثمرة فی غیر الأحکام الشرعیة من الخواصّ و فی الأحکام الشرعیة الغیر الإلزامیة المتعلّقة بالنجس عدا ما اجمع علی وحدة حکم الطهارة و النجاسة فی واجبه و مستحبّه کالصلاة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الطهارة أمر وجودیّ لا مجرّد عدم النجاسة ظهرت الثمرة فی الأمور المشروطة بالطهارة، إذ لا یکفی حینئذ ارتفاع حکم النجاسة عن هذا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استظهره فی المدارک </w:t>
      </w:r>
      <w:r>
        <w:rPr>
          <w:rStyle w:val="FootnoteAnchor"/>
          <w:rtl w:val="true"/>
        </w:rPr>
        <w:footnoteReference w:id="1379"/>
      </w:r>
      <w:r>
        <w:rPr>
          <w:rFonts w:ascii="IRNazanin" w:hAnsi="IRNazanin" w:eastAsia="IRNazanin"/>
          <w:color w:val="111111"/>
          <w:sz w:val="28"/>
          <w:sz w:val="28"/>
          <w:szCs w:val="28"/>
          <w:rtl w:val="true"/>
          <w:lang w:bidi="fa-IR"/>
        </w:rPr>
        <w:t>من عبارة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Style w:val="FootnoteAnchor"/>
          <w:rtl w:val="true"/>
        </w:rPr>
        <w:footnoteReference w:id="1380"/>
      </w:r>
      <w:r>
        <w:rPr>
          <w:rFonts w:ascii="IRNazanin" w:hAnsi="IRNazanin" w:eastAsia="IRNazanin"/>
          <w:color w:val="111111"/>
          <w:sz w:val="28"/>
          <w:sz w:val="28"/>
          <w:szCs w:val="28"/>
          <w:rtl w:val="true"/>
          <w:lang w:bidi="fa-IR"/>
        </w:rPr>
        <w:t>لا یجب الاجتناب عنه، فیجوز شربه و أکل الطعام المختلط به و حمله فی الصلاة و إدخاله فی المسجد، و لا تجب إزالته ممّا یجب تطهیره، و لا ینفع فی جواز التطهیر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یترتّب علیه آثاره، و تسمیته عفوا باعتبار عدم وجوب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یتعدّی نجاسته إلی ملاقیه، فهو معفوّ عنه من حیث السرایة، و هو ظاهر ما تقدّم من المصباح و السرائر </w:t>
      </w:r>
      <w:r>
        <w:rPr>
          <w:rStyle w:val="FootnoteAnchor"/>
          <w:rtl w:val="true"/>
        </w:rPr>
        <w:footnoteReference w:id="1381"/>
      </w:r>
      <w:r>
        <w:rPr>
          <w:rFonts w:ascii="IRNazanin" w:hAnsi="IRNazanin" w:eastAsia="IRNazanin"/>
          <w:color w:val="111111"/>
          <w:sz w:val="28"/>
          <w:sz w:val="28"/>
          <w:szCs w:val="28"/>
          <w:rtl w:val="true"/>
          <w:lang w:bidi="fa-IR"/>
        </w:rPr>
        <w:t>و ظاهر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عن ماء الاستنجاء إذا وقع شی‌ء منه علی ثوبه و بدنه </w:t>
      </w: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ظاهر أخبار المسألة و کلمات من لم یصرّح بالطهارة هو هذا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ما فی کلام جامع المقاصد علی کلام الشهید قدّس سرّه فی الذکری،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الثمرة بین العفو و الطهارة فی استعماله،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اللازم علیه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عدم إطلاق العفو عنه، و إمّا القول بطهارته، لأنّه إذا باشره بیده ثمّ باشر به ماء قلیلا و لم یمنع من الوضوء به کان طاهرا لا محالة، و إلّا وجب المنع من مباشرة ماء الوضوء إذا کان قلیلا، فلا یکون العفو مطلقا، و هو خلاف ما یظهر من الخبر و کلمات الأصحاب </w:t>
      </w:r>
      <w:r>
        <w:rPr>
          <w:rStyle w:val="FootnoteAnchor"/>
          <w:rtl w:val="true"/>
        </w:rPr>
        <w:footnoteReference w:id="13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لا یخفی أنّ عدم تنجّس ملاقیه و صحّة الوضوء بماء لاقاه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هو صریح الخبر و ظاهر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الحکم بجواز استعماله فی إزالة الحدث و 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به أنّ ظاهر الخبر و کلام الأصحاب العفو المطلق بجعل وجود صفة النجاسة کعدمها، فلا نسلّم أنّه ظاهر کلام بعضهم فضلا عن جمیعهم، لما عرفت من کلمات من لم یصرّح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عدم القول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بالمعنی الرابع، و علی القول بالطهارة عدم جواز رفع الحدث به، لإطلاق ما تقدّم فی حکم الغسالة من نقل الإجماع علی أنّ ما یزال به النجاسة لا یرفع الحدث </w:t>
      </w:r>
      <w:r>
        <w:rPr>
          <w:rStyle w:val="FootnoteAnchor"/>
          <w:rtl w:val="true"/>
        </w:rPr>
        <w:footnoteReference w:id="138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جواز رفع الخبث به فلا یخلو عن قوّة للإطلاقات السلیمة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الوضوء و الغسل الغیر الرافعین ففی جوازهما إشکال، من الإطلاقات، و من أنّ الظاهر من الأوامر الواردة فی الأغسال و الوضوءات الغیر الرافعة کونها علی نحو الرافعیة، فإذا أمر الحائض بالوضوء </w:t>
      </w:r>
      <w:r>
        <w:rPr>
          <w:rStyle w:val="FootnoteAnchor"/>
          <w:rtl w:val="true"/>
        </w:rPr>
        <w:footnoteReference w:id="1385"/>
      </w:r>
      <w:r>
        <w:rPr>
          <w:rFonts w:ascii="IRNazanin" w:hAnsi="IRNazanin" w:eastAsia="IRNazanin"/>
          <w:color w:val="111111"/>
          <w:sz w:val="28"/>
          <w:sz w:val="28"/>
          <w:szCs w:val="28"/>
          <w:rtl w:val="true"/>
          <w:lang w:bidi="fa-IR"/>
        </w:rPr>
        <w:t xml:space="preserve">أو بغسل الإحرام </w:t>
      </w:r>
      <w:r>
        <w:rPr>
          <w:rStyle w:val="FootnoteAnchor"/>
          <w:rtl w:val="true"/>
        </w:rPr>
        <w:footnoteReference w:id="1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وکل جمیع ما یعتبر فیه إلی ما تقرّر فی الوضوء و الغسل الواجبین، مع أنّ الظاهر أنّ المراد من هذه الطهارات تنظیف یکون من شأنه رفع الحدث إذا صادفه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یخلو عن قوّة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المصرّح به فی کلام جماعة عدم الفرق بین المخرجین </w:t>
      </w:r>
      <w:r>
        <w:rPr>
          <w:rStyle w:val="FootnoteAnchor"/>
          <w:rtl w:val="true"/>
        </w:rPr>
        <w:footnoteReference w:id="1387"/>
      </w:r>
      <w:r>
        <w:rPr>
          <w:rFonts w:ascii="IRNazanin" w:hAnsi="IRNazanin" w:eastAsia="IRNazanin"/>
          <w:color w:val="111111"/>
          <w:sz w:val="28"/>
          <w:sz w:val="28"/>
          <w:szCs w:val="28"/>
          <w:rtl w:val="true"/>
          <w:lang w:bidi="fa-IR"/>
        </w:rPr>
        <w:t xml:space="preserve">و هو ظاهر کلّ من أطلق الاستنجاء بناء علی شموله بشهادة جماعة لغسل مخرج البول </w:t>
      </w:r>
      <w:r>
        <w:rPr>
          <w:rStyle w:val="FootnoteAnchor"/>
          <w:rtl w:val="true"/>
        </w:rPr>
        <w:footnoteReference w:id="1388"/>
      </w:r>
      <w:r>
        <w:rPr>
          <w:rFonts w:ascii="IRNazanin" w:hAnsi="IRNazanin" w:eastAsia="IRNazanin"/>
          <w:color w:val="111111"/>
          <w:sz w:val="28"/>
          <w:sz w:val="28"/>
          <w:szCs w:val="28"/>
          <w:rtl w:val="true"/>
          <w:lang w:bidi="fa-IR"/>
        </w:rPr>
        <w:t xml:space="preserve">و به یستقیم الاستدلال علی العموم بإطلاق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الأخبار المؤیّد بغلبة عدم تفارق التخلّی من المخرجین، و لا فرق أیضا بین المخرج الطبیعیّ و غیره إذا کان معتادا کما قیّد به بعض </w:t>
      </w:r>
      <w:r>
        <w:rPr>
          <w:rStyle w:val="FootnoteAnchor"/>
          <w:rtl w:val="true"/>
        </w:rPr>
        <w:footnoteReference w:id="1389"/>
      </w:r>
      <w:r>
        <w:rPr>
          <w:rFonts w:ascii="IRNazanin" w:hAnsi="IRNazanin" w:eastAsia="IRNazanin"/>
          <w:color w:val="111111"/>
          <w:sz w:val="28"/>
          <w:sz w:val="28"/>
          <w:szCs w:val="28"/>
          <w:rtl w:val="true"/>
          <w:lang w:bidi="fa-IR"/>
        </w:rPr>
        <w:t>بل مطلقا لإطلاق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الانصراف لو تمّت لم یدخل المعتاد من غیر الطبیعی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للانصراف مراتب نعلم باعتبار بعضها و إهمال بعضها الآخر، فإنّ انصراف هذا اللفظ إلی غسل موضع النجو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لمن تتبّع موارد استعماله فی الأخبار </w:t>
      </w:r>
      <w:r>
        <w:rPr>
          <w:rStyle w:val="FootnoteAnchor"/>
          <w:rtl w:val="true"/>
        </w:rPr>
        <w:footnoteReference w:id="1390"/>
      </w:r>
      <w:r>
        <w:rPr>
          <w:rFonts w:ascii="IRNazanin" w:hAnsi="IRNazanin" w:eastAsia="IRNazanin"/>
          <w:color w:val="111111"/>
          <w:sz w:val="28"/>
          <w:sz w:val="28"/>
          <w:szCs w:val="28"/>
          <w:rtl w:val="true"/>
          <w:lang w:bidi="fa-IR"/>
        </w:rPr>
        <w:t xml:space="preserve">و کلمات الأصحاب حیث یقابل الاستنجاء فیها بغسل مخرج البول </w:t>
      </w:r>
      <w:r>
        <w:rPr>
          <w:rStyle w:val="FootnoteAnchor"/>
          <w:rtl w:val="true"/>
        </w:rPr>
        <w:footnoteReference w:id="1391"/>
      </w:r>
      <w:r>
        <w:rPr>
          <w:rFonts w:ascii="IRNazanin" w:hAnsi="IRNazanin" w:eastAsia="IRNazanin"/>
          <w:color w:val="111111"/>
          <w:sz w:val="28"/>
          <w:sz w:val="28"/>
          <w:szCs w:val="28"/>
          <w:rtl w:val="true"/>
          <w:lang w:bidi="fa-IR"/>
        </w:rPr>
        <w:t>مع أنّ مذهب الأصحاب کما فی غیر واحد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تعدّت النجاسة تعدّیا فاحشا یخرج إزالته عن اسم الاستنجاء فلا ریب فی عدم دخوله تحت الإطلاق، لکنّ الظاهر الصدق مع تعدّیه بالخروج و إن کان علی خلاف العادة مع اتّحاد الموضوع عرفا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خلاف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أوصاف الماء المنفصل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المفروضة، لعموم ما دلّ علی نجاسة المتغیّر و إن کان أعمّ من أخبار الاستنجاء من وجه، لکن عموم النجاسة أقوی، مضافا إلی انصراف أخبار الباب إلی غیر صورة التغیّر، و مفهوم العلّة فی روایة العلل </w:t>
      </w:r>
      <w:r>
        <w:rPr>
          <w:rStyle w:val="FootnoteAnchor"/>
          <w:rtl w:val="true"/>
        </w:rPr>
        <w:footnoteReference w:id="1392"/>
      </w:r>
      <w:r>
        <w:rPr>
          <w:rFonts w:ascii="IRNazanin" w:hAnsi="IRNazanin" w:eastAsia="IRNazanin"/>
          <w:color w:val="111111"/>
          <w:sz w:val="28"/>
          <w:sz w:val="28"/>
          <w:szCs w:val="28"/>
          <w:rtl w:val="true"/>
          <w:lang w:bidi="fa-IR"/>
        </w:rPr>
        <w:t>بناء علی أنّ المراد بأکثریة الماء من القذر استهلاکه له و عدم ظهور أثره فیه، فلو ظهر أثر النجاسة فی الماء لم یعف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و من هنا یمکن توجیه ما ذکره بعضهم </w:t>
      </w:r>
      <w:r>
        <w:rPr>
          <w:rStyle w:val="FootnoteAnchor"/>
          <w:rtl w:val="true"/>
        </w:rPr>
        <w:footnoteReference w:id="1393"/>
      </w:r>
      <w:r>
        <w:rPr>
          <w:rFonts w:ascii="IRNazanin" w:hAnsi="IRNazanin" w:eastAsia="IRNazanin"/>
          <w:color w:val="111111"/>
          <w:sz w:val="28"/>
          <w:sz w:val="28"/>
          <w:szCs w:val="28"/>
          <w:rtl w:val="true"/>
          <w:lang w:bidi="fa-IR"/>
        </w:rPr>
        <w:t>من اشتراط عدم زیادة وزن الماء بعد الاستعمال لظهور أثر النجاسة فیه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ضعیف لضعف الإشعار فی الروایة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حکم تغیّر الأوصاف الثلاثة الإجماع مع التشکیک فی إطلاق أخبار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ینبغی أن یستثنی من ذلک التغیّر الحاصل للجزء الأوّل من الماء الوارد علی المحلّ، خصوصا إذا ورد قلیلا بالتدریج، فإنّ الاستنجاء غالبا لا ینفکّ عن هذا التغیّر، فإذا انفصل الجزء المتغیّر و وقع علی الأرض ینجس به ما یقع بعد ذلک علیه و لو فرض عدم انفصاله متغیّرا، لکنّ المحلّ ینجس بهذا الماء المتغیّر، و إزالة هذه النجاسة لیس استنجاء، لأنّه غسل موضع النجو من النجاسة الخارجة عنه،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إخراج مثل هذا عن أخبار الاستنجاء یوجب التقیید بغیر الغالب، و هو أبعد من تخصیص أدلّة نجاسة المتغیّر أو تعمیم ماء الاستنجاء لما یشمل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الوارد أوّلا المتغیّر بالنجاسة إذا انفصل متغیّرا فوقع علی الأرض فلا یبعد الحکم بنجاسته، و إن بقی علی المحلّ و کان الوارد علیه المنفصل من المحلّ غیر متغیّر کان طاهرا، عملا بأخبار نجاسة الماء المتغیّر بمقدار لا یلزم منه ارتکاب التقیید البعید فی أخبار الباب بحیث یلحق الحکم فیها بغیر المفید لقلّة فائدته، خصوصا فی مقام ترک الاستفصال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 المصنّف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تصیبه </w:t>
      </w:r>
      <w:r>
        <w:rPr>
          <w:rStyle w:val="FootnoteAnchor"/>
          <w:rtl w:val="true"/>
        </w:rPr>
        <w:footnoteReference w:id="1394"/>
      </w:r>
      <w:r>
        <w:rPr>
          <w:rFonts w:ascii="IRNazanin" w:hAnsi="IRNazanin" w:eastAsia="IRNazanin"/>
          <w:color w:val="111111"/>
          <w:sz w:val="28"/>
          <w:sz w:val="28"/>
          <w:szCs w:val="28"/>
          <w:rtl w:val="true"/>
          <w:lang w:bidi="fa-IR"/>
        </w:rPr>
        <w:t>نجاسة من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حقیقة من قیود حکم المسألة الّذی هو عدم انفعال ماء الاستنجاء بنجاسة محلّ الغسالة باستعماله، فتنجّسه بنجاسة خارجة کالاستثناء المنقطع، و لذا أهمله بعض </w:t>
      </w:r>
      <w:r>
        <w:rPr>
          <w:rStyle w:val="FootnoteAnchor"/>
          <w:rtl w:val="true"/>
        </w:rPr>
        <w:footnoteReference w:id="1395"/>
      </w:r>
      <w:r>
        <w:rPr>
          <w:rFonts w:ascii="IRNazanin" w:hAnsi="IRNazanin" w:eastAsia="IRNazanin"/>
          <w:color w:val="111111"/>
          <w:sz w:val="28"/>
          <w:sz w:val="28"/>
          <w:szCs w:val="28"/>
          <w:rtl w:val="true"/>
          <w:lang w:bidi="fa-IR"/>
        </w:rPr>
        <w:t>إلّا أنّ ظاهر العبارة لمّا أفاد إطلاق الحکم بالطهارة نبّه علی اشتراط بقائه علی الطهارة بعدم انفعاله من نجاسة خارجة، و المراد به الخارج عن نجاسة النجو، فیشمل النجاسة الّتی تلاقیه بعد الانفصال أو قبله ممّا هو علی المحلّ، أو خرج منه کالدم المصاحب للبول، أو المتنجّس بنجاسة النجو کالدود و الحصاة المتنجّسین و الودی الخارج عقیب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سبقت الید إلی المحلّ، فهل یعدّ نجاسة خارجة أو لا؟ قولان، أقواهما العدم، لإطلاق الأخبار مع عدم استمرار الطریقة علی تقدیم الصبّ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وضع یده لا بقصد الاستنجاء کانت کالمتنجّس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وضع بقصده ثمّ أعرض، فان عاد فکما لو لم یعرض، و إن لم یعد فلا إشکال فی نجاسة غسالة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المستعمل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المسبّب عن حدث أصغر أو أکبر أو لا عنه، و کذا الأغسال المسنونة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بضرورة مذهبنا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الحدث و الخبث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الأفضل تحرّی المیاه الطاهرة الّتی لم تستعمل فی أداء فریضة و لا سنّة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الماء المستعمل </w:t>
      </w:r>
      <w:r>
        <w:rPr>
          <w:rStyle w:val="FootnoteAnchor"/>
          <w:rtl w:val="true"/>
        </w:rPr>
        <w:footnoteReference w:id="1397"/>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المقصود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الحدث الأکبر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إن لم یستقلّ بالرفع، بناء علی أنّ الحدث الأکبر فیما عدا الجنابة یرتفع بمجموع الغسل و الوضوء، و حینئذ فیشمل إطلاق العبارة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کبعض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یرفع به الحدث </w:t>
      </w: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 فیه باستعماله فی موضع صبّ لغسل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للمصنّف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بادئ النظر من جهة اختلاف الأخبار و کلمات الأصحاب، فإنّ صریح المقنعة </w:t>
      </w:r>
      <w:r>
        <w:rPr>
          <w:rStyle w:val="FootnoteAnchor"/>
          <w:rtl w:val="true"/>
        </w:rPr>
        <w:footnoteReference w:id="1399"/>
      </w:r>
      <w:r>
        <w:rPr>
          <w:rFonts w:ascii="IRNazanin" w:hAnsi="IRNazanin" w:eastAsia="IRNazanin"/>
          <w:color w:val="111111"/>
          <w:sz w:val="28"/>
          <w:sz w:val="28"/>
          <w:szCs w:val="28"/>
          <w:rtl w:val="true"/>
          <w:lang w:bidi="fa-IR"/>
        </w:rPr>
        <w:t xml:space="preserve">و المبسوط </w:t>
      </w:r>
      <w:r>
        <w:rPr>
          <w:rStyle w:val="FootnoteAnchor"/>
          <w:rtl w:val="true"/>
        </w:rPr>
        <w:footnoteReference w:id="1400"/>
      </w:r>
      <w:r>
        <w:rPr>
          <w:rFonts w:ascii="IRNazanin" w:hAnsi="IRNazanin" w:eastAsia="IRNazanin"/>
          <w:color w:val="111111"/>
          <w:sz w:val="28"/>
          <w:sz w:val="28"/>
          <w:szCs w:val="28"/>
          <w:rtl w:val="true"/>
          <w:lang w:bidi="fa-IR"/>
        </w:rPr>
        <w:t xml:space="preserve">و الوسیلة </w:t>
      </w:r>
      <w:r>
        <w:rPr>
          <w:rStyle w:val="FootnoteAnchor"/>
          <w:rtl w:val="true"/>
        </w:rPr>
        <w:footnoteReference w:id="1401"/>
      </w:r>
      <w:r>
        <w:rPr>
          <w:rFonts w:ascii="IRNazanin" w:hAnsi="IRNazanin" w:eastAsia="IRNazanin"/>
          <w:color w:val="111111"/>
          <w:sz w:val="28"/>
          <w:sz w:val="28"/>
          <w:szCs w:val="28"/>
          <w:rtl w:val="true"/>
          <w:lang w:bidi="fa-IR"/>
        </w:rPr>
        <w:t xml:space="preserve">و المحکیّ عن الصدوقین </w:t>
      </w:r>
      <w:r>
        <w:rPr>
          <w:rStyle w:val="FootnoteAnchor"/>
          <w:rtl w:val="true"/>
        </w:rPr>
        <w:footnoteReference w:id="1402"/>
      </w:r>
      <w:r>
        <w:rPr>
          <w:rFonts w:ascii="IRNazanin" w:hAnsi="IRNazanin" w:eastAsia="IRNazanin"/>
          <w:color w:val="111111"/>
          <w:sz w:val="28"/>
          <w:sz w:val="28"/>
          <w:szCs w:val="28"/>
          <w:rtl w:val="true"/>
          <w:lang w:bidi="fa-IR"/>
        </w:rPr>
        <w:t xml:space="preserve">و القاضی </w:t>
      </w:r>
      <w:r>
        <w:rPr>
          <w:rStyle w:val="FootnoteAnchor"/>
          <w:rtl w:val="true"/>
        </w:rPr>
        <w:footnoteReference w:id="1403"/>
      </w:r>
      <w:r>
        <w:rPr>
          <w:rFonts w:ascii="IRNazanin" w:hAnsi="IRNazanin" w:eastAsia="IRNazanin"/>
          <w:color w:val="111111"/>
          <w:sz w:val="28"/>
          <w:sz w:val="28"/>
          <w:szCs w:val="28"/>
          <w:rtl w:val="true"/>
          <w:lang w:bidi="fa-IR"/>
        </w:rPr>
        <w:t>قدّس أسرارهم العدم، لروایة عبد اللّٰه بن سنان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بالوضوء بالماء المستعمل،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الّذی یغسل به الثوب أو یغتسل به من الجنابة لا یتوضّأ منه و أشباهه، و الماء الّذی یتوضّأ به الرجل فیغسل به وجهه و یده فی إناء نظیف فلا بأس أن یأخذه غیره و یتوضّأ به</w:t>
      </w:r>
      <w:r>
        <w:rPr>
          <w:rFonts w:eastAsia="IRNazanin" w:cs="IRNazanin"/>
          <w:color w:val="111111"/>
          <w:sz w:val="28"/>
          <w:szCs w:val="28"/>
          <w:rtl w:val="true"/>
          <w:lang w:bidi="fa-IR"/>
        </w:rPr>
        <w:t xml:space="preserve">» </w:t>
      </w:r>
      <w:r>
        <w:rPr>
          <w:rStyle w:val="FootnoteAnchor"/>
          <w:rtl w:val="true"/>
        </w:rPr>
        <w:footnoteReference w:id="1404"/>
      </w:r>
      <w:r>
        <w:rPr>
          <w:rFonts w:ascii="IRNazanin" w:hAnsi="IRNazanin" w:eastAsia="IRNazanin"/>
          <w:color w:val="111111"/>
          <w:sz w:val="28"/>
          <w:sz w:val="28"/>
          <w:szCs w:val="28"/>
          <w:rtl w:val="true"/>
          <w:lang w:bidi="fa-IR"/>
        </w:rPr>
        <w:t>بناء علی أنّ صدر الروایة قضیة مهملة قد فصّلها الإمام علیه السلام بالفقرتین الأخیرتین، و النهی محمول علی التحریم بقرینة العطف علی غسالة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سند الروایة إلّا أحمد بن هلال المرمیّ بالغلوّ تارة و بالنصب اخری، و بعد ما بین المذهبین لعلّه یشهد بأنّه لم یکن له مذهب رأسا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التأمّل فی القرائن یکاد یلحق الروایة بالصحاح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الراوی عنه الحسن بن فضّال، و بنو فضّال ممّن ورد فی شأنهم فی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 و ذروا ما رأوا</w:t>
      </w:r>
      <w:r>
        <w:rPr>
          <w:rFonts w:eastAsia="IRNazanin" w:cs="IRNazanin"/>
          <w:color w:val="111111"/>
          <w:sz w:val="28"/>
          <w:szCs w:val="28"/>
          <w:rtl w:val="true"/>
          <w:lang w:bidi="fa-IR"/>
        </w:rPr>
        <w:t xml:space="preserve">» </w:t>
      </w:r>
      <w:r>
        <w:rPr>
          <w:rStyle w:val="FootnoteAnchor"/>
          <w:rtl w:val="true"/>
        </w:rPr>
        <w:footnoteReference w:id="1405"/>
      </w:r>
      <w:r>
        <w:rPr>
          <w:rFonts w:ascii="IRNazanin" w:hAnsi="IRNazanin" w:eastAsia="IRNazanin"/>
          <w:color w:val="111111"/>
          <w:sz w:val="28"/>
          <w:sz w:val="28"/>
          <w:szCs w:val="28"/>
          <w:rtl w:val="true"/>
          <w:lang w:bidi="fa-IR"/>
        </w:rPr>
        <w:t>مع أنّ هذه الحسنة ممّا یمکن أن یستدلّ بها علی جواز العمل بروایات مثل ابن هلال ممّا روی حال استقامة، و لذا استدلّ بها الشیخ الجلیل أبو القاسم بن روح قدّس سرّه حیث أفتی أصحابه بجواز العمل بکتب الشلمغانی، فقال بعد السؤال عن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فیها ما قاله العسکری علیه السلام لمّا سئل عن کتب بنی فضّال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خذوا ما 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الراوی 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الأشعری، و هو ممّن طعن علی ابن هلال حتّی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بمتشیّع یرجع من التشیّع إلی النصب إلّا أحمد بن هلال</w:t>
      </w:r>
      <w:r>
        <w:rPr>
          <w:rFonts w:eastAsia="IRNazanin" w:cs="IRNazanin"/>
          <w:color w:val="111111"/>
          <w:sz w:val="28"/>
          <w:szCs w:val="28"/>
          <w:rtl w:val="true"/>
          <w:lang w:bidi="fa-IR"/>
        </w:rPr>
        <w:t xml:space="preserve">» </w:t>
      </w:r>
      <w:r>
        <w:rPr>
          <w:rStyle w:val="FootnoteAnchor"/>
          <w:rtl w:val="true"/>
        </w:rPr>
        <w:footnoteReference w:id="1407"/>
      </w:r>
      <w:r>
        <w:rPr>
          <w:rFonts w:ascii="IRNazanin" w:hAnsi="IRNazanin" w:eastAsia="IRNazanin"/>
          <w:color w:val="111111"/>
          <w:sz w:val="28"/>
          <w:sz w:val="28"/>
          <w:szCs w:val="28"/>
          <w:rtl w:val="true"/>
          <w:lang w:bidi="fa-IR"/>
        </w:rPr>
        <w:t>و هو فی شدّة اهتمامه بترک روایات المخالفین، بحیث حکی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 إبراهیم بن عبد الحمید أبا الحسن الرضا علیه السلام فلم یرو عنه، فترکت روایته لأجل ذلک</w:t>
      </w:r>
      <w:r>
        <w:rPr>
          <w:rFonts w:eastAsia="IRNazanin" w:cs="IRNazanin"/>
          <w:color w:val="111111"/>
          <w:sz w:val="28"/>
          <w:szCs w:val="28"/>
          <w:rtl w:val="true"/>
          <w:lang w:bidi="fa-IR"/>
        </w:rPr>
        <w:t xml:space="preserve">» </w:t>
      </w:r>
      <w:r>
        <w:rPr>
          <w:rStyle w:val="FootnoteAnchor"/>
          <w:rtl w:val="true"/>
        </w:rPr>
        <w:footnoteReference w:id="1408"/>
      </w:r>
      <w:r>
        <w:rPr>
          <w:rFonts w:ascii="IRNazanin" w:hAnsi="IRNazanin" w:eastAsia="IRNazanin"/>
          <w:color w:val="111111"/>
          <w:sz w:val="28"/>
          <w:sz w:val="28"/>
          <w:szCs w:val="28"/>
          <w:rtl w:val="true"/>
          <w:lang w:bidi="fa-IR"/>
        </w:rPr>
        <w:t>و کیف یجوز أن یسمع من ابن فضّال الفطحی ما یرویه عن ابن هلال الناصبی، إلّا أن یکون الروایة فی کتاب معتبر مقطوع الانتساب إلی مصنّفه بحیث لا یحتاج إلی ملاحظة حال الواسطة أو محفوفة بقرائن موجبة للوثوق بها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هلال روی هذه الروایة عن ابن محبوب، و الظاهر قرائته علیه فی کتاب ابن محبوب المسمّی بالمشیخة الّذی هو أحد الأصول الموصوفة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فی أوّل الفقه </w:t>
      </w:r>
      <w:r>
        <w:rPr>
          <w:rStyle w:val="FootnoteAnchor"/>
          <w:rtl w:val="true"/>
        </w:rPr>
        <w:footnoteReference w:id="1409"/>
      </w:r>
      <w:r>
        <w:rPr>
          <w:rFonts w:ascii="IRNazanin" w:hAnsi="IRNazanin" w:eastAsia="IRNazanin"/>
          <w:color w:val="111111"/>
          <w:sz w:val="28"/>
          <w:sz w:val="28"/>
          <w:szCs w:val="28"/>
          <w:rtl w:val="true"/>
          <w:lang w:bidi="fa-IR"/>
        </w:rPr>
        <w:t>بالصحّة و اعتماد الطائفة علیها و حکی عن ابن الغضائری الطاعن کثیرا فی من لا یطعن فیه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الأصحاب لم یعتمدوا علی روایات ابن هلال إلّا ما یرویه عن مشیخة ابن محبوب و نوادر ابن أبی عمیر </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عن السیّد الداماد إلحاق ما یرویه ابن هلال عن الکتابین بالصحاح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القمّیین علی الروایة کالصدوقین و ابن الولید و سعد بن عبد اللّٰه </w:t>
      </w: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عدّوا ذلک من أمارات صحّة الروایة باصطلاح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الوثوق الحاصل من تزکیة الراوی خصوصا من واحد لیس بأزید ممّا یفیده هذه القرائن، فالطعن فیها بضعف السند کما فی المعتبر </w:t>
      </w:r>
      <w:r>
        <w:rPr>
          <w:rStyle w:val="FootnoteAnchor"/>
          <w:rtl w:val="true"/>
        </w:rPr>
        <w:footnoteReference w:id="1413"/>
      </w:r>
      <w:r>
        <w:rPr>
          <w:rFonts w:ascii="IRNazanin" w:hAnsi="IRNazanin" w:eastAsia="IRNazanin"/>
          <w:color w:val="111111"/>
          <w:sz w:val="28"/>
          <w:sz w:val="28"/>
          <w:szCs w:val="28"/>
          <w:rtl w:val="true"/>
          <w:lang w:bidi="fa-IR"/>
        </w:rPr>
        <w:t xml:space="preserve">و المنتهی </w:t>
      </w:r>
      <w:r>
        <w:rPr>
          <w:rStyle w:val="FootnoteAnchor"/>
          <w:rtl w:val="true"/>
        </w:rPr>
        <w:footnoteReference w:id="1414"/>
      </w:r>
      <w:r>
        <w:rPr>
          <w:rFonts w:ascii="IRNazanin" w:hAnsi="IRNazanin" w:eastAsia="IRNazanin"/>
          <w:color w:val="111111"/>
          <w:sz w:val="28"/>
          <w:sz w:val="28"/>
          <w:szCs w:val="28"/>
          <w:rtl w:val="true"/>
          <w:lang w:bidi="fa-IR"/>
        </w:rPr>
        <w:t>مع عدم دورانهم مدار تزکیة الراوی محلّ نظر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الروایة المذکورة روایات أخر، مثل ما ورد من النهی عن الاغتسال بغسالة الحمّام، معلّلا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یسیل فیها ما یغتسل به الجنب و ولد الزنا و الناصب لنا أهل البیت، و هو شرّهم</w:t>
      </w:r>
      <w:r>
        <w:rPr>
          <w:rFonts w:eastAsia="IRNazanin" w:cs="IRNazanin"/>
          <w:color w:val="111111"/>
          <w:sz w:val="28"/>
          <w:szCs w:val="28"/>
          <w:rtl w:val="true"/>
          <w:lang w:bidi="fa-IR"/>
        </w:rPr>
        <w:t xml:space="preserve">» </w:t>
      </w:r>
      <w:r>
        <w:rPr>
          <w:rStyle w:val="FootnoteAnchor"/>
          <w:rtl w:val="true"/>
        </w:rPr>
        <w:footnoteReference w:id="1415"/>
      </w:r>
      <w:r>
        <w:rPr>
          <w:rFonts w:ascii="IRNazanin" w:hAnsi="IRNazanin" w:eastAsia="IRNazanin"/>
          <w:color w:val="111111"/>
          <w:sz w:val="28"/>
          <w:sz w:val="28"/>
          <w:szCs w:val="28"/>
          <w:rtl w:val="true"/>
          <w:lang w:bidi="fa-IR"/>
        </w:rPr>
        <w:t>فإنّ الظاهر کون سیلان کلّ واحدة من غسالات هؤلاء علّة مستقلّة فی المنع، إذ لا وجه لذکر الجنب 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کون العلّة فی المنع غیره،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عن ابن مسکان،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صاحب لی ثقة أنّه سأل أبا عبد اللّٰه علیه السلام عن الرجل ینتهی إلی الماء القلیل فی الطریق و یرید أن یغتسل و لیس معه إناء و الماء فی وهدة، فإن اغتسل رجع غسله فی الماء،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ینضح بکفّ بین یدیه، و کفّا من خلفه، و کفّا عن یمینه، و کفّا عن شماله، ثمّ یغتسل</w:t>
      </w:r>
      <w:r>
        <w:rPr>
          <w:rFonts w:eastAsia="IRNazanin" w:cs="IRNazanin"/>
          <w:color w:val="111111"/>
          <w:sz w:val="28"/>
          <w:szCs w:val="28"/>
          <w:rtl w:val="true"/>
          <w:lang w:bidi="fa-IR"/>
        </w:rPr>
        <w:t xml:space="preserve">» </w:t>
      </w:r>
      <w:r>
        <w:rPr>
          <w:rStyle w:val="FootnoteAnchor"/>
          <w:rtl w:val="true"/>
        </w:rPr>
        <w:footnoteReference w:id="1416"/>
      </w:r>
      <w:r>
        <w:rPr>
          <w:rFonts w:ascii="IRNazanin" w:hAnsi="IRNazanin" w:eastAsia="IRNazanin"/>
          <w:color w:val="111111"/>
          <w:sz w:val="28"/>
          <w:sz w:val="28"/>
          <w:szCs w:val="28"/>
          <w:rtl w:val="true"/>
          <w:lang w:bidi="fa-IR"/>
        </w:rPr>
        <w:t>فإنّ الظاهر کون ما ذکره الإمام علیه السلام علاجا لدفع المحذور الّذی قرّره علیه السلام من رجوع الغسالة فی الماء، فلا بدّ من حمل النضح فی الجهات الأربع علی وجه یمنع من رجوع الغسالة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رشّها حول الوهدة یوجب سرعة جذب الأرض للماء، و یمکن حمله علی نضح البدن بالماء من الجهات الأربع حتّی یتعجّل وصول الماء إلی البدن، فیتمّ غسله قبل رجوع الماء فی الوهدة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روایة ابن سنان بوجوب حملها علی صورة تلوّث بدن الجنب بالنجاسة، فإنّ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تلک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النجاسة عند الغسل، و لذا اشتمل أکثر ما ورد فی کیفیة غسل الجنابة علی إزالة النجاسة </w:t>
      </w:r>
      <w:r>
        <w:rPr>
          <w:rStyle w:val="FootnoteAnchor"/>
          <w:rtl w:val="true"/>
        </w:rPr>
        <w:footnoteReference w:id="1417"/>
      </w:r>
      <w:r>
        <w:rPr>
          <w:rFonts w:ascii="IRNazanin" w:hAnsi="IRNazanin" w:eastAsia="IRNazanin"/>
          <w:color w:val="111111"/>
          <w:sz w:val="28"/>
          <w:sz w:val="28"/>
          <w:szCs w:val="28"/>
          <w:rtl w:val="true"/>
          <w:lang w:bidi="fa-IR"/>
        </w:rPr>
        <w:t>فیکون الماء الّذی یتوضّأ به الرجل و یغسل به وجهه و یده فی إناء نظیف مقابلا لماء الغسل من حیث عدم انفعاله بالنجاسة حال الاستعمال و لا بعد الانفصال، بخلاف ماء الغسل فإنّه ینفعل فی أحد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فالتقیید المذکور أولی من تقیید ما سیجی‌ء من الأدلّة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بمثله یجاب عن روایة غسالة الحمّام </w:t>
      </w:r>
      <w:r>
        <w:rPr>
          <w:rStyle w:val="FootnoteAnchor"/>
          <w:rtl w:val="true"/>
        </w:rPr>
        <w:footnoteReference w:id="1418"/>
      </w:r>
      <w:r>
        <w:rPr>
          <w:rFonts w:ascii="IRNazanin" w:hAnsi="IRNazanin" w:eastAsia="IRNazanin"/>
          <w:color w:val="111111"/>
          <w:sz w:val="28"/>
          <w:sz w:val="28"/>
          <w:szCs w:val="28"/>
          <w:rtl w:val="true"/>
          <w:lang w:bidi="fa-IR"/>
        </w:rPr>
        <w:t>فیکون المانع فی کلّ واحدة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الغسالات المذکورة فی الروایات نجاستها الذاتیة أو العرضیة، کما یشهد له تعلیل المنع فی الأخبار باشتمال غسالة الحمّام علی غسالات الکفّار و النواصب و أنّه لا خلق أنجس من الکلب، و الناصب أنجس منه </w:t>
      </w:r>
      <w:r>
        <w:rPr>
          <w:rStyle w:val="FootnoteAnchor"/>
          <w:rtl w:val="true"/>
        </w:rPr>
        <w:footnoteReference w:id="1419"/>
      </w:r>
      <w:r>
        <w:rPr>
          <w:rFonts w:ascii="IRNazanin" w:hAnsi="IRNazanin" w:eastAsia="IRNazanin"/>
          <w:color w:val="111111"/>
          <w:sz w:val="28"/>
          <w:sz w:val="28"/>
          <w:szCs w:val="28"/>
          <w:rtl w:val="true"/>
          <w:lang w:bidi="fa-IR"/>
        </w:rPr>
        <w:t>فإنّ هذا کلّه ظاهر فی کون المانع هی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یظهر من بعض الأخبار أمارة الکراهة،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فی الماء الذی قد اغتسل فیه فأصابه الجذام فلا یلومنّ إلّا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شفاء من العین،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یغتسل فیه الجنب و ولد الزنا و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شرّهما و من کلّ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فیه شفاء من العین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سئل </w:t>
      </w:r>
      <w:r>
        <w:rPr>
          <w:rStyle w:val="FootnoteAnchor"/>
          <w:rtl w:val="true"/>
        </w:rPr>
        <w:footnoteReference w:id="1421"/>
      </w:r>
      <w:r>
        <w:rPr>
          <w:rFonts w:ascii="IRNazanin" w:hAnsi="IRNazanin" w:eastAsia="IRNazanin"/>
          <w:color w:val="111111"/>
          <w:sz w:val="28"/>
          <w:sz w:val="28"/>
          <w:szCs w:val="28"/>
          <w:rtl w:val="true"/>
          <w:lang w:bidi="fa-IR"/>
        </w:rPr>
        <w:t xml:space="preserve">عن ماء 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ادخله بإزار، و لا تغتسل من ماء آخر إلّا أن یکون فیه جنب أو یکثر أهله، فلا یدری فیهم جنب أم لا</w:t>
      </w:r>
      <w:r>
        <w:rPr>
          <w:rFonts w:eastAsia="IRNazanin" w:cs="IRNazanin"/>
          <w:color w:val="111111"/>
          <w:sz w:val="28"/>
          <w:szCs w:val="28"/>
          <w:rtl w:val="true"/>
          <w:lang w:bidi="fa-IR"/>
        </w:rPr>
        <w:t xml:space="preserve">» </w:t>
      </w:r>
      <w:r>
        <w:rPr>
          <w:rStyle w:val="FootnoteAnchor"/>
          <w:rtl w:val="true"/>
        </w:rPr>
        <w:footnoteReference w:id="1422"/>
      </w:r>
      <w:r>
        <w:rPr>
          <w:rFonts w:ascii="IRNazanin" w:hAnsi="IRNazanin" w:eastAsia="IRNazanin"/>
          <w:color w:val="111111"/>
          <w:sz w:val="28"/>
          <w:sz w:val="28"/>
          <w:szCs w:val="28"/>
          <w:rtl w:val="true"/>
          <w:lang w:bidi="fa-IR"/>
        </w:rPr>
        <w:t>فإنّ استثناء صورة الشکّ فی وجود الجنب فی ماء الحمّام دلیل علی أنّ المنع لو کان فی المستثنی فإنّما هو علی وجه التنزّه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یظهر من بعض الأخبار أنّ السؤال من الغسل بماء الحمّام فی الأخبار من جهة النجاسة لا رفع الحدث، مثل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یغتسل فیه الجنب و غیره أغتسل من مائه؟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أن یغتسل منه الجنب، و لقد اغتسلت فیه ثمّ جئت فغسلت رجلیّ و ما غسلتهما إلّا بما لزق بهما من التراب</w:t>
      </w:r>
      <w:r>
        <w:rPr>
          <w:rFonts w:eastAsia="IRNazanin" w:cs="IRNazanin"/>
          <w:color w:val="111111"/>
          <w:sz w:val="28"/>
          <w:szCs w:val="28"/>
          <w:rtl w:val="true"/>
          <w:lang w:bidi="fa-IR"/>
        </w:rPr>
        <w:t xml:space="preserve">» </w:t>
      </w:r>
      <w:r>
        <w:rPr>
          <w:rStyle w:val="FootnoteAnchor"/>
          <w:rtl w:val="true"/>
        </w:rPr>
        <w:footnoteReference w:id="1423"/>
      </w:r>
      <w:r>
        <w:rPr>
          <w:rFonts w:ascii="IRNazanin" w:hAnsi="IRNazanin" w:eastAsia="IRNazanin"/>
          <w:color w:val="111111"/>
          <w:sz w:val="28"/>
          <w:sz w:val="28"/>
          <w:szCs w:val="28"/>
          <w:rtl w:val="true"/>
          <w:lang w:bidi="fa-IR"/>
        </w:rPr>
        <w:t>و قریب منها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غیرها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ما ذکرنا من صورة تلوّث بدن الجنب بالنجاسة یحمل الصحیحة الأخیرة </w:t>
      </w:r>
      <w:r>
        <w:rPr>
          <w:rStyle w:val="FootnoteAnchor"/>
          <w:rtl w:val="true"/>
        </w:rPr>
        <w:footnoteReference w:id="1425"/>
      </w:r>
      <w:r>
        <w:rPr>
          <w:rFonts w:ascii="IRNazanin" w:hAnsi="IRNazanin" w:eastAsia="IRNazanin"/>
          <w:color w:val="111111"/>
          <w:sz w:val="28"/>
          <w:sz w:val="28"/>
          <w:szCs w:val="28"/>
          <w:rtl w:val="true"/>
          <w:lang w:bidi="fa-IR"/>
        </w:rPr>
        <w:t>مع أنّ الظاهر علی المتأمّل أن لا دلالة فیها ظاهرة، لا من حیث التقریر، و لا من جهة العلاج، إذ من المحتمل کون المعالج و المقرّر علیه هو محذور الکراهة دون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فالأقوی بحسب الأدلّة هو الجواز، وفاقا للسیّدین </w:t>
      </w:r>
      <w:r>
        <w:rPr>
          <w:rStyle w:val="FootnoteAnchor"/>
          <w:rtl w:val="true"/>
        </w:rPr>
        <w:footnoteReference w:id="1426"/>
      </w:r>
      <w:r>
        <w:rPr>
          <w:rFonts w:ascii="Amiri" w:hAnsi="Amiri" w:eastAsia="Amiri" w:cs="Amiri"/>
          <w:color w:val="111111"/>
          <w:sz w:val="28"/>
          <w:sz w:val="28"/>
          <w:szCs w:val="28"/>
          <w:rtl w:val="true"/>
          <w:lang w:bidi="ar-SA"/>
        </w:rPr>
        <w:t xml:space="preserve">و الحلیّ </w:t>
      </w:r>
      <w:r>
        <w:rPr>
          <w:rStyle w:val="FootnoteAnchor"/>
          <w:rtl w:val="true"/>
        </w:rPr>
        <w:footnoteReference w:id="1427"/>
      </w:r>
      <w:r>
        <w:rPr>
          <w:rFonts w:ascii="IRNazanin" w:hAnsi="IRNazanin" w:eastAsia="IRNazanin"/>
          <w:color w:val="111111"/>
          <w:sz w:val="28"/>
          <w:sz w:val="28"/>
          <w:szCs w:val="28"/>
          <w:rtl w:val="true"/>
          <w:lang w:bidi="fa-IR"/>
        </w:rPr>
        <w:t xml:space="preserve">و الفاضل فی جملة من کتبه </w:t>
      </w:r>
      <w:r>
        <w:rPr>
          <w:rStyle w:val="FootnoteAnchor"/>
          <w:rtl w:val="true"/>
        </w:rPr>
        <w:footnoteReference w:id="1428"/>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429"/>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430"/>
      </w:r>
      <w:r>
        <w:rPr>
          <w:rFonts w:ascii="Amiri" w:hAnsi="Amiri" w:eastAsia="Amiri" w:cs="Amiri"/>
          <w:color w:val="111111"/>
          <w:sz w:val="28"/>
          <w:sz w:val="28"/>
          <w:szCs w:val="28"/>
          <w:rtl w:val="true"/>
          <w:lang w:bidi="ar-SA"/>
        </w:rPr>
        <w:t xml:space="preserve">و المحکیّ عن سلّار </w:t>
      </w:r>
      <w:r>
        <w:rPr>
          <w:rStyle w:val="FootnoteAnchor"/>
          <w:rtl w:val="true"/>
        </w:rPr>
        <w:footnoteReference w:id="1431"/>
      </w:r>
      <w:r>
        <w:rPr>
          <w:rFonts w:ascii="IRNazanin" w:hAnsi="IRNazanin" w:eastAsia="IRNazanin"/>
          <w:color w:val="111111"/>
          <w:sz w:val="28"/>
          <w:sz w:val="28"/>
          <w:szCs w:val="28"/>
          <w:rtl w:val="true"/>
          <w:lang w:bidi="fa-IR"/>
        </w:rPr>
        <w:t xml:space="preserve">و ابن سعید </w:t>
      </w:r>
      <w:r>
        <w:rPr>
          <w:rStyle w:val="FootnoteAnchor"/>
          <w:rtl w:val="true"/>
        </w:rPr>
        <w:footnoteReference w:id="1432"/>
      </w:r>
      <w:r>
        <w:rPr>
          <w:rFonts w:ascii="IRNazanin" w:hAnsi="IRNazanin" w:eastAsia="IRNazanin"/>
          <w:color w:val="111111"/>
          <w:sz w:val="28"/>
          <w:sz w:val="28"/>
          <w:szCs w:val="28"/>
          <w:rtl w:val="true"/>
          <w:lang w:bidi="fa-IR"/>
        </w:rPr>
        <w:t>للأصل و الإطلاقات الکثیرة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هنا و فی المعتبر </w:t>
      </w:r>
      <w:r>
        <w:rPr>
          <w:rStyle w:val="FootnoteAnchor"/>
          <w:rtl w:val="true"/>
        </w:rPr>
        <w:footnoteReference w:id="1433"/>
      </w:r>
      <w:r>
        <w:rPr>
          <w:rFonts w:ascii="IRNazanin" w:hAnsi="IRNazanin" w:eastAsia="IRNazanin"/>
          <w:color w:val="111111"/>
          <w:sz w:val="28"/>
          <w:sz w:val="28"/>
          <w:szCs w:val="28"/>
          <w:rtl w:val="true"/>
          <w:lang w:bidi="fa-IR"/>
        </w:rPr>
        <w:t xml:space="preserve">العمل بما صار إلیه الأوّلون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لقوّة روایة ابن سنان المتقدّمة </w:t>
      </w:r>
      <w:r>
        <w:rPr>
          <w:rStyle w:val="FootnoteAnchor"/>
          <w:rtl w:val="true"/>
        </w:rPr>
        <w:footnoteReference w:id="1434"/>
      </w:r>
      <w:r>
        <w:rPr>
          <w:rFonts w:ascii="IRNazanin" w:hAnsi="IRNazanin" w:eastAsia="IRNazanin"/>
          <w:color w:val="111111"/>
          <w:sz w:val="28"/>
          <w:sz w:val="28"/>
          <w:szCs w:val="28"/>
          <w:rtl w:val="true"/>
          <w:lang w:bidi="fa-IR"/>
        </w:rPr>
        <w:t>من حیث الصدور و الدلالة، فتقییدها بمجرّد إطلاق الأدلّة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فی الباب علی خبر خاصّ ظاهر فی 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تقدّم ممّا ظاهره الکراهة فمورده</w:t>
      </w:r>
      <w:bookmarkStart w:id="347" w:name="pg13031_132026"/>
    </w:p>
    <w:p>
      <w:pPr>
        <w:pStyle w:val="BookText"/>
        <w:rPr/>
      </w:pPr>
      <w:bookmarkEnd w:id="3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الاغتسال فی الماء الذی یغتسل فیه، فیقرب حمله علی الکثیر</w:t>
      </w:r>
      <w:r>
        <w:rPr>
          <w:rFonts w:eastAsia="IRNazanin" w:cs="IRNazanin"/>
          <w:color w:val="111111"/>
          <w:sz w:val="28"/>
          <w:szCs w:val="28"/>
          <w:rtl w:val="true"/>
          <w:lang w:bidi="fa-IR"/>
        </w:rPr>
        <w:t>.</w:t>
      </w:r>
    </w:p>
    <w:p>
      <w:pPr>
        <w:pStyle w:val="Heading6"/>
        <w:numPr>
          <w:ilvl w:val="5"/>
          <w:numId w:val="1"/>
        </w:numPr>
        <w:rPr/>
      </w:pPr>
      <w:bookmarkStart w:id="348" w:name="__RefHeading___Toc6281691_3224264995"/>
      <w:bookmarkStart w:id="349" w:name="_Toc147"/>
      <w:bookmarkEnd w:id="348"/>
      <w:r>
        <w:rPr>
          <w:rtl w:val="true"/>
        </w:rPr>
        <w:t>[</w:t>
      </w:r>
      <w:r>
        <w:rPr>
          <w:rtl w:val="true"/>
        </w:rPr>
        <w:t>تنبیهات</w:t>
      </w:r>
      <w:r>
        <w:rPr>
          <w:rtl w:val="true"/>
        </w:rPr>
        <w:t>]</w:t>
      </w:r>
      <w:bookmarkEnd w:id="349"/>
    </w:p>
    <w:p>
      <w:pPr>
        <w:pStyle w:val="Heading6"/>
        <w:numPr>
          <w:ilvl w:val="5"/>
          <w:numId w:val="1"/>
        </w:numPr>
        <w:rPr/>
      </w:pPr>
      <w:bookmarkStart w:id="350" w:name="__RefHeading___Toc6281693_3224264995"/>
      <w:bookmarkStart w:id="351" w:name="_Toc148"/>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و ینبغی التنبیه علی أمور</w:t>
      </w:r>
      <w:r>
        <w:rPr>
          <w:rFonts w:eastAsia="IRNazanin" w:cs="IRNazanin"/>
          <w:color w:val="111111"/>
          <w:sz w:val="28"/>
          <w:szCs w:val="28"/>
          <w:rtl w:val="true"/>
          <w:lang w:bidi="fa-IR"/>
        </w:rPr>
        <w:t>:</w:t>
      </w:r>
    </w:p>
    <w:p>
      <w:pPr>
        <w:pStyle w:val="Heading6"/>
        <w:numPr>
          <w:ilvl w:val="5"/>
          <w:numId w:val="1"/>
        </w:numPr>
        <w:rPr/>
      </w:pPr>
      <w:bookmarkStart w:id="352" w:name="__RefHeading___Toc6281695_3224264995"/>
      <w:bookmarkStart w:id="353" w:name="_Toc149"/>
      <w:bookmarkEnd w:id="352"/>
      <w:r>
        <w:rPr>
          <w:rtl w:val="true"/>
        </w:rPr>
        <w:t>الأوّل</w:t>
      </w:r>
      <w:bookmarkEnd w:id="353"/>
    </w:p>
    <w:p>
      <w:pPr>
        <w:pStyle w:val="BookText"/>
        <w:rPr/>
      </w:pPr>
      <w:r>
        <w:rPr>
          <w:rFonts w:ascii="IRNazanin" w:hAnsi="IRNazanin" w:eastAsia="IRNazanin"/>
          <w:color w:val="111111"/>
          <w:sz w:val="28"/>
          <w:sz w:val="28"/>
          <w:szCs w:val="28"/>
          <w:rtl w:val="true"/>
          <w:lang w:bidi="fa-IR"/>
        </w:rPr>
        <w:t>أنّه لا ینبغی الإشکال فی الجواز فی الماء الکثیر و إن قلنا بالمنع فی غیره، لاختصاص دلیل المنع بما یغتسل به 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منع هنا لمنع و لو اغتسل فی البحر </w:t>
      </w:r>
      <w:r>
        <w:rPr>
          <w:rStyle w:val="FootnoteAnchor"/>
          <w:rtl w:val="true"/>
        </w:rPr>
        <w:footnoteReference w:id="1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ینبغی أن یرتمس الجنب فی الماء الراکد، فإنّه إن کان قلیلا أفسده و لم یطهر به، و إن کان کثیرا خالف السنّة بالاغتسال فیه و لا بأس بارتماسه فی الماء الجاری و اغتساله فیه </w:t>
      </w:r>
      <w:r>
        <w:rPr>
          <w:rStyle w:val="FootnoteAnchor"/>
          <w:rtl w:val="true"/>
        </w:rPr>
        <w:footnoteReference w:id="143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تمّم الماء المستعمل کرّا فصریح المبسوط </w:t>
      </w:r>
      <w:r>
        <w:rPr>
          <w:rStyle w:val="FootnoteAnchor"/>
          <w:rtl w:val="true"/>
        </w:rPr>
        <w:footnoteReference w:id="1437"/>
      </w:r>
      <w:r>
        <w:rPr>
          <w:rFonts w:ascii="IRNazanin" w:hAnsi="IRNazanin" w:eastAsia="IRNazanin"/>
          <w:color w:val="111111"/>
          <w:sz w:val="28"/>
          <w:sz w:val="28"/>
          <w:szCs w:val="28"/>
          <w:rtl w:val="true"/>
          <w:lang w:bidi="fa-IR"/>
        </w:rPr>
        <w:t xml:space="preserve">و الوسیلة </w:t>
      </w:r>
      <w:r>
        <w:rPr>
          <w:rStyle w:val="FootnoteAnchor"/>
          <w:rtl w:val="true"/>
        </w:rPr>
        <w:footnoteReference w:id="1438"/>
      </w:r>
      <w:r>
        <w:rPr>
          <w:rFonts w:ascii="IRNazanin" w:hAnsi="IRNazanin" w:eastAsia="IRNazanin"/>
          <w:color w:val="111111"/>
          <w:sz w:val="28"/>
          <w:sz w:val="28"/>
          <w:szCs w:val="28"/>
          <w:rtl w:val="true"/>
          <w:lang w:bidi="fa-IR"/>
        </w:rPr>
        <w:t>رفع المنع معلّلا فی الأوّل بأنّه بلغ حدّا لا یحمل خبثا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تقدّم فی مسألة تتمیم الماء النجس کرّا</w:t>
      </w:r>
      <w:r>
        <w:rPr>
          <w:rFonts w:eastAsia="IRNazanin" w:cs="IRNazanin"/>
          <w:color w:val="111111"/>
          <w:sz w:val="28"/>
          <w:szCs w:val="28"/>
          <w:rtl w:val="true"/>
          <w:lang w:bidi="fa-IR"/>
        </w:rPr>
        <w:t>.</w:t>
      </w:r>
    </w:p>
    <w:p>
      <w:pPr>
        <w:pStyle w:val="Heading6"/>
        <w:numPr>
          <w:ilvl w:val="5"/>
          <w:numId w:val="1"/>
        </w:numPr>
        <w:rPr/>
      </w:pPr>
      <w:bookmarkStart w:id="354" w:name="__RefHeading___Toc6281697_3224264995"/>
      <w:bookmarkStart w:id="355" w:name="_Toc150"/>
      <w:bookmarkEnd w:id="354"/>
      <w:r>
        <w:rPr>
          <w:rtl w:val="true"/>
        </w:rPr>
        <w:t>الثانی</w:t>
      </w:r>
      <w:bookmarkEnd w:id="35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ینبغی الإشکال علی القول بالمنع فی القطرات المنتضحة من بدن المغتسل فی الإناء بل فی کلّ یسیر من الماء المستعمل الممتزج بما یضمحلّ فیه، إذ لا یصدق التوضّی منه و لا الاغتسال به مع الاضمحلال، و لیس العبرة هنا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بالاستهلاک المرادف للاستحالة حتّی یمنع تحقّقها فی امتزاج الشی‌ء بجنسه، بل المراد صیرورته بحیث لا یصدق أنّه توضّأ منه أو اغتسل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التزام الجواز مع تساویهما فی المقدار، حیث إنّ ظاهر دلیل المنع کون الاغتسال به و ظاهره انحصار الغسل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استعماله فی الغسل و إن کان بضمیمة غیره، فیختصّ الجواز بصورة الاضمحلال، و ظاهر النهی جریان الخلاف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المانعین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اغتسل الجنب فنزا الماء من الأرض فوقع فی الإناء أو سال من بدنه فی الإناء فلا بأس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 و إلی لزوم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الفضیل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الجنب یغتسل فینتضح من الأرض فی الإناء؟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هذا ممّا قال اللّٰه تعالی مٰا جَعَلَ عَلَیْکُمْ فِی الدِّینِ مِنْ حَرَجٍ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شهاب بن عبد ربّه عن أبی عبد اللّٰه علیه السلام فی الجنب یغتسل فیقطر الماء عن جسده فی الإناء فینتضح الماء من الأرض فیصیر فی الإناء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بأس بهذا کلّه</w:t>
      </w:r>
      <w:r>
        <w:rPr>
          <w:rFonts w:eastAsia="IRNazanin" w:cs="IRNazanin"/>
          <w:color w:val="111111"/>
          <w:sz w:val="28"/>
          <w:szCs w:val="28"/>
          <w:rtl w:val="true"/>
          <w:lang w:bidi="fa-IR"/>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عمر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الهّّٰ علیه السلام أغتسل من الجنابة فی مغتسل یبال فیه و یغتسل من الجنابة فیقع فی الماء ما ینزو من</w:t>
      </w:r>
      <w:bookmarkStart w:id="356" w:name="pg13031_132028"/>
    </w:p>
    <w:p>
      <w:pPr>
        <w:pStyle w:val="BookText"/>
        <w:rPr/>
      </w:pPr>
      <w:bookmarkEnd w:id="3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7" w:name="__RefHeading___Toc6281699_3224264995"/>
      <w:bookmarkStart w:id="358" w:name="_Toc151"/>
      <w:bookmarkEnd w:id="357"/>
      <w:r>
        <w:rPr>
          <w:rtl w:val="true"/>
        </w:rPr>
        <w:t>الثالث</w:t>
      </w:r>
      <w:bookmarkEnd w:id="358"/>
    </w:p>
    <w:p>
      <w:pPr>
        <w:pStyle w:val="BookText"/>
        <w:rPr/>
      </w:pPr>
      <w:r>
        <w:rPr>
          <w:rFonts w:ascii="IRNazanin" w:hAnsi="IRNazanin" w:eastAsia="IRNazanin"/>
          <w:color w:val="111111"/>
          <w:sz w:val="28"/>
          <w:sz w:val="28"/>
          <w:szCs w:val="28"/>
          <w:rtl w:val="true"/>
          <w:lang w:bidi="fa-IR"/>
        </w:rPr>
        <w:t>ظاهر العلّامة فی المنتهی و 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یشترط فی صدق المستعمل انفصاله عن البدن، حیث فرّع علی مذهب الشیخ قدّس سرّه أنّه لو اغتسل من الجنابة و بقی فی العضو لمعة لم یصبها الماء لم یجز صرف البلل الّذی علی العضو إلی تلک اللّمعة، و علّله بأنّ الشیخ قدّس سرّه لم یشترط فی الاستعمال الانفصال </w:t>
      </w:r>
      <w:r>
        <w:rPr>
          <w:rStyle w:val="FootnoteAnchor"/>
          <w:rtl w:val="true"/>
        </w:rPr>
        <w:footnoteReference w:id="144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یصیر الماء مستعملا بانفصاله عن البدن، فلو نوی المرتمس فی القلیل بعد تمام الارتماس ارتفع حدثه و صار مستعملا بالنسبة إلی غیره و إن لم یخرج </w:t>
      </w:r>
      <w:r>
        <w:rPr>
          <w:rStyle w:val="FootnoteAnchor"/>
          <w:rtl w:val="true"/>
        </w:rPr>
        <w:footnoteReference w:id="144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غرضه من هذا التفریع أنّ المراد بانفصاله انفصاله من حیث الاستعمال المحصّل للغسل، و لا یعتبر مفارقة البدن، و کأنّه أشار بذلک إلی ضعف ما فی النهایة من احتمال أن لا یصیر هذا الماء مستعملا معلّلا بأنّ الماء ما دام متردّدا علی بدن المغتسل لا یصیر مستعملا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أنّ الشهید فی الذکری صرّح بعدم اعتبار الخروج و تردّد العلّامة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التحقیق أنّ الانفصال إنّما یعتبر فی صدق الاستعمال بالنسبة إلی المغتسل، فما دام الماء متردّدا علی العضو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یحکم باستعماله، و إلّا لوجب إفراد کلّ موضع من البدن بماء جدید، و لا ریب فی بطلانه، و الأخبار ناطقة بخلافه، و البدن کلّه فی الارتماس کالعضو الواحد، و أمّا بالنسبة إلی غیر المغتسل فصدق الاستعمال بمجرّد إصابة الماء للمحلّ المغسول بقصد الغسل، و حینئذ فالمتّجه فی صورة الارتماس صیرورة الماء مستعملا بالنسبة إلی غیر المغتسل بمجرّد النیة و الارتماس، و توقّفه بالنظر إلیه علی الخروج و الانتقال، و حکم فی المنتهی بصیرورته مستعملا بالنسبة إلیهما قبل الانفصال، و الوجه ما ذکرناه </w:t>
      </w:r>
      <w:r>
        <w:rPr>
          <w:rStyle w:val="FootnoteAnchor"/>
          <w:rtl w:val="true"/>
        </w:rPr>
        <w:footnoteReference w:id="144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مستمدّا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المنع فی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الماء الّذی یغتسل به، و فی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الماء المستعمل فی رفع الحدیث، و من المعلوم أنّ المراد بهما واحد، و هو الماء المستعان به للغسل و المجعول آلة له بعد التوصّل به إلی ما قصد الاستعانة علیه، فکلّ جزء قصد تفصیلا أو إجمالا عند صبّ الماء غسله به و الاستعانة به علیه لا یصیر الماء قبل استیفائه بالغسل مستعملا، لأنّ الممنوع هو استعماله فی غیر الاستعمال المحقّق لموضوع کون الماء مغتسلا به أو مستعملا، و مجرّد استعماله فی الجزء الأوّل و إن کفی فی صدق کونه مستعملا، إلّا أنّه ما دام مشتغلا بالاستعمال قاصدا له یعدّ استعمالا واحدا، لا استعمالا آخر للمستعمل، بل یمکن التزام أنّ غرضه غسل المجموع بالمجموع علی وجه التوزیع، فعند التحقیق هذا الباقی غیر مقصود بالاستعمال فی الجزء السابق، بل صبّ لغیره، و هذا و إن لم یلتفت إلیه المغتسل تفصیلا، إلّا أنّ المرکوز فی ذهنه ذلک، و لذا </w:t>
      </w:r>
      <w:r>
        <w:rPr>
          <w:rStyle w:val="FootnoteAnchor"/>
          <w:rtl w:val="true"/>
        </w:rPr>
        <w:footnoteReference w:id="1447"/>
      </w:r>
      <w:r>
        <w:rPr>
          <w:rFonts w:ascii="IRNazanin" w:hAnsi="IRNazanin" w:eastAsia="IRNazanin"/>
          <w:color w:val="111111"/>
          <w:sz w:val="28"/>
          <w:sz w:val="28"/>
          <w:szCs w:val="28"/>
          <w:rtl w:val="true"/>
          <w:lang w:bidi="fa-IR"/>
        </w:rPr>
        <w:t>لو قصد غسل موضع بمجموع الماء ثمّ غسل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موضع آخر به، فالظاهر أنّه مستعمل، لأنّه قصد استعمال المستعمل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یلزم علی الالتزام المذکور أن یجوز لغیر المغتسل أن یأخذ ما بقی من الماء المصبوب قبل استیفاء غسل ما قصد به غسله و یستعمله، و لا أظنّ أحدا یلتزم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ما ذکرناه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کون الکلّ مستعملا فی الجزء الأوّل، إلّا أنّ استعماله فیما قصد غسله عند الصبّ من الأجزاء اللاحقة متّحد عرفا مع هذا الاستعمال و لا یعدّ استعمالا آخر للمستعمل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فیما ذکرنا بین العضوین و العضو الواحد، فلو بقی من رأسه شی‌ء فقصد عند صبّ الماء أن یغسل به بقیة رأسه و جانبه الأیمن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فرق بین المنفصل عن البدن و المتّصل، فلو صبّ الماء علی رأسه بقصد غسل مجموع الرأس و الرقبة فتساقط بعض الماء من أطراف أذنیه، جاز أن یأخذه و یستعمله فی غسل رقبته أو بقیة اذنه، لما ذکرنا من أنّ هذا الجزء الزائد عن غسل محلّه قصد به غسل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ممّا ذکرنا أیضا أنّه لو صبّ الماء علی البدن بقصد غسل جمیع ما یفی المصبوب به من دون تعیین للمغسول لم یکن مستعملا و إن بلغ إلی ما بلغ، لأنّه قاصد إجمالا لغسل کلّ جزء بما یبقی من الماء فی بدنه بعد غسل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انفصل لم یجز أخذه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و یشیر إلی جمیع ما ذکرنا روایة هشام بن سالم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أغتسل من الجنابة و غیر ذلک فی الکنیف الّذی یبال فیه و علیّ نعل سندیة، فأغتسل و علیّ النعل کما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الماء الذی</w:t>
      </w:r>
      <w:bookmarkStart w:id="359" w:name="pg13031_132031"/>
    </w:p>
    <w:p>
      <w:pPr>
        <w:pStyle w:val="BookText"/>
        <w:rPr/>
      </w:pPr>
      <w:bookmarkEnd w:id="3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یسیل من جسدک یصیب أسفل قدمیک فلا تغسل قدمیک</w:t>
      </w:r>
      <w:r>
        <w:rPr>
          <w:rFonts w:eastAsia="IRNazanin" w:cs="IRNazanin"/>
          <w:color w:val="111111"/>
          <w:sz w:val="28"/>
          <w:szCs w:val="28"/>
          <w:rtl w:val="true"/>
          <w:lang w:bidi="fa-IR"/>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إذا اغتسل بالصبّ و الاستعمال، أمّا لو ارتمس </w:t>
      </w:r>
      <w:r>
        <w:rPr>
          <w:rStyle w:val="FootnoteAnchor"/>
          <w:rtl w:val="true"/>
        </w:rPr>
        <w:footnoteReference w:id="1449"/>
      </w:r>
      <w:r>
        <w:rPr>
          <w:rFonts w:ascii="IRNazanin" w:hAnsi="IRNazanin" w:eastAsia="IRNazanin"/>
          <w:color w:val="111111"/>
          <w:sz w:val="28"/>
          <w:sz w:val="28"/>
          <w:szCs w:val="28"/>
          <w:rtl w:val="true"/>
          <w:lang w:bidi="fa-IR"/>
        </w:rPr>
        <w:t>تمام بدنه أو بعضه فی الماء القلیل، ففی صدق عنوان المستعمل و ما یغتسل به خصوصا فی بعض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غمس طرف إصبعه فی ماء ناقص عن الکرّ بیسیر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فلو ثبت الإجماع المرکّب کان الماء مستعملا بغمس تمام ما أرید غمسه، لا بمجرّد غمس بعضه، فإذا نوی خارج الماء و ارتمس فلا یصیر مستعملا إلّا بعد تمام غسله و إن لم یخرج من الماء، فإذا أراد بعد الغمس أن ینوی تحت الماء بغسل واجب آخر لم یجز</w:t>
      </w:r>
      <w:r>
        <w:rPr>
          <w:rFonts w:eastAsia="IRNazanin" w:cs="IRNazanin"/>
          <w:color w:val="111111"/>
          <w:sz w:val="28"/>
          <w:szCs w:val="28"/>
          <w:rtl w:val="true"/>
          <w:lang w:bidi="fa-IR"/>
        </w:rPr>
        <w:t>.</w:t>
      </w:r>
    </w:p>
    <w:p>
      <w:pPr>
        <w:pStyle w:val="Heading6"/>
        <w:numPr>
          <w:ilvl w:val="5"/>
          <w:numId w:val="1"/>
        </w:numPr>
        <w:rPr/>
      </w:pPr>
      <w:bookmarkStart w:id="360" w:name="__RefHeading___Toc6281701_3224264995"/>
      <w:bookmarkStart w:id="361" w:name="_Toc152"/>
      <w:bookmarkEnd w:id="360"/>
      <w:r>
        <w:rPr>
          <w:rtl w:val="true"/>
        </w:rPr>
        <w:t>الرابع</w:t>
      </w:r>
      <w:bookmarkEnd w:id="361"/>
    </w:p>
    <w:p>
      <w:pPr>
        <w:pStyle w:val="BookText"/>
        <w:rPr/>
      </w:pPr>
      <w:r>
        <w:rPr>
          <w:rFonts w:ascii="IRNazanin" w:hAnsi="IRNazanin" w:eastAsia="IRNazanin"/>
          <w:color w:val="111111"/>
          <w:sz w:val="28"/>
          <w:sz w:val="28"/>
          <w:szCs w:val="28"/>
          <w:rtl w:val="true"/>
          <w:lang w:bidi="fa-IR"/>
        </w:rPr>
        <w:t>هل یجوز إزالة النجاسة بهذا الماء أم لا؟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و هو ظاهر ما تقدّم من المقنعة </w:t>
      </w:r>
      <w:r>
        <w:rPr>
          <w:rStyle w:val="FootnoteAnchor"/>
          <w:rtl w:val="true"/>
        </w:rPr>
        <w:footnoteReference w:id="1450"/>
      </w:r>
      <w:r>
        <w:rPr>
          <w:rFonts w:ascii="IRNazanin" w:hAnsi="IRNazanin" w:eastAsia="IRNazanin"/>
          <w:color w:val="111111"/>
          <w:sz w:val="28"/>
          <w:sz w:val="28"/>
          <w:szCs w:val="28"/>
          <w:rtl w:val="true"/>
          <w:lang w:bidi="fa-IR"/>
        </w:rPr>
        <w:t xml:space="preserve">و الوسیلة </w:t>
      </w:r>
      <w:r>
        <w:rPr>
          <w:rStyle w:val="FootnoteAnchor"/>
          <w:rtl w:val="true"/>
        </w:rPr>
        <w:footnoteReference w:id="1451"/>
      </w:r>
      <w:r>
        <w:rPr>
          <w:rFonts w:ascii="IRNazanin" w:hAnsi="IRNazanin" w:eastAsia="IRNazanin"/>
          <w:color w:val="111111"/>
          <w:sz w:val="28"/>
          <w:sz w:val="28"/>
          <w:szCs w:val="28"/>
          <w:rtl w:val="true"/>
          <w:lang w:bidi="fa-IR"/>
        </w:rPr>
        <w:t xml:space="preserve">و موضع من المبسوط </w:t>
      </w:r>
      <w:r>
        <w:rPr>
          <w:rStyle w:val="FootnoteAnchor"/>
          <w:rtl w:val="true"/>
        </w:rPr>
        <w:footnoteReference w:id="1452"/>
      </w: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حکمه حکم النجس إلی أن یغتسل، فمتی لاقی الماء الّذی یصحّ فیه قبول النجاسة فسد </w:t>
      </w:r>
      <w:r>
        <w:rPr>
          <w:rStyle w:val="FootnoteAnchor"/>
          <w:rtl w:val="true"/>
        </w:rPr>
        <w:footnoteReference w:id="145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و هو للمبسوط أیضا </w:t>
      </w:r>
      <w:r>
        <w:rPr>
          <w:rStyle w:val="FootnoteAnchor"/>
          <w:rtl w:val="true"/>
        </w:rPr>
        <w:footnoteReference w:id="1454"/>
      </w:r>
      <w:r>
        <w:rPr>
          <w:rFonts w:ascii="IRNazanin" w:hAnsi="IRNazanin" w:eastAsia="IRNazanin"/>
          <w:color w:val="111111"/>
          <w:sz w:val="28"/>
          <w:sz w:val="28"/>
          <w:szCs w:val="28"/>
          <w:rtl w:val="true"/>
          <w:lang w:bidi="fa-IR"/>
        </w:rPr>
        <w:t xml:space="preserve">و فی المنتهی </w:t>
      </w:r>
      <w:r>
        <w:rPr>
          <w:rStyle w:val="FootnoteAnchor"/>
          <w:rtl w:val="true"/>
        </w:rPr>
        <w:footnoteReference w:id="1455"/>
      </w:r>
      <w:r>
        <w:rPr>
          <w:rFonts w:ascii="IRNazanin" w:hAnsi="IRNazanin" w:eastAsia="IRNazanin"/>
          <w:color w:val="111111"/>
          <w:sz w:val="28"/>
          <w:sz w:val="28"/>
          <w:szCs w:val="28"/>
          <w:rtl w:val="true"/>
          <w:lang w:bidi="fa-IR"/>
        </w:rPr>
        <w:t>و عن فخر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إجماع </w:t>
      </w:r>
      <w:r>
        <w:rPr>
          <w:rStyle w:val="FootnoteAnchor"/>
          <w:rtl w:val="true"/>
        </w:rPr>
        <w:footnoteReference w:id="1456"/>
      </w:r>
      <w:r>
        <w:rPr>
          <w:rFonts w:ascii="IRNazanin" w:hAnsi="IRNazanin" w:eastAsia="IRNazanin"/>
          <w:color w:val="111111"/>
          <w:sz w:val="28"/>
          <w:sz w:val="28"/>
          <w:szCs w:val="28"/>
          <w:rtl w:val="true"/>
          <w:lang w:bidi="fa-IR"/>
        </w:rPr>
        <w:t xml:space="preserve">و الظاهر أنّ مرادهما اتّفاق </w:t>
      </w:r>
      <w:r>
        <w:rPr>
          <w:rStyle w:val="FootnoteAnchor"/>
          <w:rtl w:val="true"/>
        </w:rPr>
        <w:footnoteReference w:id="1457"/>
      </w:r>
      <w:r>
        <w:rPr>
          <w:rFonts w:ascii="IRNazanin" w:hAnsi="IRNazanin" w:eastAsia="IRNazanin"/>
          <w:color w:val="111111"/>
          <w:sz w:val="28"/>
          <w:sz w:val="28"/>
          <w:szCs w:val="28"/>
          <w:rtl w:val="true"/>
          <w:lang w:bidi="fa-IR"/>
        </w:rPr>
        <w:t xml:space="preserve">من نسب إلیه المنع فی مسألة رفع الخبث و هو خصوص الشیخ، لأنّهما لم یذکرا جمیع من خالف فی المسألة، أو أنّ دعواهما مستنبطة من اختصاص دلیل المنع بخصوص رفع الحدث، کما یظهر من المنتهی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الإطلاقات الجواز، و لا دلیل علی المنع عدا ما ربما یتوهّم من عموم التوضّی فی روایة ابن سنان المتقدّمة </w:t>
      </w:r>
      <w:r>
        <w:rPr>
          <w:rStyle w:val="FootnoteAnchor"/>
          <w:rtl w:val="true"/>
        </w:rPr>
        <w:footnoteReference w:id="1459"/>
      </w:r>
      <w:r>
        <w:rPr>
          <w:rFonts w:ascii="IRNazanin" w:hAnsi="IRNazanin" w:eastAsia="IRNazanin"/>
          <w:color w:val="111111"/>
          <w:sz w:val="28"/>
          <w:sz w:val="28"/>
          <w:szCs w:val="28"/>
          <w:rtl w:val="true"/>
          <w:lang w:bidi="fa-IR"/>
        </w:rPr>
        <w:t xml:space="preserve">لمطلق التطهیر و لو من الخبث، فإنّ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الاستنجاء کثیر </w:t>
      </w:r>
      <w:r>
        <w:rPr>
          <w:rStyle w:val="FootnoteAnchor"/>
          <w:rtl w:val="true"/>
        </w:rPr>
        <w:footnoteReference w:id="1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ثبوت الحقیقة الشرعیة فی غیر لفظ الوضوء من مشتقّات هذه المادّة غیر ثابتة، إلّا أنّ الإنصاف ظهور صدر الروایة و ذیلها فی غیر رفع الخبث، لکنّ الظاهر شموله للوضوءات المستحبّة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شموله لما عدا الرافع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کوضوء الحائض و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 الأغسال المسنونة بعدم القول بالفصل نظر، أقربه ذلک، لما تقدّم من أنّ المطلوب فی هذه الوضوءات و 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یظهر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 به</w:t>
      </w:r>
      <w:bookmarkStart w:id="362" w:name="pg13031_132033"/>
    </w:p>
    <w:p>
      <w:pPr>
        <w:pStyle w:val="BookText"/>
        <w:rPr/>
      </w:pPr>
      <w:bookmarkEnd w:id="3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الشارع فی رفع الحدث، و لذا لا یحتاج إلی الدلیل الخاصّ فی إحراز سائر شرائط الغسل و أجزائه فیها</w:t>
      </w:r>
      <w:r>
        <w:rPr>
          <w:rFonts w:eastAsia="IRNazanin" w:cs="IRNazanin"/>
          <w:color w:val="111111"/>
          <w:sz w:val="28"/>
          <w:szCs w:val="28"/>
          <w:rtl w:val="true"/>
          <w:lang w:bidi="fa-IR"/>
        </w:rPr>
        <w:t>.</w:t>
      </w:r>
    </w:p>
    <w:p>
      <w:pPr>
        <w:pStyle w:val="Heading6"/>
        <w:numPr>
          <w:ilvl w:val="5"/>
          <w:numId w:val="1"/>
        </w:numPr>
        <w:rPr/>
      </w:pPr>
      <w:bookmarkStart w:id="363" w:name="__RefHeading___Toc6281703_3224264995"/>
      <w:bookmarkStart w:id="364" w:name="_Toc153"/>
      <w:bookmarkEnd w:id="363"/>
      <w:r>
        <w:rPr>
          <w:rtl w:val="true"/>
        </w:rPr>
        <w:t>الخامس</w:t>
      </w:r>
      <w:bookmarkEnd w:id="36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اغتسل فاسدا ففی صیرورته مستعملا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اغتسال الجنب، و من أنّ العبرة برفع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فلو نهی المالک عن رفع الحدث بمائه فارتمس فیه فهل یصیر مستعملا؟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نهی المالک فیفسد فلا یرتفع الحدث فلا یصیر مستعملا کما لو فسد غسله لمفسد آخر، و من أنّه إذا لم یصر مستعملا فیصحّ فیرتفع الحدث فیحرم فلا یصحّ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 برجوع النهی إلی رفع الحدث لو لا النهی، فافهم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bookmarkStart w:id="365" w:name="pg13031_132035"/>
    </w:p>
    <w:p>
      <w:pPr>
        <w:pStyle w:val="BookText"/>
        <w:rPr/>
      </w:pPr>
      <w:bookmarkEnd w:id="3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Heading6"/>
        <w:numPr>
          <w:ilvl w:val="5"/>
          <w:numId w:val="1"/>
        </w:numPr>
        <w:rPr/>
      </w:pPr>
      <w:bookmarkStart w:id="366" w:name="__RefHeading___Toc6281705_3224264995"/>
      <w:bookmarkStart w:id="367" w:name="_Toc154"/>
      <w:bookmarkEnd w:id="366"/>
      <w:r>
        <w:rPr>
          <w:rtl w:val="true"/>
        </w:rPr>
        <w:t>[</w:t>
      </w:r>
      <w:r>
        <w:rPr>
          <w:rtl w:val="true"/>
        </w:rPr>
        <w:t>الطرف الثالث فی الأسئار</w:t>
      </w:r>
      <w:r>
        <w:rPr>
          <w:rtl w:val="true"/>
        </w:rPr>
        <w:t>]</w:t>
      </w:r>
      <w:bookmarkEnd w:id="36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فی الأسئار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بالهمزة بعد السین، جمع سؤر، و 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البقیة من کلّ شی‌ء، أو من الطعام و الشراب، أو خصوص الماء </w:t>
      </w:r>
      <w:r>
        <w:rPr>
          <w:rStyle w:val="FootnoteAnchor"/>
          <w:rtl w:val="true"/>
        </w:rPr>
        <w:footnoteReference w:id="1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عرف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قلیل لاقی جسم حیوان </w:t>
      </w:r>
      <w:r>
        <w:rPr>
          <w:rStyle w:val="FootnoteAnchor"/>
          <w:rtl w:val="true"/>
        </w:rPr>
        <w:footnoteReference w:id="1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أراد بیان مرادهم من لفظ السؤر الواقع فی باب المیاه مقابلا للمطلق و المضاف، و هو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فی المقنعة </w:t>
      </w:r>
      <w:r>
        <w:rPr>
          <w:rStyle w:val="FootnoteAnchor"/>
          <w:rtl w:val="true"/>
        </w:rPr>
        <w:footnoteReference w:id="1463"/>
      </w:r>
      <w:r>
        <w:rPr>
          <w:rFonts w:ascii="IRNazanin" w:hAnsi="IRNazanin" w:eastAsia="IRNazanin"/>
          <w:color w:val="111111"/>
          <w:sz w:val="28"/>
          <w:sz w:val="28"/>
          <w:szCs w:val="28"/>
          <w:rtl w:val="true"/>
          <w:lang w:bidi="fa-IR"/>
        </w:rPr>
        <w:t xml:space="preserve">و السرائر </w:t>
      </w: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ظاهر جماعة </w:t>
      </w:r>
      <w:r>
        <w:rPr>
          <w:rStyle w:val="FootnoteAnchor"/>
          <w:rtl w:val="true"/>
        </w:rPr>
        <w:footnoteReference w:id="1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بإرادة هذا المعنی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إبقاء السؤر حتّی فی هذا المقام علی معناه العرفی و اشتراک غیره معه فی الحکم الثابت له شرعا من حیث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و ظاهرهم اعتبار القلّة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یستفاد من الأخبار إطلاقه علی الکثیر،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یشرب سؤر الکلب إلّا إذا کان حوضا کبیرا یستقی منه</w:t>
      </w:r>
      <w:r>
        <w:rPr>
          <w:rFonts w:eastAsia="IRNazanin" w:cs="IRNazanin"/>
          <w:color w:val="111111"/>
          <w:sz w:val="28"/>
          <w:szCs w:val="28"/>
          <w:rtl w:val="true"/>
          <w:lang w:bidi="fa-IR"/>
        </w:rPr>
        <w:t xml:space="preserve">» </w:t>
      </w:r>
      <w:r>
        <w:rPr>
          <w:rStyle w:val="FootnoteAnchor"/>
          <w:rtl w:val="true"/>
        </w:rPr>
        <w:footnoteReference w:id="1466"/>
      </w:r>
      <w:r>
        <w:rPr>
          <w:rFonts w:ascii="IRNazanin" w:hAnsi="IRNazanin" w:eastAsia="IRNazanin"/>
          <w:color w:val="111111"/>
          <w:sz w:val="28"/>
          <w:sz w:val="28"/>
          <w:szCs w:val="28"/>
          <w:rtl w:val="true"/>
          <w:lang w:bidi="fa-IR"/>
        </w:rPr>
        <w:t xml:space="preserve">و هو أیضا ظاهر التذکرة </w:t>
      </w:r>
      <w:r>
        <w:rPr>
          <w:rStyle w:val="FootnoteAnchor"/>
          <w:rtl w:val="true"/>
        </w:rPr>
        <w:footnoteReference w:id="1467"/>
      </w:r>
      <w:r>
        <w:rPr>
          <w:rFonts w:ascii="IRNazanin" w:hAnsi="IRNazanin" w:eastAsia="IRNazanin"/>
          <w:color w:val="111111"/>
          <w:sz w:val="28"/>
          <w:sz w:val="28"/>
          <w:szCs w:val="28"/>
          <w:rtl w:val="true"/>
          <w:lang w:bidi="fa-IR"/>
        </w:rPr>
        <w:t xml:space="preserve">و المحکیّ عن الهدایة </w:t>
      </w:r>
      <w:r>
        <w:rPr>
          <w:rStyle w:val="FootnoteAnchor"/>
          <w:rtl w:val="true"/>
        </w:rPr>
        <w:footnoteReference w:id="1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إطلاقه علی بقیة الطعام کما فی النهی عن أکل سؤر الفأرة </w:t>
      </w:r>
      <w:r>
        <w:rPr>
          <w:rStyle w:val="FootnoteAnchor"/>
          <w:rtl w:val="true"/>
        </w:rPr>
        <w:footnoteReference w:id="1469"/>
      </w:r>
      <w:r>
        <w:rPr>
          <w:rFonts w:ascii="IRNazanin" w:hAnsi="IRNazanin" w:eastAsia="IRNazanin"/>
          <w:color w:val="111111"/>
          <w:sz w:val="28"/>
          <w:sz w:val="28"/>
          <w:szCs w:val="28"/>
          <w:rtl w:val="true"/>
          <w:lang w:bidi="fa-IR"/>
        </w:rPr>
        <w:t>و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الهرّ سبع و لا بأس بسؤره، و إنّی لأستحیی من اللّٰه أن أدع طعاما لأنّ الهرّ أکل منه</w:t>
      </w:r>
      <w:r>
        <w:rPr>
          <w:rFonts w:eastAsia="IRNazanin" w:cs="IRNazanin"/>
          <w:color w:val="111111"/>
          <w:sz w:val="28"/>
          <w:szCs w:val="28"/>
          <w:rtl w:val="true"/>
          <w:lang w:bidi="fa-IR"/>
        </w:rPr>
        <w:t xml:space="preserve">» </w:t>
      </w:r>
      <w:r>
        <w:rPr>
          <w:rStyle w:val="FootnoteAnchor"/>
          <w:rtl w:val="true"/>
        </w:rPr>
        <w:footnoteReference w:id="1470"/>
      </w:r>
      <w:r>
        <w:rPr>
          <w:rFonts w:ascii="IRNazanin" w:hAnsi="IRNazanin" w:eastAsia="IRNazanin"/>
          <w:color w:val="111111"/>
          <w:sz w:val="28"/>
          <w:sz w:val="28"/>
          <w:szCs w:val="28"/>
          <w:rtl w:val="true"/>
          <w:lang w:bidi="fa-IR"/>
        </w:rPr>
        <w:t>فإنّ الاستشهاد قرینة عموم السؤر للمأکول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بعض الأخبار عدم اختصاصه بمباشرة الفم، لقوله علیه السلام فی خبر العیص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توضّأ من سؤر الحائض، و توضّأ من سؤر الجنب إذا کانت مأمونة ثمّ تغسل یدیها قبل أن تدخلهما الإناء، و کان رسول اللّٰه صلّی اللّٰه علیه و آله و سلّم یغتسل هو و عائشة فی إناء واحد</w:t>
      </w:r>
      <w:r>
        <w:rPr>
          <w:rFonts w:eastAsia="IRNazanin" w:cs="IRNazanin"/>
          <w:color w:val="111111"/>
          <w:sz w:val="28"/>
          <w:szCs w:val="28"/>
          <w:rtl w:val="true"/>
          <w:lang w:bidi="fa-IR"/>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فأسآر الحیوانات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w:t>
      </w:r>
      <w:r>
        <w:rPr>
          <w:rStyle w:val="FootnoteAnchor"/>
          <w:rtl w:val="true"/>
        </w:rPr>
        <w:footnoteReference w:id="1472"/>
      </w:r>
      <w:r>
        <w:rPr>
          <w:rFonts w:ascii="IRNazanin" w:hAnsi="IRNazanin" w:eastAsia="IRNazanin"/>
          <w:color w:val="111111"/>
          <w:sz w:val="28"/>
          <w:sz w:val="28"/>
          <w:szCs w:val="28"/>
          <w:rtl w:val="true"/>
          <w:lang w:bidi="fa-IR"/>
        </w:rPr>
        <w:t>طاهرة عدا سؤر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نجس العین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و الکافر و الخنزیر،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سؤر المسوخ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للمصنّف من جهة التردّد فی نجاستها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عدا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لکونهم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الغلاة من أصناف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ینکر ما علم أو علم بالضرورة کونه من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الجسد و السؤر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تفصیل ذلک إن شاء اللّٰه تعالی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التلازم بین الجسم و السؤر فی الطهارة هو المشهور و مقتضی الأدلّة، إلّا أنّ ظاهر السرائر نجاسة سؤر ما یمکن التحرّز عنه من حیوان الحضر غیر الطیر و المأکول اللحم </w:t>
      </w:r>
      <w:r>
        <w:rPr>
          <w:rStyle w:val="FootnoteAnchor"/>
          <w:rtl w:val="true"/>
        </w:rPr>
        <w:footnoteReference w:id="1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إرادته عدم جواز الاستعمال، کما یظهر من کلامه فی باب النجاسات </w:t>
      </w:r>
      <w:r>
        <w:rPr>
          <w:rStyle w:val="FootnoteAnchor"/>
          <w:rtl w:val="true"/>
        </w:rPr>
        <w:footnoteReference w:id="1474"/>
      </w:r>
      <w:r>
        <w:rPr>
          <w:rFonts w:ascii="IRNazanin" w:hAnsi="IRNazanin" w:eastAsia="IRNazanin"/>
          <w:color w:val="111111"/>
          <w:sz w:val="28"/>
          <w:sz w:val="28"/>
          <w:szCs w:val="28"/>
          <w:rtl w:val="true"/>
          <w:lang w:bidi="fa-IR"/>
        </w:rPr>
        <w:t xml:space="preserve">فیوافق ما فی المبسوط </w:t>
      </w:r>
      <w:r>
        <w:rPr>
          <w:rStyle w:val="FootnoteAnchor"/>
          <w:rtl w:val="true"/>
        </w:rPr>
        <w:footnoteReference w:id="1475"/>
      </w:r>
      <w:r>
        <w:rPr>
          <w:rFonts w:ascii="Amiri" w:hAnsi="Amiri" w:eastAsia="Amiri" w:cs="Amiri"/>
          <w:color w:val="111111"/>
          <w:sz w:val="28"/>
          <w:sz w:val="28"/>
          <w:szCs w:val="28"/>
          <w:rtl w:val="true"/>
          <w:lang w:bidi="ar-SA"/>
        </w:rPr>
        <w:t xml:space="preserve">و المهذّب </w:t>
      </w:r>
      <w:r>
        <w:rPr>
          <w:rStyle w:val="FootnoteAnchor"/>
          <w:rtl w:val="true"/>
        </w:rPr>
        <w:footnoteReference w:id="1476"/>
      </w:r>
      <w:r>
        <w:rPr>
          <w:rFonts w:ascii="IRNazanin" w:hAnsi="IRNazanin" w:eastAsia="IRNazanin"/>
          <w:color w:val="111111"/>
          <w:sz w:val="28"/>
          <w:sz w:val="28"/>
          <w:szCs w:val="28"/>
          <w:rtl w:val="true"/>
          <w:lang w:bidi="fa-IR"/>
        </w:rPr>
        <w:t xml:space="preserve">من منع الاستعمال فهم ینکرون التلازم بین طهارة السؤر و جواز استعماله و إن حکی فی المعتبر </w:t>
      </w:r>
      <w:r>
        <w:rPr>
          <w:rStyle w:val="FootnoteAnchor"/>
          <w:rtl w:val="true"/>
        </w:rPr>
        <w:footnoteReference w:id="1477"/>
      </w:r>
      <w:r>
        <w:rPr>
          <w:rFonts w:ascii="IRNazanin" w:hAnsi="IRNazanin" w:eastAsia="IRNazanin"/>
          <w:color w:val="111111"/>
          <w:sz w:val="28"/>
          <w:sz w:val="28"/>
          <w:szCs w:val="28"/>
          <w:rtl w:val="true"/>
          <w:lang w:bidi="fa-IR"/>
        </w:rPr>
        <w:t>عن المبسوط النجاسة، لکنّه تسامح فی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إرادة حقیقة النجاسة، لأنّ مرجعها إلی منع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فی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أکل لحمه یتوضّأ من سؤره و یشرب</w:t>
      </w:r>
      <w:r>
        <w:rPr>
          <w:rFonts w:eastAsia="IRNazanin" w:cs="IRNazanin"/>
          <w:color w:val="111111"/>
          <w:sz w:val="28"/>
          <w:szCs w:val="28"/>
          <w:rtl w:val="true"/>
          <w:lang w:bidi="fa-IR"/>
        </w:rPr>
        <w:t xml:space="preserve">» </w:t>
      </w:r>
      <w:r>
        <w:rPr>
          <w:rStyle w:val="FootnoteAnchor"/>
          <w:rtl w:val="true"/>
        </w:rPr>
        <w:footnoteReference w:id="1478"/>
      </w:r>
      <w:r>
        <w:rPr>
          <w:rFonts w:ascii="IRNazanin" w:hAnsi="IRNazanin" w:eastAsia="IRNazanin"/>
          <w:color w:val="111111"/>
          <w:sz w:val="28"/>
          <w:sz w:val="28"/>
          <w:szCs w:val="28"/>
          <w:rtl w:val="true"/>
          <w:lang w:bidi="fa-IR"/>
        </w:rPr>
        <w:t>فانّ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بمفهوم الوصف أو المبتدأ المتضمّن معنی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السبب المنحصر و العلّة التامّة فی جواز الوضوء بسؤر المأکول کونه مأکولا، فإذا انتفی هذا الوصف عن حیوان فی أوّل الأمر أو بعد کونه مأکولا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کالجلّال و الموطوء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انتفی جواز الوضوء و الشرب، و لو وجد غیر مأکول یجوز الوضوء بسؤره لم یکن أکل اللحم سببا منحصرا فی الجواز، لقیام غیره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و منع دلالة جملة الشرط علی انحصار السبب هو بعینه إنکار مفهومه، کما وقع من السیّد المرتضی قدّس سرّه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فظهر بهذا التقریر النظر فیما أجاب به العلّامة قدّس سرّه عن هذا الاستدلال </w:t>
      </w:r>
      <w:r>
        <w:rPr>
          <w:rStyle w:val="FootnoteAnchor"/>
          <w:rtl w:val="true"/>
        </w:rPr>
        <w:footnoteReference w:id="1480"/>
      </w:r>
      <w:r>
        <w:rPr>
          <w:rFonts w:ascii="IRNazanin" w:hAnsi="IRNazanin" w:eastAsia="IRNazanin"/>
          <w:color w:val="111111"/>
          <w:sz w:val="28"/>
          <w:sz w:val="28"/>
          <w:szCs w:val="28"/>
          <w:rtl w:val="true"/>
          <w:lang w:bidi="fa-IR"/>
        </w:rPr>
        <w:t xml:space="preserve">و ارتضاه الشیخ محمّد قدّس سرّه فی شرح الاستبصار </w:t>
      </w:r>
      <w:r>
        <w:rPr>
          <w:rStyle w:val="FootnoteAnchor"/>
          <w:rtl w:val="true"/>
        </w:rPr>
        <w:footnoteReference w:id="1481"/>
      </w:r>
      <w:r>
        <w:rPr>
          <w:rFonts w:ascii="IRNazanin" w:hAnsi="IRNazanin" w:eastAsia="IRNazanin"/>
          <w:color w:val="111111"/>
          <w:sz w:val="28"/>
          <w:sz w:val="28"/>
          <w:szCs w:val="28"/>
          <w:rtl w:val="true"/>
          <w:lang w:bidi="fa-IR"/>
        </w:rPr>
        <w:t xml:space="preserve">ردّا علی والده فی المعالم حیث انتصر للشیخ قدّس سرّه </w:t>
      </w:r>
      <w:r>
        <w:rPr>
          <w:rStyle w:val="FootnoteAnchor"/>
          <w:rtl w:val="true"/>
        </w:rPr>
        <w:footnoteReference w:id="1482"/>
      </w:r>
      <w:r>
        <w:rPr>
          <w:rFonts w:ascii="IRNazanin" w:hAnsi="IRNazanin" w:eastAsia="IRNazanin"/>
          <w:color w:val="111111"/>
          <w:sz w:val="28"/>
          <w:sz w:val="28"/>
          <w:szCs w:val="28"/>
          <w:rtl w:val="true"/>
          <w:lang w:bidi="fa-IR"/>
        </w:rPr>
        <w:t>بما أوضحناه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یکفی فی المفهوم انقسام غیر المأکول إلی ما لا یجوز الوضوء بسؤره و إلی ما یجوز، فلیس سالبة کلّیة و إنّما هو سالب الکلّیة، و قد أوضحنا ذلک أیضا فی مسألة الغسالة </w:t>
      </w:r>
      <w:r>
        <w:rPr>
          <w:rStyle w:val="FootnoteAnchor"/>
          <w:rtl w:val="true"/>
        </w:rPr>
        <w:footnoteReference w:id="1483"/>
      </w:r>
      <w:r>
        <w:rPr>
          <w:rFonts w:ascii="IRNazanin" w:hAnsi="IRNazanin" w:eastAsia="IRNazanin"/>
          <w:color w:val="111111"/>
          <w:sz w:val="28"/>
          <w:sz w:val="28"/>
          <w:szCs w:val="28"/>
          <w:rtl w:val="true"/>
          <w:lang w:bidi="fa-IR"/>
        </w:rPr>
        <w:t>عند التکلّم فی مفهوم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ذلک بعدم المقاومة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صحّة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دلالة، لأنّ اللازم من الأخذ بظاهرها من التحریم تخصیص لأکثر ما دلّ علی طهارة بعض الأسئار، کسؤر الهرّة معلّلا بطهارتها </w:t>
      </w:r>
      <w:r>
        <w:rPr>
          <w:rStyle w:val="FootnoteAnchor"/>
          <w:rtl w:val="true"/>
        </w:rPr>
        <w:footnoteReference w:id="1485"/>
      </w:r>
      <w:r>
        <w:rPr>
          <w:rFonts w:ascii="IRNazanin" w:hAnsi="IRNazanin" w:eastAsia="IRNazanin"/>
          <w:color w:val="111111"/>
          <w:sz w:val="28"/>
          <w:sz w:val="28"/>
          <w:szCs w:val="28"/>
          <w:rtl w:val="true"/>
          <w:lang w:bidi="fa-IR"/>
        </w:rPr>
        <w:t xml:space="preserve">و نجاسة بعضها کسؤر الکلب معلّلا بنجاسته </w:t>
      </w:r>
      <w:r>
        <w:rPr>
          <w:rStyle w:val="FootnoteAnchor"/>
          <w:rtl w:val="true"/>
        </w:rPr>
        <w:footnoteReference w:id="1486"/>
      </w:r>
      <w:r>
        <w:rPr>
          <w:rFonts w:ascii="IRNazanin" w:hAnsi="IRNazanin" w:eastAsia="IRNazanin"/>
          <w:color w:val="111111"/>
          <w:sz w:val="28"/>
          <w:sz w:val="28"/>
          <w:szCs w:val="28"/>
          <w:rtl w:val="true"/>
          <w:lang w:bidi="fa-IR"/>
        </w:rPr>
        <w:t xml:space="preserve">و جواز استعمال سؤر ما عدا الکلب </w:t>
      </w:r>
      <w:r>
        <w:rPr>
          <w:rStyle w:val="FootnoteAnchor"/>
          <w:rtl w:val="true"/>
        </w:rPr>
        <w:footnoteReference w:id="1487"/>
      </w:r>
      <w:r>
        <w:rPr>
          <w:rFonts w:ascii="IRNazanin" w:hAnsi="IRNazanin" w:eastAsia="IRNazanin"/>
          <w:color w:val="111111"/>
          <w:sz w:val="28"/>
          <w:sz w:val="28"/>
          <w:szCs w:val="28"/>
          <w:rtl w:val="true"/>
          <w:lang w:bidi="fa-IR"/>
        </w:rPr>
        <w:t>فاللازم حمله علی الکراهة و أنّ البأس المنفیّ فی المنطوق أعمّ من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سؤر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المتغذّی بعذرة الإنسان إلی حدّ یحرم لحمه علی الوجه المذکور فی باب الأطعمة و الأشربة، لإطلاق ما تقدّم فی سؤر کلّ طاهر و إن حرم أکله بناء علی طهارة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الشیخ </w:t>
      </w:r>
      <w:r>
        <w:rPr>
          <w:rStyle w:val="FootnoteAnchor"/>
          <w:rtl w:val="true"/>
        </w:rPr>
        <w:footnoteReference w:id="1488"/>
      </w:r>
      <w:r>
        <w:rPr>
          <w:rFonts w:ascii="Amiri" w:hAnsi="Amiri" w:eastAsia="Amiri" w:cs="Amiri"/>
          <w:color w:val="111111"/>
          <w:sz w:val="28"/>
          <w:sz w:val="28"/>
          <w:szCs w:val="28"/>
          <w:rtl w:val="true"/>
          <w:lang w:bidi="ar-SA"/>
        </w:rPr>
        <w:t xml:space="preserve">و السیّد </w:t>
      </w:r>
      <w:r>
        <w:rPr>
          <w:rStyle w:val="FootnoteAnchor"/>
          <w:rtl w:val="true"/>
        </w:rPr>
        <w:footnoteReference w:id="1489"/>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490"/>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لهم بعدم خلوّ لعابه عن النجاسة و نقض ببصاق شارب الخمر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سؤر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الجیف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ما ذکر فی الجلّال مع حلّیة أکل بعض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الحکم فیهما کغیرهما من الحیوانات الطاهرة المزاولة للنجاسات مقیّد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خلا موضع الملاقاة من عین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المتنجّس و عبّر بعضهم بأثرها </w:t>
      </w:r>
      <w:r>
        <w:rPr>
          <w:rStyle w:val="FootnoteAnchor"/>
          <w:rtl w:val="true"/>
        </w:rPr>
        <w:footnoteReference w:id="1492"/>
      </w:r>
      <w:r>
        <w:rPr>
          <w:rFonts w:ascii="IRNazanin" w:hAnsi="IRNazanin" w:eastAsia="IRNazanin"/>
          <w:color w:val="111111"/>
          <w:sz w:val="28"/>
          <w:sz w:val="28"/>
          <w:szCs w:val="28"/>
          <w:rtl w:val="true"/>
          <w:lang w:bidi="fa-IR"/>
        </w:rPr>
        <w:t>و المراد أثره الحسّی لا الشرعیّ، ففی عبارات الکلّ دلالة علی عدم اعتبار طهارة موضع الملاقاة بعد ملاقاة النجاسة بالماء المطهّر، و أنّه لا یجری هنا استصحاب تنجّس موضع الملاقاة و إن علم عدم وجود المطهّر، و هو إجماع</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حکی عن النهایة اعتبار احتمال حصول طهارته بوروده علی کثیر مطلق أو ورود المطر أو القلیل علیه </w:t>
      </w:r>
      <w:r>
        <w:rPr>
          <w:rStyle w:val="FootnoteAnchor"/>
          <w:rtl w:val="true"/>
        </w:rPr>
        <w:footnoteReference w:id="1493"/>
      </w:r>
      <w:r>
        <w:rPr>
          <w:rFonts w:ascii="Amiri" w:hAnsi="Amiri" w:eastAsia="Amiri" w:cs="Amiri"/>
          <w:color w:val="111111"/>
          <w:sz w:val="28"/>
          <w:sz w:val="28"/>
          <w:szCs w:val="28"/>
          <w:rtl w:val="true"/>
          <w:lang w:bidi="ar-SA"/>
        </w:rPr>
        <w:t>إلّا أنّ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ادّعاه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الحدائق </w:t>
      </w:r>
      <w:r>
        <w:rPr>
          <w:rStyle w:val="FootnoteAnchor"/>
          <w:rtl w:val="true"/>
        </w:rPr>
        <w:footnoteReference w:id="1494"/>
      </w:r>
      <w:r>
        <w:rPr>
          <w:rFonts w:ascii="IRNazanin" w:hAnsi="IRNazanin" w:eastAsia="IRNazanin"/>
          <w:color w:val="111111"/>
          <w:sz w:val="28"/>
          <w:sz w:val="28"/>
          <w:szCs w:val="28"/>
          <w:rtl w:val="true"/>
          <w:lang w:bidi="fa-IR"/>
        </w:rPr>
        <w:t xml:space="preserve">و غیره </w:t>
      </w:r>
      <w:r>
        <w:rPr>
          <w:rStyle w:val="FootnoteAnchor"/>
          <w:rtl w:val="true"/>
        </w:rPr>
        <w:footnoteReference w:id="1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اعتبار الاحتمال أیضا و الحکم بطهارة السؤر مع القطع بعدم حصول المطهّر الشرعیّ، فقد صرّحوا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المبسوط </w:t>
      </w:r>
      <w:r>
        <w:rPr>
          <w:rStyle w:val="FootnoteAnchor"/>
          <w:rtl w:val="true"/>
        </w:rPr>
        <w:footnoteReference w:id="1496"/>
      </w:r>
      <w:r>
        <w:rPr>
          <w:rFonts w:ascii="IRNazanin" w:hAnsi="IRNazanin" w:eastAsia="IRNazanin"/>
          <w:color w:val="111111"/>
          <w:sz w:val="28"/>
          <w:sz w:val="28"/>
          <w:szCs w:val="28"/>
          <w:rtl w:val="true"/>
          <w:lang w:bidi="fa-IR"/>
        </w:rPr>
        <w:t xml:space="preserve">و السرائر </w:t>
      </w:r>
      <w:r>
        <w:rPr>
          <w:rStyle w:val="FootnoteAnchor"/>
          <w:rtl w:val="true"/>
        </w:rPr>
        <w:footnoteReference w:id="1497"/>
      </w:r>
      <w:r>
        <w:rPr>
          <w:rFonts w:ascii="IRNazanin" w:hAnsi="IRNazanin" w:eastAsia="IRNazanin"/>
          <w:color w:val="111111"/>
          <w:sz w:val="28"/>
          <w:sz w:val="28"/>
          <w:szCs w:val="28"/>
          <w:rtl w:val="true"/>
          <w:lang w:bidi="fa-IR"/>
        </w:rPr>
        <w:t xml:space="preserve">و المعتبر </w:t>
      </w:r>
      <w:r>
        <w:rPr>
          <w:rStyle w:val="FootnoteAnchor"/>
          <w:rtl w:val="true"/>
        </w:rPr>
        <w:footnoteReference w:id="1498"/>
      </w:r>
      <w:r>
        <w:rPr>
          <w:rFonts w:ascii="IRNazanin" w:hAnsi="IRNazanin" w:eastAsia="IRNazanin"/>
          <w:color w:val="111111"/>
          <w:sz w:val="28"/>
          <w:sz w:val="28"/>
          <w:szCs w:val="28"/>
          <w:rtl w:val="true"/>
          <w:lang w:bidi="fa-IR"/>
        </w:rPr>
        <w:t xml:space="preserve">و التذکرة </w:t>
      </w:r>
      <w:r>
        <w:rPr>
          <w:rStyle w:val="FootnoteAnchor"/>
          <w:rtl w:val="true"/>
        </w:rPr>
        <w:footnoteReference w:id="1499"/>
      </w:r>
      <w:r>
        <w:rPr>
          <w:rFonts w:ascii="IRNazanin" w:hAnsi="IRNazanin" w:eastAsia="IRNazanin"/>
          <w:color w:val="111111"/>
          <w:sz w:val="28"/>
          <w:sz w:val="28"/>
          <w:szCs w:val="28"/>
          <w:rtl w:val="true"/>
          <w:lang w:bidi="fa-IR"/>
        </w:rPr>
        <w:t xml:space="preserve">و غیرها </w:t>
      </w:r>
      <w:r>
        <w:rPr>
          <w:rStyle w:val="FootnoteAnchor"/>
          <w:rtl w:val="true"/>
        </w:rPr>
        <w:footnoteReference w:id="1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أکلت الهرّة فأرة ثمّ شربت من ماء قلیل لم ینجس غابت الهرّة أو لم تغب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یحقّق الشهرة بل یظهر منه الاتّفاق أنّ الأصحاب بین مفت بکراهة سؤر الجلّال و آکل الجیف و مانع منه، و لم یستند المانع إلّا إلی التعبّد أو وجود أجزاء النجاسة فی لعابه، فاتّفق المانعون و المجوّزون علی أنّ ملاقاة فمه للنجاسة مع العلم العادی غالبا بعدم ملاقاة المطهّر الشرعیّ بعد أکل العذرة و الجیفة لا یؤثّر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تحقّق الشهرة فی المسألة، بل عن الشیخ فی الخلاف دعوی الإجماع علیه مستکشفا ذلک من أنّ الأصحاب حکموا بطهارة سؤر الهرّة </w:t>
      </w:r>
      <w:r>
        <w:rPr>
          <w:rStyle w:val="FootnoteAnchor"/>
          <w:rtl w:val="true"/>
        </w:rPr>
        <w:footnoteReference w:id="1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دعوی ورودها فی مقام بیان حکم سؤر الهرّة من حیث الطهارة و النجاسة الذاتیتین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به تعلیل الطهارة فی بعض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الهرّة سبع </w:t>
      </w:r>
      <w:r>
        <w:rPr>
          <w:rStyle w:val="FootnoteAnchor"/>
          <w:rtl w:val="true"/>
        </w:rPr>
        <w:footnoteReference w:id="1502"/>
      </w:r>
      <w:r>
        <w:rPr>
          <w:rFonts w:ascii="IRNazanin" w:hAnsi="IRNazanin" w:eastAsia="IRNazanin"/>
          <w:color w:val="111111"/>
          <w:sz w:val="28"/>
          <w:sz w:val="28"/>
          <w:szCs w:val="28"/>
          <w:rtl w:val="true"/>
          <w:lang w:bidi="fa-IR"/>
        </w:rPr>
        <w:t xml:space="preserve">کتعلیل نجاسة سؤر الکلب بأنّه نجس </w:t>
      </w:r>
      <w:r>
        <w:rPr>
          <w:rStyle w:val="FootnoteAnchor"/>
          <w:rtl w:val="true"/>
        </w:rPr>
        <w:footnoteReference w:id="1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کون حکم السؤر من حیث تنجّس الحیوان بالنجاسة العرضیة هی النجاسة، ممنوعة بعد کون الغالب فی الحیوان ملاقاته للنجاسة بل کونه دائما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محکوما بالتنجّس و لو بحکم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إرادة طهارة السؤر علی الإطلاق لا خصوص الطهارة الذاتیة ما وقع فی النصّ و الفتوی </w:t>
      </w:r>
      <w:r>
        <w:rPr>
          <w:rStyle w:val="FootnoteAnchor"/>
          <w:rtl w:val="true"/>
        </w:rPr>
        <w:footnoteReference w:id="1504"/>
      </w:r>
      <w:r>
        <w:rPr>
          <w:rFonts w:ascii="IRNazanin" w:hAnsi="IRNazanin" w:eastAsia="IRNazanin"/>
          <w:color w:val="111111"/>
          <w:sz w:val="28"/>
          <w:sz w:val="28"/>
          <w:szCs w:val="28"/>
          <w:rtl w:val="true"/>
          <w:lang w:bidi="fa-IR"/>
        </w:rPr>
        <w:t>من استثناء صورة وجود النجاسة العینیة علی جسم ذی السؤر، فإنّه لا وقع لهذا الاستثناء مع إرادة الطهارة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خبر عمّار و قد سأله عن ماء یشرب منه باز أو صقر أو عقاب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من الطیر یتوضّأ ممّا یشرب منه، إلّا أن تری فی منقاره دما، فإن رأیت فی منقاره دما فلا تتوضّأ منه و لا تشرب</w:t>
      </w:r>
      <w:r>
        <w:rPr>
          <w:rFonts w:eastAsia="IRNazanin" w:cs="IRNazanin"/>
          <w:color w:val="111111"/>
          <w:sz w:val="28"/>
          <w:szCs w:val="28"/>
          <w:rtl w:val="true"/>
          <w:lang w:bidi="fa-IR"/>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یمکن أن یستدلّ به فی المقام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المرویة فی التهذیب و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الفأرة و الحمّامة و الدجاجة و أشباهها تطأ العذرة ثمّ تطأ الثوب، أ یغسل الثوب؟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استبان من أثره شی‌ء فاغسله، و إلّا فلا بأس</w:t>
      </w:r>
      <w:r>
        <w:rPr>
          <w:rFonts w:eastAsia="IRNazanin" w:cs="IRNazanin"/>
          <w:color w:val="111111"/>
          <w:sz w:val="28"/>
          <w:szCs w:val="28"/>
          <w:rtl w:val="true"/>
          <w:lang w:bidi="fa-IR"/>
        </w:rPr>
        <w:t xml:space="preserve">» </w:t>
      </w:r>
      <w:r>
        <w:rPr>
          <w:rStyle w:val="FootnoteAnchor"/>
          <w:rtl w:val="true"/>
        </w:rPr>
        <w:footnoteReference w:id="1506"/>
      </w:r>
      <w:r>
        <w:rPr>
          <w:rFonts w:ascii="IRNazanin" w:hAnsi="IRNazanin" w:eastAsia="IRNazanin"/>
          <w:color w:val="111111"/>
          <w:sz w:val="28"/>
          <w:sz w:val="28"/>
          <w:szCs w:val="28"/>
          <w:rtl w:val="true"/>
          <w:lang w:bidi="fa-IR"/>
        </w:rPr>
        <w:t>فإنّ ترک الاستفصال عن رطوبة الثوب و یبوسته و الاستفصال عن وجود عین النجاسة و عدمها، دلیل علی أنّ الثوب لا یتنجّس إلّا عن النجاسة العینیة الموجودة علی الحیوان، لا من نفس الحیوان و إن لاقی النجاسة، و إلّا لوجب الاستفصال عن رطوبة الثوب و لغا الاستفصال بوجود عین النجاسة و عدمها، کما لا یخفی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الثوب فی الیابس فحسن الاستفصال من وجود عین النجاسة، ممنوعة، إذ لا سند للظهور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تأمّلت الروایة وجدتها أوضح دلالة من أخبار السؤر و خبر عمّار </w:t>
      </w:r>
      <w:r>
        <w:rPr>
          <w:rStyle w:val="FootnoteAnchor"/>
          <w:rtl w:val="true"/>
        </w:rPr>
        <w:footnoteReference w:id="1507"/>
      </w:r>
      <w:r>
        <w:rPr>
          <w:rFonts w:ascii="IRNazanin" w:hAnsi="IRNazanin" w:eastAsia="IRNazanin"/>
          <w:color w:val="111111"/>
          <w:sz w:val="28"/>
          <w:sz w:val="28"/>
          <w:szCs w:val="28"/>
          <w:rtl w:val="true"/>
          <w:lang w:bidi="fa-IR"/>
        </w:rPr>
        <w:t>لما تقدّم فی أخبار السؤر من ظهورها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مع قطع النظر عن فهم الأصحاب فی الطهارة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الاستثناء فی خبر عمّار، فلأجل کون السؤال عن الطهارة الفعلیة، فلم یعلم </w:t>
      </w:r>
      <w:r>
        <w:rPr>
          <w:rStyle w:val="FootnoteAnchor"/>
          <w:rtl w:val="true"/>
        </w:rPr>
        <w:footnoteReference w:id="1508"/>
      </w:r>
      <w:r>
        <w:rPr>
          <w:rFonts w:ascii="IRNazanin" w:hAnsi="IRNazanin" w:eastAsia="IRNazanin"/>
          <w:color w:val="111111"/>
          <w:sz w:val="28"/>
          <w:sz w:val="28"/>
          <w:szCs w:val="28"/>
          <w:rtl w:val="true"/>
          <w:lang w:bidi="fa-IR"/>
        </w:rPr>
        <w:t>کون المقام إلّا مقام بیان الطهارة الفعلیة بعد إحراز الطهارة الذاتیة بطهارة عین هذه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غلبة ملاقاة الهرّة و غیرها للنجاسات لا توجب العموم فی روایات السؤر لصورة العلم بعدم الطهارة الشرعیة بعد الملاقاة، و لذا ورد فی طهارة ثیاب المشرکین و أوانیهم ما ورد من الجواز </w:t>
      </w:r>
      <w:r>
        <w:rPr>
          <w:rStyle w:val="FootnoteAnchor"/>
          <w:rtl w:val="true"/>
        </w:rPr>
        <w:footnoteReference w:id="1509"/>
      </w:r>
      <w:r>
        <w:rPr>
          <w:rFonts w:ascii="IRNazanin" w:hAnsi="IRNazanin" w:eastAsia="IRNazanin"/>
          <w:color w:val="111111"/>
          <w:sz w:val="28"/>
          <w:sz w:val="28"/>
          <w:szCs w:val="28"/>
          <w:rtl w:val="true"/>
          <w:lang w:bidi="fa-IR"/>
        </w:rPr>
        <w:t>مع أنّ أحدا لم یقل فیهما بکونهما کالسؤر فی عدم اعتبار العلم بملاقاة النجاسة إذا لم یوجد العین،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نلتزم بذلک فی أوانی المشرکین و ثیابهم لتقیّدها فی بعض الأخبار بصورة عدم العلم باستعمالهما بملاقاة النجاسة </w:t>
      </w:r>
      <w:r>
        <w:rPr>
          <w:rStyle w:val="FootnoteAnchor"/>
          <w:rtl w:val="true"/>
        </w:rPr>
        <w:footnoteReference w:id="1510"/>
      </w:r>
      <w:r>
        <w:rPr>
          <w:rFonts w:ascii="IRNazanin" w:hAnsi="IRNazanin" w:eastAsia="IRNazanin"/>
          <w:color w:val="111111"/>
          <w:sz w:val="28"/>
          <w:sz w:val="28"/>
          <w:szCs w:val="28"/>
          <w:rtl w:val="true"/>
          <w:lang w:bidi="fa-IR"/>
        </w:rPr>
        <w:t>بخلاف ما نحن فیه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 أنّ النظر فی أخبار أوانی المشرکین و ثیابهم المللبوسة و المنسوجة إلی 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بعضها </w:t>
      </w:r>
      <w:r>
        <w:rPr>
          <w:rStyle w:val="FootnoteAnchor"/>
          <w:rtl w:val="true"/>
        </w:rPr>
        <w:footnoteReference w:id="1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نحن فیه، فإنّ الأخبار الواردة فی أسآر ما یعلم طهارته من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کالحمام و الدجاجة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یستثن فیها إلّا صورة وجود النجاسة علی جسم الحیوان </w:t>
      </w:r>
      <w:r>
        <w:rPr>
          <w:rStyle w:val="FootnoteAnchor"/>
          <w:rtl w:val="true"/>
        </w:rPr>
        <w:footnoteReference w:id="1512"/>
      </w:r>
      <w:r>
        <w:rPr>
          <w:rFonts w:ascii="IRNazanin" w:hAnsi="IRNazanin" w:eastAsia="IRNazanin"/>
          <w:color w:val="111111"/>
          <w:sz w:val="28"/>
          <w:sz w:val="28"/>
          <w:szCs w:val="28"/>
          <w:rtl w:val="true"/>
          <w:lang w:bidi="fa-IR"/>
        </w:rPr>
        <w:t>و المناسب علی تقدیر إناطة الحکم بأصالة الطهارة استثناء صورة العلم بتنجّس نفس الجسم، إلّا أن یدّعی أنّ العلم بوجود النجاسة یراد 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خلاف بین الأصحاب فی أنّ جسم الحیوانات لا یعامل معها معاملة غیرها من کفایة العلم بنجاستها فی زمان فی وجوب الاجتناب عنها إلی أن یعلم طهارتها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وجه محکیّ عن الشافعی </w:t>
      </w:r>
      <w:r>
        <w:rPr>
          <w:rStyle w:val="FootnoteAnchor"/>
          <w:rtl w:val="true"/>
        </w:rPr>
        <w:footnoteReference w:id="1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کاف بضمیمة ما تقدّم من الأخبار و دعوی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صورة العلم بعدم المزیل الشرعیّ فهو مورد الخلاف، إلّا أنّ أکثر من تعرّض للمسألة عمّم الحکم لها، إلّا العلّامة فی النهایة حیث اشترط احتمال حصول المزیل الشرعیّ بورود الحیوان علی کرّ أو جار </w:t>
      </w:r>
      <w:r>
        <w:rPr>
          <w:rStyle w:val="FootnoteAnchor"/>
          <w:rtl w:val="true"/>
        </w:rPr>
        <w:footnoteReference w:id="1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هذه المسألة مستثناة فی الحقیقة عن مسألة اعتبار استصحاب النجاسة أو حکومة استصحابها علی استصحاب طهارة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مخالف لإحدی قواعد اقتضتها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تنجیس النجاسات العینیة لما یلاقیها حتّی أجسام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زوال نجاسة المتنجّس و لو کان جسم حیوان بمجرّد زوال عین النجاسة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المتنجّس و لو کان جسم حیوان لما یلاقیه من المیاه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النجاسة إذا ثبت فی محلّ فهی مستصحبة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نجاسة الشی‌ء حاکم علی استصحاب طهارة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فلو بنی علی إخراج ما نحن فیه عن إحدی الثلاث الأول عمّ الحکم لصورة العلم بعدم ورود المزیل الشرعیّ، و لو بنی علی عمومها تعیّن إخراج ما نحن فیه من إحدی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المطابق لإطلاق أخبار الباب هو الأوّل، فإنّ الأخبار المذکورة إمّا مسوقة لبیان الطهارة الذاتیة فلا دخل لها فیما نحن فیه، و إمّا مسوقة للطهارة الفعلیة بملاحظة ملاقاة النجاسة الخارجیة فلا وجه لتقییدها بصورة احتمال زوال نجاستها بمطهّر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الأولی إخراج المقام من القاعدة الثالثة </w:t>
      </w:r>
      <w:r>
        <w:rPr>
          <w:rStyle w:val="FootnoteAnchor"/>
          <w:rtl w:val="true"/>
        </w:rPr>
        <w:footnoteReference w:id="1515"/>
      </w:r>
      <w:r>
        <w:rPr>
          <w:rFonts w:ascii="IRNazanin" w:hAnsi="IRNazanin" w:eastAsia="IRNazanin"/>
          <w:color w:val="111111"/>
          <w:sz w:val="28"/>
          <w:sz w:val="28"/>
          <w:szCs w:val="28"/>
          <w:rtl w:val="true"/>
          <w:lang w:bidi="fa-IR"/>
        </w:rPr>
        <w:t>لأصالة بقاء الأوّلین علی عمومهما، و لا یرد ذلک فی الثالثة لأنّ مستندها راجع إلی الاستصحاب، فیصلح أخبار الباب للورود علیه بجعل زوال العین من جملة المطهّرات، فلا یلزم من ذلک طرح الاستصحاب،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الاستصحاب فی الحکم الشرعیّ محلّ کلام، و إن کان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فی مثل ذلک ممّا اتّفق علی اعتباره و یسمّی مثله بعموم النصّ، إلّا أنّه غیر ثابت، مضافا إلی أنّ التخصیص فی القاعدتین الأولیین فی غایة الندرة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انفعل لم ینفصل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یدّعی أنّ النجاسة إمّا أن تؤثّر فی المحلّ الرطب أو المائع أو یتأثّر منه، و لیس فی الشرع غیر ذلک، و هذا بخلاف زوال النجاسة بزوال العین، فإنّه قد وجد إجماعا فی بعض المواضع، مثل تطهیر الشمس و الأرض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و الاستحالة، و قد قال السیّد بطهارة کلّ جسم صقیل بزوال عین النجاسة مستدلّا بأنّ الغرض زوال العین </w:t>
      </w:r>
      <w:r>
        <w:rPr>
          <w:rStyle w:val="FootnoteAnchor"/>
          <w:rtl w:val="true"/>
        </w:rPr>
        <w:footnoteReference w:id="1516"/>
      </w:r>
      <w:r>
        <w:rPr>
          <w:rFonts w:ascii="IRNazanin" w:hAnsi="IRNazanin" w:eastAsia="IRNazanin"/>
          <w:color w:val="111111"/>
          <w:sz w:val="28"/>
          <w:sz w:val="28"/>
          <w:szCs w:val="28"/>
          <w:rtl w:val="true"/>
          <w:lang w:bidi="fa-IR"/>
        </w:rPr>
        <w:t xml:space="preserve">و قد ذکر الشیخ فی التهذیب و الاستبصار أنّه إذا مضی علی عظم المیتة سنة لم یجب غسل الثوب منه </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صورة رطوبة الثوب، و هو و إن کان ضعیفا، إلّا أنّ المقصود من ذکره الاستیناس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جزم جماعة کالشهیدین </w:t>
      </w:r>
      <w:r>
        <w:rPr>
          <w:rStyle w:val="FootnoteAnchor"/>
          <w:rtl w:val="true"/>
        </w:rPr>
        <w:footnoteReference w:id="1518"/>
      </w:r>
      <w:r>
        <w:rPr>
          <w:rFonts w:ascii="IRNazanin" w:hAnsi="IRNazanin" w:eastAsia="IRNazanin"/>
          <w:color w:val="111111"/>
          <w:sz w:val="28"/>
          <w:sz w:val="28"/>
          <w:szCs w:val="28"/>
          <w:rtl w:val="true"/>
          <w:lang w:bidi="fa-IR"/>
        </w:rPr>
        <w:t xml:space="preserve">و المحقّق الثانی فی الجعفریة </w:t>
      </w:r>
      <w:r>
        <w:rPr>
          <w:rStyle w:val="FootnoteAnchor"/>
          <w:rtl w:val="true"/>
        </w:rPr>
        <w:footnoteReference w:id="1519"/>
      </w:r>
      <w:r>
        <w:rPr>
          <w:rFonts w:ascii="IRNazanin" w:hAnsi="IRNazanin" w:eastAsia="IRNazanin"/>
          <w:color w:val="111111"/>
          <w:sz w:val="28"/>
          <w:sz w:val="28"/>
          <w:szCs w:val="28"/>
          <w:rtl w:val="true"/>
          <w:lang w:bidi="fa-IR"/>
        </w:rPr>
        <w:t xml:space="preserve">و شارحیها </w:t>
      </w:r>
      <w:r>
        <w:rPr>
          <w:rStyle w:val="FootnoteAnchor"/>
          <w:rtl w:val="true"/>
        </w:rPr>
        <w:footnoteReference w:id="1520"/>
      </w:r>
      <w:r>
        <w:rPr>
          <w:rFonts w:ascii="IRNazanin" w:hAnsi="IRNazanin" w:eastAsia="IRNazanin"/>
          <w:color w:val="111111"/>
          <w:sz w:val="28"/>
          <w:sz w:val="28"/>
          <w:szCs w:val="28"/>
          <w:rtl w:val="true"/>
          <w:lang w:bidi="fa-IR"/>
        </w:rPr>
        <w:t xml:space="preserve">و صاحب الموجز </w:t>
      </w:r>
      <w:r>
        <w:rPr>
          <w:rStyle w:val="FootnoteAnchor"/>
          <w:rtl w:val="true"/>
        </w:rPr>
        <w:footnoteReference w:id="1521"/>
      </w:r>
      <w:r>
        <w:rPr>
          <w:rFonts w:ascii="IRNazanin" w:hAnsi="IRNazanin" w:eastAsia="IRNazanin"/>
          <w:color w:val="111111"/>
          <w:sz w:val="28"/>
          <w:sz w:val="28"/>
          <w:szCs w:val="28"/>
          <w:rtl w:val="true"/>
          <w:lang w:bidi="fa-IR"/>
        </w:rPr>
        <w:t xml:space="preserve">و شارحه </w:t>
      </w:r>
      <w:r>
        <w:rPr>
          <w:rStyle w:val="FootnoteAnchor"/>
          <w:rtl w:val="true"/>
        </w:rPr>
        <w:footnoteReference w:id="1522"/>
      </w:r>
      <w:r>
        <w:rPr>
          <w:rFonts w:ascii="IRNazanin" w:hAnsi="IRNazanin" w:eastAsia="IRNazanin"/>
          <w:color w:val="111111"/>
          <w:sz w:val="28"/>
          <w:sz w:val="28"/>
          <w:szCs w:val="28"/>
          <w:rtl w:val="true"/>
          <w:lang w:bidi="fa-IR"/>
        </w:rPr>
        <w:t>علی ما اخترناه حیث عدّوا زوال العین من المطهّرات فی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ثمرة یترتّب علی الحکم بنجاسة الحیوان بملاقاة عین النجاسة، لأنّ آثار النجاسة ما دامت العین مستندة إلیها، و مع زوالها فالمفروض الطهارة، فیقوی أن یکون مراد من حکم بالطهارة بزوال العین عدم انفعاله بالملاقاة نظیر حکمهم بطهر البواطن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مدفوع بأنّ عدم ظهور الثمرة لا یقتضی رفع الید عن القواعد، فإذا اقتضت القاعدة العمل بالعموم فی انفعال کلّ ملاقی للنجس وجب القول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به، و إذا دلّ الدلیل علی عدم ترتّب أحکام النجاسة بعد زوال العین حکم بطهارة المحلّ بعد النجاسة، بل بناء المحصّلین لقواعد الاستدلال ارتکاب تقدیر المعدوم موجودا و الموجود معدوما إذا اقتضته القواعد، مع أنّ الثمرة فی بعض الموارد ربما تظهر للمتأمّل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 الحکم فی طهر البواطن کذلک کما هو ظاهر کلماتهم فی عدّ زوال العین من المطهّرات العشر فی البواطن و الحیوان غیر الآدمی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مستند الکراهة فی سؤر الجلّال و آکل الجیف، و لعلّه لعدم کونهما مأمونین و اتّهامهما بعدم خلوّ موضع الملاقاة فیهما من عین 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المناط مستفاد من فحوی صحیحة العیص من النهی عن سؤر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 الجنب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عبد اللّٰه علیه السلام عن سؤر الحائض،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توضّأ منه و توضّأ من سؤر الجنب إذا کانت مأمونة ثمّ تغسل یدیها قبل أن تدخلهما الإناء</w:t>
      </w:r>
      <w:r>
        <w:rPr>
          <w:rFonts w:eastAsia="IRNazanin" w:cs="IRNazanin"/>
          <w:color w:val="111111"/>
          <w:sz w:val="28"/>
          <w:szCs w:val="28"/>
          <w:rtl w:val="true"/>
          <w:lang w:bidi="fa-IR"/>
        </w:rPr>
        <w:t xml:space="preserve">» </w:t>
      </w:r>
      <w:r>
        <w:rPr>
          <w:rStyle w:val="FootnoteAnchor"/>
          <w:rtl w:val="true"/>
        </w:rPr>
        <w:footnoteReference w:id="1523"/>
      </w:r>
      <w:r>
        <w:rPr>
          <w:rFonts w:ascii="IRNazanin" w:hAnsi="IRNazanin" w:eastAsia="IRNazanin"/>
          <w:color w:val="111111"/>
          <w:sz w:val="28"/>
          <w:sz w:val="28"/>
          <w:szCs w:val="28"/>
          <w:rtl w:val="true"/>
          <w:lang w:bidi="fa-IR"/>
        </w:rPr>
        <w:t>و لعلّ حکمة الإطلاق فی الحائض استمرار النجاسة علیها أیّاما فیبعد خلوّ یدها عن النجاسة، لأنّها تبدل الخرقة و تغیّرها کثیرا، إلّا إذا کانت متحفّظة ورعة عن النجاسة، بخلاف الجنب، فإنّ زمان تلوّثها بالنجاسة یسیر، فالتحفّظ عنها لسهولته موجود فی أغلب الناس، إلّا إذا کانت ممّن لا تبالی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الصحیحة من إطلاق الحائض موافق للمبسوط </w:t>
      </w:r>
      <w:r>
        <w:rPr>
          <w:rStyle w:val="FootnoteAnchor"/>
          <w:rtl w:val="true"/>
        </w:rPr>
        <w:footnoteReference w:id="1524"/>
      </w:r>
      <w:r>
        <w:rPr>
          <w:rFonts w:ascii="IRNazanin" w:hAnsi="IRNazanin" w:eastAsia="IRNazanin"/>
          <w:color w:val="111111"/>
          <w:sz w:val="28"/>
          <w:sz w:val="28"/>
          <w:szCs w:val="28"/>
          <w:rtl w:val="true"/>
          <w:lang w:bidi="fa-IR"/>
        </w:rPr>
        <w:t>مخالف للمشهور، فإنّ المشهور تقییدها إمّا بالمتّهمة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جماعة </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بغیر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نفی البأس فی المقیّدات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بعدم الحرمة فی غیر المأمونة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الکراهة رأسا، مع أنّه لو تکافأ الاحتمالان یرجع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المأمونة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العرف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جعلناها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تعارض بین المطلق و المقیّد، و لا بین قول المبسوط و قول من عبّر بغیر المأمونة، بناء علی إرادة الفرد المتعارف من مطلق الحائض، و هو غیر المتحفّظ و الورع عن النجاسات بحیث یظنّ و یوثق بطهارة یدها، فحاصل مذهبهم کراهة سؤر الحائض من حیث هی للظنّ النوعی بعدم طهارة یدها، فهی متّهمة نوعا، إلّا أن یکون خصوص الشخص بحیث تؤمن من ذلک، لشدّة تورّعها عن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بالمأمونة الفرد المتعارف، و هی التی لا تتّهم لقلّة مبالاتها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یؤیّدها ما فی روایة السرائر </w:t>
      </w:r>
      <w:r>
        <w:rPr>
          <w:rStyle w:val="FootnoteAnchor"/>
          <w:rtl w:val="true"/>
        </w:rPr>
        <w:footnoteReference w:id="1526"/>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 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مقابلها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تغسل 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المتّهمة، و غسل الید أمر متعارف عقیب تلوّثها، خصوصا بالقاذورات المستنفرة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أنّ ما فی المدارک و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إناطة الکراهة بغیر المأمونة أولی من إناطتها بالمتّهمة، لأنّ النصّ یدلّ علی انتفاء الکراهة إذا کانت مأمونة، و هی أخصّ من کونها غیر متّهمة</w:t>
      </w:r>
      <w:r>
        <w:rPr>
          <w:rFonts w:eastAsia="IRNazanin" w:cs="IRNazanin"/>
          <w:color w:val="111111"/>
          <w:sz w:val="28"/>
          <w:szCs w:val="28"/>
          <w:rtl w:val="true"/>
          <w:lang w:bidi="fa-IR"/>
        </w:rPr>
        <w:t xml:space="preserve">» </w:t>
      </w:r>
      <w:r>
        <w:rPr>
          <w:rStyle w:val="FootnoteAnchor"/>
          <w:rtl w:val="true"/>
        </w:rPr>
        <w:footnoteReference w:id="15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فلاتّحادهما عرفا، 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انتفاء الکراهة منوط فی روایة السرائر بغسل الیدین، و مفهومه الکراهة مع عدم غسلهما، و لیس المراد العلم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بذلک، و إلّا کان سؤرها نجسا، بل المراد کونها مظنّة لترک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المراد بالغسل فی المنطوق کونها مظنّة لذلک علی ما هو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الأخبار اختصاص الکراهة بالوضوء </w:t>
      </w:r>
      <w:r>
        <w:rPr>
          <w:rStyle w:val="FootnoteAnchor"/>
          <w:rtl w:val="true"/>
        </w:rPr>
        <w:footnoteReference w:id="1528"/>
      </w:r>
      <w:r>
        <w:rPr>
          <w:rFonts w:ascii="IRNazanin" w:hAnsi="IRNazanin" w:eastAsia="IRNazanin"/>
          <w:color w:val="111111"/>
          <w:sz w:val="28"/>
          <w:sz w:val="28"/>
          <w:szCs w:val="28"/>
          <w:rtl w:val="true"/>
          <w:lang w:bidi="fa-IR"/>
        </w:rPr>
        <w:t xml:space="preserve">بل فی بعضها مقابلة الشرب بالوضوء </w:t>
      </w:r>
      <w:r>
        <w:rPr>
          <w:rStyle w:val="FootnoteAnchor"/>
          <w:rtl w:val="true"/>
        </w:rPr>
        <w:footnoteReference w:id="1529"/>
      </w:r>
      <w:r>
        <w:rPr>
          <w:rFonts w:ascii="IRNazanin" w:hAnsi="IRNazanin" w:eastAsia="IRNazanin"/>
          <w:color w:val="111111"/>
          <w:sz w:val="28"/>
          <w:sz w:val="28"/>
          <w:szCs w:val="28"/>
          <w:rtl w:val="true"/>
          <w:lang w:bidi="fa-IR"/>
        </w:rPr>
        <w:t>الظاهرة فی نفی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المحکیّ عن ظاهر الأکثر عدم الفرق </w:t>
      </w:r>
      <w:r>
        <w:rPr>
          <w:rStyle w:val="FootnoteAnchor"/>
          <w:rtl w:val="true"/>
        </w:rPr>
        <w:footnoteReference w:id="1530"/>
      </w:r>
      <w:r>
        <w:rPr>
          <w:rFonts w:ascii="IRNazanin" w:hAnsi="IRNazanin" w:eastAsia="IRNazanin"/>
          <w:color w:val="111111"/>
          <w:sz w:val="28"/>
          <w:sz w:val="28"/>
          <w:szCs w:val="28"/>
          <w:rtl w:val="true"/>
          <w:lang w:bidi="fa-IR"/>
        </w:rPr>
        <w:t>بل عن الوحید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الاقتصار علی الوضوء لم یقل به فقیه، و الظاهر أنّ التعمیم محلّ وفاق </w:t>
      </w:r>
      <w:r>
        <w:rPr>
          <w:rStyle w:val="FootnoteAnchor"/>
          <w:rtl w:val="true"/>
        </w:rPr>
        <w:footnoteReference w:id="153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الإجماع علی التعمیم أمکن حمل أدلّة الفصل علی تفاوت الکراهة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ظاهر إناطة الکراهة بالاتّهام و عدم الأمن تعدّی الحکم إلی کلّ متّهم بعدم التوقّی من النجاسات، کما هو المحکیّ عن ظاهر الشیخین </w:t>
      </w:r>
      <w:r>
        <w:rPr>
          <w:rStyle w:val="FootnoteAnchor"/>
          <w:rtl w:val="true"/>
        </w:rPr>
        <w:footnoteReference w:id="1532"/>
      </w:r>
      <w:r>
        <w:rPr>
          <w:rFonts w:ascii="Amiri" w:hAnsi="Amiri" w:eastAsia="Amiri" w:cs="Amiri"/>
          <w:color w:val="111111"/>
          <w:sz w:val="28"/>
          <w:sz w:val="28"/>
          <w:szCs w:val="28"/>
          <w:rtl w:val="true"/>
          <w:lang w:bidi="ar-SA"/>
        </w:rPr>
        <w:t xml:space="preserve">و الحلّی </w:t>
      </w:r>
      <w:r>
        <w:rPr>
          <w:rStyle w:val="FootnoteAnchor"/>
          <w:rtl w:val="true"/>
        </w:rPr>
        <w:footnoteReference w:id="1533"/>
      </w:r>
      <w:r>
        <w:rPr>
          <w:rFonts w:ascii="Amiri" w:hAnsi="Amiri" w:eastAsia="Amiri" w:cs="Amiri"/>
          <w:color w:val="111111"/>
          <w:sz w:val="28"/>
          <w:sz w:val="28"/>
          <w:szCs w:val="28"/>
          <w:rtl w:val="true"/>
          <w:lang w:bidi="ar-SA"/>
        </w:rPr>
        <w:t xml:space="preserve">و المحقّق </w:t>
      </w:r>
      <w:r>
        <w:rPr>
          <w:rStyle w:val="FootnoteAnchor"/>
          <w:rtl w:val="true"/>
        </w:rPr>
        <w:footnoteReference w:id="1534"/>
      </w:r>
      <w:r>
        <w:rPr>
          <w:rFonts w:ascii="IRNazanin" w:hAnsi="IRNazanin" w:eastAsia="IRNazanin"/>
          <w:color w:val="111111"/>
          <w:sz w:val="28"/>
          <w:sz w:val="28"/>
          <w:szCs w:val="28"/>
          <w:rtl w:val="true"/>
          <w:lang w:bidi="fa-IR"/>
        </w:rPr>
        <w:t xml:space="preserve">و صریح البیان </w:t>
      </w:r>
      <w:r>
        <w:rPr>
          <w:rStyle w:val="FootnoteAnchor"/>
          <w:rtl w:val="true"/>
        </w:rPr>
        <w:footnoteReference w:id="1535"/>
      </w:r>
      <w:r>
        <w:rPr>
          <w:rFonts w:ascii="Amiri" w:hAnsi="Amiri" w:eastAsia="Amiri" w:cs="Amiri"/>
          <w:color w:val="111111"/>
          <w:sz w:val="28"/>
          <w:sz w:val="28"/>
          <w:szCs w:val="28"/>
          <w:rtl w:val="true"/>
          <w:lang w:bidi="ar-SA"/>
        </w:rPr>
        <w:t xml:space="preserve">و الروضة </w:t>
      </w:r>
      <w:r>
        <w:rPr>
          <w:rStyle w:val="FootnoteAnchor"/>
          <w:rtl w:val="true"/>
        </w:rPr>
        <w:footnoteReference w:id="1536"/>
      </w:r>
      <w:r>
        <w:rPr>
          <w:rFonts w:ascii="IRNazanin" w:hAnsi="IRNazanin" w:eastAsia="IRNazanin"/>
          <w:color w:val="111111"/>
          <w:sz w:val="28"/>
          <w:sz w:val="28"/>
          <w:szCs w:val="28"/>
          <w:rtl w:val="true"/>
          <w:lang w:bidi="fa-IR"/>
        </w:rPr>
        <w:t xml:space="preserve">مضافا إلی ما یظهر من أخبار أخر من استحباب التنزّه عمّن لا یتنزّه </w:t>
      </w:r>
      <w:r>
        <w:rPr>
          <w:rStyle w:val="FootnoteAnchor"/>
          <w:rtl w:val="true"/>
        </w:rPr>
        <w:footnoteReference w:id="1537"/>
      </w:r>
      <w:r>
        <w:rPr>
          <w:rFonts w:ascii="IRNazanin" w:hAnsi="IRNazanin" w:eastAsia="IRNazanin"/>
          <w:color w:val="111111"/>
          <w:sz w:val="28"/>
          <w:sz w:val="28"/>
          <w:szCs w:val="28"/>
          <w:rtl w:val="true"/>
          <w:lang w:bidi="fa-IR"/>
        </w:rPr>
        <w:t>و روایة ابن أبی یعفور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أ یتوضّأ من فضل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تعرف الوضوء</w:t>
      </w:r>
      <w:r>
        <w:rPr>
          <w:rFonts w:eastAsia="IRNazanin" w:cs="IRNazanin"/>
          <w:color w:val="111111"/>
          <w:sz w:val="28"/>
          <w:szCs w:val="28"/>
          <w:rtl w:val="true"/>
          <w:lang w:bidi="fa-IR"/>
        </w:rPr>
        <w:t xml:space="preserve">» </w:t>
      </w:r>
      <w:r>
        <w:rPr>
          <w:rStyle w:val="FootnoteAnchor"/>
          <w:rtl w:val="true"/>
        </w:rPr>
        <w:footnoteReference w:id="1538"/>
      </w:r>
      <w:r>
        <w:rPr>
          <w:rFonts w:ascii="IRNazanin" w:hAnsi="IRNazanin" w:eastAsia="IRNazanin"/>
          <w:color w:val="111111"/>
          <w:sz w:val="28"/>
          <w:sz w:val="28"/>
          <w:szCs w:val="28"/>
          <w:rtl w:val="true"/>
          <w:lang w:bidi="fa-IR"/>
        </w:rPr>
        <w:t xml:space="preserve">بناء علی أنّ الظاهر من الوضوء الاستنجاء أو إزالة مطلق الخبث، مضافا إلی الأمر بالاحتیاط فی مظانّ النجاسة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أنکر هذا الحکم غیر واحد من متأخّری المتأخرین </w:t>
      </w:r>
      <w:r>
        <w:rPr>
          <w:rStyle w:val="FootnoteAnchor"/>
          <w:rtl w:val="true"/>
        </w:rPr>
        <w:footnoteReference w:id="1540"/>
      </w:r>
      <w:r>
        <w:rPr>
          <w:rFonts w:ascii="IRNazanin" w:hAnsi="IRNazanin" w:eastAsia="IRNazanin"/>
          <w:color w:val="111111"/>
          <w:sz w:val="28"/>
          <w:sz w:val="28"/>
          <w:szCs w:val="28"/>
          <w:rtl w:val="true"/>
          <w:lang w:bidi="fa-IR"/>
        </w:rPr>
        <w:t xml:space="preserve">بل ذکر بعضهم </w:t>
      </w:r>
      <w:r>
        <w:rPr>
          <w:rStyle w:val="FootnoteAnchor"/>
          <w:rtl w:val="true"/>
        </w:rPr>
        <w:footnoteReference w:id="1541"/>
      </w:r>
      <w:r>
        <w:rPr>
          <w:rFonts w:ascii="IRNazanin" w:hAnsi="IRNazanin" w:eastAsia="IRNazanin"/>
          <w:color w:val="111111"/>
          <w:sz w:val="28"/>
          <w:sz w:val="28"/>
          <w:szCs w:val="28"/>
          <w:rtl w:val="true"/>
          <w:lang w:bidi="fa-IR"/>
        </w:rPr>
        <w:t xml:space="preserve">أنّه مجرّد استحسان لعدم المستند، مع ما دلّ علی کون الوضوء من فضل جماعة المسلمین أحبّ إلیّ </w:t>
      </w:r>
      <w:r>
        <w:rPr>
          <w:rStyle w:val="FootnoteAnchor"/>
          <w:rtl w:val="true"/>
        </w:rPr>
        <w:footnoteReference w:id="1542"/>
      </w:r>
      <w:r>
        <w:rPr>
          <w:rFonts w:ascii="IRNazanin" w:hAnsi="IRNazanin" w:eastAsia="IRNazanin"/>
          <w:color w:val="111111"/>
          <w:sz w:val="28"/>
          <w:sz w:val="28"/>
          <w:szCs w:val="28"/>
          <w:rtl w:val="true"/>
          <w:lang w:bidi="fa-IR"/>
        </w:rPr>
        <w:t xml:space="preserve">من الوضوء من رکو أبیض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یکفی فی المستند ما عرفت، و کون الوضوء من سؤر المسلمین أحبّ من الوضوء من الرکو الأبیض فی الروایة إنّما هو مع عدم النقص </w:t>
      </w:r>
      <w:r>
        <w:rPr>
          <w:rStyle w:val="FootnoteAnchor"/>
          <w:rtl w:val="true"/>
        </w:rPr>
        <w:footnoteReference w:id="1544"/>
      </w:r>
      <w:r>
        <w:rPr>
          <w:rFonts w:ascii="IRNazanin" w:hAnsi="IRNazanin" w:eastAsia="IRNazanin"/>
          <w:color w:val="111111"/>
          <w:sz w:val="28"/>
          <w:sz w:val="28"/>
          <w:szCs w:val="28"/>
          <w:rtl w:val="true"/>
          <w:lang w:bidi="fa-IR"/>
        </w:rPr>
        <w:t>فیه من جهة من الجهات، فیکون مزیّته علی الوضوء من الرکو کونه أسهل و أیسر، و محلّ الکلام ثبوت الکراهة من جهة الظنّ النوعی بنجاسة سؤر المتّهم مع کون شخص الماء مشکوک الطهارة، أمّا مع ظنّ نجاسة الماء فلا ینبغی التأمّل فی رجحان الترک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أیضا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 البغال و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کما هو ظاهر العبارة، أو خصوص الأهلیة کما فسّره جماعة، منهم الکرکی </w:t>
      </w:r>
      <w:r>
        <w:rPr>
          <w:rStyle w:val="FootnoteAnchor"/>
          <w:rtl w:val="true"/>
        </w:rPr>
        <w:footnoteReference w:id="15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و المیسی </w:t>
      </w:r>
      <w:r>
        <w:rPr>
          <w:rStyle w:val="FootnoteAnchor"/>
          <w:rtl w:val="true"/>
        </w:rPr>
        <w:footnoteReference w:id="1546"/>
      </w:r>
      <w:r>
        <w:rPr>
          <w:rFonts w:ascii="IRNazanin" w:hAnsi="IRNazanin" w:eastAsia="IRNazanin"/>
          <w:color w:val="111111"/>
          <w:sz w:val="28"/>
          <w:sz w:val="28"/>
          <w:szCs w:val="28"/>
          <w:rtl w:val="true"/>
          <w:lang w:bidi="fa-IR"/>
        </w:rPr>
        <w:t xml:space="preserve">و صاحب المدارک </w:t>
      </w:r>
      <w:r>
        <w:rPr>
          <w:rStyle w:val="FootnoteAnchor"/>
          <w:rtl w:val="true"/>
        </w:rPr>
        <w:footnoteReference w:id="1547"/>
      </w:r>
      <w:r>
        <w:rPr>
          <w:rFonts w:ascii="IRNazanin" w:hAnsi="IRNazanin" w:eastAsia="IRNazanin"/>
          <w:color w:val="111111"/>
          <w:sz w:val="28"/>
          <w:sz w:val="28"/>
          <w:szCs w:val="28"/>
          <w:rtl w:val="true"/>
          <w:lang w:bidi="fa-IR"/>
        </w:rPr>
        <w:t xml:space="preserve">مستدلّین علی الحکم بکراهة لحمهما، و منع کاشف اللثام الکبری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الاستدلال بمضمرة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هل یشرب سؤر شی‌ء من الدوابّ و یتوضّأ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الإبل و البقر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الغنم</w:t>
      </w:r>
      <w:r>
        <w:rPr>
          <w:rFonts w:eastAsia="IRNazanin" w:cs="IRNazanin"/>
          <w:color w:val="111111"/>
          <w:sz w:val="28"/>
          <w:szCs w:val="28"/>
          <w:rtl w:val="true"/>
          <w:lang w:bidi="fa-IR"/>
        </w:rPr>
        <w:t xml:space="preserve">] </w:t>
      </w:r>
      <w:r>
        <w:rPr>
          <w:rStyle w:val="FootnoteAnchor"/>
          <w:rtl w:val="true"/>
        </w:rPr>
        <w:footnoteReference w:id="1549"/>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Style w:val="FootnoteAnchor"/>
          <w:rtl w:val="true"/>
        </w:rPr>
        <w:footnoteReference w:id="1550"/>
      </w:r>
      <w:r>
        <w:rPr>
          <w:rFonts w:ascii="IRNazanin" w:hAnsi="IRNazanin" w:eastAsia="IRNazanin"/>
          <w:color w:val="111111"/>
          <w:sz w:val="28"/>
          <w:sz w:val="28"/>
          <w:szCs w:val="28"/>
          <w:rtl w:val="true"/>
          <w:lang w:bidi="fa-IR"/>
        </w:rPr>
        <w:t>و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یجترّ فسؤره حلال و لعابه حلال</w:t>
      </w:r>
      <w:r>
        <w:rPr>
          <w:rFonts w:eastAsia="IRNazanin" w:cs="IRNazanin"/>
          <w:color w:val="111111"/>
          <w:sz w:val="28"/>
          <w:szCs w:val="28"/>
          <w:rtl w:val="true"/>
          <w:lang w:bidi="fa-IR"/>
        </w:rPr>
        <w:t xml:space="preserve">» </w:t>
      </w:r>
      <w:r>
        <w:rPr>
          <w:rStyle w:val="FootnoteAnchor"/>
          <w:rtl w:val="true"/>
        </w:rPr>
        <w:footnoteReference w:id="1551"/>
      </w:r>
      <w:r>
        <w:rPr>
          <w:rFonts w:ascii="IRNazanin" w:hAnsi="IRNazanin" w:eastAsia="IRNazanin"/>
          <w:color w:val="111111"/>
          <w:sz w:val="28"/>
          <w:sz w:val="28"/>
          <w:szCs w:val="28"/>
          <w:rtl w:val="true"/>
          <w:lang w:bidi="fa-IR"/>
        </w:rPr>
        <w:t>بناء علی أنّ المراد بالحلّیة ما لا بأس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یکره علیه السلام سؤر کلّ ما لا یؤکل لحمه</w:t>
      </w:r>
      <w:r>
        <w:rPr>
          <w:rFonts w:eastAsia="IRNazanin" w:cs="IRNazanin"/>
          <w:color w:val="111111"/>
          <w:sz w:val="28"/>
          <w:szCs w:val="28"/>
          <w:rtl w:val="true"/>
          <w:lang w:bidi="fa-IR"/>
        </w:rPr>
        <w:t xml:space="preserve">» </w:t>
      </w:r>
      <w:r>
        <w:rPr>
          <w:rStyle w:val="FootnoteAnchor"/>
          <w:rtl w:val="true"/>
        </w:rPr>
        <w:footnoteReference w:id="1552"/>
      </w:r>
      <w:r>
        <w:rPr>
          <w:rFonts w:ascii="IRNazanin" w:hAnsi="IRNazanin" w:eastAsia="IRNazanin"/>
          <w:color w:val="111111"/>
          <w:sz w:val="28"/>
          <w:sz w:val="28"/>
          <w:szCs w:val="28"/>
          <w:rtl w:val="true"/>
          <w:lang w:bidi="fa-IR"/>
        </w:rPr>
        <w:t xml:space="preserve">بناء علی إرادة الأعمّ ممّا لا یعتاد أکله أو لم یخلق للأکل، کما یظهر هذا الاستعمال من بعض أخبار نجاسة بول الحمیر و البغال </w:t>
      </w:r>
      <w:r>
        <w:rPr>
          <w:rStyle w:val="FootnoteAnchor"/>
          <w:rtl w:val="true"/>
        </w:rPr>
        <w:footnoteReference w:id="155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عمّم جماعة الحکم للدوابّ کلّما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غیر واحد من الأخبار نفی البأس عن شرب سؤر الحمار و الفرس و البغل </w:t>
      </w:r>
      <w:r>
        <w:rPr>
          <w:rStyle w:val="FootnoteAnchor"/>
          <w:rtl w:val="true"/>
        </w:rPr>
        <w:footnoteReference w:id="1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ورود ذلک فی مقابل الکلب، فیحمل علی نفی الحرمة لا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و آخرون صرّحوا بکراهة سؤر ما لا یؤکل لحمه </w:t>
      </w:r>
      <w:r>
        <w:rPr>
          <w:rStyle w:val="FootnoteAnchor"/>
          <w:rtl w:val="true"/>
        </w:rPr>
        <w:footnoteReference w:id="1556"/>
      </w:r>
      <w:r>
        <w:rPr>
          <w:rFonts w:ascii="IRNazanin" w:hAnsi="IRNazanin" w:eastAsia="IRNazanin"/>
          <w:color w:val="111111"/>
          <w:sz w:val="28"/>
          <w:sz w:val="28"/>
          <w:szCs w:val="28"/>
          <w:rtl w:val="true"/>
          <w:lang w:bidi="fa-IR"/>
        </w:rPr>
        <w:t>و لعلّه لما مرّ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أکل لحمه یتوضّأ من سؤره و یشرب</w:t>
      </w:r>
      <w:r>
        <w:rPr>
          <w:rFonts w:eastAsia="IRNazanin" w:cs="IRNazanin"/>
          <w:color w:val="111111"/>
          <w:sz w:val="28"/>
          <w:szCs w:val="28"/>
          <w:rtl w:val="true"/>
          <w:lang w:bidi="fa-IR"/>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أیضا سؤر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 علی الظاهر، بل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المعروف من المذهب </w:t>
      </w:r>
      <w:r>
        <w:rPr>
          <w:rStyle w:val="FootnoteAnchor"/>
          <w:rtl w:val="true"/>
        </w:rPr>
        <w:footnoteReference w:id="1558"/>
      </w:r>
      <w:r>
        <w:rPr>
          <w:rFonts w:ascii="IRNazanin" w:hAnsi="IRNazanin" w:eastAsia="IRNazanin"/>
          <w:color w:val="111111"/>
          <w:sz w:val="28"/>
          <w:sz w:val="28"/>
          <w:szCs w:val="28"/>
          <w:rtl w:val="true"/>
          <w:lang w:bidi="fa-IR"/>
        </w:rPr>
        <w:t>ففی حدیث المناهی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 اللّٰه علیه و آله و سلّم عن أکل سؤر الفأرة</w:t>
      </w:r>
      <w:r>
        <w:rPr>
          <w:rFonts w:eastAsia="IRNazanin" w:cs="IRNazanin"/>
          <w:color w:val="111111"/>
          <w:sz w:val="28"/>
          <w:szCs w:val="28"/>
          <w:rtl w:val="true"/>
          <w:lang w:bidi="fa-IR"/>
        </w:rPr>
        <w:t xml:space="preserve">» </w:t>
      </w:r>
      <w:r>
        <w:rPr>
          <w:rStyle w:val="FootnoteAnchor"/>
          <w:rtl w:val="true"/>
        </w:rPr>
        <w:footnoteReference w:id="1559"/>
      </w:r>
      <w:r>
        <w:rPr>
          <w:rFonts w:ascii="IRNazanin" w:hAnsi="IRNazanin" w:eastAsia="IRNazanin"/>
          <w:color w:val="111111"/>
          <w:sz w:val="28"/>
          <w:sz w:val="28"/>
          <w:szCs w:val="28"/>
          <w:rtl w:val="true"/>
          <w:lang w:bidi="fa-IR"/>
        </w:rPr>
        <w:t>لکنّه لا یدلّ علی حکم الماء من حیث الشرب و التوضی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باب تطهیر الثیاب من نهایة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الفأرة کالکلب إذا أصابت ثوبا برطوبة وجب غسل موضع الإصابة </w:t>
      </w:r>
      <w:r>
        <w:rPr>
          <w:rStyle w:val="FootnoteAnchor"/>
          <w:rtl w:val="true"/>
        </w:rPr>
        <w:footnoteReference w:id="1560"/>
      </w:r>
      <w:r>
        <w:rPr>
          <w:rFonts w:ascii="IRNazanin" w:hAnsi="IRNazanin" w:eastAsia="IRNazanin"/>
          <w:color w:val="111111"/>
          <w:sz w:val="28"/>
          <w:sz w:val="28"/>
          <w:szCs w:val="28"/>
          <w:rtl w:val="true"/>
          <w:lang w:bidi="fa-IR"/>
        </w:rPr>
        <w:t>و نزّل علی الاستحباب المؤکّد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من المذهب کراهة سؤر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Style w:val="FootnoteAnchor"/>
          <w:rtl w:val="true"/>
        </w:rPr>
        <w:footnoteReference w:id="1561"/>
      </w:r>
      <w:r>
        <w:rPr>
          <w:rFonts w:ascii="IRNazanin" w:hAnsi="IRNazanin" w:eastAsia="IRNazanin"/>
          <w:color w:val="111111"/>
          <w:sz w:val="28"/>
          <w:sz w:val="28"/>
          <w:szCs w:val="28"/>
          <w:rtl w:val="true"/>
          <w:lang w:bidi="fa-IR"/>
        </w:rPr>
        <w:t>لروایة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حیة دخلت حبّا فیه ماء و خرجت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ماء غیره فلیهرقه</w:t>
      </w:r>
      <w:r>
        <w:rPr>
          <w:rFonts w:eastAsia="IRNazanin" w:cs="IRNazanin"/>
          <w:color w:val="111111"/>
          <w:sz w:val="28"/>
          <w:szCs w:val="28"/>
          <w:rtl w:val="true"/>
          <w:lang w:bidi="fa-IR"/>
        </w:rPr>
        <w:t xml:space="preserve">» </w:t>
      </w:r>
      <w:r>
        <w:rPr>
          <w:rStyle w:val="FootnoteAnchor"/>
          <w:rtl w:val="true"/>
        </w:rPr>
        <w:footnoteReference w:id="1562"/>
      </w:r>
      <w:r>
        <w:rPr>
          <w:rFonts w:ascii="IRNazanin" w:hAnsi="IRNazanin" w:eastAsia="IRNazanin"/>
          <w:color w:val="111111"/>
          <w:sz w:val="28"/>
          <w:sz w:val="28"/>
          <w:szCs w:val="28"/>
          <w:rtl w:val="true"/>
          <w:lang w:bidi="fa-IR"/>
        </w:rPr>
        <w:t xml:space="preserve">و عن المدارک تبعا للمعتبر عدم الکراهة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64"/>
      </w:r>
      <w:r>
        <w:rPr>
          <w:rFonts w:ascii="IRNazanin" w:hAnsi="IRNazanin" w:eastAsia="IRNazanin"/>
          <w:color w:val="111111"/>
          <w:sz w:val="28"/>
          <w:sz w:val="28"/>
          <w:szCs w:val="28"/>
          <w:rtl w:val="true"/>
          <w:lang w:bidi="fa-IR"/>
        </w:rPr>
        <w:t xml:space="preserve">یکره أیضا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مات فیه الوزغ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خرج منه حیّا، علی ما رواه هارون بن حمزة الغنوی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الفأرة و العقرب و أشباه ذلک یقع فی الماء فیخرج حیّا، هل یشرب من ذلک الماء و یتوضّأ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یسکب منه ثلاث مرّات، و قلیله و کثیره بمنزلة واحدة، ثمّ یشرب منه و یتوضّأ منه، غیر الوزغ فإنّه لا ینتفع بما یقع فیه</w:t>
      </w:r>
      <w:r>
        <w:rPr>
          <w:rFonts w:eastAsia="IRNazanin" w:cs="IRNazanin"/>
          <w:color w:val="111111"/>
          <w:sz w:val="28"/>
          <w:szCs w:val="28"/>
          <w:rtl w:val="true"/>
          <w:lang w:bidi="fa-IR"/>
        </w:rPr>
        <w:t xml:space="preserve">» </w:t>
      </w:r>
      <w:r>
        <w:rPr>
          <w:rStyle w:val="FootnoteAnchor"/>
          <w:rtl w:val="true"/>
        </w:rPr>
        <w:footnoteReference w:id="1565"/>
      </w:r>
      <w:r>
        <w:rPr>
          <w:rFonts w:ascii="IRNazanin" w:hAnsi="IRNazanin" w:eastAsia="IRNazanin"/>
          <w:color w:val="111111"/>
          <w:sz w:val="28"/>
          <w:sz w:val="28"/>
          <w:szCs w:val="28"/>
          <w:rtl w:val="true"/>
          <w:lang w:bidi="fa-IR"/>
        </w:rPr>
        <w:t xml:space="preserve">و بمضمونها أفتی فی النهایة </w:t>
      </w:r>
      <w:r>
        <w:rPr>
          <w:rStyle w:val="FootnoteAnchor"/>
          <w:rtl w:val="true"/>
        </w:rPr>
        <w:footnoteReference w:id="1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تعارض بالأخبار الخاصّة، مثل صحیحة علیّ بن جعفر </w:t>
      </w:r>
      <w:r>
        <w:rPr>
          <w:rStyle w:val="FootnoteAnchor"/>
          <w:rtl w:val="true"/>
        </w:rPr>
        <w:footnoteReference w:id="1567"/>
      </w:r>
      <w:r>
        <w:rPr>
          <w:rFonts w:ascii="IRNazanin" w:hAnsi="IRNazanin" w:eastAsia="IRNazanin"/>
          <w:color w:val="111111"/>
          <w:sz w:val="28"/>
          <w:sz w:val="28"/>
          <w:szCs w:val="28"/>
          <w:rtl w:val="true"/>
          <w:lang w:bidi="fa-IR"/>
        </w:rPr>
        <w:t xml:space="preserve">و العامّة فیما لا نفس له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روایة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جرّة وجد فیها خنفساء قد ماتت؟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ألقها و توضّأ منه، و إن کان عقربا فأرق الماء و توضّأ من ماء غیره</w:t>
      </w:r>
      <w:r>
        <w:rPr>
          <w:rFonts w:eastAsia="IRNazanin" w:cs="IRNazanin"/>
          <w:color w:val="111111"/>
          <w:sz w:val="28"/>
          <w:szCs w:val="28"/>
          <w:rtl w:val="true"/>
          <w:lang w:bidi="fa-IR"/>
        </w:rPr>
        <w:t xml:space="preserve">» </w:t>
      </w:r>
      <w:r>
        <w:rPr>
          <w:rStyle w:val="FootnoteAnchor"/>
          <w:rtl w:val="true"/>
        </w:rPr>
        <w:footnoteReference w:id="1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محمول علی الاستحباب، لما دلّ علی أنّه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 الماء بموت الحیوان ذی النفس السائلة دون ما لا نفس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ذلک فی باب النجاسات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تقدّم قول الشیخ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یدرکه الطرف </w:t>
      </w:r>
      <w:r>
        <w:rPr>
          <w:rStyle w:val="FootnoteAnchor"/>
          <w:rtl w:val="true"/>
        </w:rPr>
        <w:footnoteReference w:id="1570"/>
      </w:r>
      <w:r>
        <w:rPr>
          <w:rFonts w:ascii="IRNazanin" w:hAnsi="IRNazanin" w:eastAsia="IRNazanin"/>
          <w:color w:val="111111"/>
          <w:sz w:val="28"/>
          <w:sz w:val="28"/>
          <w:szCs w:val="28"/>
          <w:rtl w:val="true"/>
          <w:lang w:bidi="fa-IR"/>
        </w:rPr>
        <w:t>من الدم لا ینجّس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بصحیحة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فی ذیل مسألة الماء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عرفت ضعف دلالتها </w:t>
      </w:r>
      <w:r>
        <w:rPr>
          <w:rStyle w:val="FootnoteAnchor"/>
          <w:rtl w:val="true"/>
        </w:rPr>
        <w:footnoteReference w:id="1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أقلّ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المحکیّ عن الشیخ تعمیم الحکم لمطلق النجاسات </w:t>
      </w:r>
      <w:r>
        <w:rPr>
          <w:rStyle w:val="FootnoteAnchor"/>
          <w:rtl w:val="true"/>
        </w:rPr>
        <w:footnoteReference w:id="1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یعلم له مأخذ، و لا أنّ الشیخ یتعدّی من دم الأنف إلی غیره، أو یقتصر علی مورد الصحیحة؟ و احتملهما فی الذکری </w:t>
      </w:r>
      <w:r>
        <w:rPr>
          <w:rStyle w:val="FootnoteAnchor"/>
          <w:rtl w:val="true"/>
        </w:rPr>
        <w:footnoteReference w:id="1573"/>
      </w:r>
      <w:r>
        <w:rPr>
          <w:rFonts w:ascii="IRNazanin" w:hAnsi="IRNazanin" w:eastAsia="IRNazanin"/>
          <w:color w:val="111111"/>
          <w:sz w:val="28"/>
          <w:sz w:val="28"/>
          <w:szCs w:val="28"/>
          <w:rtl w:val="true"/>
          <w:lang w:bidi="fa-IR"/>
        </w:rPr>
        <w:t xml:space="preserve">و لا أنّه یتعدّی من الماء إلی کلّ جسم رطب کالثوب أو یقتصر علی مورد النصّ؟ لکنّ الشهید قدّس سرّه فی الذکری نسب إلیه التعدّی إلی الثوب </w:t>
      </w:r>
      <w:r>
        <w:rPr>
          <w:rStyle w:val="FootnoteAnchor"/>
          <w:rtl w:val="true"/>
        </w:rPr>
        <w:footnoteReference w:id="1574"/>
      </w:r>
      <w:r>
        <w:rPr>
          <w:rFonts w:ascii="IRNazanin" w:hAnsi="IRNazanin" w:eastAsia="IRNazanin"/>
          <w:color w:val="111111"/>
          <w:sz w:val="28"/>
          <w:sz w:val="28"/>
          <w:szCs w:val="28"/>
          <w:rtl w:val="true"/>
          <w:lang w:bidi="fa-IR"/>
        </w:rPr>
        <w:t>و لعلّ الفرق بینه و بین التعدّی من دم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المنفعل فی الجسم الرطب حقیقة هو الجزء المائیّ فعدم انفعال الماء یدلّ علی عدم انفعاله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فروع 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طارت الذبابة عن النجاسة إلی الثوب أو الماء، فعفو عند الشیخ، و اختاره المحقّق فی الفتاوی، لعسر الاحتراز و لعدم الجزم ببقائها لجفافها بالهواء و هو یتمّ فی الثوب دون الماء </w:t>
      </w:r>
      <w:r>
        <w:rPr>
          <w:rStyle w:val="FootnoteAnchor"/>
          <w:rtl w:val="true"/>
        </w:rPr>
        <w:footnoteReference w:id="15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حکم الشیخ بالعفو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یعلم فی الثوب، و ما ذکرناه من الفرق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حکم المحقّق قدّس سرّه بالعفو لعسر الاحتراز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عن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الجزم ببقائها لجفافها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یکون المراد بالجفاف زوال عینها، فیصیر طاهرا بزوال العین، لا جفافها مع بقاء جرمها، إذ الغالب مجرّد رطوبة رجل الذبابة بالنجاسة لا لزوق جرمها به، مع أنّ الشکّ فیه کاف</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بقاء الرطوبة عند الشک فیه حاکمة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أصالة بقاء طهارة الماء، لأنّ الشکّ فیها مسبّب عن الشکّ فی بقاء الرطوبة، کما فی وقوع الثوب المستصحب الرطوبة علی أرض نجسة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التخلّص بأنّ مجرّد بقاء الرطوبة لا یترتّب علیه تنجیس إلّا بواسطة مقدّمة خارجیة هی تأثّر الملاقی بها و صیرورته رطبا بالسرایة، فالمنجّس فی الحقیقة هو تأثّر ملاقی النجاسة بها لاکتساب شی‌ء من رطوبته، لا مجرّد ملاقاته لها، و إن کان یعبّر عن ذلک مسامحة بما ظاهره أنّ المنجّس هو مجرّد الملاقاة، و حینئذ فإثبات النجاسة باستصحاب الرطوبة لا یمکن إلّا بناء علی القول باعتبار الأصول المثبتة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bookmarkStart w:id="368" w:name="pg13031_132056"/>
    </w:p>
    <w:p>
      <w:pPr>
        <w:pStyle w:val="BookText"/>
        <w:rPr/>
      </w:pPr>
      <w:bookmarkEnd w:id="3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Heading4"/>
        <w:numPr>
          <w:ilvl w:val="3"/>
          <w:numId w:val="1"/>
        </w:numPr>
        <w:rPr/>
      </w:pPr>
      <w:bookmarkStart w:id="369" w:name="__RefHeading___Toc6281707_3224264995"/>
      <w:bookmarkStart w:id="370" w:name="_Toc155"/>
      <w:bookmarkEnd w:id="369"/>
      <w:r>
        <w:rPr>
          <w:rtl w:val="true"/>
        </w:rPr>
        <w:t>الرکن الثانی فی الطهارة المائیة</w:t>
      </w:r>
      <w:bookmarkEnd w:id="370"/>
    </w:p>
    <w:p>
      <w:pPr>
        <w:pStyle w:val="Heading5"/>
        <w:numPr>
          <w:ilvl w:val="4"/>
          <w:numId w:val="1"/>
        </w:numPr>
        <w:rPr/>
      </w:pPr>
      <w:bookmarkStart w:id="371" w:name="__RefHeading___Toc6281709_3224264995"/>
      <w:bookmarkStart w:id="372" w:name="_Toc156"/>
      <w:bookmarkEnd w:id="371"/>
      <w:r>
        <w:rPr>
          <w:rtl w:val="true"/>
        </w:rPr>
        <w:t>[</w:t>
      </w:r>
      <w:r>
        <w:rPr>
          <w:rtl w:val="true"/>
        </w:rPr>
        <w:t>أقسام الطهارة المائیة</w:t>
      </w:r>
      <w:r>
        <w:rPr>
          <w:rtl w:val="true"/>
        </w:rPr>
        <w:t>]</w:t>
      </w:r>
      <w:bookmarkEnd w:id="372"/>
    </w:p>
    <w:p>
      <w:pPr>
        <w:pStyle w:val="Heading6"/>
        <w:numPr>
          <w:ilvl w:val="5"/>
          <w:numId w:val="1"/>
        </w:numPr>
        <w:rPr/>
      </w:pPr>
      <w:bookmarkStart w:id="373" w:name="__RefHeading___Toc6281711_3224264995"/>
      <w:bookmarkStart w:id="374" w:name="_Toc157"/>
      <w:bookmarkEnd w:id="373"/>
      <w:r>
        <w:rPr>
          <w:rtl w:val="true"/>
        </w:rPr>
        <w:t>اشارة</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وضوء و غسل</w:t>
      </w:r>
      <w:r>
        <w:rPr>
          <w:rFonts w:eastAsia="IRNazanin" w:cs="IRNazanin"/>
          <w:color w:val="111111"/>
          <w:sz w:val="28"/>
          <w:szCs w:val="28"/>
          <w:rtl w:val="true"/>
          <w:lang w:bidi="fa-IR"/>
        </w:rPr>
        <w:t>.)</w:t>
      </w:r>
    </w:p>
    <w:p>
      <w:pPr>
        <w:pStyle w:val="Heading6"/>
        <w:numPr>
          <w:ilvl w:val="5"/>
          <w:numId w:val="1"/>
        </w:numPr>
        <w:rPr/>
      </w:pPr>
      <w:bookmarkStart w:id="375" w:name="__RefHeading___Toc6281713_3224264995"/>
      <w:bookmarkStart w:id="376" w:name="_Toc158"/>
      <w:bookmarkEnd w:id="375"/>
      <w:r>
        <w:rPr>
          <w:rtl w:val="true"/>
        </w:rPr>
        <w:t>[</w:t>
      </w:r>
      <w:r>
        <w:rPr>
          <w:rtl w:val="true"/>
        </w:rPr>
        <w:t>فی الوضوء فصول</w:t>
      </w:r>
      <w:r>
        <w:rPr>
          <w:rtl w:val="true"/>
        </w:rPr>
        <w:t>]</w:t>
      </w:r>
      <w:bookmarkEnd w:id="376"/>
    </w:p>
    <w:p>
      <w:pPr>
        <w:pStyle w:val="Heading6"/>
        <w:numPr>
          <w:ilvl w:val="5"/>
          <w:numId w:val="1"/>
        </w:numPr>
        <w:rPr/>
      </w:pPr>
      <w:bookmarkStart w:id="377" w:name="__RefHeading___Toc6281715_3224264995"/>
      <w:bookmarkStart w:id="378" w:name="_Toc159"/>
      <w:bookmarkEnd w:id="377"/>
      <w:r>
        <w:rPr>
          <w:rtl w:val="true"/>
        </w:rPr>
        <w:t>اشارة</w:t>
      </w:r>
      <w:bookmarkEnd w:id="37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الوضوء فصول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bookmarkStart w:id="379" w:name="pg13031_132058"/>
    </w:p>
    <w:p>
      <w:pPr>
        <w:pStyle w:val="BookText"/>
        <w:rPr/>
      </w:pPr>
      <w:bookmarkEnd w:id="3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Heading6"/>
        <w:numPr>
          <w:ilvl w:val="5"/>
          <w:numId w:val="1"/>
        </w:numPr>
        <w:rPr/>
      </w:pPr>
      <w:bookmarkStart w:id="380" w:name="__RefHeading___Toc6281717_3224264995"/>
      <w:bookmarkStart w:id="381" w:name="_Toc160"/>
      <w:bookmarkEnd w:id="380"/>
      <w:r>
        <w:rPr>
          <w:rtl w:val="true"/>
        </w:rPr>
        <w:t>[</w:t>
      </w:r>
      <w:r>
        <w:rPr>
          <w:rtl w:val="true"/>
        </w:rPr>
        <w:t>الفصل الأوّل فی الأحداث الموجبة للوضوء</w:t>
      </w:r>
      <w:r>
        <w:rPr>
          <w:rtl w:val="true"/>
        </w:rPr>
        <w:t>]</w:t>
      </w:r>
      <w:bookmarkEnd w:id="381"/>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الأحداث الموجبة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الحدث هنا اسم مصدر أو مصدر، و قد یطلق مسامحة علی العین کالبول و الغائط، و قد یطلق علی الحالة الحاصلة عقیب ذلک،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رافع للحدث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بالموجب سبب الوجوب لا فاعله، لأنّه الشارع، و المراد الوجوب الشرعی، و یحتمل إرادة اللغوی، و هو الثبوت فی الشریعة و لو علی وجه الاستحباب، فیکون مرادفا للسبب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حصره فی الستّة مبنیّ علی إرادة ما یوجب خصوص الوضوء، فیخرج ما أوجبه مع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الموجب بالشأن، فیدخل حدث المحدث و غیر الممیّز</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فإطلاق الموجب و السبب علی الأمور المذکورة یدلّ علی أنّ المکلّف فی نفسه لا یثبت علیه وضوء شرعا، فلو فرض مکلّف لم یحدث منه حدث لم یجب علیه الوضوء و جاز له الدخول فی الصلاة لعدم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کونه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فالحدث أمر وجودیّ و الطهارة عدمه عمّن من شأنه وجوده فیه، و یدلّ علیه أیضا تفسیر الحدث بالحالة المانعة، فیکون المنع عارضا للمکلّف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الطهارة أیضا وجودیة طارئة، لنسبة إباحة الصلاة إلیها فالمکلّف بنفسه لا تباح له الصلاة، و لإطلاق الناقض علی الأحداث و المنقوض ظاهر فی الوجودیّ، و لظاهر قوله تعالی إِذٰا قُمْتُمْ إِلَی الصَّلٰاةِ فَاغْسِلُوا </w:t>
      </w:r>
      <w:r>
        <w:rPr>
          <w:rStyle w:val="FootnoteAnchor"/>
          <w:rtl w:val="true"/>
        </w:rPr>
        <w:footnoteReference w:id="1576"/>
      </w:r>
      <w:r>
        <w:rPr>
          <w:rFonts w:ascii="IRNazanin" w:hAnsi="IRNazanin" w:eastAsia="IRNazanin"/>
          <w:color w:val="111111"/>
          <w:sz w:val="28"/>
          <w:sz w:val="28"/>
          <w:szCs w:val="28"/>
          <w:rtl w:val="true"/>
          <w:lang w:bidi="fa-IR"/>
        </w:rPr>
        <w:t>و إطلاق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الطهور و الصلاة</w:t>
      </w:r>
      <w:r>
        <w:rPr>
          <w:rFonts w:eastAsia="IRNazanin" w:cs="IRNazanin"/>
          <w:color w:val="111111"/>
          <w:sz w:val="28"/>
          <w:szCs w:val="28"/>
          <w:rtl w:val="true"/>
          <w:lang w:bidi="fa-IR"/>
        </w:rPr>
        <w:t xml:space="preserve">» </w:t>
      </w:r>
      <w:r>
        <w:rPr>
          <w:rStyle w:val="FootnoteAnchor"/>
          <w:rtl w:val="true"/>
        </w:rPr>
        <w:footnoteReference w:id="1577"/>
      </w:r>
      <w:r>
        <w:rPr>
          <w:rFonts w:ascii="IRNazanin" w:hAnsi="IRNazanin" w:eastAsia="IRNazanin"/>
          <w:color w:val="111111"/>
          <w:sz w:val="28"/>
          <w:sz w:val="28"/>
          <w:szCs w:val="28"/>
          <w:rtl w:val="true"/>
          <w:lang w:bidi="fa-IR"/>
        </w:rPr>
        <w:t>و لحکمهم بأنّ الشاکّ فی المتأخّر من الحدث و الطهارة یجب علیه الوضوء، و إلّا لکان حکمه کالشاکّ فی المتأخّر من الخبث و الطهارة فی بنائه علی أصالة الطهارة، و قد فرّع علی هذا أنّ المکلّف المخلوق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کآدم علیه السلام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علیه بالطهارة و لا بالحدث، فما کانت الطهارة شرطا فیه لم یجز بدونها، و ما کان الحدث مانعا منه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الأوّل بأنّ صدق المبیح بملاحظة مسبوقیّته بالحدث المانع، و لذا اکتفی بنیة رفع الحدث عن قصد الاستباحة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إطلاق الناقض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ظهور له فی کون المنقوض وجودیّا، کما یشهد له شمول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للأمور الوجودیة و العدمیة، مع أنّ الطهارة المنقوضة عدم مسبوق غالبا بالوجود، فیشبه الموجود، فتأمّل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منها بإطباق المفسّرین کما حکی </w:t>
      </w:r>
      <w:r>
        <w:rPr>
          <w:rStyle w:val="FootnoteAnchor"/>
          <w:rtl w:val="true"/>
        </w:rPr>
        <w:footnoteReference w:id="1579"/>
      </w:r>
      <w:r>
        <w:rPr>
          <w:rFonts w:ascii="IRNazanin" w:hAnsi="IRNazanin" w:eastAsia="IRNazanin"/>
          <w:color w:val="111111"/>
          <w:sz w:val="28"/>
          <w:sz w:val="28"/>
          <w:szCs w:val="28"/>
          <w:rtl w:val="true"/>
          <w:lang w:bidi="fa-IR"/>
        </w:rPr>
        <w:t>و بنصّ الإمام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علیه السلام فی غیر واحد من الأخبار </w:t>
      </w:r>
      <w:r>
        <w:rPr>
          <w:rStyle w:val="FootnoteAnchor"/>
          <w:rtl w:val="true"/>
        </w:rPr>
        <w:footnoteReference w:id="1580"/>
      </w:r>
      <w:r>
        <w:rPr>
          <w:rFonts w:ascii="Amiri" w:hAnsi="Amiri" w:eastAsia="Amiri" w:cs="Amiri"/>
          <w:color w:val="111111"/>
          <w:sz w:val="28"/>
          <w:sz w:val="28"/>
          <w:szCs w:val="28"/>
          <w:rtl w:val="true"/>
          <w:lang w:bidi="ar-SA"/>
        </w:rPr>
        <w:t xml:space="preserve">القیام من النوم، فهی دلیل علی خلاف المطلوب، مع أنّها علی تقدیر الإطلاق معارضة بقوله تعالی وَ إِنْ کُنْتُمْ مَرْضیٰ أَوْ عَلیٰ سَفَرٍ أَوْ جٰاءَ أَحَدٌ مِنْکُمْ مِنَ الْغٰائِطِ أَوْ لٰامَسْتُمُ النِّسٰاءَ فَلَمْ تَجِدُوا مٰاءً فَتَیَمَّمُوا صَعِیداً طَیِّباً </w:t>
      </w:r>
      <w:r>
        <w:rPr>
          <w:rStyle w:val="FootnoteAnchor"/>
          <w:rtl w:val="true"/>
        </w:rPr>
        <w:footnoteReference w:id="1581"/>
      </w:r>
      <w:r>
        <w:rPr>
          <w:rFonts w:ascii="IRNazanin" w:hAnsi="IRNazanin" w:eastAsia="IRNazanin"/>
          <w:color w:val="111111"/>
          <w:sz w:val="28"/>
          <w:sz w:val="28"/>
          <w:szCs w:val="28"/>
          <w:rtl w:val="true"/>
          <w:lang w:bidi="fa-IR"/>
        </w:rPr>
        <w:t>فانّ ظاهره استناد وجوب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بدل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المجی‌ء من الغائط لا إلی المکلّف من حیث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لکون الغائط سببا لنقض الطهارة السابقة و رجوع المکلّف بعده إلی حالته الأصلیة المقتضیة للطهارة، لیست بأولی من حمل إطلاق آیة القیام </w:t>
      </w:r>
      <w:r>
        <w:rPr>
          <w:rStyle w:val="FootnoteAnchor"/>
          <w:rtl w:val="true"/>
        </w:rPr>
        <w:footnoteReference w:id="1582"/>
      </w:r>
      <w:r>
        <w:rPr>
          <w:rFonts w:ascii="IRNazanin" w:hAnsi="IRNazanin" w:eastAsia="IRNazanin"/>
          <w:color w:val="111111"/>
          <w:sz w:val="28"/>
          <w:sz w:val="28"/>
          <w:szCs w:val="28"/>
          <w:rtl w:val="true"/>
          <w:lang w:bidi="fa-IR"/>
        </w:rPr>
        <w:t>علی ما هو الغالب من کون القائم الغیر المسبوق بالطهارة الّذی هو المراد من الآیة مسبوقا بالحدث، فوجوب الوضوء لأجل رفع تلک الحالة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الطهور عند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فمسلّم، لکن الطهور لا یصدق إلّا بالنسبة إلی المحدث، و لا کلام فی وجوبه علیه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حکمهم بوجوب الوضوء علی الشاکّ فی المتأخّر من الحدث 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علی المدّعی، لحکمهم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حکی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الغسل علی الشاکّ فی المتأخّر من الجنابة و الغسل، مع أنّ أحدا لم یقل بکون غسل الجنابة باقتضاء الحالة الأصلیة للمکلّف، فالوجه فی حکمهم هناک بوجوب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علم من الأدلّة أنّ الحدث مانع فلا بدّ من إحراز العلم بعدمه و لو بحکم الأصل، و الأصل غیر جار هناک، لتعارض الأصلین،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و هذا غیر ما نحن فیه، و هو أنّه إذا فرض العلم بعدم صدور الحدث من الشخص یجوز له الدخول فی الصلاة و إن لم یتوضّأ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من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تقدیر تسلیم الأصل غیر متوجّه، فإنّه 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1583"/>
      </w:r>
      <w:r>
        <w:rPr>
          <w:rFonts w:ascii="IRNazanin" w:hAnsi="IRNazanin" w:eastAsia="IRNazanin"/>
          <w:color w:val="111111"/>
          <w:sz w:val="28"/>
          <w:sz w:val="28"/>
          <w:szCs w:val="28"/>
          <w:rtl w:val="true"/>
          <w:lang w:bidi="fa-IR"/>
        </w:rPr>
        <w:t xml:space="preserve">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Style w:val="FootnoteAnchor"/>
          <w:rtl w:val="true"/>
        </w:rPr>
        <w:footnoteReference w:id="1584"/>
      </w:r>
      <w:r>
        <w:rPr>
          <w:rFonts w:ascii="Amiri" w:hAnsi="Amiri" w:eastAsia="Amiri" w:cs="Amiri"/>
          <w:color w:val="111111"/>
          <w:sz w:val="28"/>
          <w:sz w:val="28"/>
          <w:szCs w:val="28"/>
          <w:rtl w:val="true"/>
          <w:lang w:bidi="ar-SA"/>
        </w:rPr>
        <w:t xml:space="preserve">و قال تعالی لٰا یَمَسُّهُ إِلَّا الْمُطَهَّرُونَ </w:t>
      </w:r>
      <w:r>
        <w:rPr>
          <w:rStyle w:val="FootnoteAnchor"/>
          <w:rtl w:val="true"/>
        </w:rPr>
        <w:footnoteReference w:id="1585"/>
      </w:r>
      <w:r>
        <w:rPr>
          <w:rFonts w:ascii="IRNazanin" w:hAnsi="IRNazanin" w:eastAsia="IRNazanin"/>
          <w:color w:val="111111"/>
          <w:sz w:val="28"/>
          <w:sz w:val="28"/>
          <w:szCs w:val="28"/>
          <w:rtl w:val="true"/>
          <w:lang w:bidi="fa-IR"/>
        </w:rPr>
        <w:t>فاشترک الغایات الثلاث فی اعتبار الطهارة فیها، فما الّذی یباح بدون الطهارة؟</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الطهارة و الحدث من قبیل الطهارة و الخبث و الموت و التذکیة و غیرهما من الأعدام المقابلة للملکات، بل الطهارة و القذارة لغة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یعبّر عن هذه الأمور بالنواقض فإن أرید الناقض بالشأن و أضیف الناقض إلی الطهارة الصغری أو إلی الوضوء الموجب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مساویا للسبب، لدخول الحدث ممّن لم یتطهّر أصلا و من المحدث، و خروج الجنابة و أخواتها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فائدة مهمّة فی تحقیق العنوان الجامع المانع لهذه الأمور، و إنّما المهمّ التعرّض لتفصیلها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حکمه من البلل الخارج بعده مع عدم الاستبراء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معروف، و مع الشکّ یرجع إلی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الریح</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و لا خلاف فی إیجاب هذه للوضوء إذا خرجت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الموضع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منه لأغلب أفراد الإنسان، و الأخبار به متواترة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إطلاق الأخبار و معاقد الإجماع و أکثر العبائر و صریح بعض </w:t>
      </w:r>
      <w:r>
        <w:rPr>
          <w:rStyle w:val="FootnoteAnchor"/>
          <w:rtl w:val="true"/>
        </w:rPr>
        <w:footnoteReference w:id="1587"/>
      </w:r>
      <w:r>
        <w:rPr>
          <w:rFonts w:ascii="IRNazanin" w:hAnsi="IRNazanin" w:eastAsia="IRNazanin"/>
          <w:color w:val="111111"/>
          <w:sz w:val="28"/>
          <w:sz w:val="28"/>
          <w:szCs w:val="28"/>
          <w:rtl w:val="true"/>
          <w:lang w:bidi="fa-IR"/>
        </w:rPr>
        <w:t xml:space="preserve">عدم اعتبار الاعتیاد الشخصی فی المعتاد النوعی، و فی الحدائق نفی الخلاف فیه </w:t>
      </w:r>
      <w:r>
        <w:rPr>
          <w:rStyle w:val="FootnoteAnchor"/>
          <w:rtl w:val="true"/>
        </w:rPr>
        <w:footnoteReference w:id="1588"/>
      </w:r>
      <w:r>
        <w:rPr>
          <w:rFonts w:ascii="IRNazanin" w:hAnsi="IRNazanin" w:eastAsia="IRNazanin"/>
          <w:color w:val="111111"/>
          <w:sz w:val="28"/>
          <w:sz w:val="28"/>
          <w:szCs w:val="28"/>
          <w:rtl w:val="true"/>
          <w:lang w:bidi="fa-IR"/>
        </w:rPr>
        <w:t xml:space="preserve">، و عن شارح الدروس دعوی الإجماع علیه صریحا </w:t>
      </w:r>
      <w:r>
        <w:rPr>
          <w:rStyle w:val="FootnoteAnchor"/>
          <w:rtl w:val="true"/>
        </w:rPr>
        <w:footnoteReference w:id="1589"/>
      </w:r>
      <w:r>
        <w:rPr>
          <w:rFonts w:ascii="IRNazanin" w:hAnsi="IRNazanin" w:eastAsia="IRNazanin"/>
          <w:color w:val="111111"/>
          <w:sz w:val="28"/>
          <w:sz w:val="28"/>
          <w:szCs w:val="28"/>
          <w:rtl w:val="true"/>
          <w:lang w:bidi="fa-IR"/>
        </w:rPr>
        <w:t xml:space="preserve">بل عن الریاض حکایته عن الفاضلین </w:t>
      </w:r>
      <w:r>
        <w:rPr>
          <w:rStyle w:val="FootnoteAnchor"/>
          <w:rtl w:val="true"/>
        </w:rPr>
        <w:footnoteReference w:id="1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دعوی انصباب الإطلاقات فی الکلّ علی الغالب المتعارف من الاعتیاد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لا یعتنی بهذه الانصرافات، و یتمسّک فی ذلک بإطلاق الأخبار الدالّة علی النقض بما یخرج من الموضع الطبیعی و إن کان المعتاد غیره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یشکل ذلک علی من یعتبر الاعتیاد الشخصیّ فی غیر الموضع الطبیعی، حملا للإطلاقات الدالّة علی النقض بمطلق الثلاثة علی المتعارف، و تمسّکا بما دلّ علی اختصاص الناقض بما یخرج من الطرفین اللذین أنعم اللّٰه بهما علیک </w:t>
      </w:r>
      <w:r>
        <w:rPr>
          <w:rStyle w:val="FootnoteAnchor"/>
          <w:rtl w:val="true"/>
        </w:rPr>
        <w:footnoteReference w:id="1591"/>
      </w:r>
      <w:r>
        <w:rPr>
          <w:rFonts w:ascii="IRNazanin" w:hAnsi="IRNazanin" w:eastAsia="IRNazanin"/>
          <w:color w:val="111111"/>
          <w:sz w:val="28"/>
          <w:sz w:val="28"/>
          <w:szCs w:val="28"/>
          <w:rtl w:val="true"/>
          <w:lang w:bidi="fa-IR"/>
        </w:rPr>
        <w:t>فإنّ دعوی الانصراف و أدلّة الاختصاص موجودة فیما یخرج من الطبیعی مع عدم الاعتیاد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فالعمدة إذا الإجماع، و هو غیر بعید، خصوصا بملاحظة 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المعتبر </w:t>
      </w:r>
      <w:r>
        <w:rPr>
          <w:rStyle w:val="FootnoteAnchor"/>
          <w:rtl w:val="true"/>
        </w:rPr>
        <w:footnoteReference w:id="1592"/>
      </w:r>
      <w:r>
        <w:rPr>
          <w:rFonts w:ascii="IRNazanin" w:hAnsi="IRNazanin" w:eastAsia="IRNazanin"/>
          <w:color w:val="111111"/>
          <w:sz w:val="28"/>
          <w:sz w:val="28"/>
          <w:szCs w:val="28"/>
          <w:rtl w:val="true"/>
          <w:lang w:bidi="fa-IR"/>
        </w:rPr>
        <w:t xml:space="preserve">و التذکرة </w:t>
      </w:r>
      <w:r>
        <w:rPr>
          <w:rStyle w:val="FootnoteAnchor"/>
          <w:rtl w:val="true"/>
        </w:rPr>
        <w:footnoteReference w:id="1593"/>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الإجماع أوّلا علی الموضع الطبیعی، ثمّ یذکرون غیر المعتاد، فیذکرون فیه ما یذکرون من النقض و عدمه، و التفصیل بین الخارج من المعتاد و غیره، أو الخارج ممّا دون المعدة و غیره، و کأنّ هذا منشأ ما تقدّم عن الریاض من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لا تخلو عن الإشکال، إلّا أنّ الّذی یسهّل الأمر أنّ الأقوی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الغائط ممّا دون المعدة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الموضع الغیر الطبیعی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یصر مخرجه معتادا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r>
        <w:rPr>
          <w:rStyle w:val="FootnoteAnchor"/>
          <w:rtl w:val="true"/>
        </w:rPr>
        <w:footnoteReference w:id="1594"/>
      </w:r>
      <w:r>
        <w:rPr>
          <w:rFonts w:ascii="IRNazanin" w:hAnsi="IRNazanin" w:eastAsia="IRNazanin"/>
          <w:color w:val="111111"/>
          <w:sz w:val="28"/>
          <w:sz w:val="28"/>
          <w:szCs w:val="28"/>
          <w:rtl w:val="true"/>
          <w:lang w:bidi="fa-IR"/>
        </w:rPr>
        <w:t xml:space="preserve">و القاضی </w:t>
      </w:r>
      <w:r>
        <w:rPr>
          <w:rStyle w:val="FootnoteAnchor"/>
          <w:rtl w:val="true"/>
        </w:rPr>
        <w:footnoteReference w:id="1595"/>
      </w:r>
      <w:r>
        <w:rPr>
          <w:rFonts w:ascii="Amiri" w:hAnsi="Amiri" w:eastAsia="Amiri" w:cs="Amiri"/>
          <w:color w:val="111111"/>
          <w:sz w:val="28"/>
          <w:sz w:val="28"/>
          <w:szCs w:val="28"/>
          <w:rtl w:val="true"/>
          <w:lang w:bidi="ar-SA"/>
        </w:rPr>
        <w:t xml:space="preserve">و الحلیّ </w:t>
      </w:r>
      <w:r>
        <w:rPr>
          <w:rStyle w:val="FootnoteAnchor"/>
          <w:rtl w:val="true"/>
        </w:rPr>
        <w:footnoteReference w:id="1596"/>
      </w:r>
      <w:r>
        <w:rPr>
          <w:rFonts w:ascii="IRNazanin" w:hAnsi="IRNazanin" w:eastAsia="IRNazanin"/>
          <w:color w:val="111111"/>
          <w:sz w:val="28"/>
          <w:sz w:val="28"/>
          <w:szCs w:val="28"/>
          <w:rtl w:val="true"/>
          <w:lang w:bidi="fa-IR"/>
        </w:rPr>
        <w:t xml:space="preserve">و التذکرة </w:t>
      </w:r>
      <w:r>
        <w:rPr>
          <w:rStyle w:val="FootnoteAnchor"/>
          <w:rtl w:val="true"/>
        </w:rPr>
        <w:footnoteReference w:id="1597"/>
      </w:r>
      <w:r>
        <w:rPr>
          <w:rFonts w:ascii="IRNazanin" w:hAnsi="IRNazanin" w:eastAsia="IRNazanin"/>
          <w:color w:val="111111"/>
          <w:sz w:val="28"/>
          <w:sz w:val="28"/>
          <w:szCs w:val="28"/>
          <w:rtl w:val="true"/>
          <w:lang w:bidi="fa-IR"/>
        </w:rPr>
        <w:t>و ظاهر کلّ من أطلق بالثلاثة، بل صریح الحلیّ و التذکرة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المطلقین النقض بما یخرج ممّا فوق المعدة، خلافا للشیخ و القاضی، استنادا إلی منع تسمیته غائطا، فلا خلاف بینهم فی النقض بمطلق الغائط من غیر اعتبار الاعتیاد، لعموم قوله تعالی أَوْ جٰاءَ أَحَدٌ مِنْکُمْ مِنَ الْغٰائِطِ </w:t>
      </w:r>
      <w:r>
        <w:rPr>
          <w:rStyle w:val="FootnoteAnchor"/>
          <w:rtl w:val="true"/>
        </w:rPr>
        <w:footnoteReference w:id="1598"/>
      </w:r>
      <w:r>
        <w:rPr>
          <w:rFonts w:ascii="IRNazanin" w:hAnsi="IRNazanin" w:eastAsia="IRNazanin"/>
          <w:color w:val="111111"/>
          <w:sz w:val="28"/>
          <w:sz w:val="28"/>
          <w:szCs w:val="28"/>
          <w:rtl w:val="true"/>
          <w:lang w:bidi="fa-IR"/>
        </w:rPr>
        <w:t>و قوله علیه السلام فی روایة زکریّا بن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ینقض الوضوء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البول، و الغائط، و الریح</w:t>
      </w:r>
      <w:r>
        <w:rPr>
          <w:rFonts w:eastAsia="IRNazanin" w:cs="IRNazanin"/>
          <w:color w:val="111111"/>
          <w:sz w:val="28"/>
          <w:szCs w:val="28"/>
          <w:rtl w:val="true"/>
          <w:lang w:bidi="fa-IR"/>
        </w:rPr>
        <w:t xml:space="preserve">» </w:t>
      </w:r>
      <w:r>
        <w:rPr>
          <w:rStyle w:val="FootnoteAnchor"/>
          <w:rtl w:val="true"/>
        </w:rPr>
        <w:footnoteReference w:id="1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الفضل 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الوضوء إلّا غائط أو بول أو ریح أو جنابة</w:t>
      </w:r>
      <w:r>
        <w:rPr>
          <w:rFonts w:eastAsia="IRNazanin" w:cs="IRNazanin"/>
          <w:color w:val="111111"/>
          <w:sz w:val="28"/>
          <w:szCs w:val="28"/>
          <w:rtl w:val="true"/>
          <w:lang w:bidi="fa-IR"/>
        </w:rPr>
        <w:t xml:space="preserve">» </w:t>
      </w:r>
      <w:r>
        <w:rPr>
          <w:rStyle w:val="FootnoteAnchor"/>
          <w:rtl w:val="true"/>
        </w:rPr>
        <w:footnoteReference w:id="1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ذیل روایة العلل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 فی المعتبر عن إطلاق الآیة و الروایات بانصرافها إلی المعتاد، فتقیّد به، ثمّ أیّد ذلک بالأخبار المقیّدة </w:t>
      </w:r>
      <w:r>
        <w:rPr>
          <w:rStyle w:val="FootnoteAnchor"/>
          <w:rtl w:val="true"/>
        </w:rPr>
        <w:footnoteReference w:id="1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علیه السلام و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ینقض الوضوء؟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من طرفیک الأسفلین من الذکر و الدبر، من الغائط و البول أو منیّ أو ریح، و النوم حتّی یذهب العقل، و کلّ النوم یکره إلّا أن تکون تسمع الصوت</w:t>
      </w:r>
      <w:r>
        <w:rPr>
          <w:rFonts w:eastAsia="IRNazanin" w:cs="IRNazanin"/>
          <w:color w:val="111111"/>
          <w:sz w:val="28"/>
          <w:szCs w:val="28"/>
          <w:rtl w:val="true"/>
          <w:lang w:bidi="fa-IR"/>
        </w:rPr>
        <w:t xml:space="preserve">» </w:t>
      </w:r>
      <w:r>
        <w:rPr>
          <w:rStyle w:val="FootnoteAnchor"/>
          <w:rtl w:val="true"/>
        </w:rPr>
        <w:footnoteReference w:id="1602"/>
      </w:r>
      <w:r>
        <w:rPr>
          <w:rFonts w:ascii="IRNazanin" w:hAnsi="IRNazanin" w:eastAsia="IRNazanin"/>
          <w:color w:val="111111"/>
          <w:sz w:val="28"/>
          <w:sz w:val="28"/>
          <w:szCs w:val="28"/>
          <w:rtl w:val="true"/>
          <w:lang w:bidi="fa-IR"/>
        </w:rPr>
        <w:t>و فی صحیحة أخری لزرارة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الوضوء إلّا ما خرج من طرفیک أو النوم</w:t>
      </w:r>
      <w:r>
        <w:rPr>
          <w:rFonts w:eastAsia="IRNazanin" w:cs="IRNazanin"/>
          <w:color w:val="111111"/>
          <w:sz w:val="28"/>
          <w:szCs w:val="28"/>
          <w:rtl w:val="true"/>
          <w:lang w:bidi="fa-IR"/>
        </w:rPr>
        <w:t xml:space="preserve">» </w:t>
      </w:r>
      <w:r>
        <w:rPr>
          <w:rStyle w:val="FootnoteAnchor"/>
          <w:rtl w:val="true"/>
        </w:rPr>
        <w:footnoteReference w:id="1603"/>
      </w:r>
      <w:r>
        <w:rPr>
          <w:rFonts w:ascii="IRNazanin" w:hAnsi="IRNazanin" w:eastAsia="IRNazanin"/>
          <w:color w:val="111111"/>
          <w:sz w:val="28"/>
          <w:sz w:val="28"/>
          <w:szCs w:val="28"/>
          <w:rtl w:val="true"/>
          <w:lang w:bidi="fa-IR"/>
        </w:rPr>
        <w:t>و موثّقة أدیم بن الحرّ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ینقض الوضوء إلّا ما خرج من طرفیک الأسفلین</w:t>
      </w:r>
      <w:r>
        <w:rPr>
          <w:rFonts w:eastAsia="IRNazanin" w:cs="IRNazanin"/>
          <w:color w:val="111111"/>
          <w:sz w:val="28"/>
          <w:szCs w:val="28"/>
          <w:rtl w:val="true"/>
          <w:lang w:bidi="fa-IR"/>
        </w:rPr>
        <w:t xml:space="preserve">» </w:t>
      </w:r>
      <w:r>
        <w:rPr>
          <w:rStyle w:val="FootnoteAnchor"/>
          <w:rtl w:val="true"/>
        </w:rPr>
        <w:footnoteReference w:id="1604"/>
      </w:r>
      <w:r>
        <w:rPr>
          <w:rFonts w:ascii="IRNazanin" w:hAnsi="IRNazanin" w:eastAsia="IRNazanin"/>
          <w:color w:val="111111"/>
          <w:sz w:val="28"/>
          <w:sz w:val="28"/>
          <w:szCs w:val="28"/>
          <w:rtl w:val="true"/>
          <w:lang w:bidi="fa-IR"/>
        </w:rPr>
        <w:t>و فی صحیحة ابن بزیع عن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إلّا ما خرج من طرفیک اللّذین جعل اللّٰه لک،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أنعم اللّٰه بهما علیک</w:t>
      </w:r>
      <w:r>
        <w:rPr>
          <w:rFonts w:eastAsia="IRNazanin" w:cs="IRNazanin"/>
          <w:color w:val="111111"/>
          <w:sz w:val="28"/>
          <w:szCs w:val="28"/>
          <w:rtl w:val="true"/>
          <w:lang w:bidi="fa-IR"/>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ذلک من الأخبار المقیّدة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دعوی التقیید فی الإطلاقات لأجل الانصراف أو التقیید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بالمقیّدات،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فلمنع اعتبار مثله، و إلّا لجری فیما دلّ علی نجاسة البول و الغائط، و لوجب الاقتصار فی النقض علی الخارج من الموضع الطبیعیّ المعتاد نوعا و شخصا مع کون الخروج و الخارج من جمیع الجهات علی الوجه المتعارف الغالب، و الاقتصار بهذا النحو خلاف الإجماع، و لو بنی علی هذه الانصرافات لاختلّ جلّ القواعد المبتنیة علی الإطلاقات، بل کلّها، إذ ما من مطلق إلّا و له منصرف لأنس الذهن ببعض أفرادها </w:t>
      </w:r>
      <w:r>
        <w:rPr>
          <w:rStyle w:val="FootnoteAnchor"/>
          <w:rtl w:val="true"/>
        </w:rPr>
        <w:footnoteReference w:id="1606"/>
      </w:r>
      <w:r>
        <w:rPr>
          <w:rFonts w:ascii="IRNazanin" w:hAnsi="IRNazanin" w:eastAsia="IRNazanin"/>
          <w:color w:val="111111"/>
          <w:sz w:val="28"/>
          <w:sz w:val="28"/>
          <w:szCs w:val="28"/>
          <w:rtl w:val="true"/>
          <w:lang w:bidi="fa-IR"/>
        </w:rPr>
        <w:t xml:space="preserve">فلا ینبغی طرحها </w:t>
      </w:r>
      <w:r>
        <w:rPr>
          <w:rStyle w:val="FootnoteAnchor"/>
          <w:rtl w:val="true"/>
        </w:rPr>
        <w:footnoteReference w:id="1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مقام إعطاء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کانت بحیث یعلم المتکلّم جواز الاتّکال علی ذلک الانصراف فی إرادة المقیّد من المطلق، و ینسب من عمل بإطلاقها إلی الغفلة عن طریق المحاورة، و أنّی لنا بإثبات هذا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دعوی تقیید الإطلاقات بالمقیّدات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فلابتنائه علی کون الصلة مناطا فی الحکم، و لیس کذلک، لأنّ الموصول لیس للعموم، للزوم تخصیص الأکثر، بل المراد به المعهود، فتکون الصلة معرّفة لذلک المعهود و موضحة له،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موضح لا مقیّد، و لا ریب أنّ هذه الثلاثة لا تخرج إلّا من طرفی المخاطب</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الموصول و إن کان لعهد الجنس، إلّا أنّ من المعلوم أنّ هذا النوع بنفسه لیس ناقضا، فالمراد خروجه من المخرج المتعارف نوعا أو شخصا، کما أنّ المراد من حرمة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الفعل المتعارف المتعلّق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فساد قیاس ما نحن فیه علی الحکم بنجاسة البول و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فی مثل ذلک الخروج، و أمّا کونه من المخرج المتعارف فلا،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بمعونة صدر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الحصر إضافیّ بالنسبة إلی غیر هذه الأجناس الثلاثة، لا غیر الأفراد الخارجة من غیر المخرجین، مثل صحیحة أبی بصیر المرویّ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الرعاف و الحجامة و کلّ دم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هذا وضوء، إنّما الوضوء من طرفیک اللذین أنعم اللّٰه بهما علیک</w:t>
      </w:r>
      <w:r>
        <w:rPr>
          <w:rFonts w:eastAsia="IRNazanin" w:cs="IRNazanin"/>
          <w:color w:val="111111"/>
          <w:sz w:val="28"/>
          <w:szCs w:val="28"/>
          <w:rtl w:val="true"/>
          <w:lang w:bidi="fa-IR"/>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فی التذکرة عن المقیّدات بحملها علی الأغلب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بنی الأمر علی مراعاة الغلبة فی المقیّدات وجب مراعاتها فی المطلقات، فیکفی فی خروج غیر المتعارف، فالأجود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الصلة موضحة للمعهود و ظهور إضافة الحصر بالنسبة إلی غیر الثلاثة، فلا دلالة فیه علی نفی الحکم عن غیر المعتاد، لیعارض المطلقات فیقیّدها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اعتبار التعارف، و عدم قدح الانصراف فی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الوجه فی ما ذکره المصنّف قدّس سرّه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حکی علیه الإجماع من غیر واحد </w:t>
      </w:r>
      <w:r>
        <w:rPr>
          <w:rStyle w:val="FootnoteAnchor"/>
          <w:rtl w:val="true"/>
        </w:rPr>
        <w:footnoteReference w:id="1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اتّفق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أو دبرا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الموضع المعتاد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علیه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ممّا أنعم اللّٰه به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النقض بما یخرج من الطرفین اللّذین أنعم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بهما علیک مختصّ بطرفی المخاطب، و من کان مثله من الأفراد المتعارفة، فلا یشمل غیره، فلا مستند للحکم عدا الإطلاقات بعد تنزیل القیود المذکورة فی المقیّدات علی الإشارة إلی الجنس و موضحا للمعهود المراد من الموصول، دون المفهوم الکلی الصادق علی المخرج المتعارف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 الحدث من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فی أوّل مرّة مع انسداد المخرج الطبیعی، کما صرّح به جماعة، و عن المنتهی الإجماع علیه </w:t>
      </w:r>
      <w:r>
        <w:rPr>
          <w:rStyle w:val="FootnoteAnchor"/>
          <w:rtl w:val="true"/>
        </w:rPr>
        <w:footnoteReference w:id="1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ظاهر المدارک </w:t>
      </w:r>
      <w:r>
        <w:rPr>
          <w:rStyle w:val="FootnoteAnchor"/>
          <w:rtl w:val="true"/>
        </w:rPr>
        <w:footnoteReference w:id="1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علیه فی المعتبر بصیرورته منعما به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أنّه إن بنی علی ملاحظة الاختصاص بالمتعارف، فلا معنی فی دخول مثل هذا الجرح فی الطرفین اللّذین أنعم اللّٰه بهما، 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النقمة، لا من النعمة، إلّا من حیث خروج الأذی منه، یجری ذلک مع عدم انسداد الطبیعی، فالعمدة فی الحکم هی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لأجلها یتّجه الحکم بالنقض لو لم ینسدّ الطبیعی و خرج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صار معتادا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انقطع</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مع الاعتیاد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المعروف، بل لم یحک الخلاف فیه إلّا عن شارح الدروس </w:t>
      </w:r>
      <w:r>
        <w:rPr>
          <w:rStyle w:val="FootnoteAnchor"/>
          <w:rtl w:val="true"/>
        </w:rPr>
        <w:footnoteReference w:id="1615"/>
      </w:r>
      <w:r>
        <w:rPr>
          <w:rFonts w:ascii="IRNazanin" w:hAnsi="IRNazanin" w:eastAsia="IRNazanin"/>
          <w:color w:val="111111"/>
          <w:sz w:val="28"/>
          <w:sz w:val="28"/>
          <w:szCs w:val="28"/>
          <w:rtl w:val="true"/>
          <w:lang w:bidi="fa-IR"/>
        </w:rPr>
        <w:t xml:space="preserve">و قوّاه فی الریاض </w:t>
      </w:r>
      <w:r>
        <w:rPr>
          <w:rStyle w:val="FootnoteAnchor"/>
          <w:rtl w:val="true"/>
        </w:rPr>
        <w:footnoteReference w:id="1616"/>
      </w:r>
      <w:r>
        <w:rPr>
          <w:rFonts w:ascii="IRNazanin" w:hAnsi="IRNazanin" w:eastAsia="IRNazanin"/>
          <w:color w:val="111111"/>
          <w:sz w:val="28"/>
          <w:sz w:val="28"/>
          <w:szCs w:val="28"/>
          <w:rtl w:val="true"/>
          <w:lang w:bidi="fa-IR"/>
        </w:rPr>
        <w:t>بناء علی اختصاص المطلقات و المقیّدات بالمخرج الطبیعی و عدم العبرة بالاعتیاد الشخصی، و إنّما التزم بالنقض مع انسداد الطبیعی لمکان الإجماع و القطع بعدم ارتفاع الأثر عن الأحداث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الثلاثة الصادرة عن هذا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سابقا من عدم العبرة بهذه الانصرافات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عدم الاعتیاد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ظاهر إطلاق من تقدّم علی المحقّق قدّس سرّه، بل هو صریح بعضهم کالحلیّ </w:t>
      </w:r>
      <w:r>
        <w:rPr>
          <w:rStyle w:val="FootnoteAnchor"/>
          <w:rtl w:val="true"/>
        </w:rPr>
        <w:footnoteReference w:id="1617"/>
      </w:r>
      <w:r>
        <w:rPr>
          <w:rFonts w:ascii="IRNazanin" w:hAnsi="IRNazanin" w:eastAsia="IRNazanin"/>
          <w:color w:val="111111"/>
          <w:sz w:val="28"/>
          <w:sz w:val="28"/>
          <w:szCs w:val="28"/>
          <w:rtl w:val="true"/>
          <w:lang w:bidi="fa-IR"/>
        </w:rPr>
        <w:t xml:space="preserve">و الشیخ فیما تقدّم من استناده فی منع النقض بما یخرج من فوق المعدة إلی منع تسمیته غائطا </w:t>
      </w:r>
      <w:r>
        <w:rPr>
          <w:rStyle w:val="FootnoteAnchor"/>
          <w:rtl w:val="true"/>
        </w:rPr>
        <w:footnoteReference w:id="1618"/>
      </w:r>
      <w:r>
        <w:rPr>
          <w:rFonts w:ascii="IRNazanin" w:hAnsi="IRNazanin" w:eastAsia="IRNazanin"/>
          <w:color w:val="111111"/>
          <w:sz w:val="28"/>
          <w:sz w:val="28"/>
          <w:szCs w:val="28"/>
          <w:rtl w:val="true"/>
          <w:lang w:bidi="fa-IR"/>
        </w:rPr>
        <w:t>و لم یزد الحلیّ فی ردّه علی دعوی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الکبری مسلّمة بین الطرفین، بل عند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اختار هذا القول من المتأخّرین العلّامة فی التذکرة </w:t>
      </w:r>
      <w:r>
        <w:rPr>
          <w:rStyle w:val="FootnoteAnchor"/>
          <w:rtl w:val="true"/>
        </w:rPr>
        <w:footnoteReference w:id="1619"/>
      </w:r>
      <w:r>
        <w:rPr>
          <w:rFonts w:ascii="IRNazanin" w:hAnsi="IRNazanin" w:eastAsia="IRNazanin"/>
          <w:color w:val="111111"/>
          <w:sz w:val="28"/>
          <w:sz w:val="28"/>
          <w:szCs w:val="28"/>
          <w:rtl w:val="true"/>
          <w:lang w:bidi="fa-IR"/>
        </w:rPr>
        <w:t xml:space="preserve">، و هو الأقوی، لما ذکرنا من إطلاقات الأخبار المعتضدة بإطلاق فتاوی القدماء </w:t>
      </w:r>
      <w:r>
        <w:rPr>
          <w:rStyle w:val="FootnoteAnchor"/>
          <w:rtl w:val="true"/>
        </w:rPr>
        <w:footnoteReference w:id="1620"/>
      </w:r>
      <w:r>
        <w:rPr>
          <w:rFonts w:ascii="IRNazanin" w:hAnsi="IRNazanin" w:eastAsia="IRNazanin"/>
          <w:color w:val="111111"/>
          <w:sz w:val="28"/>
          <w:sz w:val="28"/>
          <w:szCs w:val="28"/>
          <w:rtl w:val="true"/>
          <w:lang w:bidi="fa-IR"/>
        </w:rPr>
        <w:t xml:space="preserve">و معقد إجماع الغنیة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المرویّ عن فقه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تغسل ثوبک إلّا ممّا یجب علیک فی خروجه إعادة الوضوء</w:t>
      </w:r>
      <w:r>
        <w:rPr>
          <w:rFonts w:eastAsia="IRNazanin" w:cs="IRNazanin"/>
          <w:color w:val="111111"/>
          <w:sz w:val="28"/>
          <w:szCs w:val="28"/>
          <w:rtl w:val="true"/>
          <w:lang w:bidi="fa-IR"/>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علل الفضل عن أبی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وجب الوضوء ممّا خرج من الطرفین خاصّة و من النوم دون سائر الأشیاء، لأنّ الطرفین هما طریق النجاسة، و لیس للإنسان طریق تصیبه النجاسة من نفسه إلّا منهما، فأمروا بالطهارة عند ما تصیبهم تلک النجاسة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مشتملة علی فقرأت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تصلح مستندا لأقوال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وجب الوضوء ممّا یخرج من الطرفین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یصلح دلیلا لما تقدّم عن شارح الدروس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الطرفین هنا طریق النجاسة و لا طریق للإنسان تصیبه النجاسة من نفسه إلّا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أنّه لو کان له طریق آخر یصیبه النجاسة من نفسه منه کان الخارج منه أیضا ناقضا، فیصلح دلیلا لمن اعتبر فی غیر الطبیعی الاعتیاد أو انسداد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بدون الاعتیاد فلا یصدق الطریق علی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Style w:val="FootnoteAnchor"/>
          <w:rtl w:val="true"/>
        </w:rPr>
        <w:footnoteReference w:id="1625"/>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فأمروا بالطهارة عند ما تصیبهم تلک النجاسة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مستندا لما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الأظهر فی الروایة هذه الأخیرة، و لا یخفی طریق إرجاع الباقی إلیها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الریح من حیث المخرج حکم 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یشکل من جهة أنّ مطلق الهواء الخارج من منفذ لا یسمّی ریحا، فإذا خرج الهواء، فإن علم أنّه ذلک الهواء الّذی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خروجه من مخرجه المتعارف، کان حکمه حکم البول و الغائط،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و من هنا یعلم حکم الریح الخارج من قبل المرأة، فإنّه قد یدخله الهواء عند المجامعة أو غیرها فیخرج و له صوت، فإذا احتبس فخرج بعد الغسل أو فی أثنائه لم یوجب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 المعتبر </w:t>
      </w:r>
      <w:r>
        <w:rPr>
          <w:rStyle w:val="FootnoteAnchor"/>
          <w:rtl w:val="true"/>
        </w:rPr>
        <w:footnoteReference w:id="1626"/>
      </w:r>
      <w:r>
        <w:rPr>
          <w:rFonts w:ascii="IRNazanin" w:hAnsi="IRNazanin" w:eastAsia="IRNazanin"/>
          <w:color w:val="111111"/>
          <w:sz w:val="28"/>
          <w:sz w:val="28"/>
          <w:szCs w:val="28"/>
          <w:rtl w:val="true"/>
          <w:lang w:bidi="fa-IR"/>
        </w:rPr>
        <w:t xml:space="preserve">و التذکرة </w:t>
      </w:r>
      <w:r>
        <w:rPr>
          <w:rStyle w:val="FootnoteAnchor"/>
          <w:rtl w:val="true"/>
        </w:rPr>
        <w:footnoteReference w:id="1627"/>
      </w:r>
      <w:r>
        <w:rPr>
          <w:rFonts w:ascii="IRNazanin" w:hAnsi="IRNazanin" w:eastAsia="IRNazanin"/>
          <w:color w:val="111111"/>
          <w:sz w:val="28"/>
          <w:sz w:val="28"/>
          <w:szCs w:val="28"/>
          <w:rtl w:val="true"/>
          <w:lang w:bidi="fa-IR"/>
        </w:rPr>
        <w:t xml:space="preserve">و شرح الموجز </w:t>
      </w:r>
      <w:r>
        <w:rPr>
          <w:rStyle w:val="FootnoteAnchor"/>
          <w:rtl w:val="true"/>
        </w:rPr>
        <w:footnoteReference w:id="1628"/>
      </w:r>
      <w:r>
        <w:rPr>
          <w:rFonts w:ascii="IRNazanin" w:hAnsi="IRNazanin" w:eastAsia="IRNazanin"/>
          <w:color w:val="111111"/>
          <w:sz w:val="28"/>
          <w:sz w:val="28"/>
          <w:szCs w:val="28"/>
          <w:rtl w:val="true"/>
          <w:lang w:bidi="fa-IR"/>
        </w:rPr>
        <w:t>أنّ الریح الخارج من قبل المرأة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 أرادوا ما یکون ریحا حقیقیّا خرج من غیر مخرجه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الحلیّ </w:t>
      </w:r>
      <w:r>
        <w:rPr>
          <w:rStyle w:val="FootnoteAnchor"/>
          <w:rtl w:val="true"/>
        </w:rPr>
        <w:footnoteReference w:id="1629"/>
      </w:r>
      <w:r>
        <w:rPr>
          <w:rFonts w:ascii="IRNazanin" w:hAnsi="IRNazanin" w:eastAsia="IRNazanin"/>
          <w:color w:val="111111"/>
          <w:sz w:val="28"/>
          <w:sz w:val="28"/>
          <w:szCs w:val="28"/>
          <w:rtl w:val="true"/>
          <w:lang w:bidi="fa-IR"/>
        </w:rPr>
        <w:t xml:space="preserve">و المنتهی </w:t>
      </w:r>
      <w:r>
        <w:rPr>
          <w:rStyle w:val="FootnoteAnchor"/>
          <w:rtl w:val="true"/>
        </w:rPr>
        <w:footnoteReference w:id="1630"/>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631"/>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632"/>
      </w:r>
      <w:r>
        <w:rPr>
          <w:rFonts w:ascii="IRNazanin" w:hAnsi="IRNazanin" w:eastAsia="IRNazanin"/>
          <w:color w:val="111111"/>
          <w:sz w:val="28"/>
          <w:sz w:val="28"/>
          <w:szCs w:val="28"/>
          <w:rtl w:val="true"/>
          <w:lang w:bidi="fa-IR"/>
        </w:rPr>
        <w:t xml:space="preserve">و غیرهم </w:t>
      </w:r>
      <w:r>
        <w:rPr>
          <w:rStyle w:val="FootnoteAnchor"/>
          <w:rtl w:val="true"/>
        </w:rPr>
        <w:footnoteReference w:id="1633"/>
      </w:r>
      <w:r>
        <w:rPr>
          <w:rFonts w:ascii="IRNazanin" w:hAnsi="IRNazanin" w:eastAsia="IRNazanin"/>
          <w:color w:val="111111"/>
          <w:sz w:val="28"/>
          <w:sz w:val="28"/>
          <w:szCs w:val="28"/>
          <w:rtl w:val="true"/>
          <w:lang w:bidi="fa-IR"/>
        </w:rPr>
        <w:t>عدم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الریح الخارج عن ذکر الرجل </w:t>
      </w:r>
      <w:r>
        <w:rPr>
          <w:rStyle w:val="FootnoteAnchor"/>
          <w:rtl w:val="true"/>
        </w:rPr>
        <w:footnoteReference w:id="1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ما ذکرناه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کما فی الأخبار المتواترة </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تقییده فی کلام المصنّف و غیره لا یراد به تقسیمه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علی الحاسّتین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فإنّ غیره لا یسمّی نوما حقیقیة، و إن أطلق علیه مسامحة، و لذا قال علیه السلام فی روایة زید الشحّام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یوجب الخفقة و الخفقتان؟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أدری ما الخفقة و الخفقتان، إنّ اللّٰه تعالی یقول بَلِ الْإِنْسٰانُ عَلیٰ نَفْسِهِ بَصِیرَةٌ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طعم النوم قاعدا أو قائما فقد وجب علیه الوضوء</w:t>
      </w:r>
      <w:r>
        <w:rPr>
          <w:rFonts w:eastAsia="IRNazanin" w:cs="IRNazanin"/>
          <w:color w:val="111111"/>
          <w:sz w:val="28"/>
          <w:szCs w:val="28"/>
          <w:rtl w:val="true"/>
          <w:lang w:bidi="fa-IR"/>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 مبادئ النوم قد تشتبه بالنوم جعل الشارع لذلک معیارا، و هی الغلبة علی الحاسّتین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الغلبة علی السمع و إن کان یغنی عن البصر، إلّا أنّ التعبیر به فی کلمات الأصحاب لرفع توهّم کفایة الغلبة علی البصر، لإطلاق النوم علیه أحیانا، فهو مسوق لا لبیان اعتبارها حتّی یغنی عنه اعتبار ما هو أخصّ منها، فافهم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النوم أطلق فی بعض الأخبار </w:t>
      </w:r>
      <w:r>
        <w:rPr>
          <w:rStyle w:val="FootnoteAnchor"/>
          <w:rtl w:val="true"/>
        </w:rPr>
        <w:footnoteReference w:id="1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فی صحیحة زرارة بنوم العین و الاذن و القلب </w:t>
      </w:r>
      <w:r>
        <w:rPr>
          <w:rStyle w:val="FootnoteAnchor"/>
          <w:rtl w:val="true"/>
        </w:rPr>
        <w:footnoteReference w:id="1638"/>
      </w:r>
      <w:r>
        <w:rPr>
          <w:rFonts w:ascii="IRNazanin" w:hAnsi="IRNazanin" w:eastAsia="IRNazanin"/>
          <w:color w:val="111111"/>
          <w:sz w:val="28"/>
          <w:sz w:val="28"/>
          <w:szCs w:val="28"/>
          <w:rtl w:val="true"/>
          <w:lang w:bidi="fa-IR"/>
        </w:rPr>
        <w:t xml:space="preserve">و فی موثّقة ابن بکیر بعدم سماع الصوت </w:t>
      </w:r>
      <w:r>
        <w:rPr>
          <w:rStyle w:val="FootnoteAnchor"/>
          <w:rtl w:val="true"/>
        </w:rPr>
        <w:footnoteReference w:id="1639"/>
      </w:r>
      <w:r>
        <w:rPr>
          <w:rFonts w:ascii="IRNazanin" w:hAnsi="IRNazanin" w:eastAsia="IRNazanin"/>
          <w:color w:val="111111"/>
          <w:sz w:val="28"/>
          <w:sz w:val="28"/>
          <w:szCs w:val="28"/>
          <w:rtl w:val="true"/>
          <w:lang w:bidi="fa-IR"/>
        </w:rPr>
        <w:t xml:space="preserve">و فی صحیحة أخری لزرارة و غیرها بذهاب العقل </w:t>
      </w:r>
      <w:r>
        <w:rPr>
          <w:rStyle w:val="FootnoteAnchor"/>
          <w:rtl w:val="true"/>
        </w:rPr>
        <w:footnoteReference w:id="1640"/>
      </w:r>
      <w:r>
        <w:rPr>
          <w:rFonts w:ascii="IRNazanin" w:hAnsi="IRNazanin" w:eastAsia="IRNazanin"/>
          <w:color w:val="111111"/>
          <w:sz w:val="28"/>
          <w:sz w:val="28"/>
          <w:szCs w:val="28"/>
          <w:rtl w:val="true"/>
          <w:lang w:bidi="fa-IR"/>
        </w:rPr>
        <w:t>و مرجع الکلّ إلی واحد، لأنّ الغلبة علی السمع یستلزم الغلبة علی البصر بالوجدان، و الغلبة علی السمع یلازم الغلبة علی القلب، لقوله علیه السلام فی صحیحة زرارة فی مقام بیان النواقض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النوم حتّی یذهب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النوم یکره إلّا أن تکون تسمع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ثمّ إنّه لا فرق فی النقض بالنوم بین هیئات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القیام و القعود و الانفراج و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الصدوق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الوضوء علی من نام قاعدا بدون انفراج </w:t>
      </w:r>
      <w:r>
        <w:rPr>
          <w:rStyle w:val="FootnoteAnchor"/>
          <w:rtl w:val="true"/>
        </w:rPr>
        <w:footnoteReference w:id="1641"/>
      </w:r>
      <w:r>
        <w:rPr>
          <w:rFonts w:ascii="IRNazanin" w:hAnsi="IRNazanin" w:eastAsia="IRNazanin"/>
          <w:color w:val="111111"/>
          <w:sz w:val="28"/>
          <w:sz w:val="28"/>
          <w:szCs w:val="28"/>
          <w:rtl w:val="true"/>
          <w:lang w:bidi="fa-IR"/>
        </w:rPr>
        <w:t>، لروایة الحضرمی،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هل ینام الرجل و هو جالس؟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نام الرجل و هو جالس مجتمع فلیس علیه وضوء، و إذا نام مضطجعا فعلیه الوضوء</w:t>
      </w:r>
      <w:r>
        <w:rPr>
          <w:rFonts w:eastAsia="IRNazanin" w:cs="IRNazanin"/>
          <w:color w:val="111111"/>
          <w:sz w:val="28"/>
          <w:szCs w:val="28"/>
          <w:rtl w:val="true"/>
          <w:lang w:bidi="fa-IR"/>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أرسل الصدوق عن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الرجل یرقد و هو قاعد هل علیه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وضوء علیه ما دام قاعدا، إذا لم ینفرج</w:t>
      </w:r>
      <w:r>
        <w:rPr>
          <w:rFonts w:eastAsia="IRNazanin" w:cs="IRNazanin"/>
          <w:color w:val="111111"/>
          <w:sz w:val="28"/>
          <w:szCs w:val="28"/>
          <w:rtl w:val="true"/>
          <w:lang w:bidi="fa-IR"/>
        </w:rPr>
        <w:t xml:space="preserve">»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ابن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سمع عبدا صالحا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و هو جالس لا یتعمّد النوم فلا وضوء علیه</w:t>
      </w:r>
      <w:r>
        <w:rPr>
          <w:rFonts w:eastAsia="IRNazanin" w:cs="IRNazanin"/>
          <w:color w:val="111111"/>
          <w:sz w:val="28"/>
          <w:szCs w:val="28"/>
          <w:rtl w:val="true"/>
          <w:lang w:bidi="fa-IR"/>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هل ینقض وضوءه إذا نام و هو 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المسجد یوم الجمعة فلا وضوء علیه، و ذلک لأنّه فی حال ضرورة</w:t>
      </w:r>
      <w:r>
        <w:rPr>
          <w:rFonts w:eastAsia="IRNazanin" w:cs="IRNazanin"/>
          <w:color w:val="111111"/>
          <w:sz w:val="28"/>
          <w:szCs w:val="28"/>
          <w:rtl w:val="true"/>
          <w:lang w:bidi="fa-IR"/>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العامل بها حتّی الصدوق، لعدم العلم بذلک إلّا من روایته بعض تلک الروایات مع روایته قبل ذلک للروایة المطلقة فی النقض </w:t>
      </w:r>
      <w:r>
        <w:rPr>
          <w:rStyle w:val="FootnoteAnchor"/>
          <w:rtl w:val="true"/>
        </w:rPr>
        <w:footnoteReference w:id="1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بأقوی منها ممّا صرّح فیه بالتعمیم لحالة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الجلوس </w:t>
      </w:r>
      <w:r>
        <w:rPr>
          <w:rStyle w:val="FootnoteAnchor"/>
          <w:rtl w:val="true"/>
        </w:rPr>
        <w:footnoteReference w:id="1647"/>
      </w:r>
      <w:r>
        <w:rPr>
          <w:rFonts w:ascii="IRNazanin" w:hAnsi="IRNazanin" w:eastAsia="IRNazanin"/>
          <w:color w:val="111111"/>
          <w:sz w:val="28"/>
          <w:sz w:val="28"/>
          <w:szCs w:val="28"/>
          <w:rtl w:val="true"/>
          <w:lang w:bidi="fa-IR"/>
        </w:rPr>
        <w:t xml:space="preserve">أو ورد فی خصوص النوم قاعدا </w:t>
      </w:r>
      <w:r>
        <w:rPr>
          <w:rStyle w:val="FootnoteAnchor"/>
          <w:rtl w:val="true"/>
        </w:rPr>
        <w:footnoteReference w:id="1648"/>
      </w:r>
      <w:r>
        <w:rPr>
          <w:rFonts w:ascii="IRNazanin" w:hAnsi="IRNazanin" w:eastAsia="IRNazanin"/>
          <w:color w:val="111111"/>
          <w:sz w:val="28"/>
          <w:sz w:val="28"/>
          <w:szCs w:val="28"/>
          <w:rtl w:val="true"/>
          <w:lang w:bidi="fa-IR"/>
        </w:rPr>
        <w:t>، مضافا إلی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فینبغی تأویلها بإرادة غیر الغالب علی السمع، أو حملها علی التقیة، لأنّ المحکیّ عن الشافعی عدم نقض النوم قاعدا متمکّنا مقعدته من الأرض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حمل روایة أبی جعفر الباقر علیه السلام </w:t>
      </w:r>
      <w:r>
        <w:rPr>
          <w:rStyle w:val="FootnoteAnchor"/>
          <w:rtl w:val="true"/>
        </w:rPr>
        <w:footnoteReference w:id="1650"/>
      </w:r>
      <w:r>
        <w:rPr>
          <w:rFonts w:ascii="IRNazanin" w:hAnsi="IRNazanin" w:eastAsia="IRNazanin"/>
          <w:color w:val="111111"/>
          <w:sz w:val="28"/>
          <w:sz w:val="28"/>
          <w:szCs w:val="28"/>
          <w:rtl w:val="true"/>
          <w:lang w:bidi="fa-IR"/>
        </w:rPr>
        <w:t xml:space="preserve">علی التقیة من الشافعی بعید جدّا </w:t>
      </w:r>
      <w:r>
        <w:rPr>
          <w:rStyle w:val="FootnoteAnchor"/>
          <w:rtl w:val="true"/>
        </w:rPr>
        <w:footnoteReference w:id="1651"/>
      </w:r>
      <w:r>
        <w:rPr>
          <w:rFonts w:ascii="Amiri" w:hAnsi="Amiri" w:eastAsia="Amiri" w:cs="Amiri"/>
          <w:color w:val="111111"/>
          <w:sz w:val="28"/>
          <w:sz w:val="28"/>
          <w:szCs w:val="28"/>
          <w:rtl w:val="true"/>
          <w:lang w:bidi="ar-SA"/>
        </w:rPr>
        <w:t>و الأمر هیّن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النوم کلّ ما أزال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جنون أو سکر أو إغماء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بلا خلاف ظاهر، و عن التهذیب</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إجماع المسلمین علیه </w:t>
      </w:r>
      <w:r>
        <w:rPr>
          <w:rStyle w:val="FootnoteAnchor"/>
          <w:rtl w:val="true"/>
        </w:rPr>
        <w:footnoteReference w:id="1652"/>
      </w: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فیه خلافا بین أهل العلم </w:t>
      </w:r>
      <w:r>
        <w:rPr>
          <w:rStyle w:val="FootnoteAnchor"/>
          <w:rtl w:val="true"/>
        </w:rPr>
        <w:footnoteReference w:id="1653"/>
      </w:r>
      <w:r>
        <w:rPr>
          <w:rFonts w:ascii="IRNazanin" w:hAnsi="IRNazanin" w:eastAsia="IRNazanin"/>
          <w:color w:val="111111"/>
          <w:sz w:val="28"/>
          <w:sz w:val="28"/>
          <w:szCs w:val="28"/>
          <w:rtl w:val="true"/>
          <w:lang w:bidi="fa-IR"/>
        </w:rPr>
        <w:t>و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أصحابنا </w:t>
      </w:r>
      <w:r>
        <w:rPr>
          <w:rStyle w:val="FootnoteAnchor"/>
          <w:rtl w:val="true"/>
        </w:rPr>
        <w:footnoteReference w:id="1654"/>
      </w:r>
      <w:r>
        <w:rPr>
          <w:rFonts w:ascii="IRNazanin" w:hAnsi="IRNazanin" w:eastAsia="IRNazanin"/>
          <w:color w:val="111111"/>
          <w:sz w:val="28"/>
          <w:sz w:val="28"/>
          <w:szCs w:val="28"/>
          <w:rtl w:val="true"/>
          <w:lang w:bidi="fa-IR"/>
        </w:rPr>
        <w:t>و عن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دین الإمامیة أنّ مذهب العقل ناقض </w:t>
      </w:r>
      <w:r>
        <w:rPr>
          <w:rStyle w:val="FootnoteAnchor"/>
          <w:rtl w:val="true"/>
        </w:rPr>
        <w:footnoteReference w:id="1655"/>
      </w:r>
      <w:r>
        <w:rPr>
          <w:rFonts w:ascii="IRNazanin" w:hAnsi="IRNazanin" w:eastAsia="IRNazanin"/>
          <w:color w:val="111111"/>
          <w:sz w:val="28"/>
          <w:sz w:val="28"/>
          <w:szCs w:val="28"/>
          <w:rtl w:val="true"/>
          <w:lang w:bidi="fa-IR"/>
        </w:rPr>
        <w:t>و عن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أکثر الأصحاب نقلوا الإجماع علیه </w:t>
      </w:r>
      <w:r>
        <w:rPr>
          <w:rStyle w:val="FootnoteAnchor"/>
          <w:rtl w:val="true"/>
        </w:rPr>
        <w:footnoteReference w:id="1656"/>
      </w:r>
      <w:r>
        <w:rPr>
          <w:rFonts w:ascii="IRNazanin" w:hAnsi="IRNazanin" w:eastAsia="IRNazanin"/>
          <w:color w:val="111111"/>
          <w:sz w:val="28"/>
          <w:sz w:val="28"/>
          <w:szCs w:val="28"/>
          <w:rtl w:val="true"/>
          <w:lang w:bidi="fa-IR"/>
        </w:rPr>
        <w:t>و 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یزید علی دعوی الاستفاضة، و عن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الأصحاب و التأمّل فی دلیله </w:t>
      </w:r>
      <w:r>
        <w:rPr>
          <w:rStyle w:val="FootnoteAnchor"/>
          <w:rtl w:val="true"/>
        </w:rPr>
        <w:footnoteReference w:id="1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مراده مستند المجمعین، إذ لیس فی الأخبار ما یدلّ علی ذلک إلّا من باب الإشارة و التلویح، کما فی الأخبار المشترطة فی النوم إذهاب العقل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علیه فی المعتبر </w:t>
      </w:r>
      <w:r>
        <w:rPr>
          <w:rStyle w:val="FootnoteAnchor"/>
          <w:rtl w:val="true"/>
        </w:rPr>
        <w:footnoteReference w:id="1659"/>
      </w:r>
      <w:r>
        <w:rPr>
          <w:rFonts w:ascii="IRNazanin" w:hAnsi="IRNazanin" w:eastAsia="IRNazanin"/>
          <w:color w:val="111111"/>
          <w:sz w:val="28"/>
          <w:sz w:val="28"/>
          <w:szCs w:val="28"/>
          <w:rtl w:val="true"/>
          <w:lang w:bidi="fa-IR"/>
        </w:rPr>
        <w:t xml:space="preserve">بروایة معمّر بن 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به علّة لا یقدر علی الاضطجاع، و الوضوء یشتدّ علیه، و هو قاعد مستند بالوسائد، فربّما أغفی علیه و هو قاعد علی تلک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یشتدّ علیه لحال علّته؟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خفی علیه الصوت فقد وجب علیه الوضوء</w:t>
      </w:r>
      <w:r>
        <w:rPr>
          <w:rFonts w:eastAsia="IRNazanin" w:cs="IRNazanin"/>
          <w:color w:val="111111"/>
          <w:sz w:val="28"/>
          <w:szCs w:val="28"/>
          <w:rtl w:val="true"/>
          <w:lang w:bidi="fa-IR"/>
        </w:rPr>
        <w:t xml:space="preserve">» </w:t>
      </w:r>
      <w:r>
        <w:rPr>
          <w:rStyle w:val="FootnoteAnchor"/>
          <w:rtl w:val="true"/>
        </w:rPr>
        <w:footnoteReference w:id="1660"/>
      </w:r>
      <w:r>
        <w:rPr>
          <w:rFonts w:ascii="IRNazanin" w:hAnsi="IRNazanin" w:eastAsia="IRNazanin"/>
          <w:color w:val="111111"/>
          <w:sz w:val="28"/>
          <w:sz w:val="28"/>
          <w:szCs w:val="28"/>
          <w:rtl w:val="true"/>
          <w:lang w:bidi="fa-IR"/>
        </w:rPr>
        <w:t>بناء علی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علیه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علّیة خفاء الصوت للوضوء من غیر مدخلیة خصوص الإغفاء الّذی هو النوم، کما فی الصحاح </w:t>
      </w:r>
      <w:r>
        <w:rPr>
          <w:rStyle w:val="FootnoteAnchor"/>
          <w:rtl w:val="true"/>
        </w:rPr>
        <w:footnoteReference w:id="1661"/>
      </w:r>
      <w:r>
        <w:rPr>
          <w:rFonts w:ascii="IRNazanin" w:hAnsi="IRNazanin" w:eastAsia="IRNazanin"/>
          <w:color w:val="111111"/>
          <w:sz w:val="28"/>
          <w:sz w:val="28"/>
          <w:szCs w:val="28"/>
          <w:rtl w:val="true"/>
          <w:lang w:bidi="fa-IR"/>
        </w:rPr>
        <w:t xml:space="preserve">و عن القاموس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الاستدلال نظر، لأنّ الظاهر علّیة خفاء الصوت علی النائم للوضوء، و فرق بین إیجاب الوضوء علی النائم لأجل خفاء الصوت و بین وجوبه علیه إن اخفی علیه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جعل الضمیر المجرور راجعا إلی مطلق الإنسان کان للاستدلال وجه، و لیس کذلک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هذه الروایة و کثیر من روایات النوم إشعار بأنّ الوجه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ناقضیّته ذهاب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المرویّ عن علل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تقدّم من علّة وجوب الوضوء ممّا یخرج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النوم، فإنّ النائم إذا غلب علیه النوم یفتح کلّ شی‌ء منه و استرخی، فکان أغلب الأشیاء علیه ممّا یخرج منه الریح، فوجب فیه الوضوء لهذه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جریان هذه العلّة فی کلّ مذهب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ففی الإجماع 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الاستحاضة القلیلة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الدم المعهود الّذی لا یثقب الکرسف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للمحکیّ عن العمانی، فلم یوجب به شیئا </w:t>
      </w:r>
      <w:r>
        <w:rPr>
          <w:rStyle w:val="FootnoteAnchor"/>
          <w:rtl w:val="true"/>
        </w:rPr>
        <w:footnoteReference w:id="1664"/>
      </w:r>
      <w:r>
        <w:rPr>
          <w:rFonts w:ascii="IRNazanin" w:hAnsi="IRNazanin" w:eastAsia="IRNazanin"/>
          <w:color w:val="111111"/>
          <w:sz w:val="28"/>
          <w:sz w:val="28"/>
          <w:szCs w:val="28"/>
          <w:rtl w:val="true"/>
          <w:lang w:bidi="fa-IR"/>
        </w:rPr>
        <w:t xml:space="preserve">و ربّما یوهمه کلام من لم یذکرها فی النواقض، و الإسکافی، فأوجب به غسلا فی الیوم و اللیلة </w:t>
      </w:r>
      <w:r>
        <w:rPr>
          <w:rStyle w:val="FootnoteAnchor"/>
          <w:rtl w:val="true"/>
        </w:rPr>
        <w:footnoteReference w:id="1665"/>
      </w:r>
      <w:r>
        <w:rPr>
          <w:rFonts w:ascii="IRNazanin" w:hAnsi="IRNazanin" w:eastAsia="IRNazanin"/>
          <w:color w:val="111111"/>
          <w:sz w:val="28"/>
          <w:sz w:val="28"/>
          <w:szCs w:val="28"/>
          <w:rtl w:val="true"/>
          <w:lang w:bidi="fa-IR"/>
        </w:rPr>
        <w:t xml:space="preserve">و علی خلافهما الأخبار المستفیضة </w:t>
      </w:r>
      <w:r>
        <w:rPr>
          <w:rStyle w:val="FootnoteAnchor"/>
          <w:rtl w:val="true"/>
        </w:rPr>
        <w:footnoteReference w:id="1666"/>
      </w:r>
      <w:r>
        <w:rPr>
          <w:rFonts w:ascii="IRNazanin" w:hAnsi="IRNazanin" w:eastAsia="IRNazanin"/>
          <w:color w:val="111111"/>
          <w:sz w:val="28"/>
          <w:sz w:val="28"/>
          <w:szCs w:val="28"/>
          <w:rtl w:val="true"/>
          <w:lang w:bidi="fa-IR"/>
        </w:rPr>
        <w:t>و تفصیل أحکامها یأتی إن شاء اللّٰه تعالی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مقتضی الحصر المستفاد من الأخبار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الوضوء </w:t>
      </w:r>
      <w:r>
        <w:rPr>
          <w:rStyle w:val="FootnoteAnchor"/>
          <w:rtl w:val="true"/>
        </w:rPr>
        <w:footnoteReference w:id="1667"/>
      </w:r>
      <w:r>
        <w:rPr>
          <w:rFonts w:ascii="IRNazanin" w:hAnsi="IRNazanin" w:eastAsia="IRNazanin"/>
          <w:color w:val="111111"/>
          <w:sz w:val="28"/>
          <w:sz w:val="28"/>
          <w:szCs w:val="28"/>
          <w:rtl w:val="true"/>
          <w:lang w:bidi="fa-IR"/>
        </w:rPr>
        <w:t>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مرسلة ابن رباط </w:t>
      </w:r>
      <w:r>
        <w:rPr>
          <w:rStyle w:val="FootnoteAnchor"/>
          <w:rtl w:val="true"/>
        </w:rPr>
        <w:footnoteReference w:id="1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عقیب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یرجع ما 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ما یخرج عقیب الملاعبة و التقبیل و نحوهما </w:t>
      </w:r>
      <w:r>
        <w:rPr>
          <w:rStyle w:val="FootnoteAnchor"/>
          <w:rtl w:val="true"/>
        </w:rPr>
        <w:footnoteReference w:id="1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أرقّ ما یکون من النطفة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عند الممازحة و التقبیل </w:t>
      </w:r>
      <w:r>
        <w:rPr>
          <w:rStyle w:val="FootnoteAnchor"/>
          <w:rtl w:val="true"/>
        </w:rPr>
        <w:footnoteReference w:id="1670"/>
      </w:r>
      <w:r>
        <w:rPr>
          <w:rFonts w:ascii="IRNazanin" w:hAnsi="IRNazanin" w:eastAsia="IRNazanin"/>
          <w:color w:val="111111"/>
          <w:sz w:val="28"/>
          <w:sz w:val="28"/>
          <w:szCs w:val="28"/>
          <w:rtl w:val="true"/>
          <w:lang w:bidi="fa-IR"/>
        </w:rPr>
        <w:t>و عن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البلل اللزج الخارج عقیب ملاعبة النساء </w:t>
      </w:r>
      <w:r>
        <w:rPr>
          <w:rStyle w:val="FootnoteAnchor"/>
          <w:rtl w:val="true"/>
        </w:rPr>
        <w:footnoteReference w:id="1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ماء رقیق لزج یخرج عقیب الشهوة </w:t>
      </w:r>
      <w:r>
        <w:rPr>
          <w:rStyle w:val="FootnoteAnchor"/>
          <w:rtl w:val="true"/>
        </w:rPr>
        <w:footnoteReference w:id="1672"/>
      </w:r>
      <w:r>
        <w:rPr>
          <w:rFonts w:ascii="IRNazanin" w:hAnsi="IRNazanin" w:eastAsia="IRNazanin"/>
          <w:color w:val="111111"/>
          <w:sz w:val="28"/>
          <w:sz w:val="28"/>
          <w:szCs w:val="28"/>
          <w:rtl w:val="true"/>
          <w:lang w:bidi="fa-IR"/>
        </w:rPr>
        <w:t>، و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نظم بعض متأخّری علمائنا،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المذی ماء رقیق أصفر لزج خروجه بعد تفخیذ و تقبیل </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من غیر الإسکافی عدم النقض به مطلقا، للأصل، و الأخبار المستفیضة الحاصرة للنواقض، و الإجماعات المنقولة، و الأخبار المستفیضة الخاصّة، 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سال من ذکرک شی‌ء من مذی أو ودی و أنت فی الصلاة، فلا تغسله و لا تقطع له الصلاة، و لا تنقض له الوضوء و إن بلغ عقبیک</w:t>
      </w:r>
      <w:r>
        <w:rPr>
          <w:rFonts w:eastAsia="IRNazanin" w:cs="IRNazanin"/>
          <w:color w:val="111111"/>
          <w:sz w:val="28"/>
          <w:szCs w:val="28"/>
          <w:rtl w:val="true"/>
          <w:lang w:bidi="fa-IR"/>
        </w:rPr>
        <w:t xml:space="preserve">» </w:t>
      </w:r>
      <w:r>
        <w:rPr>
          <w:rStyle w:val="FootnoteAnchor"/>
          <w:rtl w:val="true"/>
        </w:rPr>
        <w:footnoteReference w:id="1674"/>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بمنزلة المخاط و البصاق و النخامة</w:t>
      </w:r>
      <w:r>
        <w:rPr>
          <w:rFonts w:eastAsia="IRNazanin" w:cs="IRNazanin"/>
          <w:color w:val="111111"/>
          <w:sz w:val="28"/>
          <w:szCs w:val="28"/>
          <w:rtl w:val="true"/>
          <w:lang w:bidi="fa-IR"/>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فیها بین کون المذی عقیب الشهوة أو لا، بل عرفت من أهل اللغة الاختصاص بالشهوة، کما فی مرسلة ابن رباط المتقدّمة </w:t>
      </w:r>
      <w:r>
        <w:rPr>
          <w:rStyle w:val="FootnoteAnchor"/>
          <w:rtl w:val="true"/>
        </w:rPr>
        <w:footnoteReference w:id="1676"/>
      </w:r>
      <w:r>
        <w:rPr>
          <w:rFonts w:ascii="IRNazanin" w:hAnsi="IRNazanin" w:eastAsia="IRNazanin"/>
          <w:color w:val="111111"/>
          <w:sz w:val="28"/>
          <w:sz w:val="28"/>
          <w:szCs w:val="28"/>
          <w:rtl w:val="true"/>
          <w:lang w:bidi="fa-IR"/>
        </w:rPr>
        <w:t xml:space="preserve">و قد صرّح فیما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مرسلة ابن أبی عمیر عن غیر واحد من أصحابنا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المذی من الشهوة و لا من الإنعاظ و لا من القبلة و لا من مسّ الفرج و لا من المضاجعة وضوء، و لا یغسل منه الثوب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و لا الجسد</w:t>
      </w:r>
      <w:r>
        <w:rPr>
          <w:rFonts w:eastAsia="IRNazanin" w:cs="IRNazanin"/>
          <w:color w:val="111111"/>
          <w:sz w:val="28"/>
          <w:szCs w:val="28"/>
          <w:rtl w:val="true"/>
          <w:lang w:bidi="fa-IR"/>
        </w:rPr>
        <w:t xml:space="preserve">» </w:t>
      </w:r>
      <w:r>
        <w:rPr>
          <w:rStyle w:val="FootnoteAnchor"/>
          <w:rtl w:val="true"/>
        </w:rPr>
        <w:footnoteReference w:id="1677"/>
      </w:r>
      <w:r>
        <w:rPr>
          <w:rFonts w:ascii="IRNazanin" w:hAnsi="IRNazanin" w:eastAsia="IRNazanin"/>
          <w:color w:val="111111"/>
          <w:sz w:val="28"/>
          <w:sz w:val="28"/>
          <w:szCs w:val="28"/>
          <w:rtl w:val="true"/>
          <w:lang w:bidi="fa-IR"/>
        </w:rPr>
        <w:t xml:space="preserve">و ما عن الشیخ عن مشیخة ابن محبوب عن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اغتسلت یوم الجمعة بالمدینة و لبست أثوابی و تطیّبت فمرّت بی وصیفة ففخذت لها فأمذیت أنا و أمنت هی، فدخلنی من ذلک ضیق، فسألت أبا عبد اللّٰه علیه السلام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وضوء</w:t>
      </w:r>
      <w:r>
        <w:rPr>
          <w:rFonts w:eastAsia="IRNazanin" w:cs="IRNazanin"/>
          <w:color w:val="111111"/>
          <w:sz w:val="28"/>
          <w:szCs w:val="28"/>
          <w:rtl w:val="true"/>
          <w:lang w:bidi="fa-IR"/>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الخارج عن شهوة، و لا عنها </w:t>
      </w:r>
      <w:r>
        <w:rPr>
          <w:rStyle w:val="FootnoteAnchor"/>
          <w:rtl w:val="true"/>
        </w:rPr>
        <w:footnoteReference w:id="1679"/>
      </w:r>
      <w:r>
        <w:rPr>
          <w:rFonts w:ascii="IRNazanin" w:hAnsi="IRNazanin" w:eastAsia="IRNazanin"/>
          <w:color w:val="111111"/>
          <w:sz w:val="28"/>
          <w:sz w:val="28"/>
          <w:szCs w:val="28"/>
          <w:rtl w:val="true"/>
          <w:lang w:bidi="fa-IR"/>
        </w:rPr>
        <w:t>،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سأله عن المذی یخرج من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لک فیه 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منک علی شهوة فتوضّأ، و إن خرج منک علی غیر ذلک فلیس علیک فیه وضوء</w:t>
      </w:r>
      <w:r>
        <w:rPr>
          <w:rFonts w:eastAsia="IRNazanin" w:cs="IRNazanin"/>
          <w:color w:val="111111"/>
          <w:sz w:val="28"/>
          <w:szCs w:val="28"/>
          <w:rtl w:val="true"/>
          <w:lang w:bidi="fa-IR"/>
        </w:rPr>
        <w:t xml:space="preserve">» </w:t>
      </w:r>
      <w:r>
        <w:rPr>
          <w:rStyle w:val="FootnoteAnchor"/>
          <w:rtl w:val="true"/>
        </w:rPr>
        <w:footnoteReference w:id="1680"/>
      </w:r>
      <w:r>
        <w:rPr>
          <w:rFonts w:ascii="IRNazanin" w:hAnsi="IRNazanin" w:eastAsia="IRNazanin"/>
          <w:color w:val="111111"/>
          <w:sz w:val="28"/>
          <w:sz w:val="28"/>
          <w:szCs w:val="28"/>
          <w:rtl w:val="true"/>
          <w:lang w:bidi="fa-IR"/>
        </w:rPr>
        <w:t>و فی صحیحة ابن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من شهوة نقض</w:t>
      </w:r>
      <w:r>
        <w:rPr>
          <w:rFonts w:eastAsia="IRNazanin" w:cs="IRNazanin"/>
          <w:color w:val="111111"/>
          <w:sz w:val="28"/>
          <w:szCs w:val="28"/>
          <w:rtl w:val="true"/>
          <w:lang w:bidi="fa-IR"/>
        </w:rPr>
        <w:t xml:space="preserve">» </w:t>
      </w:r>
      <w:r>
        <w:rPr>
          <w:rStyle w:val="FootnoteAnchor"/>
          <w:rtl w:val="true"/>
        </w:rPr>
        <w:footnoteReference w:id="1681"/>
      </w:r>
      <w:r>
        <w:rPr>
          <w:rFonts w:ascii="IRNazanin" w:hAnsi="IRNazanin" w:eastAsia="IRNazanin"/>
          <w:color w:val="111111"/>
          <w:sz w:val="28"/>
          <w:sz w:val="28"/>
          <w:szCs w:val="28"/>
          <w:rtl w:val="true"/>
          <w:lang w:bidi="fa-IR"/>
        </w:rPr>
        <w:t>و خبر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منه بشهوة فتوضّأ</w:t>
      </w:r>
      <w:r>
        <w:rPr>
          <w:rFonts w:eastAsia="IRNazanin" w:cs="IRNazanin"/>
          <w:color w:val="111111"/>
          <w:sz w:val="28"/>
          <w:szCs w:val="28"/>
          <w:rtl w:val="true"/>
          <w:lang w:bidi="fa-IR"/>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أنّ حملها علی الاستحباب متعیّن، لکون بعض ما تقدّم نصّا فی عدم الوجوب کالأخبار الآمرة بالوضوء من المذی و لو لا عن شهوة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حمل الکلّ علی التقیة، لکن التقیة تودّی بظهورها فی الوجوب، و لو أرید فیها خلافه بالقرائن المنفصلة فلا وجه لرفع الید عن الحکم بالاستحباب</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ینقض الوضوء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وذی و لا 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بالدال المهملة، و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ماء یخرج عقیب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مرسلة ابن رباط </w:t>
      </w:r>
      <w:r>
        <w:rPr>
          <w:rStyle w:val="FootnoteAnchor"/>
          <w:rtl w:val="true"/>
        </w:rPr>
        <w:footnoteReference w:id="1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ماء ثخین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إشکال و لا خلاف فی عدم النقض، إلّا إذا علم خروج البول معه علی وجه یعدّ بولا، أمّا لو استهلک أجزاء لطیفة منه فی الودی قبل الخروج فلا حدث و لا 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بالذال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 مرسلة ابن رباط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الأدواء</w:t>
      </w:r>
      <w:r>
        <w:rPr>
          <w:rFonts w:eastAsia="IRNazanin" w:cs="IRNazanin"/>
          <w:color w:val="111111"/>
          <w:sz w:val="28"/>
          <w:szCs w:val="28"/>
          <w:rtl w:val="true"/>
          <w:lang w:bidi="fa-IR"/>
        </w:rPr>
        <w:t xml:space="preserve">» </w:t>
      </w:r>
      <w:r>
        <w:rPr>
          <w:rStyle w:val="FootnoteAnchor"/>
          <w:rtl w:val="true"/>
        </w:rPr>
        <w:footnoteReference w:id="1686"/>
      </w:r>
      <w:r>
        <w:rPr>
          <w:rFonts w:ascii="IRNazanin" w:hAnsi="IRNazanin" w:eastAsia="IRNazanin"/>
          <w:color w:val="111111"/>
          <w:sz w:val="28"/>
          <w:sz w:val="28"/>
          <w:szCs w:val="28"/>
          <w:rtl w:val="true"/>
          <w:lang w:bidi="fa-IR"/>
        </w:rPr>
        <w:t>و ظاهره الأمراض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ینقضه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و لو خرج من أحد السبیلین، عدا الدماء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تنقض الوضوء و یوجب ما عدا الاستحاضة القلیلة منها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روایة حسن بن علیّ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أبی علیه السلام و قد رعف بعد ما توضّأ دما سائلا فتوضّأ</w:t>
      </w:r>
      <w:r>
        <w:rPr>
          <w:rFonts w:eastAsia="IRNazanin" w:cs="IRNazanin"/>
          <w:color w:val="111111"/>
          <w:sz w:val="28"/>
          <w:szCs w:val="28"/>
          <w:rtl w:val="true"/>
          <w:lang w:bidi="fa-IR"/>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عبید بن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رجل أصابه دم 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و یعید،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سائلا توضّأ و 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یصنع ذلک بین الصفا و المروة</w:t>
      </w:r>
      <w:r>
        <w:rPr>
          <w:rFonts w:eastAsia="IRNazanin" w:cs="IRNazanin"/>
          <w:color w:val="111111"/>
          <w:sz w:val="28"/>
          <w:szCs w:val="28"/>
          <w:rtl w:val="true"/>
          <w:lang w:bidi="fa-IR"/>
        </w:rPr>
        <w:t xml:space="preserve">»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 علی تقدیر سلامة الدلالة محمولان علی الاستحباب</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قیّ‌ء و لا نخامة و لا تقلیم ظفر و لا حلق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خبر زرارة، عن أبی جعفر علیه السلام و قد سألته عن الرجل یقلّم أظفاره و یجزّ شاربه و یأخذ من شعر لحیته و رأسه، هل ینقض ذلک وضوءه؟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کلّ هذا سنّة، و الوضوء فریضة، و لیس شی‌ء من السنّة ینقض الفریضة، و إنّ ذلک لیزیده تطهیرا</w:t>
      </w:r>
      <w:r>
        <w:rPr>
          <w:rFonts w:eastAsia="IRNazanin" w:cs="IRNazanin"/>
          <w:color w:val="111111"/>
          <w:sz w:val="28"/>
          <w:szCs w:val="28"/>
          <w:rtl w:val="true"/>
          <w:lang w:bidi="fa-IR"/>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أبی هلال،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أ ینقض الرعاف و القی‌ء و نتف الإبط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بهذا؟ هذا قول المغیرة بن سعید، لعن اللّٰه المغیرة، یجزیک من الرعاف و القی‌ء أن تغسل و لا تعید الوضوء</w:t>
      </w:r>
      <w:r>
        <w:rPr>
          <w:rFonts w:eastAsia="IRNazanin" w:cs="IRNazanin"/>
          <w:color w:val="111111"/>
          <w:sz w:val="28"/>
          <w:szCs w:val="28"/>
          <w:rtl w:val="true"/>
          <w:lang w:bidi="fa-IR"/>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حکم النخامة و بداهة عدم نقضها فی أخبار المذی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ینقضه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ذکر و لا قبل و لا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أو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للمحکیّ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النقض بمسّ الرجل باطن دبره أو إحلیله، أو فتحه </w:t>
      </w:r>
      <w:r>
        <w:rPr>
          <w:rStyle w:val="FootnoteAnchor"/>
          <w:rtl w:val="true"/>
        </w:rPr>
        <w:footnoteReference w:id="1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بمسّ ما انضمّ إلیه الثقبتان، و من مسّ ظاهر الفرج من غیره لشهوة إذا کان محرّما، و مسّ باطن الفرجین محرّما و محلّلا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یتوضأ ثمّ یمسّ باطن دبره؟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وضوءه، و إن مسّ باطن إحلیله فعلیه أن یعید الوضوء، و إن کان فی الصلاة قطع الصلاة و یتوضّأ و یعید الصلاة، و إن فتح إحلیله أعاد الوضوء، و أعاد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قبّل الرجل المرأة من شهوة أو مسّ فرجها أعاد الوضوء</w:t>
      </w:r>
      <w:r>
        <w:rPr>
          <w:rFonts w:eastAsia="IRNazanin" w:cs="IRNazanin"/>
          <w:color w:val="111111"/>
          <w:sz w:val="28"/>
          <w:szCs w:val="28"/>
          <w:rtl w:val="true"/>
          <w:lang w:bidi="fa-IR"/>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فیها من القصور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ینقضه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امرأة و لا أکل ما مسّته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 یخرج من السبیلین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من الأخبار الحاصرة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یخالطه شی‌ء من النواقض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فی تفصیل النواقض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ینقض الوضوء الارتداد عن ملّة، و لا عن فطرة مع قبول التوبة، و مع عدم فلا عبرة فی النقض و عدمه، لعدم قبول المشروط بالطهارة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 بعد تمام الغسلات بطل، لامتناع المسح بالماء النجس، و قبل تمامها بنی علی ما فعل بعد التوبة بل فصل یخلّ بالموالاة مع إتمام الوضوء بماء طاهر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حبط ما سبق و صیرورته کالعدم علی الإطلاق ممنوعة، نعوذ باللّه من شرور النفس و الشیطان، خصوصا ما یوبق الأدیان و یضعف الإیمان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bookmarkStart w:id="382" w:name="pg13031_132082"/>
    </w:p>
    <w:p>
      <w:pPr>
        <w:pStyle w:val="BookText"/>
        <w:rPr/>
      </w:pPr>
      <w:bookmarkEnd w:id="3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Heading6"/>
        <w:numPr>
          <w:ilvl w:val="5"/>
          <w:numId w:val="1"/>
        </w:numPr>
        <w:rPr/>
      </w:pPr>
      <w:bookmarkStart w:id="383" w:name="__RefHeading___Toc6281719_3224264995"/>
      <w:bookmarkStart w:id="384" w:name="_Toc161"/>
      <w:bookmarkEnd w:id="383"/>
      <w:r>
        <w:rPr>
          <w:rtl w:val="true"/>
        </w:rPr>
        <w:t>[</w:t>
      </w:r>
      <w:r>
        <w:rPr>
          <w:rtl w:val="true"/>
        </w:rPr>
        <w:t>الفصل الثانی من الفصول المتعلّقة بالوضوء</w:t>
      </w:r>
      <w:r>
        <w:rPr>
          <w:rtl w:val="true"/>
        </w:rPr>
        <w:t>]</w:t>
      </w:r>
      <w:bookmarkEnd w:id="384"/>
    </w:p>
    <w:p>
      <w:pPr>
        <w:pStyle w:val="Heading6"/>
        <w:numPr>
          <w:ilvl w:val="5"/>
          <w:numId w:val="1"/>
        </w:numPr>
        <w:rPr/>
      </w:pPr>
      <w:bookmarkStart w:id="385" w:name="__RefHeading___Toc6281721_3224264995"/>
      <w:bookmarkStart w:id="386" w:name="_Toc162"/>
      <w:bookmarkEnd w:id="385"/>
      <w:r>
        <w:rPr>
          <w:rtl w:val="true"/>
        </w:rPr>
        <w:t>[</w:t>
      </w:r>
      <w:r>
        <w:rPr>
          <w:rtl w:val="true"/>
        </w:rPr>
        <w:t>و هی ثلاثة</w:t>
      </w:r>
      <w:r>
        <w:rPr>
          <w:rtl w:val="true"/>
        </w:rPr>
        <w:t>:]</w:t>
      </w:r>
      <w:bookmarkEnd w:id="386"/>
    </w:p>
    <w:p>
      <w:pPr>
        <w:pStyle w:val="Heading6"/>
        <w:numPr>
          <w:ilvl w:val="5"/>
          <w:numId w:val="1"/>
        </w:numPr>
        <w:rPr/>
      </w:pPr>
      <w:bookmarkStart w:id="387" w:name="__RefHeading___Toc6281723_3224264995"/>
      <w:bookmarkStart w:id="388" w:name="_Toc163"/>
      <w:bookmarkEnd w:id="387"/>
      <w:r>
        <w:rPr>
          <w:rtl w:val="true"/>
        </w:rPr>
        <w:t>[</w:t>
      </w:r>
      <w:r>
        <w:rPr>
          <w:rtl w:val="true"/>
        </w:rPr>
        <w:t>الأوّل فی کیفیة التخلّی</w:t>
      </w:r>
      <w:r>
        <w:rPr>
          <w:rtl w:val="true"/>
        </w:rPr>
        <w:t>]</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الفصول المتعلّقة بالوضوء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الخلوة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فی کیفیة التخلّی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غیره من الأحوال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الناظر المحترم، عدا الزوجة و المملوکة الخالیة عن مانع الاستمتاع</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یدلّ علی وجوب الستر قوله تعالی قُلْ لِلْمُؤْمِنِینَ یَغُضُّوا مِنْ أَبْصٰارِهِمْ وَ یَحْفَظُوا فُرُوجَهُمْ </w:t>
      </w:r>
      <w:r>
        <w:rPr>
          <w:rStyle w:val="FootnoteAnchor"/>
          <w:rtl w:val="true"/>
        </w:rPr>
        <w:footnoteReference w:id="1695"/>
      </w:r>
      <w:r>
        <w:rPr>
          <w:rFonts w:ascii="Amiri" w:hAnsi="Amiri" w:eastAsia="Amiri" w:cs="Amiri"/>
          <w:color w:val="111111"/>
          <w:sz w:val="28"/>
          <w:sz w:val="28"/>
          <w:szCs w:val="28"/>
          <w:rtl w:val="true"/>
          <w:lang w:bidi="ar-SA"/>
        </w:rPr>
        <w:t>فإنّ أحد أنحاء الحفظ حفظه من أن یطلع علیه، خصوصا بمعونة تفسیره بذلک فی ما أرسله الصدوق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تعالی قُلْ لِلْمُؤْمِنِینَ یَغُضُّوا مِنْ أَبْصٰارِهِمْ وَ یَحْفَظُوا فُرُوجَهُمْ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فی کتاب اللّٰه من حفظ الفرج فهو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الزنا، إلّا فی هذا الموضع، فإنّه للحفظ من أن ینظر إلیه</w:t>
      </w:r>
      <w:r>
        <w:rPr>
          <w:rFonts w:eastAsia="IRNazanin" w:cs="IRNazanin"/>
          <w:color w:val="111111"/>
          <w:sz w:val="28"/>
          <w:szCs w:val="28"/>
          <w:rtl w:val="true"/>
          <w:lang w:bidi="fa-IR"/>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عن أمیر المؤمنین علیه السلام فی تفسیرها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ینظر أحدکم إلی فرج أخیه المؤمن أو یمکنه من النظر إلی فرجه، ثمّ قال قُلْ لِلْمُؤْمِنٰاتِ یَغْضُضْنَ مِنْ أَبْصٰارِهِنَّ وَ یَحْفَظْنَ فُرُوجَهُنَّ أیّ ممّن یلحقهنّ النظر</w:t>
      </w:r>
      <w:r>
        <w:rPr>
          <w:rFonts w:eastAsia="Amiri" w:cs="Amiri" w:ascii="Amiri" w:hAnsi="Amiri"/>
          <w:color w:val="111111"/>
          <w:sz w:val="28"/>
          <w:szCs w:val="28"/>
          <w:rtl w:val="true"/>
          <w:lang w:bidi="ar-SA"/>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ذکره الصدوق قدّس سرّه فی باب جملة من مناهی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أحدکم فی فضاء من الأرض فلیحاذر علی عورته</w:t>
      </w:r>
      <w:r>
        <w:rPr>
          <w:rFonts w:eastAsia="IRNazanin" w:cs="IRNazanin"/>
          <w:color w:val="111111"/>
          <w:sz w:val="28"/>
          <w:szCs w:val="28"/>
          <w:rtl w:val="true"/>
          <w:lang w:bidi="fa-IR"/>
        </w:rPr>
        <w:t xml:space="preserve">»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إیّاک و دخول الحمّام بغیر 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الناظر و المنظور إلیه</w:t>
      </w:r>
      <w:r>
        <w:rPr>
          <w:rFonts w:eastAsia="IRNazanin" w:cs="IRNazanin"/>
          <w:color w:val="111111"/>
          <w:sz w:val="28"/>
          <w:szCs w:val="28"/>
          <w:rtl w:val="true"/>
          <w:lang w:bidi="fa-IR"/>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یدخلنّ أحدکم الحمّام إلّا بمئزر</w:t>
      </w:r>
      <w:r>
        <w:rPr>
          <w:rFonts w:eastAsia="IRNazanin" w:cs="IRNazanin"/>
          <w:color w:val="111111"/>
          <w:sz w:val="28"/>
          <w:szCs w:val="28"/>
          <w:rtl w:val="true"/>
          <w:lang w:bidi="fa-IR"/>
        </w:rPr>
        <w:t xml:space="preserve">» </w:t>
      </w:r>
      <w:r>
        <w:rPr>
          <w:rStyle w:val="FootnoteAnchor"/>
          <w:rtl w:val="true"/>
        </w:rPr>
        <w:footnoteReference w:id="1700"/>
      </w:r>
      <w:r>
        <w:rPr>
          <w:rFonts w:ascii="IRNazanin" w:hAnsi="IRNazanin" w:eastAsia="IRNazanin"/>
          <w:color w:val="111111"/>
          <w:sz w:val="28"/>
          <w:sz w:val="28"/>
          <w:szCs w:val="28"/>
          <w:rtl w:val="true"/>
          <w:lang w:bidi="fa-IR"/>
        </w:rPr>
        <w:t>و فی صحیحة حریز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الرجل إلی عورة أخیه</w:t>
      </w:r>
      <w:r>
        <w:rPr>
          <w:rFonts w:eastAsia="IRNazanin" w:cs="IRNazanin"/>
          <w:color w:val="111111"/>
          <w:sz w:val="28"/>
          <w:szCs w:val="28"/>
          <w:rtl w:val="true"/>
          <w:lang w:bidi="fa-IR"/>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یستدلّ </w:t>
      </w:r>
      <w:r>
        <w:rPr>
          <w:rStyle w:val="FootnoteAnchor"/>
          <w:rtl w:val="true"/>
        </w:rPr>
        <w:footnoteReference w:id="1702"/>
      </w:r>
      <w:r>
        <w:rPr>
          <w:rFonts w:ascii="IRNazanin" w:hAnsi="IRNazanin" w:eastAsia="IRNazanin"/>
          <w:color w:val="111111"/>
          <w:sz w:val="28"/>
          <w:sz w:val="28"/>
          <w:szCs w:val="28"/>
          <w:rtl w:val="true"/>
          <w:lang w:bidi="fa-IR"/>
        </w:rPr>
        <w:t>علی وجوب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الکشف إعانة علی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النبویّ المرویّ بطریق کالصحیح </w:t>
      </w:r>
      <w:r>
        <w:rPr>
          <w:rStyle w:val="FootnoteAnchor"/>
          <w:rtl w:val="true"/>
        </w:rPr>
        <w:footnoteReference w:id="1703"/>
      </w:r>
      <w:r>
        <w:rPr>
          <w:rFonts w:ascii="IRNazanin" w:hAnsi="IRNazanin" w:eastAsia="IRNazanin"/>
          <w:color w:val="111111"/>
          <w:sz w:val="28"/>
          <w:sz w:val="28"/>
          <w:szCs w:val="28"/>
          <w:rtl w:val="true"/>
          <w:lang w:bidi="fa-IR"/>
        </w:rPr>
        <w:t>و فی مرسلة علیّ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الحمّام إلّا بمئزر، و غضّ بصرک</w:t>
      </w:r>
      <w:r>
        <w:rPr>
          <w:rFonts w:eastAsia="IRNazanin" w:cs="IRNazanin"/>
          <w:color w:val="111111"/>
          <w:sz w:val="28"/>
          <w:szCs w:val="28"/>
          <w:rtl w:val="true"/>
          <w:lang w:bidi="fa-IR"/>
        </w:rPr>
        <w:t xml:space="preserve">» </w:t>
      </w:r>
      <w:r>
        <w:rPr>
          <w:rStyle w:val="FootnoteAnchor"/>
          <w:rtl w:val="true"/>
        </w:rPr>
        <w:footnoteReference w:id="1704"/>
      </w:r>
      <w:r>
        <w:rPr>
          <w:rFonts w:ascii="IRNazanin" w:hAnsi="IRNazanin" w:eastAsia="IRNazanin"/>
          <w:color w:val="111111"/>
          <w:sz w:val="28"/>
          <w:sz w:val="28"/>
          <w:szCs w:val="28"/>
          <w:rtl w:val="true"/>
          <w:lang w:bidi="fa-IR"/>
        </w:rPr>
        <w:t xml:space="preserve">و نحوها روایة حمزة بن الحذّاء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فلا یدخل الحمّام إلّا بمئزر</w:t>
      </w:r>
      <w:r>
        <w:rPr>
          <w:rFonts w:eastAsia="IRNazanin" w:cs="IRNazanin"/>
          <w:color w:val="111111"/>
          <w:sz w:val="28"/>
          <w:szCs w:val="28"/>
          <w:rtl w:val="true"/>
          <w:lang w:bidi="fa-IR"/>
        </w:rPr>
        <w:t xml:space="preserve">» </w:t>
      </w:r>
      <w:r>
        <w:rPr>
          <w:rStyle w:val="FootnoteAnchor"/>
          <w:rtl w:val="true"/>
        </w:rPr>
        <w:footnoteReference w:id="1706"/>
      </w:r>
      <w:r>
        <w:rPr>
          <w:rFonts w:ascii="IRNazanin" w:hAnsi="IRNazanin" w:eastAsia="IRNazanin"/>
          <w:color w:val="111111"/>
          <w:sz w:val="28"/>
          <w:sz w:val="28"/>
          <w:szCs w:val="28"/>
          <w:rtl w:val="true"/>
          <w:lang w:bidi="fa-IR"/>
        </w:rPr>
        <w:t xml:space="preserve">و نحوها عن أبی جعفر علیه السلام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فی صحیحة ابن سنان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عورة المؤمن علی المؤمن 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سفلیه،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إنّما هو إذاعة سرّه</w:t>
      </w:r>
      <w:r>
        <w:rPr>
          <w:rFonts w:eastAsia="IRNazanin" w:cs="IRNazanin"/>
          <w:color w:val="111111"/>
          <w:sz w:val="28"/>
          <w:szCs w:val="28"/>
          <w:rtl w:val="true"/>
          <w:lang w:bidi="fa-IR"/>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حذیفة بن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المؤمن علی المؤمن 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یذهبون، إنّما عنی عورة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یزلّ زلّة أو یتکلّم بشی‌ء یعاب علیه، فیحفظ علیه لیعیّره به یوما ما</w:t>
      </w:r>
      <w:r>
        <w:rPr>
          <w:rFonts w:eastAsia="IRNazanin" w:cs="IRNazanin"/>
          <w:color w:val="111111"/>
          <w:sz w:val="28"/>
          <w:szCs w:val="28"/>
          <w:rtl w:val="true"/>
          <w:lang w:bidi="fa-IR"/>
        </w:rPr>
        <w:t xml:space="preserve">» </w:t>
      </w:r>
      <w:r>
        <w:rPr>
          <w:rStyle w:val="FootnoteAnchor"/>
          <w:rtl w:val="true"/>
        </w:rPr>
        <w:footnoteReference w:id="1709"/>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روایة زید الشحّام فی معنی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أن ینکشف فیری منه شیئا، إنّما هو أن یزری علیه أو یعیبه</w:t>
      </w:r>
      <w:r>
        <w:rPr>
          <w:rFonts w:eastAsia="IRNazanin" w:cs="IRNazanin"/>
          <w:color w:val="111111"/>
          <w:sz w:val="28"/>
          <w:szCs w:val="28"/>
          <w:rtl w:val="true"/>
          <w:lang w:bidi="fa-IR"/>
        </w:rPr>
        <w:t xml:space="preserve">» </w:t>
      </w:r>
      <w:r>
        <w:rPr>
          <w:rStyle w:val="FootnoteAnchor"/>
          <w:rtl w:val="true"/>
        </w:rPr>
        <w:footnoteReference w:id="1710"/>
      </w:r>
      <w:r>
        <w:rPr>
          <w:rFonts w:ascii="IRNazanin" w:hAnsi="IRNazanin" w:eastAsia="IRNazanin"/>
          <w:color w:val="111111"/>
          <w:sz w:val="28"/>
          <w:sz w:val="28"/>
          <w:szCs w:val="28"/>
          <w:rtl w:val="true"/>
          <w:lang w:bidi="fa-IR"/>
        </w:rPr>
        <w:t xml:space="preserve">و ظاهرهما حصر المراد من النبویّ </w:t>
      </w:r>
      <w:r>
        <w:rPr>
          <w:rStyle w:val="FootnoteAnchor"/>
          <w:rtl w:val="true"/>
        </w:rPr>
        <w:footnoteReference w:id="1711"/>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غایته عدم دلالتهما علی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و یمکن حمله علی أنّ المراد بالحصر فی إذاعة السرّ حصر المقصود المهمّ من الکلام فی الإفشاء، فکأنّه لکمال العنایة به هو المعنیّ لا غیر، و أمّا الاطّلاع علی العیوب الظاهرة الّذی تخیّل الناس أنّه المعنیّ لا غیر، بل الاطّلاع علی العیوب الباطنة بالتجسّس عنها الّذی هو أشدّ من الأوّل، فکلاهما سهل فی جنب الإفشاء، و بذلک یجمع بینهما و بین موثّقة حنان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أنا و أبی و عمّی و جدّی حمّاما بالمدینة فإذا رجل دخل بیت المسلخ،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القوم؟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العراق؟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 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الشعار دون الدثار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یمنعکم من الأزر؟ فإنّ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عورة المؤمن علی المؤمن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 عن الرجل؟ فإذا هو علیّ بن الحسین علیه السلام</w:t>
      </w:r>
      <w:r>
        <w:rPr>
          <w:rFonts w:eastAsia="IRNazanin" w:cs="IRNazanin"/>
          <w:color w:val="111111"/>
          <w:sz w:val="28"/>
          <w:szCs w:val="28"/>
          <w:rtl w:val="true"/>
          <w:lang w:bidi="fa-IR"/>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غیر واحد من الأخبار ما یظهر منه الکراهة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المحکیّ فی الفقیه عن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کره دخول الحمّام إلّا بمئزر</w:t>
      </w:r>
      <w:r>
        <w:rPr>
          <w:rFonts w:eastAsia="Amiri" w:cs="Amiri" w:ascii="Amiri" w:hAnsi="Amiri"/>
          <w:color w:val="111111"/>
          <w:sz w:val="28"/>
          <w:szCs w:val="28"/>
          <w:rtl w:val="true"/>
          <w:lang w:bidi="ar-SA"/>
        </w:rPr>
        <w:t xml:space="preserve">» </w:t>
      </w:r>
      <w:r>
        <w:rPr>
          <w:rStyle w:val="FootnoteAnchor"/>
          <w:rtl w:val="true"/>
        </w:rPr>
        <w:footnoteReference w:id="1713"/>
      </w:r>
      <w:r>
        <w:rPr>
          <w:rFonts w:ascii="IRNazanin" w:hAnsi="IRNazanin" w:eastAsia="IRNazanin"/>
          <w:color w:val="111111"/>
          <w:sz w:val="28"/>
          <w:sz w:val="28"/>
          <w:szCs w:val="28"/>
          <w:rtl w:val="true"/>
          <w:lang w:bidi="fa-IR"/>
        </w:rPr>
        <w:t xml:space="preserve">و نحوه نبویّ آخر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ابن أبی یعفور،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أ یتجرّد الرجل عند صبّ الماء تری عورته، أو یصبّ علیه الماء، أو یری هو عورة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 السلام یکره ذلک من کلّ أحد</w:t>
      </w:r>
      <w:r>
        <w:rPr>
          <w:rFonts w:eastAsia="IRNazanin" w:cs="IRNazanin"/>
          <w:color w:val="111111"/>
          <w:sz w:val="28"/>
          <w:szCs w:val="28"/>
          <w:rtl w:val="true"/>
          <w:lang w:bidi="fa-IR"/>
        </w:rPr>
        <w:t xml:space="preserve">»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و عن بعض متأخّری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مخافة خلاف الإجماع لأمکن القول بکراهة النظر دون التحریم جمعا، کما یشیر إلیه ما رواه فی الفقیه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أکره النظر إلی عورة المسلم، فأمّا النظر إلی عورة من لیس بمسلم مثل النظر إلی عورة الحمار</w:t>
      </w:r>
      <w:r>
        <w:rPr>
          <w:rFonts w:eastAsia="IRNazanin" w:cs="IRNazanin"/>
          <w:color w:val="111111"/>
          <w:sz w:val="28"/>
          <w:szCs w:val="28"/>
          <w:rtl w:val="true"/>
          <w:lang w:bidi="fa-IR"/>
        </w:rPr>
        <w:t xml:space="preserve">» </w:t>
      </w:r>
      <w:r>
        <w:rPr>
          <w:rStyle w:val="FootnoteAnchor"/>
          <w:rtl w:val="true"/>
        </w:rPr>
        <w:footnoteReference w:id="1716"/>
      </w:r>
      <w:r>
        <w:rPr>
          <w:rFonts w:ascii="IRNazanin" w:hAnsi="IRNazanin" w:eastAsia="IRNazanin"/>
          <w:color w:val="111111"/>
          <w:sz w:val="28"/>
          <w:sz w:val="28"/>
          <w:szCs w:val="28"/>
          <w:rtl w:val="true"/>
          <w:lang w:bidi="fa-IR"/>
        </w:rPr>
        <w:t xml:space="preserve">فیسهل الجمع بین الروایات </w:t>
      </w:r>
      <w:r>
        <w:rPr>
          <w:rStyle w:val="FootnoteAnchor"/>
          <w:rtl w:val="true"/>
        </w:rPr>
        <w:footnoteReference w:id="171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الجمع بحمل الکراهة فی هذا الخبر علی التحریم أولی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هذه الروایة اختصاص حرمة النظر بعورة المسلم، کما جزم به المحدّث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البدایة </w:t>
      </w:r>
      <w:r>
        <w:rPr>
          <w:rStyle w:val="FootnoteAnchor"/>
          <w:rtl w:val="true"/>
        </w:rPr>
        <w:footnoteReference w:id="1718"/>
      </w:r>
      <w:r>
        <w:rPr>
          <w:rFonts w:ascii="IRNazanin" w:hAnsi="IRNazanin" w:eastAsia="IRNazanin"/>
          <w:color w:val="111111"/>
          <w:sz w:val="28"/>
          <w:sz w:val="28"/>
          <w:szCs w:val="28"/>
          <w:rtl w:val="true"/>
          <w:lang w:bidi="fa-IR"/>
        </w:rPr>
        <w:t xml:space="preserve">و هو أیضا ظاهر الصدوق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أیضا حسنة ابن أبی عمیر عن غیر واحد من أصحابنا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عورة من لیس بمسلم مثل النظر إلی عورة الحمار</w:t>
      </w:r>
      <w:r>
        <w:rPr>
          <w:rFonts w:eastAsia="IRNazanin" w:cs="IRNazanin"/>
          <w:color w:val="111111"/>
          <w:sz w:val="28"/>
          <w:szCs w:val="28"/>
          <w:rtl w:val="true"/>
          <w:lang w:bidi="fa-IR"/>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یؤیّدهما اختصاص ما دلّ علی المنع بعورة المسلم، و عدم ما یدلّ علی العموم عدا النبویّ المتقدّم </w:t>
      </w:r>
      <w:r>
        <w:rPr>
          <w:rStyle w:val="FootnoteAnchor"/>
          <w:rtl w:val="true"/>
        </w:rPr>
        <w:footnoteReference w:id="1721"/>
      </w:r>
      <w:r>
        <w:rPr>
          <w:rFonts w:ascii="IRNazanin" w:hAnsi="IRNazanin" w:eastAsia="IRNazanin"/>
          <w:color w:val="111111"/>
          <w:sz w:val="28"/>
          <w:sz w:val="28"/>
          <w:szCs w:val="28"/>
          <w:rtl w:val="true"/>
          <w:lang w:bidi="fa-IR"/>
        </w:rPr>
        <w:t>و فی إفادته للعموم کلام، فضلا عن بقائه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علیه مع الخبرین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العمدة فی تأیید النبویّ الشهرة و عدم نقل الخلاف فیه، و إلّا کان العمل بالخبرین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العورة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الدبر و القضیب و البیضتان، للأصل و مرسلة أبی یحیی الواسطی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العورة عورتان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 و الدبر، و الدبر مستور بالألیتین، فإذا سترت القضیب و البیضتین فقد سترت العورة</w:t>
      </w:r>
      <w:r>
        <w:rPr>
          <w:rFonts w:eastAsia="IRNazanin" w:cs="IRNazanin"/>
          <w:color w:val="111111"/>
          <w:sz w:val="28"/>
          <w:szCs w:val="28"/>
          <w:rtl w:val="true"/>
          <w:lang w:bidi="fa-IR"/>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محمّد بن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الفخذ لیس من العورة</w:t>
      </w:r>
      <w:r>
        <w:rPr>
          <w:rFonts w:eastAsia="IRNazanin" w:cs="IRNazanin"/>
          <w:color w:val="111111"/>
          <w:sz w:val="28"/>
          <w:szCs w:val="28"/>
          <w:rtl w:val="true"/>
          <w:lang w:bidi="fa-IR"/>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یطلی عانته و ما یلیها، ثمّ یلفّ إزاره علی طرف إحلیله و یدعو قیّم الحمّام فیطلی سائر بدنه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السرّة إلی الرکبة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یتمّ إلّا بستر نصف الساق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استناد القاضی إلی عمومات النهی عن دخول الحمّام إلّا بمئزر </w:t>
      </w:r>
      <w:r>
        <w:rPr>
          <w:rStyle w:val="FootnoteAnchor"/>
          <w:rtl w:val="true"/>
        </w:rPr>
        <w:footnoteReference w:id="1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قرب الإسناد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الرجل أمته فلا ینظر إلی عورتها، و العورة ما بین السرّة و الرکبة</w:t>
      </w:r>
      <w:r>
        <w:rPr>
          <w:rFonts w:eastAsia="IRNazanin" w:cs="IRNazanin"/>
          <w:color w:val="111111"/>
          <w:sz w:val="28"/>
          <w:szCs w:val="28"/>
          <w:rtl w:val="true"/>
          <w:lang w:bidi="fa-IR"/>
        </w:rPr>
        <w:t xml:space="preserve">» </w:t>
      </w:r>
      <w:r>
        <w:rPr>
          <w:rStyle w:val="FootnoteAnchor"/>
          <w:rtl w:val="true"/>
        </w:rPr>
        <w:footnoteReference w:id="1728"/>
      </w:r>
      <w:r>
        <w:rPr>
          <w:rFonts w:ascii="IRNazanin" w:hAnsi="IRNazanin" w:eastAsia="IRNazanin"/>
          <w:color w:val="111111"/>
          <w:sz w:val="28"/>
          <w:sz w:val="28"/>
          <w:szCs w:val="28"/>
          <w:rtl w:val="true"/>
          <w:lang w:bidi="fa-IR"/>
        </w:rPr>
        <w:t>و فی خبر الأربعمائة عن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للرجل أن یکشف ثیابه عن فخذه و یجلس بین قوم</w:t>
      </w:r>
      <w:r>
        <w:rPr>
          <w:rFonts w:eastAsia="IRNazanin" w:cs="IRNazanin"/>
          <w:color w:val="111111"/>
          <w:sz w:val="28"/>
          <w:szCs w:val="28"/>
          <w:rtl w:val="true"/>
          <w:lang w:bidi="fa-IR"/>
        </w:rPr>
        <w:t xml:space="preserve">»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العمل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الروایات فی ما نحن فیه محمولة علی الاستحباب، و لذا قال فی الغنیة و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بین السرّة و الرکبة عورة یستحبّ سترها</w:t>
      </w:r>
      <w:r>
        <w:rPr>
          <w:rFonts w:eastAsia="IRNazanin" w:cs="IRNazanin"/>
          <w:color w:val="111111"/>
          <w:sz w:val="28"/>
          <w:szCs w:val="28"/>
          <w:rtl w:val="true"/>
          <w:lang w:bidi="fa-IR"/>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ظاهر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العبرة فی الحفظ و النظر بلون البشرة، و مرادهم به نفس الجسم، لا خصوص اللون حتّی یکفی فی الستر صبغها بلون آخر، بل المراد مقابل الحجم، و انصراف أدلّة منع الناظر و المنظور إلیه و حرمة الکشف إلی صورة التجرّد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لصدق الستر الواجب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سترت القضیب و الأنثیین فقد سترت العورة</w:t>
      </w:r>
      <w:r>
        <w:rPr>
          <w:rFonts w:eastAsia="IRNazanin" w:cs="IRNazanin"/>
          <w:color w:val="111111"/>
          <w:sz w:val="28"/>
          <w:szCs w:val="28"/>
          <w:rtl w:val="true"/>
          <w:lang w:bidi="fa-IR"/>
        </w:rPr>
        <w:t xml:space="preserve">» </w:t>
      </w:r>
      <w:r>
        <w:rPr>
          <w:rStyle w:val="FootnoteAnchor"/>
          <w:rtl w:val="true"/>
        </w:rPr>
        <w:footnoteReference w:id="1731"/>
      </w:r>
      <w:r>
        <w:rPr>
          <w:rFonts w:ascii="IRNazanin" w:hAnsi="IRNazanin" w:eastAsia="IRNazanin"/>
          <w:color w:val="111111"/>
          <w:sz w:val="28"/>
          <w:sz w:val="28"/>
          <w:szCs w:val="28"/>
          <w:rtl w:val="true"/>
          <w:lang w:bidi="fa-IR"/>
        </w:rPr>
        <w:t>فیکفی سترها بساتر لطیف مع ظهور شکلها علی ما هی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الصدوق عن عبید اللّٰه المرافقی، و قد تقدّم فی المسألة السابقة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فیطلی سائر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Style w:val="FootnoteAnchor"/>
          <w:rtl w:val="true"/>
        </w:rPr>
        <w:footnoteReference w:id="1732"/>
      </w:r>
      <w:r>
        <w:rPr>
          <w:rFonts w:ascii="IRNazanin" w:hAnsi="IRNazanin" w:eastAsia="IRNazanin"/>
          <w:color w:val="111111"/>
          <w:sz w:val="28"/>
          <w:sz w:val="28"/>
          <w:szCs w:val="28"/>
          <w:rtl w:val="true"/>
          <w:lang w:bidi="fa-IR"/>
        </w:rPr>
        <w:t>له قیّم الحمّام یوما من الأیّام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تکره أن أراده قد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النورة سترة</w:t>
      </w:r>
      <w:r>
        <w:rPr>
          <w:rFonts w:eastAsia="IRNazanin" w:cs="IRNazanin"/>
          <w:color w:val="111111"/>
          <w:sz w:val="28"/>
          <w:szCs w:val="28"/>
          <w:rtl w:val="true"/>
          <w:lang w:bidi="fa-IR"/>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مرسلة محمّد بن عمر، عن 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 الیوم الآخر فلا یدخل الحمّام إلّا بمئزر،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ذات یوم الحمّام فتنوّر، فلمّا أطبقت النورة علی بدنه ألقی المئزر، فقال 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إنّک لتوصینا بالمئزر و لزومه، و قد ألقیته عن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النورة قد أطبقت العورة؟</w:t>
      </w:r>
      <w:r>
        <w:rPr>
          <w:rFonts w:eastAsia="IRNazanin" w:cs="IRNazanin"/>
          <w:color w:val="111111"/>
          <w:sz w:val="28"/>
          <w:szCs w:val="28"/>
          <w:rtl w:val="true"/>
          <w:lang w:bidi="fa-IR"/>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للمحکیّ عن المحقّق الثانی </w:t>
      </w:r>
      <w:r>
        <w:rPr>
          <w:rStyle w:val="FootnoteAnchor"/>
          <w:rtl w:val="true"/>
        </w:rPr>
        <w:footnoteReference w:id="1735"/>
      </w:r>
      <w:r>
        <w:rPr>
          <w:rFonts w:ascii="IRNazanin" w:hAnsi="IRNazanin" w:eastAsia="IRNazanin"/>
          <w:color w:val="111111"/>
          <w:sz w:val="28"/>
          <w:sz w:val="28"/>
          <w:szCs w:val="28"/>
          <w:rtl w:val="true"/>
          <w:lang w:bidi="fa-IR"/>
        </w:rPr>
        <w:t xml:space="preserve">و غیره </w:t>
      </w:r>
      <w:r>
        <w:rPr>
          <w:rStyle w:val="FootnoteAnchor"/>
          <w:rtl w:val="true"/>
        </w:rPr>
        <w:footnoteReference w:id="1736"/>
      </w:r>
      <w:r>
        <w:rPr>
          <w:rFonts w:ascii="IRNazanin" w:hAnsi="IRNazanin" w:eastAsia="IRNazanin"/>
          <w:color w:val="111111"/>
          <w:sz w:val="28"/>
          <w:sz w:val="28"/>
          <w:szCs w:val="28"/>
          <w:rtl w:val="true"/>
          <w:lang w:bidi="fa-IR"/>
        </w:rPr>
        <w:t>من وجوب ستر الحجم و لعلّه لصدق النظر إلی العورة مع النظر الحجم إذا لم یکن الحائل 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طلی العورة بنورة رقیقة، أو جعل القضیب فی کیس رقیق یحکی حجمه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الانصراف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الروایتین علی إطباق النورة الکثیرة للعورة خصوصا مع التصاق القضیب بالبیضتین، فیصیر المجموع مع النورة کومة واحدة لا یتمیّز حجم 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طلی القضیب حتّی الحشفة، لکنّه غیر متعارف، فیشکل التمسّک بالروایتین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الاکتفاء فی تستّر </w:t>
      </w:r>
      <w:r>
        <w:rPr>
          <w:rStyle w:val="FootnoteAnchor"/>
          <w:rtl w:val="true"/>
        </w:rPr>
        <w:footnoteReference w:id="1737"/>
      </w:r>
      <w:r>
        <w:rPr>
          <w:rFonts w:ascii="IRNazanin" w:hAnsi="IRNazanin" w:eastAsia="IRNazanin"/>
          <w:color w:val="111111"/>
          <w:sz w:val="28"/>
          <w:sz w:val="28"/>
          <w:szCs w:val="28"/>
          <w:rtl w:val="true"/>
          <w:lang w:bidi="fa-IR"/>
        </w:rPr>
        <w:t>المرأة بدنها بستر البشرة، فلعلّه لأنّ المحرّم علیها إبداء الزینة، و لیست إلّا البشرة، فتأمّل و المسألة محلّ إشکال، و إن کان ما علیه الأکثر لا یخلو عن قوّة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یعتبر فی الناظر البلوغ، لإطلاق آیة الحفظ </w:t>
      </w:r>
      <w:r>
        <w:rPr>
          <w:rStyle w:val="FootnoteAnchor"/>
          <w:rtl w:val="true"/>
        </w:rPr>
        <w:footnoteReference w:id="1738"/>
      </w:r>
      <w:r>
        <w:rPr>
          <w:rFonts w:ascii="IRNazanin" w:hAnsi="IRNazanin" w:eastAsia="IRNazanin"/>
          <w:color w:val="111111"/>
          <w:sz w:val="28"/>
          <w:sz w:val="28"/>
          <w:szCs w:val="28"/>
          <w:rtl w:val="true"/>
          <w:lang w:bidi="fa-IR"/>
        </w:rPr>
        <w:t xml:space="preserve">و روایة لعن المنظور إلیه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و مرفوعة سهل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الرجل مع ابنه الحمّام فینظر إلی عورته</w:t>
      </w:r>
      <w:r>
        <w:rPr>
          <w:rFonts w:eastAsia="IRNazanin" w:cs="IRNazanin"/>
          <w:color w:val="111111"/>
          <w:sz w:val="28"/>
          <w:szCs w:val="28"/>
          <w:rtl w:val="true"/>
          <w:lang w:bidi="fa-IR"/>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مرسلة محمّد بن جعفر، عن بعض رجاله،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الرجل مع ابنه الحمّام فینظر إلی عورته،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للوالدین أن ینظرا إلی عورة الولد، و لیس للولد أن ینظر إلی عورة الوالد،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 سلّم الناظر و المنظور إلیه فی الحمّام بلا مئزر</w:t>
      </w:r>
      <w:r>
        <w:rPr>
          <w:rFonts w:eastAsia="IRNazanin" w:cs="IRNazanin"/>
          <w:color w:val="111111"/>
          <w:sz w:val="28"/>
          <w:szCs w:val="28"/>
          <w:rtl w:val="true"/>
          <w:lang w:bidi="fa-IR"/>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مقتضی وجوب الاقتصار علی المتیقّن من تقیید هذه المطلقات هو غیر الممیّز، ناظرا کان أو منظورا إلیه، فإنّه بمنزلة البهائم، و یدلّ علیه فی الجملة جواز تغسیل المرأة ابن خمس سنین، و تغسیل الرجل بنت خمس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التوقّف، استنادا إلی أصالة حرمة النظر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أراد النظر إلی ما عدا العورة، فظاهر الأخبار جواز النظر إلی ذی الخمسة سنین، بل و إلی غیر البالغ و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النظر إلی العورة، فالظاهر أنّ معیاره التمییز، مع أنّ حرمة النظر إلی العورة لا یوجب التوقّف من حیث عدم مماثلة الغاسل و المغسول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یلحق بغیر الممیّز، و کذا السکران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معیار الاحترام فی الناظر و المنظور إلیه واحد، و هو بلوغ</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الإنسان حدّا یستنکف بجبلّته عن النظر إلی سوأته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الحفظ الواجب یتحقّق بعدم تعریض العورة للنظر بالکشف فی موضع لا یؤمن عن وجود الناظر فیه أو تجدّده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کون حرمته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فیحرم الوقوف من دون غضّ فی موضع لا یأمن من وقوع نظره علی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الأمر بغضّ البصر آیة و روایة، و من ظهور إرادة غضّه عن المحرّم، و الأوّل أحوط، و الثانی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ستر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بقعوده فی مکان لا یراه الناس،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یر علی بول و لا غائط</w:t>
      </w:r>
      <w:r>
        <w:rPr>
          <w:rFonts w:eastAsia="IRNazanin" w:cs="IRNazanin"/>
          <w:color w:val="111111"/>
          <w:sz w:val="28"/>
          <w:szCs w:val="28"/>
          <w:rtl w:val="true"/>
          <w:lang w:bidi="fa-IR"/>
        </w:rPr>
        <w:t xml:space="preserve">»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مدح لقمان 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یره أحد علی بول و لا غائط و لا اغتسال، لشدّة تستره و تحفّظه</w:t>
      </w:r>
      <w:r>
        <w:rPr>
          <w:rFonts w:eastAsia="IRNazanin" w:cs="IRNazanin"/>
          <w:color w:val="111111"/>
          <w:sz w:val="28"/>
          <w:szCs w:val="28"/>
          <w:rtl w:val="true"/>
          <w:lang w:bidi="fa-IR"/>
        </w:rPr>
        <w:t xml:space="preserve">» </w:t>
      </w:r>
      <w:r>
        <w:rPr>
          <w:rStyle w:val="FootnoteAnchor"/>
          <w:rtl w:val="true"/>
        </w:rPr>
        <w:footnoteReference w:id="1744"/>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الغائط فلیستتر</w:t>
      </w:r>
      <w:r>
        <w:rPr>
          <w:rFonts w:eastAsia="IRNazanin" w:cs="IRNazanin"/>
          <w:color w:val="111111"/>
          <w:sz w:val="28"/>
          <w:szCs w:val="28"/>
          <w:rtl w:val="true"/>
          <w:lang w:bidi="fa-IR"/>
        </w:rPr>
        <w:t xml:space="preserve">»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ستر بدنه بعباء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یقتضیه مقابلة البدن بالعورة فی عبارة المصنّف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أعثر علی دلیل استحبابه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استقبال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أو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بمقادیم بدنه، و منها أصل القضیب و البیضتان، فالمستلقی علی القبلة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رفع ساقیه و بال أو تغوّط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المضطجع الموجّه إلی القبلة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فالاستقبال بالنسبة إلی الکلّ شی‌ء واحد، و الاختلاف فی هیئات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و ما اختاره من الحرمة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الإجماع </w:t>
      </w:r>
      <w:r>
        <w:rPr>
          <w:rStyle w:val="FootnoteAnchor"/>
          <w:rtl w:val="true"/>
        </w:rPr>
        <w:footnoteReference w:id="1746"/>
      </w:r>
      <w:r>
        <w:rPr>
          <w:rFonts w:ascii="IRNazanin" w:hAnsi="IRNazanin" w:eastAsia="IRNazanin"/>
          <w:color w:val="111111"/>
          <w:sz w:val="28"/>
          <w:sz w:val="28"/>
          <w:szCs w:val="28"/>
          <w:rtl w:val="true"/>
          <w:lang w:bidi="fa-IR"/>
        </w:rPr>
        <w:t xml:space="preserve">و یشهد له ظواهر أخبار غیر نقیة السند أو الدلالة </w:t>
      </w:r>
      <w:r>
        <w:rPr>
          <w:rStyle w:val="FootnoteAnchor"/>
          <w:rtl w:val="true"/>
        </w:rPr>
        <w:footnoteReference w:id="1747"/>
      </w:r>
      <w:r>
        <w:rPr>
          <w:rFonts w:ascii="IRNazanin" w:hAnsi="IRNazanin" w:eastAsia="IRNazanin"/>
          <w:color w:val="111111"/>
          <w:sz w:val="28"/>
          <w:sz w:val="28"/>
          <w:szCs w:val="28"/>
          <w:rtl w:val="true"/>
          <w:lang w:bidi="fa-IR"/>
        </w:rPr>
        <w:t xml:space="preserve">و من ثمّ اختار بعض الکراهة </w:t>
      </w:r>
      <w:r>
        <w:rPr>
          <w:rStyle w:val="FootnoteAnchor"/>
          <w:rtl w:val="true"/>
        </w:rPr>
        <w:footnoteReference w:id="1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غیر واحد من الأخبار حرمة استقبال القبلة ببول و غائط </w:t>
      </w:r>
      <w:r>
        <w:rPr>
          <w:rStyle w:val="FootnoteAnchor"/>
          <w:rtl w:val="true"/>
        </w:rPr>
        <w:footnoteReference w:id="1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بمثله عبّر جماعة </w:t>
      </w:r>
      <w:r>
        <w:rPr>
          <w:rStyle w:val="FootnoteAnchor"/>
          <w:rtl w:val="true"/>
        </w:rPr>
        <w:footnoteReference w:id="1750"/>
      </w:r>
      <w:r>
        <w:rPr>
          <w:rFonts w:ascii="IRNazanin" w:hAnsi="IRNazanin" w:eastAsia="IRNazanin"/>
          <w:color w:val="111111"/>
          <w:sz w:val="28"/>
          <w:sz w:val="28"/>
          <w:szCs w:val="28"/>
          <w:rtl w:val="true"/>
          <w:lang w:bidi="fa-IR"/>
        </w:rPr>
        <w:t>و ظاهره أنّه لو انحرف بعورته عن القبلة حین البول لم یضرّ الاستقبال بسائر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 من ذلک قول الشهید فی الألفیة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ستر العورة و الانحراف عن القبلة بها</w:t>
      </w:r>
      <w:r>
        <w:rPr>
          <w:rFonts w:eastAsia="IRNazanin" w:cs="IRNazanin"/>
          <w:color w:val="111111"/>
          <w:sz w:val="28"/>
          <w:szCs w:val="28"/>
          <w:rtl w:val="true"/>
          <w:lang w:bidi="fa-IR"/>
        </w:rPr>
        <w:t xml:space="preserve">» </w:t>
      </w:r>
      <w:r>
        <w:rPr>
          <w:rStyle w:val="FootnoteAnchor"/>
          <w:rtl w:val="true"/>
        </w:rPr>
        <w:footnoteReference w:id="1751"/>
      </w:r>
      <w:r>
        <w:rPr>
          <w:rFonts w:ascii="IRNazanin" w:hAnsi="IRNazanin" w:eastAsia="IRNazanin"/>
          <w:color w:val="111111"/>
          <w:sz w:val="28"/>
          <w:sz w:val="28"/>
          <w:szCs w:val="28"/>
          <w:rtl w:val="true"/>
          <w:lang w:bidi="fa-IR"/>
        </w:rPr>
        <w:t xml:space="preserve">قیل </w:t>
      </w:r>
      <w:r>
        <w:rPr>
          <w:rStyle w:val="FootnoteAnchor"/>
          <w:rtl w:val="true"/>
        </w:rPr>
        <w:footnoteReference w:id="1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ذلک من التنقیح، حیث حرّم الاستقبال بالفرج دون الوجه و البدن </w:t>
      </w:r>
      <w:r>
        <w:rPr>
          <w:rStyle w:val="FootnoteAnchor"/>
          <w:rtl w:val="true"/>
        </w:rPr>
        <w:footnoteReference w:id="1753"/>
      </w:r>
      <w:r>
        <w:rPr>
          <w:rFonts w:ascii="IRNazanin" w:hAnsi="IRNazanin" w:eastAsia="IRNazanin"/>
          <w:color w:val="111111"/>
          <w:sz w:val="28"/>
          <w:sz w:val="28"/>
          <w:szCs w:val="28"/>
          <w:rtl w:val="true"/>
          <w:lang w:bidi="fa-IR"/>
        </w:rPr>
        <w:t>فمن بال مستقبلا و حرّف ذکره عنها لم یکن علیه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التفریع استنباط من الناظر فی عبارة التنقیح، و إلّا فصرف طرف الذکر عن القبلة لا یوجب انحراف تمام الفرج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 الموجز فی شرح قول أبی العبّاس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یجتنب القبلة و عکسها عند الحاجة بفرجه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1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المحرّم هو الاستقبال بالفرج لا بالبول، فلو استقبل بفرجه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و میّل إحلیله إلی غیر القبلة 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یفعله بعض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إذ لا فرق بین أصل الفرج و طرفه </w:t>
      </w:r>
      <w:r>
        <w:rPr>
          <w:rStyle w:val="FootnoteAnchor"/>
          <w:rtl w:val="true"/>
        </w:rPr>
        <w:footnoteReference w:id="17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الاستقبال بالفرج جعل رأس الفرج ممّا یلی القبلة، فالقضیب إذا انحرف رأسه عن القبلة لم یستقبل به، و لذا تکلّم غیر واحد فی عبارة الشهید فی الألفیة </w:t>
      </w:r>
      <w:r>
        <w:rPr>
          <w:rStyle w:val="FootnoteAnchor"/>
          <w:rtl w:val="true"/>
        </w:rPr>
        <w:footnoteReference w:id="1756"/>
      </w:r>
      <w:r>
        <w:rPr>
          <w:rFonts w:ascii="IRNazanin" w:hAnsi="IRNazanin" w:eastAsia="IRNazanin"/>
          <w:color w:val="111111"/>
          <w:sz w:val="28"/>
          <w:sz w:val="28"/>
          <w:szCs w:val="28"/>
          <w:rtl w:val="true"/>
          <w:lang w:bidi="fa-IR"/>
        </w:rPr>
        <w:t xml:space="preserve">و استظهر بعضهم منها کفایة أماله طرف القضیب لصدق الانحراف بها، و آخر فجعل باء التعدیة متضمّنا لمعنی المصاحبة،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معی فی السیر و 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ردّه الأوّل بتصریح جماعة علی عدم الفرق بین همزة التعدیة و بائها، و نقضه آخر بقوله تعالی ذَهَبَ اللّٰهُ بِنُورِهِمْ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هذا کلّه مستغنی عنه بحمل العورة علی مجموع القبل و الدبر، إذ الإنسان لا یمکنه الانحراف بها إلّا بانحراف بدنه عن القبلة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أرید خصوص العورة الّتی یتخلّی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المخرجین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باستقبال البیضتین القبلة مع انحراف مخرج البول لأنّه لم یستقبل القبلة ببول، صحّ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ترک الاستقبال بالعورة یتحقّق بتحریفها، خصوصا مع تصریح الأخبار باستقبال القبلة ببول أو غائط، إلّا أنّها واردة مورد الغالب من ملازمة الاستقبال بالبول الاستقبال بالبدن و ندرة الانحراف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بخصوص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یمکن دعوی ذلک فی المطلقات منها الظاهرة فی استقبال نفس المتخلّی، بأنّ المناط الاستقبال بخصوص العورة، إلّا أنّه لمّا کان محقّقا فی الغالب باستقبال الشخص وقع النهی عن الجلوس مستقبلا لئلّا یقع العورة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بعید فی أخبار الاستدبار، فانّ الظاهر منها مرجوحیة الاستدبار من حیث مخالفته لاحترام القبلة و خصوص العورة لا دخل لها فی هذا المعنی، لأنّ البول علی ظهر القبلة و کذا مواجهته بمقدّم القضیب لا ینافی احترامها، بخلاف جلوس الشخص مستدبرا لها لهذا الفعل، فقد یمکن أن یلاحظ فیه نوع من الإهانة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هو المتعیّن، بل لم نجد من صرّح بخلافه، و إن حکی عن مجمع الفوائد أنّه نسب ذلک إلی توهّم بعض </w:t>
      </w:r>
      <w:r>
        <w:rPr>
          <w:rStyle w:val="FootnoteAnchor"/>
          <w:rtl w:val="true"/>
        </w:rPr>
        <w:footnoteReference w:id="1758"/>
      </w:r>
      <w:r>
        <w:rPr>
          <w:rFonts w:ascii="IRNazanin" w:hAnsi="IRNazanin" w:eastAsia="IRNazanin"/>
          <w:color w:val="111111"/>
          <w:sz w:val="28"/>
          <w:sz w:val="28"/>
          <w:szCs w:val="28"/>
          <w:rtl w:val="true"/>
          <w:lang w:bidi="fa-IR"/>
        </w:rPr>
        <w:t xml:space="preserve">و حکاه فی الحدائق صریحا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الأحوط الجمع بین الانحراف بتمام البدن و العورة معا، فلا یدیر العورة إلی طرف القبلة إذا کان غیر مستقبل ببدنه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ذلک الصحاری و الأبنیة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الأخبار و ضعف ما استدلّ به للجواز فی الأبنیة، کما سیجی‌ء</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بالبدن أو العورة عن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قد بنی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 و إلّا لم یقعد فی ذلک الموضع مع التمکّن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من غیره، و علیه یحمل صحیحة ابن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الرضا علیه السلام و فی منزله کنیف مستقبل القبلة، 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 حذاء القبلة ثمّ ذکر فانحرف عنها إجلالا للقبلة و تعظیما لها، لم یقم من مقعده، ذلک حتّی یغفر له</w:t>
      </w:r>
      <w:r>
        <w:rPr>
          <w:rFonts w:eastAsia="IRNazanin" w:cs="IRNazanin"/>
          <w:color w:val="111111"/>
          <w:sz w:val="28"/>
          <w:szCs w:val="28"/>
          <w:rtl w:val="true"/>
          <w:lang w:bidi="fa-IR"/>
        </w:rPr>
        <w:t xml:space="preserve">» </w:t>
      </w:r>
      <w:r>
        <w:rPr>
          <w:rStyle w:val="FootnoteAnchor"/>
          <w:rtl w:val="true"/>
        </w:rPr>
        <w:footnoteReference w:id="1760"/>
      </w:r>
      <w:r>
        <w:rPr>
          <w:rFonts w:ascii="IRNazanin" w:hAnsi="IRNazanin" w:eastAsia="IRNazanin"/>
          <w:color w:val="111111"/>
          <w:sz w:val="28"/>
          <w:sz w:val="28"/>
          <w:szCs w:val="28"/>
          <w:rtl w:val="true"/>
          <w:lang w:bidi="fa-IR"/>
        </w:rPr>
        <w:t xml:space="preserve">و رواه البرقی فی المحاسن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لو سلّم أنّ بناء الکنیف کان بأمر الإمام علیه السلام و أنّ المراد بالکنیف المقعدة دون بیت الخلاء، لم یدلّ ذلک علی جواز القعود للتخلّی علی وضع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تلک الروایة إشعار بکون الترک مستحبّا، لأنّ المناسب فی مقام بیان لطف الواجب ذکر العقاب المتوعّد علی ترکه مقتصرا علیه أو مع ذکر الثواب الموعود علی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الاقتصار علی ذکر الثواب المقرّر عند بیان المستحبّات، لکن هذا الإشعار لا یرفع به الید عن ظواهر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اشتبه القبلة وجب الفحص، لثبوت النهی عن الاستقبال و الاستدبار، و لا یحصل الاجتناب عن النهی عنه إلّا بالفحص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یحصل إلّا الظنّ، ففی وجوب العمل به وجه، لعدم استقلال العقل بالتخییر بین الجهات فی مثله، و الالتزام بسقوط التکلیف مخالف لإطلاق الأدلّة، إلّا أن یدّعی اختصاصها بصورة التمکّن المفقود مع عدم العلم،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دار الأمر بین الاستقبال و الاستدبار ارتکب الثانی، لأنّه أهون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دار الأمر بین أحدهما و بین کشف العورة، فالظاهر أهمیّة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ثمّ مقتضی الأصل الاقتصار فی التحریم علی حال التخلّی، فیجوز عند الاستبراء و الاستنجاء، لکن فی روایة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یرید أن یستنجی کیف یقعد؟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یقعد للغائط</w:t>
      </w:r>
      <w:r>
        <w:rPr>
          <w:rFonts w:eastAsia="IRNazanin" w:cs="IRNazanin"/>
          <w:color w:val="111111"/>
          <w:sz w:val="28"/>
          <w:szCs w:val="28"/>
          <w:rtl w:val="true"/>
          <w:lang w:bidi="fa-IR"/>
        </w:rPr>
        <w:t xml:space="preserve">» </w:t>
      </w:r>
      <w:r>
        <w:rPr>
          <w:rStyle w:val="FootnoteAnchor"/>
          <w:rtl w:val="true"/>
        </w:rPr>
        <w:footnoteReference w:id="1762"/>
      </w:r>
      <w:r>
        <w:rPr>
          <w:rFonts w:ascii="IRNazanin" w:hAnsi="IRNazanin" w:eastAsia="IRNazanin"/>
          <w:color w:val="111111"/>
          <w:sz w:val="28"/>
          <w:sz w:val="28"/>
          <w:szCs w:val="28"/>
          <w:rtl w:val="true"/>
          <w:lang w:bidi="fa-IR"/>
        </w:rPr>
        <w:t>و ردّ بعض الفحول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الإغماض عن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ذلک الردّ علی العامّة حیث یقعدون للاستنجاء نحوا آخر من زیادة التفریج و إدخال الأنملة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الأنملة لم یوجبه إلّا محمّد بن الحسن الشیبانی </w:t>
      </w:r>
      <w:r>
        <w:rPr>
          <w:rStyle w:val="FootnoteAnchor"/>
          <w:rtl w:val="true"/>
        </w:rPr>
        <w:footnoteReference w:id="1764"/>
      </w:r>
      <w:r>
        <w:rPr>
          <w:rFonts w:ascii="IRNazanin" w:hAnsi="IRNazanin" w:eastAsia="IRNazanin"/>
          <w:color w:val="111111"/>
          <w:sz w:val="28"/>
          <w:sz w:val="28"/>
          <w:szCs w:val="28"/>
          <w:rtl w:val="true"/>
          <w:lang w:bidi="fa-IR"/>
        </w:rPr>
        <w:t>و زیادة التفریج لم أعثر علیه مسندا إلی أحد من العامّة، و علی تقدیره فظاهر الروایة السؤال عن جمیع الکیفیّات الّتی یجب القعود علیها، فالجواب یدلّ علی العموم، فیشمل الاستقبال و الاستدبار،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bookmarkStart w:id="389" w:name="pg13031_132098"/>
    </w:p>
    <w:p>
      <w:pPr>
        <w:pStyle w:val="BookText"/>
        <w:rPr/>
      </w:pPr>
      <w:bookmarkEnd w:id="3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Heading6"/>
        <w:numPr>
          <w:ilvl w:val="5"/>
          <w:numId w:val="1"/>
        </w:numPr>
        <w:rPr/>
      </w:pPr>
      <w:bookmarkStart w:id="390" w:name="__RefHeading___Toc6281725_3224264995"/>
      <w:bookmarkStart w:id="391" w:name="_Toc164"/>
      <w:bookmarkEnd w:id="390"/>
      <w:r>
        <w:rPr>
          <w:rtl w:val="true"/>
        </w:rPr>
        <w:t>[</w:t>
      </w:r>
      <w:r>
        <w:rPr>
          <w:rtl w:val="true"/>
        </w:rPr>
        <w:t>الثانی فی الاستنجاء</w:t>
      </w:r>
      <w:r>
        <w:rPr>
          <w:rtl w:val="true"/>
        </w:rPr>
        <w:t>]</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فی 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استفعال من النجو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765"/>
      </w:r>
      <w:r>
        <w:rPr>
          <w:rFonts w:ascii="IRNazanin" w:hAnsi="IRNazanin" w:eastAsia="IRNazanin"/>
          <w:color w:val="111111"/>
          <w:sz w:val="28"/>
          <w:sz w:val="28"/>
          <w:szCs w:val="28"/>
          <w:rtl w:val="true"/>
          <w:lang w:bidi="fa-IR"/>
        </w:rPr>
        <w:t>ما یخرج من البطن، أو الغائط، کما فی الصحاح،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مسح موضع النجو أو غسله، و فیه عن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استنجیت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التقطت رطبها، و استنجیت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قطعتها من أصلها </w:t>
      </w:r>
      <w:r>
        <w:rPr>
          <w:rStyle w:val="FootnoteAnchor"/>
          <w:rtl w:val="true"/>
        </w:rPr>
        <w:footnoteReference w:id="1766"/>
      </w:r>
      <w:r>
        <w:rPr>
          <w:rFonts w:ascii="IRNazanin" w:hAnsi="IRNazanin" w:eastAsia="IRNazanin"/>
          <w:color w:val="111111"/>
          <w:sz w:val="28"/>
          <w:sz w:val="28"/>
          <w:szCs w:val="28"/>
          <w:rtl w:val="true"/>
          <w:lang w:bidi="fa-IR"/>
        </w:rPr>
        <w:t>و کأنّ المسح مأخوذ من الاستعمال الأوّل و الغسل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البول و الغائط الناقضین عن مخرجهما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القذر المتعدّی عن المخرج منهما، و عدم الملازمة بین ناقضیة الخبثین و صدق الاستنجاء علی إزالتهما، کما لا یخفی، فالأولی فیه الرجوع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قدّس سرّه تصدّی لبیان المعنی العرفیّ علی وجه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یدخل فیه بعض الأفراد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خلاف فی وجوب أصل الاستنجاء بمعنی اشتراطه فی الصلاة، لعموم ما دلّ علی وجوب إزالة النجاسة عن البدن </w:t>
      </w:r>
      <w:r>
        <w:rPr>
          <w:rStyle w:val="FootnoteAnchor"/>
          <w:rtl w:val="true"/>
        </w:rPr>
        <w:footnoteReference w:id="1768"/>
      </w:r>
      <w:r>
        <w:rPr>
          <w:rFonts w:ascii="IRNazanin" w:hAnsi="IRNazanin" w:eastAsia="IRNazanin"/>
          <w:color w:val="111111"/>
          <w:sz w:val="28"/>
          <w:sz w:val="28"/>
          <w:szCs w:val="28"/>
          <w:rtl w:val="true"/>
          <w:lang w:bidi="fa-IR"/>
        </w:rPr>
        <w:t xml:space="preserve">و خصوص الأخبار الواردة فی المقام </w:t>
      </w:r>
      <w:r>
        <w:rPr>
          <w:rStyle w:val="FootnoteAnchor"/>
          <w:rtl w:val="true"/>
        </w:rPr>
        <w:footnoteReference w:id="1769"/>
      </w:r>
      <w:r>
        <w:rPr>
          <w:rFonts w:ascii="IRNazanin" w:hAnsi="IRNazanin" w:eastAsia="IRNazanin"/>
          <w:color w:val="111111"/>
          <w:sz w:val="28"/>
          <w:sz w:val="28"/>
          <w:szCs w:val="28"/>
          <w:rtl w:val="true"/>
          <w:lang w:bidi="fa-IR"/>
        </w:rPr>
        <w:t xml:space="preserve">بل ظاهر بعضها اشتراطه فی الوضوء بمعنی إعادة الوضوء مع نسیان الاستنجاء من البول </w:t>
      </w:r>
      <w:r>
        <w:rPr>
          <w:rStyle w:val="FootnoteAnchor"/>
          <w:rtl w:val="true"/>
        </w:rPr>
        <w:footnoteReference w:id="1770"/>
      </w:r>
      <w:r>
        <w:rPr>
          <w:rFonts w:ascii="IRNazanin" w:hAnsi="IRNazanin" w:eastAsia="IRNazanin"/>
          <w:color w:val="111111"/>
          <w:sz w:val="28"/>
          <w:sz w:val="28"/>
          <w:szCs w:val="28"/>
          <w:rtl w:val="true"/>
          <w:lang w:bidi="fa-IR"/>
        </w:rPr>
        <w:t xml:space="preserve">کما عن الصدوق </w:t>
      </w:r>
      <w:r>
        <w:rPr>
          <w:rStyle w:val="FootnoteAnchor"/>
          <w:rtl w:val="true"/>
        </w:rPr>
        <w:footnoteReference w:id="1771"/>
      </w:r>
      <w:r>
        <w:rPr>
          <w:rFonts w:ascii="Amiri" w:hAnsi="Amiri" w:eastAsia="Amiri" w:cs="Amiri"/>
          <w:color w:val="111111"/>
          <w:sz w:val="28"/>
          <w:sz w:val="28"/>
          <w:szCs w:val="28"/>
          <w:rtl w:val="true"/>
          <w:lang w:bidi="ar-SA"/>
        </w:rPr>
        <w:t>لکنّه ضعیف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أیضا 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مخرج البول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السیّد قدّس سرّه </w:t>
      </w:r>
      <w:r>
        <w:rPr>
          <w:rStyle w:val="FootnoteAnchor"/>
          <w:rtl w:val="true"/>
        </w:rPr>
        <w:footnoteReference w:id="1772"/>
      </w:r>
      <w:r>
        <w:rPr>
          <w:rFonts w:ascii="IRNazanin" w:hAnsi="IRNazanin" w:eastAsia="IRNazanin"/>
          <w:color w:val="111111"/>
          <w:sz w:val="28"/>
          <w:sz w:val="28"/>
          <w:szCs w:val="28"/>
          <w:rtl w:val="true"/>
          <w:lang w:bidi="fa-IR"/>
        </w:rPr>
        <w:t>و إن کان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للأخبار العامّة و الخاصّة فی عدم کفایة غیره، ففی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یجزیک من الاستنجاء ثلاثة أحجار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البول فإنّه لا بدّ من غسله</w:t>
      </w:r>
      <w:r>
        <w:rPr>
          <w:rFonts w:eastAsia="IRNazanin" w:cs="IRNazanin"/>
          <w:color w:val="111111"/>
          <w:sz w:val="28"/>
          <w:szCs w:val="28"/>
          <w:rtl w:val="true"/>
          <w:lang w:bidi="fa-IR"/>
        </w:rPr>
        <w:t xml:space="preserve">» </w:t>
      </w:r>
      <w:r>
        <w:rPr>
          <w:rStyle w:val="FootnoteAnchor"/>
          <w:rtl w:val="true"/>
        </w:rPr>
        <w:footnoteReference w:id="1773"/>
      </w:r>
      <w:r>
        <w:rPr>
          <w:rFonts w:ascii="IRNazanin" w:hAnsi="IRNazanin" w:eastAsia="IRNazanin"/>
          <w:color w:val="111111"/>
          <w:sz w:val="28"/>
          <w:sz w:val="28"/>
          <w:szCs w:val="28"/>
          <w:rtl w:val="true"/>
          <w:lang w:bidi="fa-IR"/>
        </w:rPr>
        <w:t>بالماء، و فی روایة برید بن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یجزی من البول إلّا الماء</w:t>
      </w:r>
      <w:r>
        <w:rPr>
          <w:rFonts w:eastAsia="IRNazanin" w:cs="IRNazanin"/>
          <w:color w:val="111111"/>
          <w:sz w:val="28"/>
          <w:szCs w:val="28"/>
          <w:rtl w:val="true"/>
          <w:lang w:bidi="fa-IR"/>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الوجوب إنّما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القدرة</w:t>
      </w:r>
      <w:r>
        <w:rPr>
          <w:rFonts w:eastAsia="IRNazanin" w:cs="IRNazanin"/>
          <w:color w:val="111111"/>
          <w:sz w:val="28"/>
          <w:szCs w:val="28"/>
          <w:rtl w:val="true"/>
          <w:lang w:bidi="fa-IR"/>
        </w:rPr>
        <w:t xml:space="preserve">) </w:t>
      </w:r>
      <w:r>
        <w:rPr>
          <w:rStyle w:val="FootnoteAnchor"/>
          <w:rtl w:val="true"/>
        </w:rPr>
        <w:footnoteReference w:id="1775"/>
      </w:r>
      <w:r>
        <w:rPr>
          <w:rFonts w:ascii="IRNazanin" w:hAnsi="IRNazanin" w:eastAsia="IRNazanin"/>
          <w:color w:val="111111"/>
          <w:sz w:val="28"/>
          <w:sz w:val="28"/>
          <w:szCs w:val="28"/>
          <w:rtl w:val="true"/>
          <w:lang w:bidi="fa-IR"/>
        </w:rPr>
        <w:t>و یسقط لا معها کما فی کلّ واجب</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وجوب إزالة العین، کما صرّح به الشیخان </w:t>
      </w:r>
      <w:r>
        <w:rPr>
          <w:rStyle w:val="FootnoteAnchor"/>
          <w:rtl w:val="true"/>
        </w:rPr>
        <w:footnoteReference w:id="1776"/>
      </w:r>
      <w:r>
        <w:rPr>
          <w:rFonts w:ascii="Amiri" w:hAnsi="Amiri" w:eastAsia="Amiri" w:cs="Amiri"/>
          <w:color w:val="111111"/>
          <w:sz w:val="28"/>
          <w:sz w:val="28"/>
          <w:szCs w:val="28"/>
          <w:rtl w:val="true"/>
          <w:lang w:bidi="ar-SA"/>
        </w:rPr>
        <w:t xml:space="preserve">و ابن حمزة </w:t>
      </w:r>
      <w:r>
        <w:rPr>
          <w:rStyle w:val="FootnoteAnchor"/>
          <w:rtl w:val="true"/>
        </w:rPr>
        <w:footnoteReference w:id="17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و الحلبی </w:t>
      </w:r>
      <w:r>
        <w:rPr>
          <w:rStyle w:val="FootnoteAnchor"/>
          <w:rtl w:val="true"/>
        </w:rPr>
        <w:footnoteReference w:id="1778"/>
      </w:r>
      <w:r>
        <w:rPr>
          <w:rFonts w:ascii="Amiri" w:hAnsi="Amiri" w:eastAsia="Amiri" w:cs="Amiri"/>
          <w:color w:val="111111"/>
          <w:sz w:val="28"/>
          <w:sz w:val="28"/>
          <w:szCs w:val="28"/>
          <w:rtl w:val="true"/>
          <w:lang w:bidi="ar-SA"/>
        </w:rPr>
        <w:t xml:space="preserve">و المحقّق </w:t>
      </w:r>
      <w:r>
        <w:rPr>
          <w:rStyle w:val="FootnoteAnchor"/>
          <w:rtl w:val="true"/>
        </w:rPr>
        <w:footnoteReference w:id="1779"/>
      </w:r>
      <w:r>
        <w:rPr>
          <w:rFonts w:ascii="Amiri" w:hAnsi="Amiri" w:eastAsia="Amiri" w:cs="Amiri"/>
          <w:color w:val="111111"/>
          <w:sz w:val="28"/>
          <w:sz w:val="28"/>
          <w:szCs w:val="28"/>
          <w:rtl w:val="true"/>
          <w:lang w:bidi="ar-SA"/>
        </w:rPr>
        <w:t xml:space="preserve">و العلّامة </w:t>
      </w:r>
      <w:r>
        <w:rPr>
          <w:rStyle w:val="FootnoteAnchor"/>
          <w:rtl w:val="true"/>
        </w:rPr>
        <w:footnoteReference w:id="1780"/>
      </w:r>
      <w:r>
        <w:rPr>
          <w:rFonts w:ascii="IRNazanin" w:hAnsi="IRNazanin" w:eastAsia="IRNazanin"/>
          <w:color w:val="111111"/>
          <w:sz w:val="28"/>
          <w:sz w:val="28"/>
          <w:szCs w:val="28"/>
          <w:rtl w:val="true"/>
          <w:lang w:bidi="fa-IR"/>
        </w:rPr>
        <w:t xml:space="preserve">و الشهید </w:t>
      </w:r>
      <w:r>
        <w:rPr>
          <w:rStyle w:val="FootnoteAnchor"/>
          <w:rtl w:val="true"/>
        </w:rPr>
        <w:footnoteReference w:id="1781"/>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عدمه کما حکی عن ظاهر المتأخّرین </w:t>
      </w:r>
      <w:r>
        <w:rPr>
          <w:rStyle w:val="FootnoteAnchor"/>
          <w:rtl w:val="true"/>
        </w:rPr>
        <w:footnoteReference w:id="1782"/>
      </w:r>
      <w:r>
        <w:rPr>
          <w:rFonts w:ascii="IRNazanin" w:hAnsi="IRNazanin" w:eastAsia="IRNazanin"/>
          <w:color w:val="111111"/>
          <w:sz w:val="28"/>
          <w:sz w:val="28"/>
          <w:szCs w:val="28"/>
          <w:rtl w:val="true"/>
          <w:lang w:bidi="fa-IR"/>
        </w:rPr>
        <w:t>قولان، یشهد لثانیهما الأصل، و أنّ الواجب هو التطهیر، لا جزء له خارجا و لا ذهنا حتّی یجری فیه قاعدة وجوب الإتیان بالمیسور و ما استطیع، مع أنّ فی جریانها فی الأجزاء الغیر الخارجیة کلاما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یستدلّ له بإطلاق ما دلّ علی أنّ حدّ الاستنجاء النقاء، کما فی حسنة ابن المغیرة الآتیة </w:t>
      </w:r>
      <w:r>
        <w:rPr>
          <w:rStyle w:val="FootnoteAnchor"/>
          <w:rtl w:val="true"/>
        </w:rPr>
        <w:footnoteReference w:id="1783"/>
      </w:r>
      <w:r>
        <w:rPr>
          <w:rFonts w:ascii="IRNazanin" w:hAnsi="IRNazanin" w:eastAsia="IRNazanin"/>
          <w:color w:val="111111"/>
          <w:sz w:val="28"/>
          <w:sz w:val="28"/>
          <w:szCs w:val="28"/>
          <w:rtl w:val="true"/>
          <w:lang w:bidi="fa-IR"/>
        </w:rPr>
        <w:t xml:space="preserve">بناء علی عموم الاستنجاء فیها للبول و حصول النقاء بإزالة العین فقط، و لذا استدلّ به جماعة فی کثیر من مسائل الاستجمار </w:t>
      </w:r>
      <w:r>
        <w:rPr>
          <w:rStyle w:val="FootnoteAnchor"/>
          <w:rtl w:val="true"/>
        </w:rPr>
        <w:footnoteReference w:id="1784"/>
      </w:r>
      <w:r>
        <w:rPr>
          <w:rFonts w:ascii="IRNazanin" w:hAnsi="IRNazanin" w:eastAsia="IRNazanin"/>
          <w:color w:val="111111"/>
          <w:sz w:val="28"/>
          <w:sz w:val="28"/>
          <w:szCs w:val="28"/>
          <w:rtl w:val="true"/>
          <w:lang w:bidi="fa-IR"/>
        </w:rPr>
        <w:t>الّذی لا یشترط فیه ذهاب غیر العین إجماعا، غایة الأمر تقیید الإطلاق فی الغسل بالماء بإزالة الأثر مع القدرة، فیبقی صورة العجز داخلة فی إطلاق کفایة النقاء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سیأتی </w:t>
      </w:r>
      <w:r>
        <w:rPr>
          <w:rStyle w:val="FootnoteAnchor"/>
          <w:rtl w:val="true"/>
        </w:rPr>
        <w:footnoteReference w:id="1785"/>
      </w:r>
      <w:r>
        <w:rPr>
          <w:rFonts w:ascii="IRNazanin" w:hAnsi="IRNazanin" w:eastAsia="IRNazanin"/>
          <w:color w:val="111111"/>
          <w:sz w:val="28"/>
          <w:sz w:val="28"/>
          <w:szCs w:val="28"/>
          <w:rtl w:val="true"/>
          <w:lang w:bidi="fa-IR"/>
        </w:rPr>
        <w:t xml:space="preserve">أنّ الروایة غیر شاملة للاستجمار و إن عمّمها له جماعة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زوال الأثر أولی من حمله علی زوال العین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و تقییده من الخارج بزوال الأثر، لخروج الحدّ عن کونه حدّا، و التصرّف فی ظاهر التحدید بعید، مع أنّ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زوال الأثر، لأنّه بمعنی النظافة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أضعف من ذلک استدلال العلّامة قدّس سرّه </w:t>
      </w:r>
      <w:r>
        <w:rPr>
          <w:rStyle w:val="FootnoteAnchor"/>
          <w:rtl w:val="true"/>
        </w:rPr>
        <w:footnoteReference w:id="1787"/>
      </w:r>
      <w:r>
        <w:rPr>
          <w:rFonts w:ascii="Amiri" w:hAnsi="Amiri" w:eastAsia="Amiri" w:cs="Amiri"/>
          <w:color w:val="111111"/>
          <w:sz w:val="28"/>
          <w:sz w:val="28"/>
          <w:szCs w:val="28"/>
          <w:rtl w:val="true"/>
          <w:lang w:bidi="ar-SA"/>
        </w:rPr>
        <w:t>بخبر عبد اللّٰه بن بکیر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یبول و لا یکون عنده الماء، فیمسح ذکره بالحائط؟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یابس زکیّ</w:t>
      </w:r>
      <w:r>
        <w:rPr>
          <w:rFonts w:eastAsia="IRNazanin" w:cs="IRNazanin"/>
          <w:color w:val="111111"/>
          <w:sz w:val="28"/>
          <w:szCs w:val="28"/>
          <w:rtl w:val="true"/>
          <w:lang w:bidi="fa-IR"/>
        </w:rPr>
        <w:t xml:space="preserve">» </w:t>
      </w:r>
      <w:r>
        <w:rPr>
          <w:rStyle w:val="FootnoteAnchor"/>
          <w:rtl w:val="true"/>
        </w:rPr>
        <w:footnoteReference w:id="1788"/>
      </w:r>
      <w:r>
        <w:rPr>
          <w:rFonts w:ascii="IRNazanin" w:hAnsi="IRNazanin" w:eastAsia="IRNazanin"/>
          <w:color w:val="111111"/>
          <w:sz w:val="28"/>
          <w:sz w:val="28"/>
          <w:szCs w:val="28"/>
          <w:rtl w:val="true"/>
          <w:lang w:bidi="fa-IR"/>
        </w:rPr>
        <w:t>لأنّ الظاهر کونه بمنزلة الزکیّ فی عدم سرایة النجاسة، لا فی حکم آخر من أحکام الطاهر، و لا دلیل علی وجوب جعل البدن النجس بحیث لا یسری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التحفّظ حتّی لا یتنجّس به ثوبه أو موضع آخر من بدنه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منه فی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تمسّک به فی الوسائل </w:t>
      </w:r>
      <w:r>
        <w:rPr>
          <w:rStyle w:val="FootnoteAnchor"/>
          <w:rtl w:val="true"/>
        </w:rPr>
        <w:footnoteReference w:id="1789"/>
      </w:r>
      <w:r>
        <w:rPr>
          <w:rFonts w:ascii="IRNazanin" w:hAnsi="IRNazanin" w:eastAsia="IRNazanin"/>
          <w:color w:val="111111"/>
          <w:sz w:val="28"/>
          <w:sz w:val="28"/>
          <w:szCs w:val="28"/>
          <w:rtl w:val="true"/>
          <w:lang w:bidi="fa-IR"/>
        </w:rPr>
        <w:t>من خبر زرارة و محمّد بن مسلم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طهور المرأة فی النفاس إذا طهرت و کانت لا تستطیع أن تستنجی بالماء، إنّها إن استنجت اعتقرت، هل لها رخصة أن تتوضّأ من خارج و تنشّفه بقطن أو خرقة؟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لتنقی من داخل بقطن أو بخرقة</w:t>
      </w:r>
      <w:r>
        <w:rPr>
          <w:rFonts w:eastAsia="IRNazanin" w:cs="IRNazanin"/>
          <w:color w:val="111111"/>
          <w:sz w:val="28"/>
          <w:szCs w:val="28"/>
          <w:rtl w:val="true"/>
          <w:lang w:bidi="fa-IR"/>
        </w:rPr>
        <w:t xml:space="preserve">» </w:t>
      </w:r>
      <w:r>
        <w:rPr>
          <w:rStyle w:val="FootnoteAnchor"/>
          <w:rtl w:val="true"/>
        </w:rPr>
        <w:footnoteReference w:id="1790"/>
      </w:r>
      <w:r>
        <w:rPr>
          <w:rFonts w:ascii="IRNazanin" w:hAnsi="IRNazanin" w:eastAsia="IRNazanin"/>
          <w:color w:val="111111"/>
          <w:sz w:val="28"/>
          <w:sz w:val="28"/>
          <w:szCs w:val="28"/>
          <w:rtl w:val="true"/>
          <w:lang w:bidi="fa-IR"/>
        </w:rPr>
        <w:t>فإنّ ظاهر الروایة غسل ظاهر الفرج و تنشیف داخله، و الداخل لا یجب غسله إلّا أن یراد من الداخل ما یظهر عند قعودها للتخلّی بحیث یجب غسله مع القدرة لکونه من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و یمکن الاستدلال علیه بعموم مثل قوله تعالی وَ الرُّجْزَ فَاهْجُرْ </w:t>
      </w:r>
      <w:r>
        <w:rPr>
          <w:rStyle w:val="FootnoteAnchor"/>
          <w:rtl w:val="true"/>
        </w:rPr>
        <w:footnoteReference w:id="1791"/>
      </w:r>
      <w:r>
        <w:rPr>
          <w:rFonts w:ascii="Amiri" w:hAnsi="Amiri" w:eastAsia="Amiri" w:cs="Amiri"/>
          <w:color w:val="111111"/>
          <w:sz w:val="28"/>
          <w:sz w:val="28"/>
          <w:szCs w:val="28"/>
          <w:rtl w:val="true"/>
          <w:lang w:bidi="ar-SA"/>
        </w:rPr>
        <w:t xml:space="preserve">و قوله تعالی فی الخمر و شبهه فَاجْتَنِبُوهُ </w:t>
      </w:r>
      <w:r>
        <w:rPr>
          <w:rStyle w:val="FootnoteAnchor"/>
          <w:rtl w:val="true"/>
        </w:rPr>
        <w:footnoteReference w:id="1792"/>
      </w:r>
      <w:r>
        <w:rPr>
          <w:rFonts w:ascii="IRNazanin" w:hAnsi="IRNazanin" w:eastAsia="IRNazanin"/>
          <w:color w:val="111111"/>
          <w:sz w:val="28"/>
          <w:sz w:val="28"/>
          <w:szCs w:val="28"/>
          <w:rtl w:val="true"/>
          <w:lang w:bidi="fa-IR"/>
        </w:rPr>
        <w:t xml:space="preserve">و نحو ذلک حیث دلّت هذه علی وجوب هجر النجاسات و اجتنابها فی الصلاة و نحوها، و أقلّ مراتب الهجر و الاجتناب إزالة عینها، و فی مثل هذه تجری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علیه أیضا بما دلّ علی المنع عن الصلاة فی النجس، فإنّ العین ما دامت فی البدن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فی النجس،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للتلبّس لا الظرفیة، نظیر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لا یؤکل، فالصلاة فی بوله و روثه و کلّ شی‌ء منه غیر جائز</w:t>
      </w:r>
      <w:r>
        <w:rPr>
          <w:rFonts w:eastAsia="IRNazanin" w:cs="IRNazanin"/>
          <w:color w:val="111111"/>
          <w:sz w:val="28"/>
          <w:szCs w:val="28"/>
          <w:rtl w:val="true"/>
          <w:lang w:bidi="fa-IR"/>
        </w:rPr>
        <w:t xml:space="preserve">» </w:t>
      </w:r>
      <w:r>
        <w:rPr>
          <w:rStyle w:val="FootnoteAnchor"/>
          <w:rtl w:val="true"/>
        </w:rPr>
        <w:footnoteReference w:id="1793"/>
      </w:r>
      <w:r>
        <w:rPr>
          <w:rFonts w:ascii="IRNazanin" w:hAnsi="IRNazanin" w:eastAsia="IRNazanin"/>
          <w:color w:val="111111"/>
          <w:sz w:val="28"/>
          <w:sz w:val="28"/>
          <w:szCs w:val="28"/>
          <w:rtl w:val="true"/>
          <w:lang w:bidi="fa-IR"/>
        </w:rPr>
        <w:t>و إذا زالت العین لم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فی النجاسة، نعم، صلّی مع نجاسة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مناط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فی النجس عنوان للمنع، غیر الصلاة بنجاسة البدن، فإذا تعذّر تحصیل الثانی لم یسقط الأوّل، و یمکن منع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بعدم جواز حمل النجاسة فی الصلاة کان وجوب إزالة العین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ما ذکروه أحوط</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وجوب تخفیف حکم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لم یقدر إلّا علی غسل الثوب من البول مرّة، بل و کذا إزالة بعض أجزائه دون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قد اختلف الأخبار و کلمات الأصحاب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الماء فی إزالة البول، ففی روایة نشیط بن صالح،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کم یجزی من الماء فی الاستنجاء من البول؟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الحشفة من البلل</w:t>
      </w:r>
      <w:r>
        <w:rPr>
          <w:rFonts w:eastAsia="IRNazanin" w:cs="IRNazanin"/>
          <w:color w:val="111111"/>
          <w:sz w:val="28"/>
          <w:szCs w:val="28"/>
          <w:rtl w:val="true"/>
          <w:lang w:bidi="fa-IR"/>
        </w:rPr>
        <w:t xml:space="preserve">»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عبّر فی المقنعة </w:t>
      </w:r>
      <w:r>
        <w:rPr>
          <w:rStyle w:val="FootnoteAnchor"/>
          <w:rtl w:val="true"/>
        </w:rPr>
        <w:footnoteReference w:id="1795"/>
      </w:r>
      <w:r>
        <w:rPr>
          <w:rFonts w:ascii="IRNazanin" w:hAnsi="IRNazanin" w:eastAsia="IRNazanin"/>
          <w:color w:val="111111"/>
          <w:sz w:val="28"/>
          <w:sz w:val="28"/>
          <w:szCs w:val="28"/>
          <w:rtl w:val="true"/>
          <w:lang w:bidi="fa-IR"/>
        </w:rPr>
        <w:t xml:space="preserve">و المبسوط </w:t>
      </w:r>
      <w:r>
        <w:rPr>
          <w:rStyle w:val="FootnoteAnchor"/>
          <w:rtl w:val="true"/>
        </w:rPr>
        <w:footnoteReference w:id="1796"/>
      </w:r>
      <w:r>
        <w:rPr>
          <w:rFonts w:ascii="IRNazanin" w:hAnsi="IRNazanin" w:eastAsia="IRNazanin"/>
          <w:color w:val="111111"/>
          <w:sz w:val="28"/>
          <w:sz w:val="28"/>
          <w:szCs w:val="28"/>
          <w:rtl w:val="true"/>
          <w:lang w:bidi="fa-IR"/>
        </w:rPr>
        <w:t xml:space="preserve">و قبلهما الصدوق </w:t>
      </w:r>
      <w:r>
        <w:rPr>
          <w:rStyle w:val="FootnoteAnchor"/>
          <w:rtl w:val="true"/>
        </w:rPr>
        <w:footnoteReference w:id="1797"/>
      </w:r>
      <w:r>
        <w:rPr>
          <w:rFonts w:ascii="Amiri" w:hAnsi="Amiri" w:eastAsia="Amiri" w:cs="Amiri"/>
          <w:color w:val="111111"/>
          <w:sz w:val="28"/>
          <w:sz w:val="28"/>
          <w:szCs w:val="28"/>
          <w:rtl w:val="true"/>
          <w:lang w:bidi="ar-SA"/>
        </w:rPr>
        <w:t xml:space="preserve">و بعدهما جماعة </w:t>
      </w:r>
      <w:r>
        <w:rPr>
          <w:rStyle w:val="FootnoteAnchor"/>
          <w:rtl w:val="true"/>
        </w:rPr>
        <w:footnoteReference w:id="1798"/>
      </w:r>
      <w:r>
        <w:rPr>
          <w:rFonts w:ascii="IRNazanin" w:hAnsi="IRNazanin" w:eastAsia="IRNazanin"/>
          <w:color w:val="111111"/>
          <w:sz w:val="28"/>
          <w:sz w:val="28"/>
          <w:szCs w:val="28"/>
          <w:rtl w:val="true"/>
          <w:lang w:bidi="fa-IR"/>
        </w:rPr>
        <w:t xml:space="preserve">و نسبه جماعة إلی المشهور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من الحشفة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المعتاد و إن لم یکن طبیعیّا، بل و غیر المعتاد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 به للمرّتین مبنیّ علی إرادة التعدّد من المثلین، لأنّه حکم إزالة مطلق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البلل هی الأجزاء اللطیفة المائیة المعبّر عنها عرفا بالرطوبة، لا نفس الرطوبة، کما ظنّه بعض، فاعترض علی من فسّره بالرطوبة بأنّها عرض لا یقدّر به الماء، و زعم ذلک وجها لوجوب رفع الید عن ظاهر الروایة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سند الروایة لا یخلو عن اعتبار، و خصوصا 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انجبارها بالشهرة بحیث عبّر الأصحاب بمتنها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الأخری لنشیط بن صالح عن بعض أصحابنا،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من البول أن تغسله بمثله</w:t>
      </w:r>
      <w:r>
        <w:rPr>
          <w:rFonts w:eastAsia="IRNazanin" w:cs="IRNazanin"/>
          <w:color w:val="111111"/>
          <w:sz w:val="28"/>
          <w:szCs w:val="28"/>
          <w:rtl w:val="true"/>
          <w:lang w:bidi="fa-IR"/>
        </w:rPr>
        <w:t xml:space="preserve">» </w:t>
      </w:r>
      <w:r>
        <w:rPr>
          <w:rStyle w:val="FootnoteAnchor"/>
          <w:rtl w:val="true"/>
        </w:rPr>
        <w:footnoteReference w:id="1801"/>
      </w:r>
      <w:r>
        <w:rPr>
          <w:rFonts w:ascii="IRNazanin" w:hAnsi="IRNazanin" w:eastAsia="IRNazanin"/>
          <w:color w:val="111111"/>
          <w:sz w:val="28"/>
          <w:sz w:val="28"/>
          <w:szCs w:val="28"/>
          <w:rtl w:val="true"/>
          <w:lang w:bidi="fa-IR"/>
        </w:rPr>
        <w:t xml:space="preserve">فهی ضعیفة سندا بالإرسال، و دلالة بعدم معلومیة معارضتها للأولی إلّا علی تقدیر إرادة مثل البلل الکائن علی المخرج، و من المعلوم عدم تحقّق الغسل به، و لذا ارتکب الشیخ قدّس سرّه البعید فی تأویله بإرجاع الضمیر إلی البول الخارج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فروایة المشهور لا قصور فیها من حیث السند و المعارض، إلّا أنّ المراد بها لا یخلو عن التباس، نظرا إلی أنّه یحتمل فیه وجوه، فالّذی استظهره الشهیدان </w:t>
      </w:r>
      <w:r>
        <w:rPr>
          <w:rStyle w:val="FootnoteAnchor"/>
          <w:rtl w:val="true"/>
        </w:rPr>
        <w:footnoteReference w:id="1803"/>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804"/>
      </w:r>
      <w:r>
        <w:rPr>
          <w:rFonts w:ascii="IRNazanin" w:hAnsi="IRNazanin" w:eastAsia="IRNazanin"/>
          <w:color w:val="111111"/>
          <w:sz w:val="28"/>
          <w:sz w:val="28"/>
          <w:szCs w:val="28"/>
          <w:rtl w:val="true"/>
          <w:lang w:bidi="fa-IR"/>
        </w:rPr>
        <w:t xml:space="preserve">و الفاضل المیسی </w:t>
      </w:r>
      <w:r>
        <w:rPr>
          <w:rStyle w:val="FootnoteAnchor"/>
          <w:rtl w:val="true"/>
        </w:rPr>
        <w:footnoteReference w:id="1805"/>
      </w:r>
      <w:r>
        <w:rPr>
          <w:rFonts w:ascii="IRNazanin" w:hAnsi="IRNazanin" w:eastAsia="IRNazanin"/>
          <w:color w:val="111111"/>
          <w:sz w:val="28"/>
          <w:sz w:val="28"/>
          <w:szCs w:val="28"/>
          <w:rtl w:val="true"/>
          <w:lang w:bidi="fa-IR"/>
        </w:rPr>
        <w:t>من الروایة و من کلام من عبّر من الأصحاب بمتنها هو الغسل مرّتین،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البول فلا بدّ من غسله و یجزی مثلاه مع الفصل، للخبر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استظهار ذلک من العلّامة، حیث اختار فی المنتهی مذهب أبی الصلاح من کفایة إزالة العین </w:t>
      </w:r>
      <w:r>
        <w:rPr>
          <w:rStyle w:val="FootnoteAnchor"/>
          <w:rtl w:val="true"/>
        </w:rPr>
        <w:footnoteReference w:id="1807"/>
      </w:r>
      <w:r>
        <w:rPr>
          <w:rFonts w:ascii="IRNazanin" w:hAnsi="IRNazanin" w:eastAsia="IRNazanin"/>
          <w:color w:val="111111"/>
          <w:sz w:val="28"/>
          <w:sz w:val="28"/>
          <w:szCs w:val="28"/>
          <w:rtl w:val="true"/>
          <w:lang w:bidi="fa-IR"/>
        </w:rPr>
        <w:t xml:space="preserve">و احتجّ علیه بکفایة ذلک فی الغائط ففی البول بطریق أولی، ثمّ ذکر روایة المثلین و توقّف فیها من جهة الراوی </w:t>
      </w:r>
      <w:r>
        <w:rPr>
          <w:rStyle w:val="FootnoteAnchor"/>
          <w:rtl w:val="true"/>
        </w:rPr>
        <w:footnoteReference w:id="1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ذکر الروایة فی مقام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و ربّما نسب إلی المحقّق أیضا فی المعتبر، حیث أیّد الروایة المذکورة بما دلّ علی وجوب صبّ الماء مرّتین، لکنّه قدّس سرّه ذکر تأییدا آخر ینافی ذلک، و هو أنّ الغسل بالمثل لا یحصل معه الیقین بغلبة المطهّر علی النجس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الظاهر من الصدوق فی الفقیه و محکیّ الهدایة،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یصبّ علی إحلیله من الماء مثلی ما علیه من البول یصبّه مرّتین و هذا أدنی ما یجزی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الاحتمال فی نفسه بعید من جهة أنّ الغسل لا یحصل بمثل البلل حتّی یکون المثلان بغسلتین، إلّا أن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القطرة المتخلّفة غالبا بعد انقطاع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Style w:val="FootnoteAnchor"/>
          <w:rtl w:val="true"/>
        </w:rPr>
        <w:footnoteReference w:id="1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ساکتة فی مقام البیان عن ذکر تعدّد الغسل، و لا دلیل علیه غیرها، فإنّ ما دلّ علی صبّ الماء مرّتین من البول </w:t>
      </w:r>
      <w:r>
        <w:rPr>
          <w:rStyle w:val="FootnoteAnchor"/>
          <w:rtl w:val="true"/>
        </w:rPr>
        <w:footnoteReference w:id="1812"/>
      </w:r>
      <w:r>
        <w:rPr>
          <w:rFonts w:ascii="IRNazanin" w:hAnsi="IRNazanin" w:eastAsia="IRNazanin"/>
          <w:color w:val="111111"/>
          <w:sz w:val="28"/>
          <w:sz w:val="28"/>
          <w:szCs w:val="28"/>
          <w:rtl w:val="true"/>
          <w:lang w:bidi="fa-IR"/>
        </w:rPr>
        <w:t>ظاهر الاختصاص بما إذا أصاب الجسد من الخارج، و لأجل ذلک حملها جماعة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الغسلة الواحدة و جعلهما </w:t>
      </w:r>
      <w:r>
        <w:rPr>
          <w:rStyle w:val="FootnoteAnchor"/>
          <w:rtl w:val="true"/>
        </w:rPr>
        <w:footnoteReference w:id="1813"/>
      </w:r>
      <w:r>
        <w:rPr>
          <w:rFonts w:ascii="IRNazanin" w:hAnsi="IRNazanin" w:eastAsia="IRNazanin"/>
          <w:color w:val="111111"/>
          <w:sz w:val="28"/>
          <w:sz w:val="28"/>
          <w:szCs w:val="28"/>
          <w:rtl w:val="true"/>
          <w:lang w:bidi="fa-IR"/>
        </w:rPr>
        <w:t xml:space="preserve">بیانا لأجل ما یتحقّق به استیلاء الماء علی النجس </w:t>
      </w:r>
      <w:r>
        <w:rPr>
          <w:rStyle w:val="FootnoteAnchor"/>
          <w:rtl w:val="true"/>
        </w:rPr>
        <w:footnoteReference w:id="1814"/>
      </w:r>
      <w:r>
        <w:rPr>
          <w:rFonts w:ascii="IRNazanin" w:hAnsi="IRNazanin" w:eastAsia="IRNazanin"/>
          <w:color w:val="111111"/>
          <w:sz w:val="28"/>
          <w:sz w:val="28"/>
          <w:szCs w:val="28"/>
          <w:rtl w:val="true"/>
          <w:lang w:bidi="fa-IR"/>
        </w:rPr>
        <w:t>فإنّ الغسل و الجریان و إن لم یحصل بمثلی البلل، إلّا أنّ اعتبار تضاعف البلل لا یبعد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یجعل کنایة عن الغلبة و الاستیلاء، و هو الّذی یظهر ممّا ذکرنا من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تأیید الروایة بأنّ الیقین بغلبة المطهّر لا یحصل بالغسل بالمثل </w:t>
      </w:r>
      <w:r>
        <w:rPr>
          <w:rStyle w:val="FootnoteAnchor"/>
          <w:rtl w:val="true"/>
        </w:rPr>
        <w:footnoteReference w:id="1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ینافی ذلک تأییدها بروایات التعدّد أیضا، و التأویل یمکن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یستظهر من الشهید فی البیان، حیث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غسل البول بالماء خاصّة، و أقلّه مثلاه مع زوال العین، و الاختلاف هنا فی مجرّد العبارة </w:t>
      </w:r>
      <w:r>
        <w:rPr>
          <w:rStyle w:val="FootnoteAnchor"/>
          <w:rtl w:val="true"/>
        </w:rPr>
        <w:footnoteReference w:id="1816"/>
      </w:r>
      <w:r>
        <w:rPr>
          <w:rFonts w:ascii="IRNazanin" w:hAnsi="IRNazanin" w:eastAsia="IRNazanin"/>
          <w:color w:val="111111"/>
          <w:sz w:val="28"/>
          <w:sz w:val="28"/>
          <w:szCs w:val="28"/>
          <w:rtl w:val="true"/>
          <w:lang w:bidi="fa-IR"/>
        </w:rPr>
        <w:t>انتهی، إذ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جماعة کفایة مجرّد الغسل و تحقّق الجریان، فإذا فرض کون الاختلاف فی مجرّد العبارة تعیّن حمل المثلین علی ما یتحقّق به الجریان، إذ العکس بعید، و لذا جزم العلّامة الطباطبائی بأنّ مراد الشهید إرجاع المثلین إلی کفایة المرّة بإرادة ما یتحقّق معه الغلبة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فی البیان لیس بجیّد، لأنّ الخلاف لیس فی العبارة </w:t>
      </w:r>
      <w:r>
        <w:rPr>
          <w:rStyle w:val="FootnoteAnchor"/>
          <w:rtl w:val="true"/>
        </w:rPr>
        <w:footnoteReference w:id="18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ینسب استظهار هذا المعنی إلی کلّ من صرّح بکفایة المرّة المزیلة أو یظهر منه ذلک، کالسیّدین </w:t>
      </w:r>
      <w:r>
        <w:rPr>
          <w:rStyle w:val="FootnoteAnchor"/>
          <w:rtl w:val="true"/>
        </w:rPr>
        <w:footnoteReference w:id="1819"/>
      </w:r>
      <w:r>
        <w:rPr>
          <w:rFonts w:ascii="IRNazanin" w:hAnsi="IRNazanin" w:eastAsia="IRNazanin"/>
          <w:color w:val="111111"/>
          <w:sz w:val="28"/>
          <w:sz w:val="28"/>
          <w:szCs w:val="28"/>
          <w:rtl w:val="true"/>
          <w:lang w:bidi="fa-IR"/>
        </w:rPr>
        <w:t xml:space="preserve">و الشیخ فی الجمل </w:t>
      </w:r>
      <w:r>
        <w:rPr>
          <w:rStyle w:val="FootnoteAnchor"/>
          <w:rtl w:val="true"/>
        </w:rPr>
        <w:footnoteReference w:id="1820"/>
      </w:r>
      <w:r>
        <w:rPr>
          <w:rFonts w:ascii="IRNazanin" w:hAnsi="IRNazanin" w:eastAsia="IRNazanin"/>
          <w:color w:val="111111"/>
          <w:sz w:val="28"/>
          <w:sz w:val="28"/>
          <w:szCs w:val="28"/>
          <w:rtl w:val="true"/>
          <w:lang w:bidi="fa-IR"/>
        </w:rPr>
        <w:t xml:space="preserve">و الحلبی </w:t>
      </w:r>
      <w:r>
        <w:rPr>
          <w:rStyle w:val="FootnoteAnchor"/>
          <w:rtl w:val="true"/>
        </w:rPr>
        <w:footnoteReference w:id="1821"/>
      </w:r>
      <w:r>
        <w:rPr>
          <w:rFonts w:ascii="IRNazanin" w:hAnsi="IRNazanin" w:eastAsia="IRNazanin"/>
          <w:color w:val="111111"/>
          <w:sz w:val="28"/>
          <w:sz w:val="28"/>
          <w:szCs w:val="28"/>
          <w:rtl w:val="true"/>
          <w:lang w:bidi="fa-IR"/>
        </w:rPr>
        <w:t xml:space="preserve">و القاضی </w:t>
      </w:r>
      <w:r>
        <w:rPr>
          <w:rStyle w:val="FootnoteAnchor"/>
          <w:rtl w:val="true"/>
        </w:rPr>
        <w:footnoteReference w:id="18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و الحلّی </w:t>
      </w:r>
      <w:r>
        <w:rPr>
          <w:rStyle w:val="FootnoteAnchor"/>
          <w:rtl w:val="true"/>
        </w:rPr>
        <w:footnoteReference w:id="1823"/>
      </w:r>
      <w:r>
        <w:rPr>
          <w:rFonts w:ascii="Amiri" w:hAnsi="Amiri" w:eastAsia="Amiri" w:cs="Amiri"/>
          <w:color w:val="111111"/>
          <w:sz w:val="28"/>
          <w:sz w:val="28"/>
          <w:szCs w:val="28"/>
          <w:rtl w:val="true"/>
          <w:lang w:bidi="ar-SA"/>
        </w:rPr>
        <w:t xml:space="preserve">و ابن حمزة </w:t>
      </w:r>
      <w:r>
        <w:rPr>
          <w:rStyle w:val="FootnoteAnchor"/>
          <w:rtl w:val="true"/>
        </w:rPr>
        <w:footnoteReference w:id="1824"/>
      </w:r>
      <w:r>
        <w:rPr>
          <w:rFonts w:ascii="IRNazanin" w:hAnsi="IRNazanin" w:eastAsia="IRNazanin"/>
          <w:color w:val="111111"/>
          <w:sz w:val="28"/>
          <w:sz w:val="28"/>
          <w:szCs w:val="28"/>
          <w:rtl w:val="true"/>
          <w:lang w:bidi="fa-IR"/>
        </w:rPr>
        <w:t xml:space="preserve">و العلّامة فی المختلف و المنتهی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 لأنّ القول بکفایة المرّة لا یدلّ علی استظهار ذلک من روایة المثلین أو حملهما علی الکفایة عن الغلبة، فإنّ صریح المحقّق فی المعتبر و العلّامة فی المنتهی جعل الروایة معارضة للفتوی بکفایة إزالة العین، و کذلک ظاهر الحلّی فی السرائر،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أقلّ ما یجزی من الماء لغسله ما یکون جاریا و یسمّی غسلا، و قد روی أنّ أقلّ ذلک مثلا ما علیه من البول و إن زاد علی ذلک کان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مقابلة الروایة لفتواه،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Style w:val="FootnoteAnchor"/>
          <w:rtl w:val="true"/>
        </w:rPr>
        <w:footnoteReference w:id="1826"/>
      </w:r>
      <w:r>
        <w:rPr>
          <w:rFonts w:ascii="IRNazanin" w:hAnsi="IRNazanin" w:eastAsia="IRNazanin"/>
          <w:color w:val="111111"/>
          <w:sz w:val="28"/>
          <w:sz w:val="28"/>
          <w:szCs w:val="28"/>
          <w:rtl w:val="true"/>
          <w:lang w:bidi="fa-IR"/>
        </w:rPr>
        <w:t>أنّ شهرة الروایة بین العلماء قدیما و حدیثا مع عدم الفتوی بالتعدّد منهم یدلّ علی عدم فهمهم منها إلّا مطلق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احتمال ثالث فی الروایة، و هو إرادة المثلین فی تحقّق الغسل مع کون الواجب غسلتین، فالروایة متعرّضة لأقلّ ما یعتبر فی کلّ غسلة، و تعدّد الغسلة یفهم من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یحتمل ذلک فی عبارتی الفقیه و الهدایة </w:t>
      </w:r>
      <w:r>
        <w:rPr>
          <w:rStyle w:val="FootnoteAnchor"/>
          <w:rtl w:val="true"/>
        </w:rPr>
        <w:footnoteReference w:id="182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بعید فیهما و فی غیرهما من النصّ و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أبعد منه ما احتمله بعض من کون التحدید بالمثلین تعبّدیا و عدم کفایة مطلق الغسل و لو حصل بالأقلّ من المثلین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لا ینبغی طرحها من جهة السند، و لا یستقیم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ظاهرها إلّا بإرادة القطرة المتخلّفة غالبا علی الحشفة لا مجرّد البلل، للقطع بعدم تحقّق الغسل المعتبر إجماعا بمثلیه و لا أربعة أمثاله، و مثل تلک القطرة المتخلّفة یحصل بها أقلّ الغسل و الجریان قطعا، و حینئذ فحمل الروایة علی التعبّد بوجوب الزائد عمّا یتحقّق به أقلّ الغسل فی غسلة واحدة من البعید بحیث لا یبعد دعوی القطع بعدمه، فتعیّن إرادة الغسلتین من المثلین، کما فهمه من عرفت من الأساطین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من البعید أن یصرّح الشهید فی البیان بأنّ الاختلاف بین العلماء فی هذه المسألة بمجرّد العبارة </w:t>
      </w:r>
      <w:r>
        <w:rPr>
          <w:rStyle w:val="FootnoteAnchor"/>
          <w:rtl w:val="true"/>
        </w:rPr>
        <w:footnoteReference w:id="1830"/>
      </w:r>
      <w:r>
        <w:rPr>
          <w:rFonts w:ascii="IRNazanin" w:hAnsi="IRNazanin" w:eastAsia="IRNazanin"/>
          <w:color w:val="111111"/>
          <w:sz w:val="28"/>
          <w:sz w:val="28"/>
          <w:szCs w:val="28"/>
          <w:rtl w:val="true"/>
          <w:lang w:bidi="fa-IR"/>
        </w:rPr>
        <w:t>و یرید بذلک اتّفاقهم فی المعنی علی کفایة الغسلة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بعض الأجلّة </w:t>
      </w:r>
      <w:r>
        <w:rPr>
          <w:rStyle w:val="FootnoteAnchor"/>
          <w:rtl w:val="true"/>
        </w:rPr>
        <w:footnoteReference w:id="1831"/>
      </w:r>
      <w:r>
        <w:rPr>
          <w:rFonts w:ascii="IRNazanin" w:hAnsi="IRNazanin" w:eastAsia="IRNazanin"/>
          <w:color w:val="111111"/>
          <w:sz w:val="28"/>
          <w:sz w:val="28"/>
          <w:szCs w:val="28"/>
          <w:rtl w:val="true"/>
          <w:lang w:bidi="fa-IR"/>
        </w:rPr>
        <w:t>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خرقه لهذا الاتّفاق فی الذکری بالجزم بوجوب المرّتین </w:t>
      </w:r>
      <w:r>
        <w:rPr>
          <w:rStyle w:val="FootnoteAnchor"/>
          <w:rtl w:val="true"/>
        </w:rPr>
        <w:footnoteReference w:id="1832"/>
      </w:r>
      <w:r>
        <w:rPr>
          <w:rFonts w:ascii="IRNazanin" w:hAnsi="IRNazanin" w:eastAsia="IRNazanin"/>
          <w:color w:val="111111"/>
          <w:sz w:val="28"/>
          <w:sz w:val="28"/>
          <w:szCs w:val="28"/>
          <w:rtl w:val="true"/>
          <w:lang w:bidi="fa-IR"/>
        </w:rPr>
        <w:t>و اطّلاعه علی تصریح الصدوق بذلک، أ لیس من جملة العبارات عبارته فی الذکری و عبارة الصدوق فی الفقیه و الهدایة؟ فکیف تنطبق علی الغسلة الواحدة، فلو عکس الأمر و ادّعی أنّ مراده اتّفاق الکلّ فی المعنی علی وجوب المرّتین کان أقرب، و إن کان مشترکا مع الأوّل فی کونه فی حیّز المنع، لأنّ الاختلاف بین العلماء فی کفایة المرّة و المرّتین ممّا لا ینبغی إنکاره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فأظهر الاحتمالات فی الروایة إرادة المرّتین، و یؤیّدها صحیحة البزنطی المرویة فی المستطرفات عن نوادره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یصیب الجسد؟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علیه الماء مرّتین، فإنّما هو ماء</w:t>
      </w:r>
      <w:r>
        <w:rPr>
          <w:rFonts w:eastAsia="IRNazanin" w:cs="IRNazanin"/>
          <w:color w:val="111111"/>
          <w:sz w:val="28"/>
          <w:szCs w:val="28"/>
          <w:rtl w:val="true"/>
          <w:lang w:bidi="fa-IR"/>
        </w:rPr>
        <w:t xml:space="preserve">» </w:t>
      </w:r>
      <w:r>
        <w:rPr>
          <w:rStyle w:val="FootnoteAnchor"/>
          <w:rtl w:val="true"/>
        </w:rPr>
        <w:footnoteReference w:id="1833"/>
      </w:r>
      <w:r>
        <w:rPr>
          <w:rFonts w:ascii="IRNazanin" w:hAnsi="IRNazanin" w:eastAsia="IRNazanin"/>
          <w:color w:val="111111"/>
          <w:sz w:val="28"/>
          <w:sz w:val="28"/>
          <w:szCs w:val="28"/>
          <w:rtl w:val="true"/>
          <w:lang w:bidi="fa-IR"/>
        </w:rPr>
        <w:t xml:space="preserve">إمّا بناء علی عموم موردها لما نحن فیه کما ادّعاه بعض </w:t>
      </w:r>
      <w:r>
        <w:rPr>
          <w:rStyle w:val="FootnoteAnchor"/>
          <w:rtl w:val="true"/>
        </w:rPr>
        <w:footnoteReference w:id="1834"/>
      </w:r>
      <w:r>
        <w:rPr>
          <w:rFonts w:ascii="IRNazanin" w:hAnsi="IRNazanin" w:eastAsia="IRNazanin"/>
          <w:color w:val="111111"/>
          <w:sz w:val="28"/>
          <w:sz w:val="28"/>
          <w:szCs w:val="28"/>
          <w:rtl w:val="true"/>
          <w:lang w:bidi="fa-IR"/>
        </w:rPr>
        <w:t xml:space="preserve">و یشهد له تأیید المحقّق قدّس سرّه روایة المثلین بها </w:t>
      </w:r>
      <w:r>
        <w:rPr>
          <w:rStyle w:val="FootnoteAnchor"/>
          <w:rtl w:val="true"/>
        </w:rPr>
        <w:footnoteReference w:id="1835"/>
      </w:r>
      <w:r>
        <w:rPr>
          <w:rFonts w:ascii="IRNazanin" w:hAnsi="IRNazanin" w:eastAsia="IRNazanin"/>
          <w:color w:val="111111"/>
          <w:sz w:val="28"/>
          <w:sz w:val="28"/>
          <w:szCs w:val="28"/>
          <w:rtl w:val="true"/>
          <w:lang w:bidi="fa-IR"/>
        </w:rPr>
        <w:t xml:space="preserve">و إمّا لأنّ التعلیل بکونه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العلّة فی ذلک نفس هذه النجاسة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مدخلیة المحلّ الملاقی له فی هذا الحکم، إلّا أن یدّعی رجوع التعلیل إلی کفایة الصبّ فی مقابل الحاجة إلی الدلک، کما ینبئ عنه مرسلة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ماء و لیس بوسخ</w:t>
      </w:r>
      <w:r>
        <w:rPr>
          <w:rFonts w:eastAsia="IRNazanin" w:cs="IRNazanin"/>
          <w:color w:val="111111"/>
          <w:sz w:val="28"/>
          <w:szCs w:val="28"/>
          <w:rtl w:val="true"/>
          <w:lang w:bidi="fa-IR"/>
        </w:rPr>
        <w:t xml:space="preserve">»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العلّة فی مقام تسهیل أمر البول، و هو لا یصلح علّة لاعتبار المرّتین فیه فی مقابل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یدفع هذا ظهور اللفظ فی کون العلّة لمجموع الحکم و هو الصبّ مرّتین، فیدلّ علی أنّ کلّ نجس مائیّ لاقی محلّا یکون تطهیره بالصبّ مرّتین، فیحمل علی أنّ النجاسة فی نفسها تحتاج إلی المرّتین، و اکتفی هنا بالصبّ لعدم الجرم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استدلّ بعضهم بفحواه علی وجوب المرّتین فی غیر البول من النجاسات </w:t>
      </w:r>
      <w:r>
        <w:rPr>
          <w:rStyle w:val="FootnoteAnchor"/>
          <w:rtl w:val="true"/>
        </w:rPr>
        <w:footnoteReference w:id="183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استصحاب النجاسة أو حکمها عند من یسمّی مثل هذا الاستصحاب بالتمسّک بعموم الدلیل، إذ لا حاکم علی هذا الأصل عدا بعض الإطلاقات الظاهرة الورود فی مقام البیان، مثل قوله علیه السلام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موثّقة یونس بن یعقوب أو صحیحته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الّذی افترضه اللّٰه تعالی علی العباد لمن جاء من الغائط أو 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 یذهب الغائط، ثمّ یتوضّأ مرّتین مرّتین</w:t>
      </w:r>
      <w:r>
        <w:rPr>
          <w:rFonts w:eastAsia="IRNazanin" w:cs="IRNazanin"/>
          <w:color w:val="111111"/>
          <w:sz w:val="28"/>
          <w:szCs w:val="28"/>
          <w:rtl w:val="true"/>
          <w:lang w:bidi="fa-IR"/>
        </w:rPr>
        <w:t xml:space="preserve">» </w:t>
      </w:r>
      <w:r>
        <w:rPr>
          <w:rStyle w:val="FootnoteAnchor"/>
          <w:rtl w:val="true"/>
        </w:rPr>
        <w:footnoteReference w:id="1838"/>
      </w:r>
      <w:r>
        <w:rPr>
          <w:rFonts w:ascii="IRNazanin" w:hAnsi="IRNazanin" w:eastAsia="IRNazanin"/>
          <w:color w:val="111111"/>
          <w:sz w:val="28"/>
          <w:sz w:val="28"/>
          <w:szCs w:val="28"/>
          <w:rtl w:val="true"/>
          <w:lang w:bidi="fa-IR"/>
        </w:rPr>
        <w:t xml:space="preserve">و مرسلة نشیط بن صالح المتقدّمة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من البول أن یغسله بمثله</w:t>
      </w:r>
      <w:r>
        <w:rPr>
          <w:rFonts w:eastAsia="IRNazanin" w:cs="IRNazanin"/>
          <w:color w:val="111111"/>
          <w:sz w:val="28"/>
          <w:szCs w:val="28"/>
          <w:rtl w:val="true"/>
          <w:lang w:bidi="fa-IR"/>
        </w:rPr>
        <w:t xml:space="preserve">» </w:t>
      </w:r>
      <w:r>
        <w:rPr>
          <w:rStyle w:val="FootnoteAnchor"/>
          <w:rtl w:val="true"/>
        </w:rPr>
        <w:footnoteReference w:id="1839"/>
      </w:r>
      <w:r>
        <w:rPr>
          <w:rFonts w:ascii="IRNazanin" w:hAnsi="IRNazanin" w:eastAsia="IRNazanin"/>
          <w:color w:val="111111"/>
          <w:sz w:val="28"/>
          <w:sz w:val="28"/>
          <w:szCs w:val="28"/>
          <w:rtl w:val="true"/>
          <w:lang w:bidi="fa-IR"/>
        </w:rPr>
        <w:t xml:space="preserve">بناء علی إخراج غیر الاستنجاء منه بما دلّ علی المرّتین عند إصابة البول الجسد </w:t>
      </w:r>
      <w:r>
        <w:rPr>
          <w:rStyle w:val="FootnoteAnchor"/>
          <w:rtl w:val="true"/>
        </w:rPr>
        <w:footnoteReference w:id="1840"/>
      </w:r>
      <w:r>
        <w:rPr>
          <w:rFonts w:ascii="IRNazanin" w:hAnsi="IRNazanin" w:eastAsia="IRNazanin"/>
          <w:color w:val="111111"/>
          <w:sz w:val="28"/>
          <w:sz w:val="28"/>
          <w:szCs w:val="28"/>
          <w:rtl w:val="true"/>
          <w:lang w:bidi="fa-IR"/>
        </w:rPr>
        <w:t>فیبقی نصّا فی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یؤیّدهما ما ذکره فی المنتهی من فحوی کفایة إزالة العین فی الاستنجاء من الغائط إجماعا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لمنع الفحوی حکم جماعة فی غیر الاستنجاء بلزوم التعدّد فی البول و کفایة المرّة فی غیره </w:t>
      </w:r>
      <w:r>
        <w:rPr>
          <w:rStyle w:val="FootnoteAnchor"/>
          <w:rtl w:val="true"/>
        </w:rPr>
        <w:footnoteReference w:id="1842"/>
      </w:r>
      <w:r>
        <w:rPr>
          <w:rFonts w:ascii="IRNazanin" w:hAnsi="IRNazanin" w:eastAsia="IRNazanin"/>
          <w:color w:val="111111"/>
          <w:sz w:val="28"/>
          <w:sz w:val="28"/>
          <w:szCs w:val="28"/>
          <w:rtl w:val="true"/>
          <w:lang w:bidi="fa-IR"/>
        </w:rPr>
        <w:t xml:space="preserve">و المرسلة ضعیفة مخالفة للمشهور، 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مشتبه، لعدم إمکان إرادة مثل المغسول منه و هو البلل، و إرادة مثل الخارج مع عدم تقدّم ذکره فی غایة البعد، و إن ارتکبه الشیخ قدّس سرّه </w:t>
      </w:r>
      <w:r>
        <w:rPr>
          <w:rStyle w:val="FootnoteAnchor"/>
          <w:rtl w:val="true"/>
        </w:rPr>
        <w:footnoteReference w:id="1843"/>
      </w:r>
      <w:r>
        <w:rPr>
          <w:rFonts w:ascii="IRNazanin" w:hAnsi="IRNazanin" w:eastAsia="IRNazanin"/>
          <w:color w:val="111111"/>
          <w:sz w:val="28"/>
          <w:sz w:val="28"/>
          <w:szCs w:val="28"/>
          <w:rtl w:val="true"/>
          <w:lang w:bidi="fa-IR"/>
        </w:rPr>
        <w:t xml:space="preserve">فلا ینهض مع ذلک لمعارضة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تقدیرها فالواجب الرجوع بعد فرض التکافؤ إلی إطلاق الغسل فی روایة یونس بن یعقوب </w:t>
      </w:r>
      <w:r>
        <w:rPr>
          <w:rStyle w:val="FootnoteAnchor"/>
          <w:rtl w:val="true"/>
        </w:rPr>
        <w:footnoteReference w:id="18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إلّا أنّه لا اطمئنان بورودها فی مقام بیان الوضوء المفترض من اللّٰه بجمیع تفاصیله، و لذا لم یذکر کثیر من واجبات الاستنجاء، فلا یبعد أن یکون واردا فی مقام بیان أنّ الوضوء الواجب إزالة الخبث و رفع الحدث، مع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توضّأ مرّتین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الوضوء المفترض لا یخلو عن 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فالأولی و الأحوط الرجوع إلی الاستصحاب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مخرج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تلوّث ظاهر بالنجاسة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یوهمه بعض فروع المنتهی </w:t>
      </w:r>
      <w:r>
        <w:rPr>
          <w:rStyle w:val="FootnoteAnchor"/>
          <w:rtl w:val="true"/>
        </w:rPr>
        <w:footnoteReference w:id="18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تعیّنه علیه و اختیاره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یزول العین 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غیر 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لحسنة ابن المغیرة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للاستنجاء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ینقی ما ثمّة</w:t>
      </w:r>
      <w:r>
        <w:rPr>
          <w:rFonts w:eastAsia="IRNazanin" w:cs="IRNazanin"/>
          <w:color w:val="111111"/>
          <w:sz w:val="28"/>
          <w:szCs w:val="28"/>
          <w:rtl w:val="true"/>
          <w:lang w:bidi="fa-IR"/>
        </w:rPr>
        <w:t xml:space="preserve">» </w:t>
      </w:r>
      <w:r>
        <w:rPr>
          <w:rStyle w:val="FootnoteAnchor"/>
          <w:rtl w:val="true"/>
        </w:rPr>
        <w:footnoteReference w:id="1846"/>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ینقی ما ثمّة</w:t>
      </w:r>
      <w:r>
        <w:rPr>
          <w:rFonts w:eastAsia="IRNazanin" w:cs="IRNazanin"/>
          <w:color w:val="111111"/>
          <w:sz w:val="28"/>
          <w:szCs w:val="28"/>
          <w:rtl w:val="true"/>
          <w:lang w:bidi="fa-IR"/>
        </w:rPr>
        <w:t xml:space="preserve">»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لقوله علیه السلام فی ما رواه فی المعتبر عن الحسین بن أبی العلاء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الثوب یصیبه 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للإزالة، و الثانیة للإنقاء</w:t>
      </w:r>
      <w:r>
        <w:rPr>
          <w:rFonts w:eastAsia="IRNazanin" w:cs="IRNazanin"/>
          <w:color w:val="111111"/>
          <w:sz w:val="28"/>
          <w:szCs w:val="28"/>
          <w:rtl w:val="true"/>
          <w:lang w:bidi="fa-IR"/>
        </w:rPr>
        <w:t xml:space="preserve">» </w:t>
      </w:r>
      <w:r>
        <w:rPr>
          <w:rStyle w:val="FootnoteAnchor"/>
          <w:rtl w:val="true"/>
        </w:rPr>
        <w:footnoteReference w:id="1848"/>
      </w:r>
      <w:r>
        <w:rPr>
          <w:rFonts w:ascii="IRNazanin" w:hAnsi="IRNazanin" w:eastAsia="IRNazanin"/>
          <w:color w:val="111111"/>
          <w:sz w:val="28"/>
          <w:sz w:val="28"/>
          <w:szCs w:val="28"/>
          <w:rtl w:val="true"/>
          <w:lang w:bidi="fa-IR"/>
        </w:rPr>
        <w:t>بحمل الإزالة علی إزالة العین و الإنقاء علی إزالة الأثر</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و إن کانت أجنبیة عمّا نحن فیه، إلّا أنّ فیها دلالة علی تغایر إزالة العین للإنقاء، فیظهر منها أنّ فی المحلّ بعد إزالة العین شیئا یجب إزالته و اصطلح علیه جماعة من الأصحاب </w:t>
      </w:r>
      <w:r>
        <w:rPr>
          <w:rStyle w:val="FootnoteAnchor"/>
          <w:rtl w:val="true"/>
        </w:rPr>
        <w:footnoteReference w:id="1849"/>
      </w:r>
      <w:r>
        <w:rPr>
          <w:rFonts w:ascii="IRNazanin" w:hAnsi="IRNazanin" w:eastAsia="IRNazanin"/>
          <w:color w:val="111111"/>
          <w:sz w:val="28"/>
          <w:sz w:val="28"/>
          <w:szCs w:val="28"/>
          <w:rtl w:val="true"/>
          <w:lang w:bidi="fa-IR"/>
        </w:rPr>
        <w:t>تبعا للشیخ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المبسوط </w:t>
      </w:r>
      <w:r>
        <w:rPr>
          <w:rStyle w:val="FootnoteAnchor"/>
          <w:rtl w:val="true"/>
        </w:rPr>
        <w:footnoteReference w:id="1850"/>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حقیقته بعد الاتّفاق علی وجوب إزالته بالغسل و عدم وجوبها عند الاستجمار، فعن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الشهید الثانی و الفاضل المیسی </w:t>
      </w:r>
      <w:r>
        <w:rPr>
          <w:rStyle w:val="FootnoteAnchor"/>
          <w:rtl w:val="true"/>
        </w:rPr>
        <w:footnoteReference w:id="1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Style w:val="FootnoteAnchor"/>
          <w:rtl w:val="true"/>
        </w:rPr>
        <w:footnoteReference w:id="1852"/>
      </w:r>
      <w:r>
        <w:rPr>
          <w:rFonts w:ascii="IRNazanin" w:hAnsi="IRNazanin" w:eastAsia="IRNazanin"/>
          <w:color w:val="111111"/>
          <w:sz w:val="28"/>
          <w:sz w:val="28"/>
          <w:szCs w:val="28"/>
          <w:rtl w:val="true"/>
          <w:lang w:bidi="fa-IR"/>
        </w:rPr>
        <w:t>أجزاء لطیفة عالقة بالمحلّ لا تزول إلّا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الحصر فی مقابل الاستجمار علی الوجه المتعارف، إذ لا ریب فی زوالها بالمائعات الأخر و بالاستجمار مع المبالغة الخارجة عن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ذلک إلی ما عن المحقّق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یتخلّل علی المحلّ عند التنشیف و المسح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اللون </w:t>
      </w:r>
      <w:r>
        <w:rPr>
          <w:rStyle w:val="FootnoteAnchor"/>
          <w:rtl w:val="true"/>
        </w:rPr>
        <w:footnoteReference w:id="1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مراده اللون الزائل بأدنی مبالغة فی المسح، و هو الّذی حکی عن المنتهی و النهایة الجزم بوجوب إزالته </w:t>
      </w:r>
      <w:r>
        <w:rPr>
          <w:rStyle w:val="FootnoteAnchor"/>
          <w:rtl w:val="true"/>
        </w:rPr>
        <w:footnoteReference w:id="1855"/>
      </w:r>
      <w:r>
        <w:rPr>
          <w:rFonts w:ascii="IRNazanin" w:hAnsi="IRNazanin" w:eastAsia="IRNazanin"/>
          <w:color w:val="111111"/>
          <w:sz w:val="28"/>
          <w:sz w:val="28"/>
          <w:szCs w:val="28"/>
          <w:rtl w:val="true"/>
          <w:lang w:bidi="fa-IR"/>
        </w:rPr>
        <w:t>و إلّا فمطلق اللون لا یجب إزالته بالنصّ و الإجماع</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الرطوبة المتخلّفة بعد قلع الجرم </w:t>
      </w:r>
      <w:r>
        <w:rPr>
          <w:rStyle w:val="FootnoteAnchor"/>
          <w:rtl w:val="true"/>
        </w:rPr>
        <w:footnoteReference w:id="1856"/>
      </w:r>
      <w:r>
        <w:rPr>
          <w:rFonts w:ascii="Amiri" w:hAnsi="Amiri" w:eastAsia="Amiri" w:cs="Amiri"/>
          <w:color w:val="111111"/>
          <w:sz w:val="28"/>
          <w:sz w:val="28"/>
          <w:szCs w:val="28"/>
          <w:rtl w:val="true"/>
          <w:lang w:bidi="ar-SA"/>
        </w:rPr>
        <w:t xml:space="preserve">و ردّ بأنّه من العین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و توضیح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الرطوبة المجرّدة الموجودة بعد المسح بالأحجار یجب قلعها إجماعا، و عند الغسل لا تتمیّز رطوبة المجرّدة من أثر النجاسة عن رطوبة الماء المستعمل فی قلع الجرم، إلّا أن یراد رطوبة حاصلة من ملاقاة ماء الغسل لأجزاء لطیفة من الجرم ممتازة عن رطوبة نفس الماء و تبقی ناشفة عند قلع الجرم بغیر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Style w:val="FootnoteAnchor"/>
          <w:rtl w:val="true"/>
        </w:rPr>
        <w:footnoteReference w:id="1858"/>
      </w:r>
      <w:r>
        <w:rPr>
          <w:rFonts w:ascii="IRNazanin" w:hAnsi="IRNazanin" w:eastAsia="IRNazanin"/>
          <w:color w:val="111111"/>
          <w:sz w:val="28"/>
          <w:sz w:val="28"/>
          <w:szCs w:val="28"/>
          <w:rtl w:val="true"/>
          <w:lang w:bidi="fa-IR"/>
        </w:rPr>
        <w:t xml:space="preserve">النجاسة الحکمیة الباقیة بعد إزالة العین </w:t>
      </w:r>
      <w:r>
        <w:rPr>
          <w:rStyle w:val="FootnoteAnchor"/>
          <w:rtl w:val="true"/>
        </w:rPr>
        <w:footnoteReference w:id="1859"/>
      </w:r>
      <w:r>
        <w:rPr>
          <w:rFonts w:ascii="IRNazanin" w:hAnsi="IRNazanin" w:eastAsia="IRNazanin"/>
          <w:color w:val="111111"/>
          <w:sz w:val="28"/>
          <w:sz w:val="28"/>
          <w:szCs w:val="28"/>
          <w:rtl w:val="true"/>
          <w:lang w:bidi="fa-IR"/>
        </w:rPr>
        <w:t xml:space="preserve">فیکون إشارة إلی تعدّد الغسل، و لعلّه استفاد ذلک من ذیل روایة ابن أبی العلاء المتقدّمة </w:t>
      </w:r>
      <w:r>
        <w:rPr>
          <w:rStyle w:val="FootnoteAnchor"/>
          <w:rtl w:val="true"/>
        </w:rPr>
        <w:footnoteReference w:id="1860"/>
      </w:r>
      <w:r>
        <w:rPr>
          <w:rFonts w:ascii="IRNazanin" w:hAnsi="IRNazanin" w:eastAsia="IRNazanin"/>
          <w:color w:val="111111"/>
          <w:sz w:val="28"/>
          <w:sz w:val="28"/>
          <w:szCs w:val="28"/>
          <w:rtl w:val="true"/>
          <w:lang w:bidi="fa-IR"/>
        </w:rPr>
        <w:t>المشعرة بأنّ النظافة فی نظر الشارع غیر إزالة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فی غایة الضعف، لأنّ النجاسة الحکمیة بعد زوال العین حکم شرعیّ و زوالها عبارة عن طهارة المحلّ شرعا، فکیف یجعل فی کلمات الأصحاب حدّا للغسل؟ مع أنّ التعدّد فی الاستنجاء من الغائط منفیّ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عن المنتهی </w:t>
      </w:r>
      <w:r>
        <w:rPr>
          <w:rStyle w:val="FootnoteAnchor"/>
          <w:rtl w:val="true"/>
        </w:rPr>
        <w:footnoteReference w:id="1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یحمل علیه کلام من صرّح بأنّه لا حدّ للاستنجاء إلّا النقاء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بالأثر الأجزاء الّتی لا تحسّ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عدم الإحساس بالبصر للطافتها و إن أحسّ بها باللمس، و إلّا فمن أین یعلم بقاؤها و زوالها، فیرجع إلی التفسیر الأوّل، و هو أوضح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نعم، یبقی الکلام فی الدلیل علی وجوب إزالتها </w:t>
      </w:r>
      <w:r>
        <w:rPr>
          <w:rStyle w:val="FootnoteAnchor"/>
          <w:rtl w:val="true"/>
        </w:rPr>
        <w:footnoteReference w:id="1864"/>
      </w:r>
      <w:r>
        <w:rPr>
          <w:rFonts w:ascii="IRNazanin" w:hAnsi="IRNazanin" w:eastAsia="IRNazanin"/>
          <w:color w:val="111111"/>
          <w:sz w:val="28"/>
          <w:sz w:val="28"/>
          <w:szCs w:val="28"/>
          <w:rtl w:val="true"/>
          <w:lang w:bidi="fa-IR"/>
        </w:rPr>
        <w:t xml:space="preserve">، فإن کان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أو 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المحدّد به الاستنجاء فی الروایة السابقة مع وجودها،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منع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من الثانی عدم تحقّق النقاء فی الاستجمار مع اشتراط حصوله فیه إجماعا، و من الأوّل کون أجزاء الغائط الموجودة المحسوسة و لو باللمس طاهرة، لاتّفاق أصحابنا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طهارة المحلّ بعد الاستجمار، و هو مخالف للأدلّة القطعیة الدالّة علی نجاسة الغائط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إلّا أن یمنع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و یلتزم بوجوب إزالتها فی الغسل لأدلّة الغسل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ضمّ بعضها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إذهاب الأثر و التنظیف العرفیّ، و هو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حسنة ابن المغیرة و روایة ابن أبی العلاء المتقدّمتین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ذلک أنّ الواجب فی الاستنجاء هو إذهاب الغائط إجماعا و نصّا فی موثّقة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Style w:val="FootnoteAnchor"/>
          <w:rtl w:val="true"/>
        </w:rPr>
        <w:footnoteReference w:id="1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الأثر غائطا لزم مخالفة النصّ</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المجرّدة الّتی من قبیل العرض الباقی فی محلّ النجاسة و الید بلا خلاف، لقوله علیه السلام فی حسنة ابن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ینقی ما ثمّة و یبقی الریح؟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لا ینظر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کانت الرائحة فی الماء نجس و نجس محلّه، و العفو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یوهمه المحکیّ عن الشهید </w:t>
      </w:r>
      <w:r>
        <w:rPr>
          <w:rStyle w:val="FootnoteAnchor"/>
          <w:rtl w:val="true"/>
        </w:rPr>
        <w:footnoteReference w:id="1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فی قیام الرائحة بالماء أو المحلّ حکم بالطهارة، و یحتمل استصحاب النجاسة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النجو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المبسوط </w:t>
      </w:r>
      <w:r>
        <w:rPr>
          <w:rStyle w:val="FootnoteAnchor"/>
          <w:rtl w:val="true"/>
        </w:rPr>
        <w:footnoteReference w:id="1870"/>
      </w:r>
      <w:r>
        <w:rPr>
          <w:rFonts w:ascii="IRNazanin" w:hAnsi="IRNazanin" w:eastAsia="IRNazanin"/>
          <w:color w:val="111111"/>
          <w:sz w:val="28"/>
          <w:sz w:val="28"/>
          <w:szCs w:val="28"/>
          <w:rtl w:val="true"/>
          <w:lang w:bidi="fa-IR"/>
        </w:rPr>
        <w:t xml:space="preserve">و الغنیة </w:t>
      </w:r>
      <w:r>
        <w:rPr>
          <w:rStyle w:val="FootnoteAnchor"/>
          <w:rtl w:val="true"/>
        </w:rPr>
        <w:footnoteReference w:id="1871"/>
      </w:r>
      <w:r>
        <w:rPr>
          <w:rFonts w:ascii="IRNazanin" w:hAnsi="IRNazanin" w:eastAsia="IRNazanin"/>
          <w:color w:val="111111"/>
          <w:sz w:val="28"/>
          <w:sz w:val="28"/>
          <w:szCs w:val="28"/>
          <w:rtl w:val="true"/>
          <w:lang w:bidi="fa-IR"/>
        </w:rPr>
        <w:t xml:space="preserve">و کتب الفاضلین </w:t>
      </w:r>
      <w:r>
        <w:rPr>
          <w:rStyle w:val="FootnoteAnchor"/>
          <w:rtl w:val="true"/>
        </w:rPr>
        <w:footnoteReference w:id="1872"/>
      </w:r>
      <w:r>
        <w:rPr>
          <w:rFonts w:ascii="IRNazanin" w:hAnsi="IRNazanin" w:eastAsia="IRNazanin"/>
          <w:color w:val="111111"/>
          <w:sz w:val="28"/>
          <w:sz w:val="28"/>
          <w:szCs w:val="28"/>
          <w:rtl w:val="true"/>
          <w:lang w:bidi="fa-IR"/>
        </w:rPr>
        <w:t xml:space="preserve">و الشهید </w:t>
      </w:r>
      <w:r>
        <w:rPr>
          <w:rStyle w:val="FootnoteAnchor"/>
          <w:rtl w:val="true"/>
        </w:rPr>
        <w:footnoteReference w:id="1873"/>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874"/>
      </w:r>
      <w:r>
        <w:rPr>
          <w:rFonts w:ascii="IRNazanin" w:hAnsi="IRNazanin" w:eastAsia="IRNazanin"/>
          <w:color w:val="111111"/>
          <w:sz w:val="28"/>
          <w:sz w:val="28"/>
          <w:szCs w:val="28"/>
          <w:rtl w:val="true"/>
          <w:lang w:bidi="fa-IR"/>
        </w:rPr>
        <w:t xml:space="preserve">أو حواشی الدبر، کما فسّره به الشهید الثانی </w:t>
      </w:r>
      <w:r>
        <w:rPr>
          <w:rStyle w:val="FootnoteAnchor"/>
          <w:rtl w:val="true"/>
        </w:rPr>
        <w:footnoteReference w:id="1875"/>
      </w:r>
      <w:r>
        <w:rPr>
          <w:rFonts w:ascii="IRNazanin" w:hAnsi="IRNazanin" w:eastAsia="IRNazanin"/>
          <w:color w:val="111111"/>
          <w:sz w:val="28"/>
          <w:sz w:val="28"/>
          <w:szCs w:val="28"/>
          <w:rtl w:val="true"/>
          <w:lang w:bidi="fa-IR"/>
        </w:rPr>
        <w:t xml:space="preserve">و أبو العبّاس </w:t>
      </w:r>
      <w:r>
        <w:rPr>
          <w:rStyle w:val="FootnoteAnchor"/>
          <w:rtl w:val="true"/>
        </w:rPr>
        <w:footnoteReference w:id="1876"/>
      </w:r>
      <w:r>
        <w:rPr>
          <w:rFonts w:ascii="IRNazanin" w:hAnsi="IRNazanin" w:eastAsia="IRNazanin"/>
          <w:color w:val="111111"/>
          <w:sz w:val="28"/>
          <w:sz w:val="28"/>
          <w:szCs w:val="28"/>
          <w:rtl w:val="true"/>
          <w:lang w:bidi="fa-IR"/>
        </w:rPr>
        <w:t xml:space="preserve">و نسبه فی الحدائق إلی الأصحاب </w:t>
      </w:r>
      <w:r>
        <w:rPr>
          <w:rStyle w:val="FootnoteAnchor"/>
          <w:rtl w:val="true"/>
        </w:rPr>
        <w:footnoteReference w:id="1877"/>
      </w:r>
      <w:r>
        <w:rPr>
          <w:rFonts w:ascii="IRNazanin" w:hAnsi="IRNazanin" w:eastAsia="IRNazanin"/>
          <w:color w:val="111111"/>
          <w:sz w:val="28"/>
          <w:sz w:val="28"/>
          <w:szCs w:val="28"/>
          <w:rtl w:val="true"/>
          <w:lang w:bidi="fa-IR"/>
        </w:rPr>
        <w:t xml:space="preserve">أو الشرج کما فی السرائر </w:t>
      </w:r>
      <w:r>
        <w:rPr>
          <w:rStyle w:val="FootnoteAnchor"/>
          <w:rtl w:val="true"/>
        </w:rPr>
        <w:footnoteReference w:id="1878"/>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بتحریک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حلقة الدبر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تطهیره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کما فی التذکرة </w:t>
      </w:r>
      <w:r>
        <w:rPr>
          <w:rStyle w:val="FootnoteAnchor"/>
          <w:rtl w:val="true"/>
        </w:rPr>
        <w:footnoteReference w:id="1879"/>
      </w:r>
      <w:r>
        <w:rPr>
          <w:rFonts w:ascii="IRNazanin" w:hAnsi="IRNazanin" w:eastAsia="IRNazanin"/>
          <w:color w:val="111111"/>
          <w:sz w:val="28"/>
          <w:sz w:val="28"/>
          <w:szCs w:val="28"/>
          <w:rtl w:val="true"/>
          <w:lang w:bidi="fa-IR"/>
        </w:rPr>
        <w:t xml:space="preserve">و الغنیة </w:t>
      </w:r>
      <w:r>
        <w:rPr>
          <w:rStyle w:val="FootnoteAnchor"/>
          <w:rtl w:val="true"/>
        </w:rPr>
        <w:footnoteReference w:id="1880"/>
      </w: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مذهب أهل العلم </w:t>
      </w:r>
      <w:r>
        <w:rPr>
          <w:rStyle w:val="FootnoteAnchor"/>
          <w:rtl w:val="true"/>
        </w:rPr>
        <w:footnoteReference w:id="1881"/>
      </w:r>
      <w:r>
        <w:rPr>
          <w:rFonts w:ascii="IRNazanin" w:hAnsi="IRNazanin" w:eastAsia="IRNazanin"/>
          <w:color w:val="111111"/>
          <w:sz w:val="28"/>
          <w:sz w:val="28"/>
          <w:szCs w:val="28"/>
          <w:rtl w:val="true"/>
          <w:lang w:bidi="fa-IR"/>
        </w:rPr>
        <w:t>و عن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لا خلاف فیه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لانجبار الخبر العامّیّ المرویّ فی المعتبر و المنتهی عن الجمهور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کنتم تبعرون بعرا و الیوم تثلطون ثلطا فأتبعوا الماء الأحجار</w:t>
      </w:r>
      <w:r>
        <w:rPr>
          <w:rFonts w:eastAsia="IRNazanin" w:cs="IRNazanin"/>
          <w:color w:val="111111"/>
          <w:sz w:val="28"/>
          <w:szCs w:val="28"/>
          <w:rtl w:val="true"/>
          <w:lang w:bidi="fa-IR"/>
        </w:rPr>
        <w:t xml:space="preserve">» </w:t>
      </w:r>
      <w:r>
        <w:rPr>
          <w:rStyle w:val="FootnoteAnchor"/>
          <w:rtl w:val="true"/>
        </w:rPr>
        <w:footnoteReference w:id="1883"/>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 أحدکم ثلاثة أحجار إذا لم یتجاوز محلّ العادة</w:t>
      </w:r>
      <w:r>
        <w:rPr>
          <w:rFonts w:eastAsia="IRNazanin" w:cs="IRNazanin"/>
          <w:color w:val="111111"/>
          <w:sz w:val="28"/>
          <w:szCs w:val="28"/>
          <w:rtl w:val="true"/>
          <w:lang w:bidi="fa-IR"/>
        </w:rPr>
        <w:t xml:space="preserve">» </w:t>
      </w:r>
      <w:r>
        <w:rPr>
          <w:rStyle w:val="FootnoteAnchor"/>
          <w:rtl w:val="true"/>
        </w:rPr>
        <w:footnoteReference w:id="1884"/>
      </w:r>
      <w:r>
        <w:rPr>
          <w:rFonts w:ascii="IRNazanin" w:hAnsi="IRNazanin" w:eastAsia="IRNazanin"/>
          <w:color w:val="111111"/>
          <w:sz w:val="28"/>
          <w:sz w:val="28"/>
          <w:szCs w:val="28"/>
          <w:rtl w:val="true"/>
          <w:lang w:bidi="fa-IR"/>
        </w:rPr>
        <w:t>و الروایتان و إن کانتا عامّیّتین، إلّا أنّ استدلال الخاصّة بهما کاف فی انتظامهما فی تلک الأخبار، خصوصا مع ما رواه الشیخ قدّس سرّه فی العدّة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نزلت بکم حادثة لا تجدون حکمها فیما یروی عنّا فانظروا إلی ما رووه عن علیّ علیه السلام</w:t>
      </w:r>
      <w:r>
        <w:rPr>
          <w:rFonts w:eastAsia="IRNazanin" w:cs="IRNazanin"/>
          <w:color w:val="111111"/>
          <w:sz w:val="28"/>
          <w:szCs w:val="28"/>
          <w:rtl w:val="true"/>
          <w:lang w:bidi="fa-IR"/>
        </w:rPr>
        <w:t xml:space="preserve">»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کلّه یمکن تقیید ما سیجی‌ء من إطلاق أخبار الاستجمار، و الاستغناء عن دعوی انصراف تلک الإطلاقات إلی صورة عدم التعدّی حتّی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منع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من ذلک الاقتصار فی الحکم بطهارة ماء الاستنجاء أیضا علی هذا المنصرف، مع أنّ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کالشهیدین </w:t>
      </w:r>
      <w:r>
        <w:rPr>
          <w:rStyle w:val="FootnoteAnchor"/>
          <w:rtl w:val="true"/>
        </w:rPr>
        <w:footnoteReference w:id="1886"/>
      </w:r>
      <w:r>
        <w:rPr>
          <w:rFonts w:ascii="IRNazanin" w:hAnsi="IRNazanin" w:eastAsia="IRNazanin"/>
          <w:color w:val="111111"/>
          <w:sz w:val="28"/>
          <w:sz w:val="28"/>
          <w:szCs w:val="28"/>
          <w:rtl w:val="true"/>
          <w:lang w:bidi="fa-IR"/>
        </w:rPr>
        <w:t xml:space="preserve">و غیرهما </w:t>
      </w:r>
      <w:r>
        <w:rPr>
          <w:rStyle w:val="FootnoteAnchor"/>
          <w:rtl w:val="true"/>
        </w:rPr>
        <w:footnoteReference w:id="1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صرّحوا بما یقتضیه إطلاق غیرهم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الفرق هناک بین صورتی التعدّی و عدمه مستندین فی ذلک إلی الإطلاق،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المستند هناک لعلّه الإجماع و الانصراف بحاله، فیؤخذ به هنا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بنی علی طرح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ذکره صاحب الحدائق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من منع انجبار الأخبار العامّیة </w:t>
      </w:r>
      <w:r>
        <w:rPr>
          <w:rStyle w:val="FootnoteAnchor"/>
          <w:rtl w:val="true"/>
        </w:rPr>
        <w:footnoteReference w:id="1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طعن فی دلالتهما بأنّ ظاهر الاولی الاستحباب، و ظاهر الثانیة تجاوز محلّ العادة، و هو أزید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معقد الإجماع تعیّن القول بمقتضی إطلاق أخبار الاستجمار و الحکم بکفایة الأحجار إلّا مع التفاحش المخرج عن حدّ الاستنجاء الملتزم معه بنجاسة الماء، کما قوّاه جماعة </w:t>
      </w:r>
      <w:r>
        <w:rPr>
          <w:rStyle w:val="FootnoteAnchor"/>
          <w:rtl w:val="true"/>
        </w:rPr>
        <w:footnoteReference w:id="1889"/>
      </w:r>
      <w:r>
        <w:rPr>
          <w:rFonts w:ascii="IRNazanin" w:hAnsi="IRNazanin" w:eastAsia="IRNazanin"/>
          <w:color w:val="111111"/>
          <w:sz w:val="28"/>
          <w:sz w:val="28"/>
          <w:szCs w:val="28"/>
          <w:rtl w:val="true"/>
          <w:lang w:bidi="fa-IR"/>
        </w:rPr>
        <w:t xml:space="preserve">تبعا للمحقّق الأردبیلی </w:t>
      </w:r>
      <w:r>
        <w:rPr>
          <w:rStyle w:val="FootnoteAnchor"/>
          <w:rtl w:val="true"/>
        </w:rPr>
        <w:footnoteReference w:id="1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شتّان ما بینه و بین ما یظهر من بعض شرّاح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فهم المخرج الحقیقی و جعل الحواشی هی المتعدّی إلیها، لا عنها </w:t>
      </w:r>
      <w:r>
        <w:rPr>
          <w:rStyle w:val="FootnoteAnchor"/>
          <w:rtl w:val="true"/>
        </w:rPr>
        <w:footnoteReference w:id="1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المفصّل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من معاقد الاتّفاقات ما فی السرائر من اعتبار تعدّی الشرج الظاهر فی التعدّی عنه، و هو أزید من حواشی الدبر، کما أنّها أزید من المخرج الحقیقی، فلا یضرّ و صول النجاسة إلیه إذا کان ذلک 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اتّفق ذلک بعده فلا دلیل علی الرخصة، و لهذا استجود فی المنتهی ما اشترطه الشافعی من عدم قیام المتخلّی معلّلا بأنّ النجاسة تنتقل من مکان إلی مکان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شکّ فی التعدّی فالأصل عدمه، و استصحاب النجاسة لا ینظر إلیه، لورود ذلک الأصل علیه، فتأمّل، و الأحوط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و لو زال مقدار التعدّی بالماء لم یصر الباقی کغیر المتعدّی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مخیّرا بین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إزالة العین و الأثر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المزیلة للعین بلا خلاف فتوی و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یجزیک من الاستنجاء ثلاثة أحجار</w:t>
      </w:r>
      <w:r>
        <w:rPr>
          <w:rFonts w:eastAsia="IRNazanin" w:cs="IRNazanin"/>
          <w:color w:val="111111"/>
          <w:sz w:val="28"/>
          <w:szCs w:val="28"/>
          <w:rtl w:val="true"/>
          <w:lang w:bidi="fa-IR"/>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صحیحته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السنّة فی أثر الغائط بثلاثة أحجار أن یمسح العجان و لا یغسله</w:t>
      </w:r>
      <w:r>
        <w:rPr>
          <w:rFonts w:eastAsia="IRNazanin" w:cs="IRNazanin"/>
          <w:color w:val="111111"/>
          <w:sz w:val="28"/>
          <w:szCs w:val="28"/>
          <w:rtl w:val="true"/>
          <w:lang w:bidi="fa-IR"/>
        </w:rPr>
        <w:t xml:space="preserve">»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مرسلة ابن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السنّة فی الاستنجاء بثلاثة أحجار أبکار، و یتبع بالماء</w:t>
      </w:r>
      <w:r>
        <w:rPr>
          <w:rFonts w:eastAsia="IRNazanin" w:cs="IRNazanin"/>
          <w:color w:val="111111"/>
          <w:sz w:val="28"/>
          <w:szCs w:val="28"/>
          <w:rtl w:val="true"/>
          <w:lang w:bidi="fa-IR"/>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برید بن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من الغائط المسح بالأحجار و لا یجزی من البول إلّا الماء</w:t>
      </w:r>
      <w:r>
        <w:rPr>
          <w:rFonts w:eastAsia="IRNazanin" w:cs="IRNazanin"/>
          <w:color w:val="111111"/>
          <w:sz w:val="28"/>
          <w:szCs w:val="28"/>
          <w:rtl w:val="true"/>
          <w:lang w:bidi="fa-IR"/>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التمسّح بالأحجار؟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بن علیّ علیهما السلام یمسح بثلاثة أحجار</w:t>
      </w:r>
      <w:r>
        <w:rPr>
          <w:rFonts w:eastAsia="IRNazanin" w:cs="IRNazanin"/>
          <w:color w:val="111111"/>
          <w:sz w:val="28"/>
          <w:szCs w:val="28"/>
          <w:rtl w:val="true"/>
          <w:lang w:bidi="fa-IR"/>
        </w:rPr>
        <w:t xml:space="preserve">»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الحسین بن علیّ علیهما السلام یتمسّح من الغائط بالکرسف و لا یغسل</w:t>
      </w:r>
      <w:r>
        <w:rPr>
          <w:rFonts w:eastAsia="IRNazanin" w:cs="IRNazanin"/>
          <w:color w:val="111111"/>
          <w:sz w:val="28"/>
          <w:szCs w:val="28"/>
          <w:rtl w:val="true"/>
          <w:lang w:bidi="fa-IR"/>
        </w:rPr>
        <w:t xml:space="preserve">»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مداومته علیه السلام علی ترک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فی سبب نزول إِنَّ اللّٰهَ یُحِبُّ التَّوّٰابِینَ وَ یُحِبُّ الْمُتَطَهِّرِینَ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الناس کانوا یستنجون بالکرسف و الأحجار ثمّ أحدث الوضوء و هو خلق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Style w:val="FootnoteAnchor"/>
          <w:rtl w:val="true"/>
        </w:rPr>
        <w:footnoteReference w:id="1899"/>
      </w:r>
      <w:r>
        <w:rPr>
          <w:rFonts w:ascii="IRNazanin" w:hAnsi="IRNazanin" w:eastAsia="IRNazanin"/>
          <w:color w:val="111111"/>
          <w:sz w:val="28"/>
          <w:sz w:val="28"/>
          <w:szCs w:val="28"/>
          <w:rtl w:val="true"/>
          <w:lang w:bidi="fa-IR"/>
        </w:rPr>
        <w:t xml:space="preserve">مع کون المناسب 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الماء و الاستجمار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محمولة علی بعض الوجوه المرجّحة لترک هذا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ظاهر العبارة کغیرها استحباب الجمع مع التعدّی </w:t>
      </w:r>
      <w:r>
        <w:rPr>
          <w:rStyle w:val="FootnoteAnchor"/>
          <w:rtl w:val="true"/>
        </w:rPr>
        <w:footnoteReference w:id="1900"/>
      </w:r>
      <w:r>
        <w:rPr>
          <w:rFonts w:ascii="IRNazanin" w:hAnsi="IRNazanin" w:eastAsia="IRNazanin"/>
          <w:color w:val="111111"/>
          <w:sz w:val="28"/>
          <w:sz w:val="28"/>
          <w:szCs w:val="28"/>
          <w:rtl w:val="true"/>
          <w:lang w:bidi="fa-IR"/>
        </w:rPr>
        <w:t>و لا یکاد یظهر صریحا ممّا عثرنا علیه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الاستدلال علیه بما تقدّم من روایة الجمهور عن علیّ علیه السلام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 الأنصاری الّذی نزل فیه الآیة المذکورة استنجی بالماء بعد الأحجار مع لین بطنه الظاهر فی التعدی، لأنّه لم یکن ترک الأحجار المأمور بها فی الاستنجاء قبل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یکفی فی الاستحباب فتوی الفقیه، فکیف فتوی الجمع الکثیر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ظاهر الأخبار المتقدّمة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أقلّ من ثلاثة 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حصل النقاء بما دونه، کما هو صریح المقنعة </w:t>
      </w:r>
      <w:r>
        <w:rPr>
          <w:rStyle w:val="FootnoteAnchor"/>
          <w:rtl w:val="true"/>
        </w:rPr>
        <w:footnoteReference w:id="1904"/>
      </w:r>
      <w:r>
        <w:rPr>
          <w:rFonts w:ascii="IRNazanin" w:hAnsi="IRNazanin" w:eastAsia="IRNazanin"/>
          <w:color w:val="111111"/>
          <w:sz w:val="28"/>
          <w:sz w:val="28"/>
          <w:szCs w:val="28"/>
          <w:rtl w:val="true"/>
          <w:lang w:bidi="fa-IR"/>
        </w:rPr>
        <w:t xml:space="preserve">و السرائر </w:t>
      </w:r>
      <w:r>
        <w:rPr>
          <w:rStyle w:val="FootnoteAnchor"/>
          <w:rtl w:val="true"/>
        </w:rPr>
        <w:footnoteReference w:id="19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و ظاهر المبسوط </w:t>
      </w:r>
      <w:r>
        <w:rPr>
          <w:rStyle w:val="FootnoteAnchor"/>
          <w:rtl w:val="true"/>
        </w:rPr>
        <w:footnoteReference w:id="1906"/>
      </w:r>
      <w:r>
        <w:rPr>
          <w:rFonts w:ascii="IRNazanin" w:hAnsi="IRNazanin" w:eastAsia="IRNazanin"/>
          <w:color w:val="111111"/>
          <w:sz w:val="28"/>
          <w:sz w:val="28"/>
          <w:szCs w:val="28"/>
          <w:rtl w:val="true"/>
          <w:lang w:bidi="fa-IR"/>
        </w:rPr>
        <w:t xml:space="preserve">و الکافی </w:t>
      </w:r>
      <w:r>
        <w:rPr>
          <w:rStyle w:val="FootnoteAnchor"/>
          <w:rtl w:val="true"/>
        </w:rPr>
        <w:footnoteReference w:id="1907"/>
      </w:r>
      <w:r>
        <w:rPr>
          <w:rFonts w:ascii="IRNazanin" w:hAnsi="IRNazanin" w:eastAsia="IRNazanin"/>
          <w:color w:val="111111"/>
          <w:sz w:val="28"/>
          <w:sz w:val="28"/>
          <w:szCs w:val="28"/>
          <w:rtl w:val="true"/>
          <w:lang w:bidi="fa-IR"/>
        </w:rPr>
        <w:t xml:space="preserve">و المحکیّ عن المراسم </w:t>
      </w:r>
      <w:r>
        <w:rPr>
          <w:rStyle w:val="FootnoteAnchor"/>
          <w:rtl w:val="true"/>
        </w:rPr>
        <w:footnoteReference w:id="1908"/>
      </w:r>
      <w:r>
        <w:rPr>
          <w:rFonts w:ascii="IRNazanin" w:hAnsi="IRNazanin" w:eastAsia="IRNazanin"/>
          <w:color w:val="111111"/>
          <w:sz w:val="28"/>
          <w:sz w:val="28"/>
          <w:szCs w:val="28"/>
          <w:rtl w:val="true"/>
          <w:lang w:bidi="fa-IR"/>
        </w:rPr>
        <w:t xml:space="preserve">و صریح الفاضلین </w:t>
      </w:r>
      <w:r>
        <w:rPr>
          <w:rStyle w:val="FootnoteAnchor"/>
          <w:rtl w:val="true"/>
        </w:rPr>
        <w:footnoteReference w:id="1909"/>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910"/>
      </w:r>
      <w:r>
        <w:rPr>
          <w:rFonts w:ascii="IRNazanin" w:hAnsi="IRNazanin" w:eastAsia="IRNazanin"/>
          <w:color w:val="111111"/>
          <w:sz w:val="28"/>
          <w:sz w:val="28"/>
          <w:szCs w:val="28"/>
          <w:rtl w:val="true"/>
          <w:lang w:bidi="fa-IR"/>
        </w:rPr>
        <w:t xml:space="preserve">و غیرهم بل عن جماعة أنّه المشهور </w:t>
      </w:r>
      <w:r>
        <w:rPr>
          <w:rStyle w:val="FootnoteAnchor"/>
          <w:rtl w:val="true"/>
        </w:rPr>
        <w:footnoteReference w:id="1911"/>
      </w:r>
      <w:r>
        <w:rPr>
          <w:rFonts w:ascii="IRNazanin" w:hAnsi="IRNazanin" w:eastAsia="IRNazanin"/>
          <w:color w:val="111111"/>
          <w:sz w:val="28"/>
          <w:sz w:val="28"/>
          <w:szCs w:val="28"/>
          <w:rtl w:val="true"/>
          <w:lang w:bidi="fa-IR"/>
        </w:rPr>
        <w:t xml:space="preserve">و فی شرح الجمل للقاضی و عدد الأحجار عندنا ثلاثة لا یقتصر علی أقلّ منها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یکفی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ظاهر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لعدم إطلاق حاکم علیه فی المقام، عدا ما یتراءی من حسنة ابن المغیرة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للاستنجاء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ینقی ما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ینقی ما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ینقی ما ثمّة و یبقی الریح؟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لا ینظر إلیها</w:t>
      </w:r>
      <w:r>
        <w:rPr>
          <w:rFonts w:eastAsia="IRNazanin" w:cs="IRNazanin"/>
          <w:color w:val="111111"/>
          <w:sz w:val="28"/>
          <w:szCs w:val="28"/>
          <w:rtl w:val="true"/>
          <w:lang w:bidi="fa-IR"/>
        </w:rPr>
        <w:t xml:space="preserve">» </w:t>
      </w:r>
      <w:r>
        <w:rPr>
          <w:rStyle w:val="FootnoteAnchor"/>
          <w:rtl w:val="true"/>
        </w:rPr>
        <w:footnoteReference w:id="1913"/>
      </w:r>
      <w:r>
        <w:rPr>
          <w:rFonts w:ascii="IRNazanin" w:hAnsi="IRNazanin" w:eastAsia="IRNazanin"/>
          <w:color w:val="111111"/>
          <w:sz w:val="28"/>
          <w:sz w:val="28"/>
          <w:szCs w:val="28"/>
          <w:rtl w:val="true"/>
          <w:lang w:bidi="fa-IR"/>
        </w:rPr>
        <w:t>و موثّقة یونس بن یعقوب أو صحیحته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الّذی افترضه اللّٰه علی العباد لمن جاء من الغائط أو 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 یذهب الغائط، ثمّ یتوضّأ مرّتین مرّتین</w:t>
      </w:r>
      <w:r>
        <w:rPr>
          <w:rFonts w:eastAsia="IRNazanin" w:cs="IRNazanin"/>
          <w:color w:val="111111"/>
          <w:sz w:val="28"/>
          <w:szCs w:val="28"/>
          <w:rtl w:val="true"/>
          <w:lang w:bidi="fa-IR"/>
        </w:rPr>
        <w:t xml:space="preserve">»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کون مورد السؤال الاستنجاء بالماء لغلبة وجوده بل استعماله فی تلک الأزمنة المتأخّرة عن زمن الصحابة و التابعین، و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 إن کان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صفة المحلّ، لکن استناده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هنا إلی ما فی المحلّ قرینة علی إرادة الإزالة، و عموم الموصول یقتضی ظهوره فی زوال جمیع ما فی المحلّ حتّی الأثر الّذی هو من الأجزاء، و ذلک لا یکون إلّا فی الغسل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الظاهر أنّ الریح المسئول عنه هو الباقی فی المحلّ بشهادة وجوده فی الید، و إلّا فلا یمکن استشمام المحلّ، و لا یکون ذلک إلّا فی الغسل، إذ مع المسح لا یوجد فی الید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زوال العین، و إمّا زوال الأثر، 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تحدید الاستنجاء به،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تحدید الاستجمار به، فتعین إرادة أحدهما، و لیس إلّا الاستنجاء بالماء، إمّا للاتّفاق علی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اختلفوا فی إرادة الأعمّ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لأنّ إرادة خصوص الاستجمار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الندرة، و إمّا لأنّ وجود الریح فی المحلّ بعد الاستجمار لا یعلم إلّا من جهة العلم ببقاء الأجزاء اللطیفة، و هی أولی بالسؤال عن أنّها تقدح فی الطهارة أم لا من الریح، و حینئذ فیکون السؤال عن خصوص الریح قرینة علی إرادة الغسل بالماء الّذی لا یبقی معه فی بعض الأوقات إلّا الریح بشهادة الریح الموجود فی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أنّ النقاء فی کلّ شی‌ء بحسبه فاسد، لأنّ النقاء الواقع حدّا لیس المراد به الطهارة الشرعیة،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جعل فی هذا الخبر حدّا لها، بل المراد به معناه اللغوی، أعنی النظافة المستعملة عرفا فی زوال العین و الأثر، کما تقدّم فی روایة ابن أبی العلاء </w:t>
      </w:r>
      <w:r>
        <w:rPr>
          <w:rStyle w:val="FootnoteAnchor"/>
          <w:rtl w:val="true"/>
        </w:rPr>
        <w:footnoteReference w:id="1915"/>
      </w:r>
      <w:r>
        <w:rPr>
          <w:rFonts w:ascii="IRNazanin" w:hAnsi="IRNazanin" w:eastAsia="IRNazanin"/>
          <w:color w:val="111111"/>
          <w:sz w:val="28"/>
          <w:sz w:val="28"/>
          <w:szCs w:val="28"/>
          <w:rtl w:val="true"/>
          <w:lang w:bidi="fa-IR"/>
        </w:rPr>
        <w:t>الواردة فی غسل الثوب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للإزالة و مرّة للنقاء</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فی الأعمّ من زوال الأثر الصادق مع زوال العین فقط لکن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بشرط القرینة، مثل نسبته إلی الحجر فقط، کما فی قول الفقهاء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ینق المخرج بثلاثة أحجار وجب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أنّ شیئا من المعنیین لا یلائم إرادة العموم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معارضته بما دلّ علی وجوب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فیمکن حمل الحسنة </w:t>
      </w:r>
      <w:r>
        <w:rPr>
          <w:rStyle w:val="FootnoteAnchor"/>
          <w:rtl w:val="true"/>
        </w:rPr>
        <w:footnoteReference w:id="1916"/>
      </w:r>
      <w:r>
        <w:rPr>
          <w:rFonts w:ascii="IRNazanin" w:hAnsi="IRNazanin" w:eastAsia="IRNazanin"/>
          <w:color w:val="111111"/>
          <w:sz w:val="28"/>
          <w:sz w:val="28"/>
          <w:szCs w:val="28"/>
          <w:rtl w:val="true"/>
          <w:lang w:bidi="fa-IR"/>
        </w:rPr>
        <w:t>علی نفی التحدید فی الطرف الزائد علی الثلاثة إذا لم ینق بها، و یحال التحدید فی طرف الناقص علی ما هو الغالب من عدم النقاء بما دون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تلک الأخبار علی الغالب من عدم النقاء بما دون الثلاثة أظهر، فالعمدة ما عرفت من عدم عموم الروایة للاستجمار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فمورد السؤال فیها الوضوء و هو ظاهر فی التطهیر بالماء، کما یدلّ علیه الروایة المتقدّمة سابقا </w:t>
      </w:r>
      <w:r>
        <w:rPr>
          <w:rStyle w:val="FootnoteAnchor"/>
          <w:rtl w:val="true"/>
        </w:rPr>
        <w:footnoteReference w:id="1917"/>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کانوا یستنجون بالکرسف و الأحجار، ثمّ أحدث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فالمراد ذهاب الغائط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عبّر فیه بالإذهاب و فی الذکر بالغسل، للاستهجان بذکر الدبر دون الذکر، کما لا یخفی، أو لأنّ اللازم </w:t>
      </w:r>
      <w:r>
        <w:rPr>
          <w:rStyle w:val="FootnoteAnchor"/>
          <w:rtl w:val="true"/>
        </w:rPr>
        <w:footnoteReference w:id="1918"/>
      </w:r>
      <w:r>
        <w:rPr>
          <w:rFonts w:ascii="IRNazanin" w:hAnsi="IRNazanin" w:eastAsia="IRNazanin"/>
          <w:color w:val="111111"/>
          <w:sz w:val="28"/>
          <w:sz w:val="28"/>
          <w:szCs w:val="28"/>
          <w:rtl w:val="true"/>
          <w:lang w:bidi="fa-IR"/>
        </w:rPr>
        <w:t>فی تطهیر المخرج هو الإذهاب عینا و أثرا دون مجرّد الغسل المجامع لبقاء الأثر، أو للتوسّع فی العبارة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 العدول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فی إرادة الإذهاب و لو بالاستجمار و لو بجمر واحد، بحیث یزاحم ظهور لفظ</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إرادة التنظّف بالماء، مع أنّ المزاحمة کافیة فی سقوط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الطهارة من الحدث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جاء من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الفراغ عن الاستنجاء، فیکون ذکر غسل الذکر و إذهابه تطفّلا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یناسبه الجواب عن الوضوء المفترض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توضّأ مرّتین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التعدّد فی الغسلات غیر واجب إجماعا، بل الخلاف فی جوازه، مع أنّ ذکر الاستنجاء تطفّلا یخرج الإطلاق عن قابلیة الاستدلال، لعدم سوق الکلام لبیان تفاصیله، نظیر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الاستنجاء فافعل کذا، و إذا نسیت الاستنجاء فأعد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جواز التمسّک بإطلاق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فساد ما وقع من التمسّک فی المقام بإطلاقات الاستنجاء بناء علی ما فی الصحاح </w:t>
      </w:r>
      <w:r>
        <w:rPr>
          <w:rStyle w:val="FootnoteAnchor"/>
          <w:rtl w:val="true"/>
        </w:rPr>
        <w:footnoteReference w:id="1919"/>
      </w:r>
      <w:r>
        <w:rPr>
          <w:rFonts w:ascii="IRNazanin" w:hAnsi="IRNazanin" w:eastAsia="IRNazanin"/>
          <w:color w:val="111111"/>
          <w:sz w:val="28"/>
          <w:sz w:val="28"/>
          <w:szCs w:val="28"/>
          <w:rtl w:val="true"/>
          <w:lang w:bidi="fa-IR"/>
        </w:rPr>
        <w:t xml:space="preserve">و القاموس </w:t>
      </w:r>
      <w:r>
        <w:rPr>
          <w:rStyle w:val="FootnoteAnchor"/>
          <w:rtl w:val="true"/>
        </w:rPr>
        <w:footnoteReference w:id="1920"/>
      </w:r>
      <w:r>
        <w:rPr>
          <w:rFonts w:ascii="IRNazanin" w:hAnsi="IRNazanin" w:eastAsia="IRNazanin"/>
          <w:color w:val="111111"/>
          <w:sz w:val="28"/>
          <w:sz w:val="28"/>
          <w:szCs w:val="28"/>
          <w:rtl w:val="true"/>
          <w:lang w:bidi="fa-IR"/>
        </w:rPr>
        <w:t>من الإشارة إلی المعنی المعهود عرفا لهذا اللفظ، و هو الغسل بالماء أو المسح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اللازم علیه أن یجعل المسح بغیر الحجر خارجا عن مسمّی الاستنجاء تبعا للقاموس، و کذا غسل مخرج البول خارجا منه لغة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فیعلم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اعتبار بمثل هذه الإطلاقات و التقییدات فی کلام أهل اللغة المسوقة للإشارة إلی المعنی المعهود أو کلام الشارع أو الفقهاء المسوق لذلک، بل نزّل تقییداتهم علی ذکر الفرد الغالب من باب المثال، و إطلاقاتهم علی الإشارة إلی المعنی المعهود المعلوم تفاصیله من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و ممّا ذکرنا ظهر ضعف القول بعدم التحدید بالثلاثة و کفایة ما یحصل به النقاء، کما یحکی عن ظاهر جماعة ممّن تقدّم علی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کابن حمزة </w:t>
      </w:r>
      <w:r>
        <w:rPr>
          <w:rStyle w:val="FootnoteAnchor"/>
          <w:rtl w:val="true"/>
        </w:rPr>
        <w:footnoteReference w:id="1921"/>
      </w:r>
      <w:r>
        <w:rPr>
          <w:rFonts w:ascii="Amiri" w:hAnsi="Amiri" w:eastAsia="Amiri" w:cs="Amiri"/>
          <w:color w:val="111111"/>
          <w:sz w:val="28"/>
          <w:sz w:val="28"/>
          <w:szCs w:val="28"/>
          <w:rtl w:val="true"/>
          <w:lang w:bidi="ar-SA"/>
        </w:rPr>
        <w:t xml:space="preserve">و ابن زهرة </w:t>
      </w:r>
      <w:r>
        <w:rPr>
          <w:rStyle w:val="FootnoteAnchor"/>
          <w:rtl w:val="true"/>
        </w:rPr>
        <w:footnoteReference w:id="1922"/>
      </w:r>
      <w:r>
        <w:rPr>
          <w:rFonts w:ascii="IRNazanin" w:hAnsi="IRNazanin" w:eastAsia="IRNazanin"/>
          <w:color w:val="111111"/>
          <w:sz w:val="28"/>
          <w:sz w:val="28"/>
          <w:szCs w:val="28"/>
          <w:rtl w:val="true"/>
          <w:lang w:bidi="fa-IR"/>
        </w:rPr>
        <w:t xml:space="preserve">و القاضی </w:t>
      </w:r>
      <w:r>
        <w:rPr>
          <w:rStyle w:val="FootnoteAnchor"/>
          <w:rtl w:val="true"/>
        </w:rPr>
        <w:footnoteReference w:id="1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 جماعة ممّن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کالعلّامة فی المختلف </w:t>
      </w:r>
      <w:r>
        <w:rPr>
          <w:rStyle w:val="FootnoteAnchor"/>
          <w:rtl w:val="true"/>
        </w:rPr>
        <w:footnoteReference w:id="1924"/>
      </w:r>
      <w:r>
        <w:rPr>
          <w:rFonts w:ascii="IRNazanin" w:hAnsi="IRNazanin" w:eastAsia="IRNazanin"/>
          <w:color w:val="111111"/>
          <w:sz w:val="28"/>
          <w:sz w:val="28"/>
          <w:szCs w:val="28"/>
          <w:rtl w:val="true"/>
          <w:lang w:bidi="fa-IR"/>
        </w:rPr>
        <w:t xml:space="preserve">و صاحبی المدارک و الذخیرة </w:t>
      </w:r>
      <w:r>
        <w:rPr>
          <w:rStyle w:val="FootnoteAnchor"/>
          <w:rtl w:val="true"/>
        </w:rPr>
        <w:footnoteReference w:id="1925"/>
      </w:r>
      <w:r>
        <w:rPr>
          <w:rFonts w:ascii="IRNazanin" w:hAnsi="IRNazanin" w:eastAsia="IRNazanin"/>
          <w:color w:val="111111"/>
          <w:sz w:val="28"/>
          <w:sz w:val="28"/>
          <w:szCs w:val="28"/>
          <w:rtl w:val="true"/>
          <w:lang w:bidi="fa-IR"/>
        </w:rPr>
        <w:t xml:space="preserve">و غیرهما </w:t>
      </w:r>
      <w:r>
        <w:rPr>
          <w:rStyle w:val="FootnoteAnchor"/>
          <w:rtl w:val="true"/>
        </w:rPr>
        <w:footnoteReference w:id="1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حکاه فی السرائر و التذکرة و الروض عن المفید </w:t>
      </w:r>
      <w:r>
        <w:rPr>
          <w:rStyle w:val="FootnoteAnchor"/>
          <w:rtl w:val="true"/>
        </w:rPr>
        <w:footnoteReference w:id="1927"/>
      </w:r>
      <w:r>
        <w:rPr>
          <w:rFonts w:ascii="IRNazanin" w:hAnsi="IRNazanin" w:eastAsia="IRNazanin"/>
          <w:color w:val="111111"/>
          <w:sz w:val="28"/>
          <w:sz w:val="28"/>
          <w:szCs w:val="28"/>
          <w:rtl w:val="true"/>
          <w:lang w:bidi="fa-IR"/>
        </w:rPr>
        <w:t>و الموجود فی المقنعة فی باب التیمّم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حدثه من الغائط استبرأه بثلاثة أحجاز طاهرة لم تستعمل فی إزالة نجاسة قبل ذلک، یأخذ منها حجرا فیمسح بها مخرج النجو ثمّ یلقیه، و یأخذ الحجر الثانی فیمسح به الموضع و یلقیه، و یمسح بالثالث، و لا یجوز له التطهیر بحجر واحد</w:t>
      </w:r>
      <w:r>
        <w:rPr>
          <w:rFonts w:eastAsia="IRNazanin" w:cs="IRNazanin"/>
          <w:color w:val="111111"/>
          <w:sz w:val="28"/>
          <w:szCs w:val="28"/>
          <w:rtl w:val="true"/>
          <w:lang w:bidi="fa-IR"/>
        </w:rPr>
        <w:t xml:space="preserve">» </w:t>
      </w:r>
      <w:r>
        <w:rPr>
          <w:rStyle w:val="FootnoteAnchor"/>
          <w:rtl w:val="true"/>
        </w:rPr>
        <w:footnoteReference w:id="19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ظاهر المعتبر </w:t>
      </w:r>
      <w:r>
        <w:rPr>
          <w:rStyle w:val="FootnoteAnchor"/>
          <w:rtl w:val="true"/>
        </w:rPr>
        <w:footnoteReference w:id="1929"/>
      </w:r>
      <w:r>
        <w:rPr>
          <w:rFonts w:ascii="IRNazanin" w:hAnsi="IRNazanin" w:eastAsia="IRNazanin"/>
          <w:color w:val="111111"/>
          <w:sz w:val="28"/>
          <w:sz w:val="28"/>
          <w:szCs w:val="28"/>
          <w:rtl w:val="true"/>
          <w:lang w:bidi="fa-IR"/>
        </w:rPr>
        <w:t xml:space="preserve">و المنتهی </w:t>
      </w:r>
      <w:r>
        <w:rPr>
          <w:rStyle w:val="FootnoteAnchor"/>
          <w:rtl w:val="true"/>
        </w:rPr>
        <w:footnoteReference w:id="1930"/>
      </w:r>
      <w:r>
        <w:rPr>
          <w:rFonts w:ascii="IRNazanin" w:hAnsi="IRNazanin" w:eastAsia="IRNazanin"/>
          <w:color w:val="111111"/>
          <w:sz w:val="28"/>
          <w:sz w:val="28"/>
          <w:szCs w:val="28"/>
          <w:rtl w:val="true"/>
          <w:lang w:bidi="fa-IR"/>
        </w:rPr>
        <w:t>عدم الفرق بین الحجر و غیره فی عدم الاکتفاء بالأقلّ من ثلاث مسحات، و لو لا ذلک أیضا لکفی الأصل فی لزوم التعدّد فیه، بناء علی أنّ المذکور فی الأخبار بلفظ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کالکرسف و المدر و العود </w:t>
      </w:r>
      <w:r>
        <w:rPr>
          <w:rStyle w:val="FootnoteAnchor"/>
          <w:rtl w:val="true"/>
        </w:rPr>
        <w:footnoteReference w:id="1931"/>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بیان الجنس، و لیس فی مقام بیان المقدار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الکافی، نظیر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فی البول إلّا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المناسب للقول المشهور ما تقدّم من المفید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وافقه المصنّف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المفاتیح و شرحها نسبته إلی المشهور </w:t>
      </w:r>
      <w:r>
        <w:rPr>
          <w:rStyle w:val="FootnoteAnchor"/>
          <w:rtl w:val="true"/>
        </w:rPr>
        <w:footnoteReference w:id="1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إمرار کلّ حجر علی موضع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لیتحقّق تکرار المسح المقصود من التثلیث، و إلّا فلا فرق بین إزالة ما فی موضع النجو بحجر واحد و بین توزیع الأحجار الثلاثة علی أجزاء الموضع، خصوصا مع کون ما فی کلّ جزء منه أزید من مجموع ما علی الموضع فی الصورة الأولی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مناسبة اعتباریة لا یصحّ الرکون إلیها، بل یجب متابعة ظاهر النصّ، و لذا جوّز کثیر ممّن قال بوجوب الثلاث </w:t>
      </w:r>
      <w:r>
        <w:rPr>
          <w:rStyle w:val="FootnoteAnchor"/>
          <w:rtl w:val="true"/>
        </w:rPr>
        <w:footnoteReference w:id="1933"/>
      </w:r>
      <w:r>
        <w:rPr>
          <w:rFonts w:ascii="IRNazanin" w:hAnsi="IRNazanin" w:eastAsia="IRNazanin"/>
          <w:color w:val="111111"/>
          <w:sz w:val="28"/>
          <w:sz w:val="28"/>
          <w:szCs w:val="28"/>
          <w:rtl w:val="true"/>
          <w:lang w:bidi="fa-IR"/>
        </w:rPr>
        <w:t xml:space="preserve">التوزیع استنادا إلی إطلاق النصّ، کما صرّح بالحکم و المستند الشیخ </w:t>
      </w:r>
      <w:r>
        <w:rPr>
          <w:rStyle w:val="FootnoteAnchor"/>
          <w:rtl w:val="true"/>
        </w:rPr>
        <w:footnoteReference w:id="1934"/>
      </w:r>
      <w:r>
        <w:rPr>
          <w:rFonts w:ascii="IRNazanin" w:hAnsi="IRNazanin" w:eastAsia="IRNazanin"/>
          <w:color w:val="111111"/>
          <w:sz w:val="28"/>
          <w:sz w:val="28"/>
          <w:szCs w:val="28"/>
          <w:rtl w:val="true"/>
          <w:lang w:bidi="fa-IR"/>
        </w:rPr>
        <w:t xml:space="preserve">و الفاضلان </w:t>
      </w:r>
      <w:r>
        <w:rPr>
          <w:rStyle w:val="FootnoteAnchor"/>
          <w:rtl w:val="true"/>
        </w:rPr>
        <w:footnoteReference w:id="1935"/>
      </w:r>
      <w:r>
        <w:rPr>
          <w:rFonts w:ascii="IRNazanin" w:hAnsi="IRNazanin" w:eastAsia="IRNazanin"/>
          <w:color w:val="111111"/>
          <w:sz w:val="28"/>
          <w:sz w:val="28"/>
          <w:szCs w:val="28"/>
          <w:rtl w:val="true"/>
          <w:lang w:bidi="fa-IR"/>
        </w:rPr>
        <w:t xml:space="preserve">و الشهیدان </w:t>
      </w:r>
      <w:r>
        <w:rPr>
          <w:rStyle w:val="FootnoteAnchor"/>
          <w:rtl w:val="true"/>
        </w:rPr>
        <w:footnoteReference w:id="1936"/>
      </w:r>
      <w:r>
        <w:rPr>
          <w:rFonts w:ascii="IRNazanin" w:hAnsi="IRNazanin" w:eastAsia="IRNazanin"/>
          <w:color w:val="111111"/>
          <w:sz w:val="28"/>
          <w:sz w:val="28"/>
          <w:szCs w:val="28"/>
          <w:rtl w:val="true"/>
          <w:lang w:bidi="fa-IR"/>
        </w:rPr>
        <w:t>بل عن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المعروف من مذهب الأصحاب </w:t>
      </w:r>
      <w:r>
        <w:rPr>
          <w:rStyle w:val="FootnoteAnchor"/>
          <w:rtl w:val="true"/>
        </w:rPr>
        <w:footnoteReference w:id="1937"/>
      </w:r>
      <w:r>
        <w:rPr>
          <w:rFonts w:ascii="IRNazanin" w:hAnsi="IRNazanin" w:eastAsia="IRNazanin"/>
          <w:color w:val="111111"/>
          <w:sz w:val="28"/>
          <w:sz w:val="28"/>
          <w:szCs w:val="28"/>
          <w:rtl w:val="true"/>
          <w:lang w:bidi="fa-IR"/>
        </w:rPr>
        <w:t xml:space="preserve">و قد نبّه فی المعتبر بعد جمعه بین وجوب التثلیث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التوزیع</w:t>
      </w:r>
      <w:r>
        <w:rPr>
          <w:rFonts w:eastAsia="IRNazanin" w:cs="IRNazanin"/>
          <w:color w:val="111111"/>
          <w:sz w:val="28"/>
          <w:szCs w:val="28"/>
          <w:rtl w:val="true"/>
          <w:lang w:bidi="fa-IR"/>
        </w:rPr>
        <w:t xml:space="preserve">] </w:t>
      </w:r>
      <w:r>
        <w:rPr>
          <w:rStyle w:val="FootnoteAnchor"/>
          <w:rtl w:val="true"/>
        </w:rPr>
        <w:footnoteReference w:id="1938"/>
      </w:r>
      <w:r>
        <w:rPr>
          <w:rFonts w:ascii="IRNazanin" w:hAnsi="IRNazanin" w:eastAsia="IRNazanin"/>
          <w:color w:val="111111"/>
          <w:sz w:val="28"/>
          <w:sz w:val="28"/>
          <w:szCs w:val="28"/>
          <w:rtl w:val="true"/>
          <w:lang w:bidi="fa-IR"/>
        </w:rPr>
        <w:t>علی ما ذکرنا من الإیهام و الدفع بقوله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قسّمت الأحجار علی المحلّ جرت مجری المسحة الواحدة، لأنّ المسحة الواحدة لا یتحقّق معها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التعدّد</w:t>
      </w:r>
      <w:r>
        <w:rPr>
          <w:rFonts w:eastAsia="Amiri" w:cs="Amiri" w:ascii="Amiri" w:hAnsi="Amiri"/>
          <w:color w:val="111111"/>
          <w:sz w:val="28"/>
          <w:szCs w:val="28"/>
          <w:rtl w:val="true"/>
          <w:lang w:bidi="ar-SA"/>
        </w:rPr>
        <w:t xml:space="preserve">»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اختاره المصنّف هنا هو الأقوی، للأصل و عدم إطلاق، بل الظاهر من أخبار التثلیث بحکم الغلبة إرادة تکرار المسح علی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حسنة ابن المغیرة،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إذهاب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یونس، فقد عرفت حاله </w:t>
      </w:r>
      <w:r>
        <w:rPr>
          <w:rStyle w:val="FootnoteAnchor"/>
          <w:rtl w:val="true"/>
        </w:rPr>
        <w:footnoteReference w:id="1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قوله علیه السلام فیما تقدّم من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السنّة فی أثر الغائط بثلاثة أحجار أن یمسح العجان</w:t>
      </w:r>
      <w:r>
        <w:rPr>
          <w:rFonts w:eastAsia="IRNazanin" w:cs="IRNazanin"/>
          <w:color w:val="111111"/>
          <w:sz w:val="28"/>
          <w:szCs w:val="28"/>
          <w:rtl w:val="true"/>
          <w:lang w:bidi="fa-IR"/>
        </w:rPr>
        <w:t xml:space="preserve">» </w:t>
      </w:r>
      <w:r>
        <w:rPr>
          <w:rStyle w:val="FootnoteAnchor"/>
          <w:rtl w:val="true"/>
        </w:rPr>
        <w:footnoteReference w:id="1941"/>
      </w:r>
      <w:r>
        <w:rPr>
          <w:rFonts w:ascii="IRNazanin" w:hAnsi="IRNazanin" w:eastAsia="IRNazanin"/>
          <w:color w:val="111111"/>
          <w:sz w:val="28"/>
          <w:sz w:val="28"/>
          <w:szCs w:val="28"/>
          <w:rtl w:val="true"/>
          <w:lang w:bidi="fa-IR"/>
        </w:rPr>
        <w:t>فإنّ العجان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هنا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کیفیة فی المسحات المتکرّرة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الأحوط أن یمسح بکلّ حجر مجموع الموضع، بأن یضع واحدا علی مقدّم الصفحة الیمنی و یمسحها به إلی مؤخّرها و یدیره إلی الصفحة الیسری فیمسحها من مؤخّرها إلی مقدّمها فیرجع إلی الموضع الذی بدأ منه، و یضع الثانی علی مقدّم الصفحة الیسری و یفعل به عکس ما ذکرنا، و یمسح بالثالث الصفحتین و الوسط </w:t>
      </w:r>
      <w:r>
        <w:rPr>
          <w:rStyle w:val="FootnoteAnchor"/>
          <w:rtl w:val="true"/>
        </w:rPr>
        <w:footnoteReference w:id="19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عن نهایته </w:t>
      </w:r>
      <w:r>
        <w:rPr>
          <w:rStyle w:val="FootnoteAnchor"/>
          <w:rtl w:val="true"/>
        </w:rPr>
        <w:footnoteReference w:id="1943"/>
      </w:r>
      <w:r>
        <w:rPr>
          <w:rFonts w:ascii="IRNazanin" w:hAnsi="IRNazanin" w:eastAsia="IRNazanin"/>
          <w:color w:val="111111"/>
          <w:sz w:val="28"/>
          <w:sz w:val="28"/>
          <w:szCs w:val="28"/>
          <w:rtl w:val="true"/>
          <w:lang w:bidi="fa-IR"/>
        </w:rPr>
        <w:t xml:space="preserve">و عن الإسکافی أنّه جعل حجرین للصفحتین و حجرا للمخرج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ظاهر خلوّ الأخبار عن ذکر المبالغة فی الاستجمار بما یزید عن المعتاد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معه إزالة العین دون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الأثر لا یزول إلّا بمبالغة تامّة خارجة عن المتعارف و هو حرج ینافیه تشریع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الاستجمار للرخصة و التسهیل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العبارة طهارة المحلّ کما هو صریح الفاضلین </w:t>
      </w:r>
      <w:r>
        <w:rPr>
          <w:rStyle w:val="FootnoteAnchor"/>
          <w:rtl w:val="true"/>
        </w:rPr>
        <w:footnoteReference w:id="1945"/>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946"/>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947"/>
      </w:r>
      <w:r>
        <w:rPr>
          <w:rFonts w:ascii="IRNazanin" w:hAnsi="IRNazanin" w:eastAsia="IRNazanin"/>
          <w:color w:val="111111"/>
          <w:sz w:val="28"/>
          <w:sz w:val="28"/>
          <w:szCs w:val="28"/>
          <w:rtl w:val="true"/>
          <w:lang w:bidi="fa-IR"/>
        </w:rPr>
        <w:t xml:space="preserve">و ظاهر المفید فیما تقدّم منه </w:t>
      </w:r>
      <w:r>
        <w:rPr>
          <w:rStyle w:val="FootnoteAnchor"/>
          <w:rtl w:val="true"/>
        </w:rPr>
        <w:footnoteReference w:id="1948"/>
      </w:r>
      <w:r>
        <w:rPr>
          <w:rFonts w:ascii="IRNazanin" w:hAnsi="IRNazanin" w:eastAsia="IRNazanin"/>
          <w:color w:val="111111"/>
          <w:sz w:val="28"/>
          <w:sz w:val="28"/>
          <w:szCs w:val="28"/>
          <w:rtl w:val="true"/>
          <w:lang w:bidi="fa-IR"/>
        </w:rPr>
        <w:t xml:space="preserve">و المبسوط حیث ذکر أنّه لا بأس بغسل المخرج بالمائع المضاف بعد الاستجمار </w:t>
      </w:r>
      <w:r>
        <w:rPr>
          <w:rStyle w:val="FootnoteAnchor"/>
          <w:rtl w:val="true"/>
        </w:rPr>
        <w:footnoteReference w:id="1949"/>
      </w:r>
      <w:r>
        <w:rPr>
          <w:rFonts w:ascii="IRNazanin" w:hAnsi="IRNazanin" w:eastAsia="IRNazanin"/>
          <w:color w:val="111111"/>
          <w:sz w:val="28"/>
          <w:sz w:val="28"/>
          <w:szCs w:val="28"/>
          <w:rtl w:val="true"/>
          <w:lang w:bidi="fa-IR"/>
        </w:rPr>
        <w:t xml:space="preserve">و حکی عن صریح النزهة لابن سعید </w:t>
      </w:r>
      <w:r>
        <w:rPr>
          <w:rStyle w:val="FootnoteAnchor"/>
          <w:rtl w:val="true"/>
        </w:rPr>
        <w:footnoteReference w:id="1950"/>
      </w:r>
      <w:r>
        <w:rPr>
          <w:rFonts w:ascii="IRNazanin" w:hAnsi="IRNazanin" w:eastAsia="IRNazanin"/>
          <w:color w:val="111111"/>
          <w:sz w:val="28"/>
          <w:sz w:val="28"/>
          <w:szCs w:val="28"/>
          <w:rtl w:val="true"/>
          <w:lang w:bidi="fa-IR"/>
        </w:rPr>
        <w:t xml:space="preserve">بل ظاهر الفاضلین </w:t>
      </w:r>
      <w:r>
        <w:rPr>
          <w:rStyle w:val="FootnoteAnchor"/>
          <w:rtl w:val="true"/>
        </w:rPr>
        <w:footnoteReference w:id="1951"/>
      </w:r>
      <w:r>
        <w:rPr>
          <w:rFonts w:ascii="IRNazanin" w:hAnsi="IRNazanin" w:eastAsia="IRNazanin"/>
          <w:color w:val="111111"/>
          <w:sz w:val="28"/>
          <w:sz w:val="28"/>
          <w:szCs w:val="28"/>
          <w:rtl w:val="true"/>
          <w:lang w:bidi="fa-IR"/>
        </w:rPr>
        <w:t>انحصار الخلاف فی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الإجماع علی العفو عن أثر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الشافعی و أبی حنیفة مستدلّین ببقاء أثر 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الفاضلان قدّس سرّهما علی الطهارة بقوله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تستنجوا بالعظم و الروث، فإنّهما لا یطهّران</w:t>
      </w:r>
      <w:r>
        <w:rPr>
          <w:rFonts w:eastAsia="IRNazanin" w:cs="IRNazanin"/>
          <w:color w:val="111111"/>
          <w:sz w:val="28"/>
          <w:szCs w:val="28"/>
          <w:rtl w:val="true"/>
          <w:lang w:bidi="fa-IR"/>
        </w:rPr>
        <w:t xml:space="preserve">» </w:t>
      </w:r>
      <w:r>
        <w:rPr>
          <w:rStyle w:val="FootnoteAnchor"/>
          <w:rtl w:val="true"/>
        </w:rPr>
        <w:footnoteReference w:id="1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کأنّه فی مقابل العامّة، و إلّا فالروایة غیر ثابتة عندنا، مضافا إلی معارضتها بظاهر قوله تعالی إِنَّ اللّٰهَ یُحِبُّ التَّوّٰابِینَ وَ یُحِبُّ الْمُتَطَهِّرِینَ </w:t>
      </w:r>
      <w:r>
        <w:rPr>
          <w:rStyle w:val="FootnoteAnchor"/>
          <w:rtl w:val="true"/>
        </w:rPr>
        <w:footnoteReference w:id="1953"/>
      </w:r>
      <w:r>
        <w:rPr>
          <w:rFonts w:ascii="IRNazanin" w:hAnsi="IRNazanin" w:eastAsia="IRNazanin"/>
          <w:color w:val="111111"/>
          <w:sz w:val="28"/>
          <w:sz w:val="28"/>
          <w:szCs w:val="28"/>
          <w:rtl w:val="true"/>
          <w:lang w:bidi="fa-IR"/>
        </w:rPr>
        <w:t xml:space="preserve">المفسّر بالاستنجاء بالماء </w:t>
      </w:r>
      <w:r>
        <w:rPr>
          <w:rStyle w:val="FootnoteAnchor"/>
          <w:rtl w:val="true"/>
        </w:rPr>
        <w:footnoteReference w:id="1954"/>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 رِجٰالٌ یُحِبُّونَ أَنْ یَتَطَهَّرُوا </w:t>
      </w:r>
      <w:r>
        <w:rPr>
          <w:rStyle w:val="FootnoteAnchor"/>
          <w:rtl w:val="true"/>
        </w:rPr>
        <w:footnoteReference w:id="1955"/>
      </w:r>
      <w:r>
        <w:rPr>
          <w:rFonts w:ascii="IRNazanin" w:hAnsi="IRNazanin" w:eastAsia="IRNazanin"/>
          <w:color w:val="111111"/>
          <w:sz w:val="28"/>
          <w:sz w:val="28"/>
          <w:szCs w:val="28"/>
          <w:rtl w:val="true"/>
          <w:lang w:bidi="fa-IR"/>
        </w:rPr>
        <w:t>فإنّ ظاهر الإطلاق عدم کون الاستجمار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تطهیرا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الاستدلال بظهور أخبار الباب فی کون الاستجمار مطهّرا کالغسل، و قوله علیه السلام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 و یجزیک من الاستنجاء ثلاثة أحجار</w:t>
      </w:r>
      <w:r>
        <w:rPr>
          <w:rFonts w:eastAsia="IRNazanin" w:cs="IRNazanin"/>
          <w:color w:val="111111"/>
          <w:sz w:val="28"/>
          <w:szCs w:val="28"/>
          <w:rtl w:val="true"/>
          <w:lang w:bidi="fa-IR"/>
        </w:rPr>
        <w:t xml:space="preserve">» </w:t>
      </w:r>
      <w:r>
        <w:rPr>
          <w:rStyle w:val="FootnoteAnchor"/>
          <w:rtl w:val="true"/>
        </w:rPr>
        <w:footnoteReference w:id="1956"/>
      </w:r>
      <w:r>
        <w:rPr>
          <w:rFonts w:ascii="IRNazanin" w:hAnsi="IRNazanin" w:eastAsia="IRNazanin"/>
          <w:color w:val="111111"/>
          <w:sz w:val="28"/>
          <w:sz w:val="28"/>
          <w:szCs w:val="28"/>
          <w:rtl w:val="true"/>
          <w:lang w:bidi="fa-IR"/>
        </w:rPr>
        <w:t>بناء علی أنّ المراد بالطهور الأعمّ ممّا یرفع الخبث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المخرج عن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بالثلاثة وجب الزائد </w:t>
      </w:r>
      <w:r>
        <w:rPr>
          <w:rStyle w:val="FootnoteAnchor"/>
          <w:rtl w:val="true"/>
        </w:rPr>
        <w:footnoteReference w:id="1957"/>
      </w:r>
      <w:r>
        <w:rPr>
          <w:rFonts w:ascii="IRNazanin" w:hAnsi="IRNazanin" w:eastAsia="IRNazanin"/>
          <w:color w:val="111111"/>
          <w:sz w:val="28"/>
          <w:sz w:val="28"/>
          <w:szCs w:val="28"/>
          <w:rtl w:val="true"/>
          <w:lang w:bidi="fa-IR"/>
        </w:rPr>
        <w:t>حتّی 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مضافا إلی الأصل بناء علی انصراف الإطلاقات إلی الغالب من حصول النقاء بها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حسنة ابن المغیرة </w:t>
      </w:r>
      <w:r>
        <w:rPr>
          <w:rStyle w:val="FootnoteAnchor"/>
          <w:rtl w:val="true"/>
        </w:rPr>
        <w:footnoteReference w:id="1958"/>
      </w:r>
      <w:r>
        <w:rPr>
          <w:rFonts w:ascii="IRNazanin" w:hAnsi="IRNazanin" w:eastAsia="IRNazanin"/>
          <w:color w:val="111111"/>
          <w:sz w:val="28"/>
          <w:sz w:val="28"/>
          <w:szCs w:val="28"/>
          <w:rtl w:val="true"/>
          <w:lang w:bidi="fa-IR"/>
        </w:rPr>
        <w:t xml:space="preserve">بناء علی تسلیم ظهورها فی ما یعمّ الاستجمار و حملها علی نفی الحدّ فی طرف الزیادة لمعارضة أخبار اعتبار الثلاثة </w:t>
      </w:r>
      <w:r>
        <w:rPr>
          <w:rStyle w:val="FootnoteAnchor"/>
          <w:rtl w:val="true"/>
        </w:rPr>
        <w:footnoteReference w:id="1959"/>
      </w:r>
      <w:r>
        <w:rPr>
          <w:rFonts w:ascii="IRNazanin" w:hAnsi="IRNazanin" w:eastAsia="IRNazanin"/>
          <w:color w:val="111111"/>
          <w:sz w:val="28"/>
          <w:sz w:val="28"/>
          <w:szCs w:val="28"/>
          <w:rtl w:val="true"/>
          <w:lang w:bidi="fa-IR"/>
        </w:rPr>
        <w:t xml:space="preserve">الظاهرة 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نقی بدونها أکملها وجوبا،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استعمال الحجر الواحد من ثلاث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من ظاهر المقنعة </w:t>
      </w:r>
      <w:r>
        <w:rPr>
          <w:rStyle w:val="FootnoteAnchor"/>
          <w:rtl w:val="true"/>
        </w:rPr>
        <w:footnoteReference w:id="1960"/>
      </w:r>
      <w:r>
        <w:rPr>
          <w:rFonts w:ascii="IRNazanin" w:hAnsi="IRNazanin" w:eastAsia="IRNazanin"/>
          <w:color w:val="111111"/>
          <w:sz w:val="28"/>
          <w:sz w:val="28"/>
          <w:szCs w:val="28"/>
          <w:rtl w:val="true"/>
          <w:lang w:bidi="fa-IR"/>
        </w:rPr>
        <w:t xml:space="preserve">و هو ظاهر المبسوط </w:t>
      </w:r>
      <w:r>
        <w:rPr>
          <w:rStyle w:val="FootnoteAnchor"/>
          <w:rtl w:val="true"/>
        </w:rPr>
        <w:footnoteReference w:id="1961"/>
      </w:r>
      <w:r>
        <w:rPr>
          <w:rFonts w:ascii="Amiri" w:hAnsi="Amiri" w:eastAsia="Amiri" w:cs="Amiri"/>
          <w:color w:val="111111"/>
          <w:sz w:val="28"/>
          <w:sz w:val="28"/>
          <w:szCs w:val="28"/>
          <w:rtl w:val="true"/>
          <w:lang w:bidi="ar-SA"/>
        </w:rPr>
        <w:t xml:space="preserve">و جمل السیّد </w:t>
      </w:r>
      <w:r>
        <w:rPr>
          <w:rStyle w:val="FootnoteAnchor"/>
          <w:rtl w:val="true"/>
        </w:rPr>
        <w:footnoteReference w:id="1962"/>
      </w:r>
      <w:r>
        <w:rPr>
          <w:rFonts w:ascii="IRNazanin" w:hAnsi="IRNazanin" w:eastAsia="IRNazanin"/>
          <w:color w:val="111111"/>
          <w:sz w:val="28"/>
          <w:sz w:val="28"/>
          <w:szCs w:val="28"/>
          <w:rtl w:val="true"/>
          <w:lang w:bidi="fa-IR"/>
        </w:rPr>
        <w:t xml:space="preserve">و الکافی </w:t>
      </w:r>
      <w:r>
        <w:rPr>
          <w:rStyle w:val="FootnoteAnchor"/>
          <w:rtl w:val="true"/>
        </w:rPr>
        <w:footnoteReference w:id="1963"/>
      </w:r>
      <w:r>
        <w:rPr>
          <w:rFonts w:ascii="IRNazanin" w:hAnsi="IRNazanin" w:eastAsia="IRNazanin"/>
          <w:color w:val="111111"/>
          <w:sz w:val="28"/>
          <w:sz w:val="28"/>
          <w:szCs w:val="28"/>
          <w:rtl w:val="true"/>
          <w:lang w:bidi="fa-IR"/>
        </w:rPr>
        <w:t xml:space="preserve">و السرائر </w:t>
      </w:r>
      <w:r>
        <w:rPr>
          <w:rStyle w:val="FootnoteAnchor"/>
          <w:rtl w:val="true"/>
        </w:rPr>
        <w:footnoteReference w:id="19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و المصنّف </w:t>
      </w:r>
      <w:r>
        <w:rPr>
          <w:rStyle w:val="FootnoteAnchor"/>
          <w:rtl w:val="true"/>
        </w:rPr>
        <w:footnoteReference w:id="1965"/>
      </w:r>
      <w:r>
        <w:rPr>
          <w:rFonts w:ascii="IRNazanin" w:hAnsi="IRNazanin" w:eastAsia="IRNazanin"/>
          <w:color w:val="111111"/>
          <w:sz w:val="28"/>
          <w:sz w:val="28"/>
          <w:szCs w:val="28"/>
          <w:rtl w:val="true"/>
          <w:lang w:bidi="fa-IR"/>
        </w:rPr>
        <w:t xml:space="preserve">و الشهید الثانی </w:t>
      </w:r>
      <w:r>
        <w:rPr>
          <w:rStyle w:val="FootnoteAnchor"/>
          <w:rtl w:val="true"/>
        </w:rPr>
        <w:footnoteReference w:id="1966"/>
      </w:r>
      <w:r>
        <w:rPr>
          <w:rFonts w:ascii="Amiri" w:hAnsi="Amiri" w:eastAsia="Amiri" w:cs="Amiri"/>
          <w:color w:val="111111"/>
          <w:sz w:val="28"/>
          <w:sz w:val="28"/>
          <w:szCs w:val="28"/>
          <w:rtl w:val="true"/>
          <w:lang w:bidi="ar-SA"/>
        </w:rPr>
        <w:t xml:space="preserve">و جماعة </w:t>
      </w:r>
      <w:r>
        <w:rPr>
          <w:rStyle w:val="FootnoteAnchor"/>
          <w:rtl w:val="true"/>
        </w:rPr>
        <w:footnoteReference w:id="1967"/>
      </w:r>
      <w:r>
        <w:rPr>
          <w:rFonts w:ascii="IRNazanin" w:hAnsi="IRNazanin" w:eastAsia="IRNazanin"/>
          <w:color w:val="111111"/>
          <w:sz w:val="28"/>
          <w:sz w:val="28"/>
          <w:szCs w:val="28"/>
          <w:rtl w:val="true"/>
          <w:lang w:bidi="fa-IR"/>
        </w:rPr>
        <w:t xml:space="preserve">لظاهر تلک الأخبار، المؤیّد بتقیید الأحجار بالأبکار فی بعض تلک الأخبار </w:t>
      </w:r>
      <w:r>
        <w:rPr>
          <w:rStyle w:val="FootnoteAnchor"/>
          <w:rtl w:val="true"/>
        </w:rPr>
        <w:footnoteReference w:id="1968"/>
      </w:r>
      <w:r>
        <w:rPr>
          <w:rFonts w:ascii="IRNazanin" w:hAnsi="IRNazanin" w:eastAsia="IRNazanin"/>
          <w:color w:val="111111"/>
          <w:sz w:val="28"/>
          <w:sz w:val="28"/>
          <w:szCs w:val="28"/>
          <w:rtl w:val="true"/>
          <w:lang w:bidi="fa-IR"/>
        </w:rPr>
        <w:t>بناء علی أنّ المراد بتعدّد الأحجار فی المطلقات و إن کان تعدّد المسحات، إلّا أنّ المراد بالبکر الحجر الغیر المنفعل بهذا الاستنجاء، فیشترط فی المسحة الثانیة کونه بحجر غیر مستعمل فی هذا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الأصل و عدم الإطلاق عدا ما عرفت ممّا عرفت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للعلّامة </w:t>
      </w:r>
      <w:r>
        <w:rPr>
          <w:rStyle w:val="FootnoteAnchor"/>
          <w:rtl w:val="true"/>
        </w:rPr>
        <w:footnoteReference w:id="1969"/>
      </w:r>
      <w:r>
        <w:rPr>
          <w:rFonts w:ascii="Amiri" w:hAnsi="Amiri" w:eastAsia="Amiri" w:cs="Amiri"/>
          <w:color w:val="111111"/>
          <w:sz w:val="28"/>
          <w:sz w:val="28"/>
          <w:szCs w:val="28"/>
          <w:rtl w:val="true"/>
          <w:lang w:bidi="ar-SA"/>
        </w:rPr>
        <w:t xml:space="preserve">و جماعة ممّن تأخّر عنه </w:t>
      </w:r>
      <w:r>
        <w:rPr>
          <w:rStyle w:val="FootnoteAnchor"/>
          <w:rtl w:val="true"/>
        </w:rPr>
        <w:footnoteReference w:id="1970"/>
      </w:r>
      <w:r>
        <w:rPr>
          <w:rFonts w:ascii="IRNazanin" w:hAnsi="IRNazanin" w:eastAsia="IRNazanin"/>
          <w:color w:val="111111"/>
          <w:sz w:val="28"/>
          <w:sz w:val="28"/>
          <w:szCs w:val="28"/>
          <w:rtl w:val="true"/>
          <w:lang w:bidi="fa-IR"/>
        </w:rPr>
        <w:t xml:space="preserve">مستندین إلی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إذهاب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الروایتین السابقتین </w:t>
      </w:r>
      <w:r>
        <w:rPr>
          <w:rStyle w:val="FootnoteAnchor"/>
          <w:rtl w:val="true"/>
        </w:rPr>
        <w:footnoteReference w:id="1971"/>
      </w:r>
      <w:r>
        <w:rPr>
          <w:rFonts w:ascii="IRNazanin" w:hAnsi="IRNazanin" w:eastAsia="IRNazanin"/>
          <w:color w:val="111111"/>
          <w:sz w:val="28"/>
          <w:sz w:val="28"/>
          <w:szCs w:val="28"/>
          <w:rtl w:val="true"/>
          <w:lang w:bidi="fa-IR"/>
        </w:rPr>
        <w:t>بعد دعوی ظهور أخبار الثلاث فی تثلیث المسحات، بل قطع به فی المختلف و جعله من الواضحات،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عاقل یفرّق بین کونه متّصلا و منفصلا؟ </w:t>
      </w:r>
      <w:r>
        <w:rPr>
          <w:rStyle w:val="FootnoteAnchor"/>
          <w:rtl w:val="true"/>
        </w:rPr>
        <w:footnoteReference w:id="1972"/>
      </w:r>
      <w:r>
        <w:rPr>
          <w:rFonts w:ascii="IRNazanin" w:hAnsi="IRNazanin" w:eastAsia="IRNazanin"/>
          <w:color w:val="111111"/>
          <w:sz w:val="28"/>
          <w:sz w:val="28"/>
          <w:szCs w:val="28"/>
          <w:rtl w:val="true"/>
          <w:lang w:bidi="fa-IR"/>
        </w:rPr>
        <w:t>و یشهد له أنّه یلزم من الاقتصار علی ظاهر الأخبار عدم جواز غیر الحجر، و هو خلاف الاتّفاق</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الإطلاقات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أخبار التثلیث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مشتملة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خصوصیّات، و لا یلزم من التعدّی عن بعضها لأجل تنقیح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أو إجماع قولیّ أو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 عن الباقی، بل مدار الاستنباط من النصوص الخاصّة فی کلّ باب من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إلغاء بعض الخصوصیّات و الاقتصار علی بعضها، و الإجماع هنا منتف لمکان الخلاف، بل اشتهاره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بعض الأساطین </w:t>
      </w:r>
      <w:r>
        <w:rPr>
          <w:rStyle w:val="FootnoteAnchor"/>
          <w:rtl w:val="true"/>
        </w:rPr>
        <w:footnoteReference w:id="1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ادّعی فی الروض اشتهار الخلاف </w:t>
      </w:r>
      <w:r>
        <w:rPr>
          <w:rStyle w:val="FootnoteAnchor"/>
          <w:rtl w:val="true"/>
        </w:rPr>
        <w:footnoteReference w:id="1974"/>
      </w:r>
      <w:r>
        <w:rPr>
          <w:rFonts w:ascii="Amiri" w:hAnsi="Amiri" w:eastAsia="Amiri" w:cs="Amiri"/>
          <w:color w:val="111111"/>
          <w:sz w:val="28"/>
          <w:sz w:val="28"/>
          <w:szCs w:val="28"/>
          <w:rtl w:val="true"/>
          <w:lang w:bidi="ar-SA"/>
        </w:rPr>
        <w:t>و کأنّه بین المتأخّرین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 دعوی القطع بإلغاء خصوصیة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عن المختلف </w:t>
      </w:r>
      <w:r>
        <w:rPr>
          <w:rStyle w:val="FootnoteAnchor"/>
          <w:rtl w:val="true"/>
        </w:rPr>
        <w:footnoteReference w:id="1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العهدة علی مدّعیه، فإنّ القطع مع کون الخلاف معروفا فی المسألة بعید الحصول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التعدّی عن الأحجار إلی کلّ جسم طاهر قالع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المشهور، بل علیه فی الغنیة </w:t>
      </w:r>
      <w:r>
        <w:rPr>
          <w:rStyle w:val="FootnoteAnchor"/>
          <w:rtl w:val="true"/>
        </w:rPr>
        <w:footnoteReference w:id="1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الخلاف </w:t>
      </w:r>
      <w:r>
        <w:rPr>
          <w:rStyle w:val="FootnoteAnchor"/>
          <w:rtl w:val="true"/>
        </w:rPr>
        <w:footnoteReference w:id="1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و یشهد له جعل الأصحاب کلّا المنع عن الاستنجاء بالعظم و الروث و المحترم من قبیل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تعلیل المنع فی بعض الأخبار بما هو کالمانع، ففی روایة لیث المرادی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استنجاء الرجل بالعظم أو البعر أو العود؟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العظم و الروث فطعام الجنّ، و ذلک ممّا اشترطوا علی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1978"/>
      </w:r>
      <w:r>
        <w:rPr>
          <w:rFonts w:ascii="IRNazanin" w:hAnsi="IRNazanin" w:eastAsia="IRNazanin"/>
          <w:color w:val="111111"/>
          <w:sz w:val="28"/>
          <w:sz w:val="28"/>
          <w:szCs w:val="28"/>
          <w:rtl w:val="true"/>
          <w:lang w:bidi="fa-IR"/>
        </w:rPr>
        <w:t>فانّ السکوت عن حکم العود و تعلیل المنع بما یخصّ العظم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و الروث مشعر بوجود المقتضی فی الکلّ و وجود المانع فی طعام الجنّ، مع أنّ الاستنجاء بالمدر و الخرق و الکرسف منصوص فی روایتی زرارة </w:t>
      </w:r>
      <w:r>
        <w:rPr>
          <w:rStyle w:val="FootnoteAnchor"/>
          <w:rtl w:val="true"/>
        </w:rPr>
        <w:footnoteReference w:id="1979"/>
      </w:r>
      <w:r>
        <w:rPr>
          <w:rFonts w:ascii="IRNazanin" w:hAnsi="IRNazanin" w:eastAsia="IRNazanin"/>
          <w:color w:val="111111"/>
          <w:sz w:val="28"/>
          <w:sz w:val="28"/>
          <w:szCs w:val="28"/>
          <w:rtl w:val="true"/>
          <w:lang w:bidi="fa-IR"/>
        </w:rPr>
        <w:t>و العود فی روایة لیث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یتمسّک فی ذلک تبعا للمبسوط و المعتبر </w:t>
      </w:r>
      <w:r>
        <w:rPr>
          <w:rStyle w:val="FootnoteAnchor"/>
          <w:rtl w:val="true"/>
        </w:rPr>
        <w:footnoteReference w:id="1980"/>
      </w:r>
      <w:r>
        <w:rPr>
          <w:rFonts w:ascii="IRNazanin" w:hAnsi="IRNazanin" w:eastAsia="IRNazanin"/>
          <w:color w:val="111111"/>
          <w:sz w:val="28"/>
          <w:sz w:val="28"/>
          <w:szCs w:val="28"/>
          <w:rtl w:val="true"/>
          <w:lang w:bidi="fa-IR"/>
        </w:rPr>
        <w:t xml:space="preserve">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إذهاب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الروایتین المتقدّمتین </w:t>
      </w:r>
      <w:r>
        <w:rPr>
          <w:rStyle w:val="FootnoteAnchor"/>
          <w:rtl w:val="true"/>
        </w:rPr>
        <w:footnoteReference w:id="1981"/>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الإطلاق فیها </w:t>
      </w:r>
      <w:r>
        <w:rPr>
          <w:rStyle w:val="FootnoteAnchor"/>
          <w:rtl w:val="true"/>
        </w:rPr>
        <w:footnoteReference w:id="1982"/>
      </w:r>
      <w:r>
        <w:rPr>
          <w:rFonts w:ascii="IRNazanin" w:hAnsi="IRNazanin" w:eastAsia="IRNazanin"/>
          <w:color w:val="111111"/>
          <w:sz w:val="28"/>
          <w:sz w:val="28"/>
          <w:szCs w:val="28"/>
          <w:rtl w:val="true"/>
          <w:lang w:bidi="fa-IR"/>
        </w:rPr>
        <w:t xml:space="preserve">لیس مسوقا لبیان ما به الاستنجاء، بل لو سلّم لها إطلاق فإنّما هو بالنسبة إلی مقدار المسح، کما یشعر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نسخ الروایة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أنّه یشترط فیما یستنجی به أمور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المصنّف قدّس سرّه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یستعمل الحجر المستعمل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انفعل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کالثانی و الثالث المستعمل بعد 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یقتضیه إطلاق جماعة منهم المفید قدّس سرّه فیما تقدّم من عبارته الّتی جمع فیها بین اشتراط الطهارة و أن لا یکون مستعملا فی إزالة نجاسة </w:t>
      </w:r>
      <w:r>
        <w:rPr>
          <w:rStyle w:val="FootnoteAnchor"/>
          <w:rtl w:val="true"/>
        </w:rPr>
        <w:footnoteReference w:id="1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ابن حمزة فی الوسیلة حیث جعل من التروک الواجبة استعمال الحجر المستعمل و الحجر النجس </w:t>
      </w:r>
      <w:r>
        <w:rPr>
          <w:rStyle w:val="FootnoteAnchor"/>
          <w:rtl w:val="true"/>
        </w:rPr>
        <w:footnoteReference w:id="1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یجدی التطهیر فی المنفعل، لأنّ غایة الأمر صیرورته کغیر المنفعل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و لعلّه 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المرسلة المتقدّمة </w:t>
      </w:r>
      <w:r>
        <w:rPr>
          <w:rStyle w:val="FootnoteAnchor"/>
          <w:rtl w:val="true"/>
        </w:rPr>
        <w:footnoteReference w:id="1986"/>
      </w:r>
      <w:r>
        <w:rPr>
          <w:rFonts w:ascii="Amiri" w:hAnsi="Amiri" w:eastAsia="Amiri" w:cs="Amiri"/>
          <w:color w:val="111111"/>
          <w:sz w:val="28"/>
          <w:sz w:val="28"/>
          <w:szCs w:val="28"/>
          <w:rtl w:val="true"/>
          <w:lang w:bidi="ar-SA"/>
        </w:rPr>
        <w:t>المعتضدة بالأصل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عن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طهر المتنجّس بالاستنجاء أو غیره جاز استعماله إجماعا </w:t>
      </w:r>
      <w:r>
        <w:rPr>
          <w:rStyle w:val="FootnoteAnchor"/>
          <w:rtl w:val="true"/>
        </w:rPr>
        <w:footnoteReference w:id="1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یقرب هذه الدعوی اکتفاء ابن زهرة فی معقد إجماعه عن هذا الشرط باشتراط الطهارة </w:t>
      </w:r>
      <w:r>
        <w:rPr>
          <w:rStyle w:val="FootnoteAnchor"/>
          <w:rtl w:val="true"/>
        </w:rPr>
        <w:footnoteReference w:id="1988"/>
      </w:r>
      <w:r>
        <w:rPr>
          <w:rFonts w:ascii="IRNazanin" w:hAnsi="IRNazanin" w:eastAsia="IRNazanin"/>
          <w:color w:val="111111"/>
          <w:sz w:val="28"/>
          <w:sz w:val="28"/>
          <w:szCs w:val="28"/>
          <w:rtl w:val="true"/>
          <w:lang w:bidi="fa-IR"/>
        </w:rPr>
        <w:t>و هو أیضا ظاهر المبسوط، فإنّه و إن اشترط أوّلا عدم الاستعمال، إلّا أنّه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الحجر المتنجّس إذا طهر جاز استعماله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یبعد حمل کلام الأوّلین </w:t>
      </w:r>
      <w:r>
        <w:rPr>
          <w:rStyle w:val="FootnoteAnchor"/>
          <w:rtl w:val="true"/>
        </w:rPr>
        <w:footnoteReference w:id="1990"/>
      </w:r>
      <w:r>
        <w:rPr>
          <w:rFonts w:ascii="IRNazanin" w:hAnsi="IRNazanin" w:eastAsia="IRNazanin"/>
          <w:color w:val="111111"/>
          <w:sz w:val="28"/>
          <w:sz w:val="28"/>
          <w:szCs w:val="28"/>
          <w:rtl w:val="true"/>
          <w:lang w:bidi="fa-IR"/>
        </w:rPr>
        <w:t>علی ما قبل إزالة النجاسة، و لذا جاز لغیره استعماله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 فی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لسان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المعتبر بأنّ مرادنا بالمنع من الحجر المستعمل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الاستنجاء بموضع النجاسة منه، أمّا لو کسر و استعمل المحلّ الطاهر منه جاز، و کذا لو أزیلت النجاسة عنه بغسل أو غیره </w:t>
      </w:r>
      <w:r>
        <w:rPr>
          <w:rStyle w:val="FootnoteAnchor"/>
          <w:rtl w:val="true"/>
        </w:rPr>
        <w:footnoteReference w:id="1991"/>
      </w:r>
      <w:r>
        <w:rPr>
          <w:rFonts w:ascii="IRNazanin" w:hAnsi="IRNazanin" w:eastAsia="IRNazanin"/>
          <w:color w:val="111111"/>
          <w:sz w:val="28"/>
          <w:sz w:val="28"/>
          <w:szCs w:val="28"/>
          <w:rtl w:val="true"/>
          <w:lang w:bidi="fa-IR"/>
        </w:rPr>
        <w:t xml:space="preserve">و تبعه فی هذا التصریح جلّ من تأخّر عنه، کالعلّامة </w:t>
      </w:r>
      <w:r>
        <w:rPr>
          <w:rStyle w:val="FootnoteAnchor"/>
          <w:rtl w:val="true"/>
        </w:rPr>
        <w:footnoteReference w:id="1992"/>
      </w:r>
      <w:r>
        <w:rPr>
          <w:rFonts w:ascii="IRNazanin" w:hAnsi="IRNazanin" w:eastAsia="IRNazanin"/>
          <w:color w:val="111111"/>
          <w:sz w:val="28"/>
          <w:sz w:val="28"/>
          <w:szCs w:val="28"/>
          <w:rtl w:val="true"/>
          <w:lang w:bidi="fa-IR"/>
        </w:rPr>
        <w:t xml:space="preserve">و الشهیدین فی اللمعة و شرحها </w:t>
      </w:r>
      <w:r>
        <w:rPr>
          <w:rStyle w:val="FootnoteAnchor"/>
          <w:rtl w:val="true"/>
        </w:rPr>
        <w:footnoteReference w:id="1993"/>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994"/>
      </w:r>
      <w:r>
        <w:rPr>
          <w:rFonts w:ascii="IRNazanin" w:hAnsi="IRNazanin" w:eastAsia="IRNazanin"/>
          <w:color w:val="111111"/>
          <w:sz w:val="28"/>
          <w:sz w:val="28"/>
          <w:szCs w:val="28"/>
          <w:rtl w:val="true"/>
          <w:lang w:bidi="fa-IR"/>
        </w:rPr>
        <w:t xml:space="preserve">و ابن فهد </w:t>
      </w:r>
      <w:r>
        <w:rPr>
          <w:rStyle w:val="FootnoteAnchor"/>
          <w:rtl w:val="true"/>
        </w:rPr>
        <w:footnoteReference w:id="1995"/>
      </w:r>
      <w:r>
        <w:rPr>
          <w:rFonts w:ascii="IRNazanin" w:hAnsi="IRNazanin" w:eastAsia="IRNazanin"/>
          <w:color w:val="111111"/>
          <w:sz w:val="28"/>
          <w:sz w:val="28"/>
          <w:szCs w:val="28"/>
          <w:rtl w:val="true"/>
          <w:lang w:bidi="fa-IR"/>
        </w:rPr>
        <w:t xml:space="preserve">و غیرهم </w:t>
      </w:r>
      <w:r>
        <w:rPr>
          <w:rStyle w:val="FootnoteAnchor"/>
          <w:rtl w:val="true"/>
        </w:rPr>
        <w:footnoteReference w:id="1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ادّعاه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المصابیح من الإجماع قریب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لما رجع إلی طهارته السابقة، فإنّ ما أزیل تلوّثه کغیر الملوّث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أبیت إلّا عن ظهوره فی غیر المستعمل رأسا أبینا إلّا ضعف الروایة و عدم صلوحها لتقیید المطلقات، فلیحمل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علی جهة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ما تلوّث من الأحجار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المستعمل منها بعد النقاء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جواز استعمال غیره له، بناء علی أنّ العبرة بالطهارة، لا البکارة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التذکرة </w:t>
      </w:r>
      <w:r>
        <w:rPr>
          <w:rStyle w:val="FootnoteAnchor"/>
          <w:rtl w:val="true"/>
        </w:rPr>
        <w:footnoteReference w:id="1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ظاهر المحقّق و الشهید الأوّلین </w:t>
      </w:r>
      <w:r>
        <w:rPr>
          <w:rStyle w:val="FootnoteAnchor"/>
          <w:rtl w:val="true"/>
        </w:rPr>
        <w:footnoteReference w:id="1998"/>
      </w:r>
      <w:r>
        <w:rPr>
          <w:rFonts w:ascii="IRNazanin" w:hAnsi="IRNazanin" w:eastAsia="IRNazanin"/>
          <w:color w:val="111111"/>
          <w:sz w:val="28"/>
          <w:sz w:val="28"/>
          <w:szCs w:val="28"/>
          <w:rtl w:val="true"/>
          <w:lang w:bidi="fa-IR"/>
        </w:rPr>
        <w:t xml:space="preserve">و صریح الثانیین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استعمال هذا الشخص له فی غیر هذا التطهیر، کما صرّح به فی المقاصد العلیة </w:t>
      </w:r>
      <w:r>
        <w:rPr>
          <w:rStyle w:val="FootnoteAnchor"/>
          <w:rtl w:val="true"/>
        </w:rPr>
        <w:footnoteReference w:id="2000"/>
      </w:r>
      <w:r>
        <w:rPr>
          <w:rFonts w:ascii="IRNazanin" w:hAnsi="IRNazanin" w:eastAsia="IRNazanin"/>
          <w:color w:val="111111"/>
          <w:sz w:val="28"/>
          <w:sz w:val="28"/>
          <w:szCs w:val="28"/>
          <w:rtl w:val="true"/>
          <w:lang w:bidi="fa-IR"/>
        </w:rPr>
        <w:t>و بنی جوازه فی هذا التطهیر علی وجوب التعدّد فی الماسح، و هو کذلک أیضا بالنسبة إلی الحجر المتنجّس الذی أزیل نجاسته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فرق بین المتنجّس بالاستجمار به و المتنجّس بغیره فی عدم الجواز إلّا بعد إزالة النجاسة، و الظاهر عدم الخلاف فیه، مضافا إلی الأصل، بناء علی ما تقدّم من عدم الإطلاق</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فحوی ذلک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استعمال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التذکرة </w:t>
      </w:r>
      <w:r>
        <w:rPr>
          <w:rStyle w:val="FootnoteAnchor"/>
          <w:rtl w:val="true"/>
        </w:rPr>
        <w:footnoteReference w:id="2001"/>
      </w:r>
      <w:r>
        <w:rPr>
          <w:rFonts w:ascii="IRNazanin" w:hAnsi="IRNazanin" w:eastAsia="IRNazanin"/>
          <w:color w:val="111111"/>
          <w:sz w:val="28"/>
          <w:sz w:val="28"/>
          <w:szCs w:val="28"/>
          <w:rtl w:val="true"/>
          <w:lang w:bidi="fa-IR"/>
        </w:rPr>
        <w:t xml:space="preserve">و التحریر </w:t>
      </w:r>
      <w:r>
        <w:rPr>
          <w:rStyle w:val="FootnoteAnchor"/>
          <w:rtl w:val="true"/>
        </w:rPr>
        <w:footnoteReference w:id="2002"/>
      </w:r>
      <w:r>
        <w:rPr>
          <w:rFonts w:ascii="IRNazanin" w:hAnsi="IRNazanin" w:eastAsia="IRNazanin"/>
          <w:color w:val="111111"/>
          <w:sz w:val="28"/>
          <w:sz w:val="28"/>
          <w:szCs w:val="28"/>
          <w:rtl w:val="true"/>
          <w:lang w:bidi="fa-IR"/>
        </w:rPr>
        <w:t xml:space="preserve">و الغنیة </w:t>
      </w:r>
      <w:r>
        <w:rPr>
          <w:rStyle w:val="FootnoteAnchor"/>
          <w:rtl w:val="true"/>
        </w:rPr>
        <w:footnoteReference w:id="2003"/>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باکتساب النجاسة نجاسة خارجیة اتّضح وجه المنع، لأنّ ما فی المحلّ یتنجّس حینئذ، و من هنا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بعد ذلک من الغسل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تنجّس المحلّ به، فلا إشکال فی لزوم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الاستجمار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 و لا الروث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الطاهرین اتّفاقا علی الظاهر، المصرّح به فی المعتبر </w:t>
      </w:r>
      <w:r>
        <w:rPr>
          <w:rStyle w:val="FootnoteAnchor"/>
          <w:rtl w:val="true"/>
        </w:rPr>
        <w:footnoteReference w:id="2004"/>
      </w:r>
      <w:r>
        <w:rPr>
          <w:rFonts w:ascii="IRNazanin" w:hAnsi="IRNazanin" w:eastAsia="IRNazanin"/>
          <w:color w:val="111111"/>
          <w:sz w:val="28"/>
          <w:sz w:val="28"/>
          <w:szCs w:val="28"/>
          <w:rtl w:val="true"/>
          <w:lang w:bidi="fa-IR"/>
        </w:rPr>
        <w:t xml:space="preserve">و المنتهی </w:t>
      </w:r>
      <w:r>
        <w:rPr>
          <w:rStyle w:val="FootnoteAnchor"/>
          <w:rtl w:val="true"/>
        </w:rPr>
        <w:footnoteReference w:id="2005"/>
      </w:r>
      <w:r>
        <w:rPr>
          <w:rFonts w:ascii="IRNazanin" w:hAnsi="IRNazanin" w:eastAsia="IRNazanin"/>
          <w:color w:val="111111"/>
          <w:sz w:val="28"/>
          <w:sz w:val="28"/>
          <w:szCs w:val="28"/>
          <w:rtl w:val="true"/>
          <w:lang w:bidi="fa-IR"/>
        </w:rPr>
        <w:t xml:space="preserve">و فی الغنیة </w:t>
      </w:r>
      <w:r>
        <w:rPr>
          <w:rStyle w:val="FootnoteAnchor"/>
          <w:rtl w:val="true"/>
        </w:rPr>
        <w:footnoteReference w:id="2006"/>
      </w:r>
      <w:r>
        <w:rPr>
          <w:rFonts w:ascii="IRNazanin" w:hAnsi="IRNazanin" w:eastAsia="IRNazanin"/>
          <w:color w:val="111111"/>
          <w:sz w:val="28"/>
          <w:sz w:val="28"/>
          <w:szCs w:val="28"/>
          <w:rtl w:val="true"/>
          <w:lang w:bidi="fa-IR"/>
        </w:rPr>
        <w:t xml:space="preserve">و الروض </w:t>
      </w:r>
      <w:r>
        <w:rPr>
          <w:rStyle w:val="FootnoteAnchor"/>
          <w:rtl w:val="true"/>
        </w:rPr>
        <w:footnoteReference w:id="2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 مضافا إلی الأخبار الواردة فی المسألة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یظهر من العلّامة فی التذکرة </w:t>
      </w:r>
      <w:r>
        <w:rPr>
          <w:rStyle w:val="FootnoteAnchor"/>
          <w:rtl w:val="true"/>
        </w:rPr>
        <w:footnoteReference w:id="2009"/>
      </w:r>
      <w:r>
        <w:rPr>
          <w:rFonts w:ascii="IRNazanin" w:hAnsi="IRNazanin" w:eastAsia="IRNazanin"/>
          <w:color w:val="111111"/>
          <w:sz w:val="28"/>
          <w:sz w:val="28"/>
          <w:szCs w:val="28"/>
          <w:rtl w:val="true"/>
          <w:lang w:bidi="fa-IR"/>
        </w:rPr>
        <w:t xml:space="preserve">التردّد، و لعلّه لعدم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Style w:val="FootnoteAnchor"/>
          <w:rtl w:val="true"/>
        </w:rPr>
        <w:footnoteReference w:id="2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التحریم، بل یحتمل الحکم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الفساد، و هو لازم التحریم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عن الدعائم من أنّهم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نهوا عن الاستنجاء بالعظام و البعر و کلّ طعام</w:t>
      </w:r>
      <w:r>
        <w:rPr>
          <w:rFonts w:eastAsia="IRNazanin" w:cs="IRNazanin"/>
          <w:color w:val="111111"/>
          <w:sz w:val="28"/>
          <w:szCs w:val="28"/>
          <w:rtl w:val="true"/>
          <w:lang w:bidi="fa-IR"/>
        </w:rPr>
        <w:t xml:space="preserve">» </w:t>
      </w:r>
      <w:r>
        <w:rPr>
          <w:rStyle w:val="FootnoteAnchor"/>
          <w:rtl w:val="true"/>
        </w:rPr>
        <w:footnoteReference w:id="2011"/>
      </w:r>
      <w:r>
        <w:rPr>
          <w:rFonts w:ascii="Amiri" w:hAnsi="Amiri" w:eastAsia="Amiri" w:cs="Amiri"/>
          <w:color w:val="111111"/>
          <w:sz w:val="28"/>
          <w:sz w:val="28"/>
          <w:szCs w:val="28"/>
          <w:rtl w:val="true"/>
          <w:lang w:bidi="ar-SA"/>
        </w:rPr>
        <w:t>و عن 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و سلّم نهی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عن الاستنجاء بالروث و الرمّة </w:t>
      </w:r>
      <w:r>
        <w:rPr>
          <w:rStyle w:val="FootnoteAnchor"/>
          <w:rtl w:val="true"/>
        </w:rPr>
        <w:footnoteReference w:id="2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 البالی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دعوی انجبار ضعفهما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الاستنجاء بالعظم و الروث، لأنّ وفد الجانّ جاءوا إلی رسول اللّٰه صلّی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متّعنا یا رسول اللّٰه، فأعطاهم الروث و العظم، فلذلک لا ینبغی أن یستنجی بهما</w:t>
      </w:r>
      <w:r>
        <w:rPr>
          <w:rFonts w:eastAsia="IRNazanin" w:cs="IRNazanin"/>
          <w:color w:val="111111"/>
          <w:sz w:val="28"/>
          <w:szCs w:val="28"/>
          <w:rtl w:val="true"/>
          <w:lang w:bidi="fa-IR"/>
        </w:rPr>
        <w:t xml:space="preserve">» </w:t>
      </w:r>
      <w:r>
        <w:rPr>
          <w:rStyle w:val="FootnoteAnchor"/>
          <w:rtl w:val="true"/>
        </w:rPr>
        <w:footnoteReference w:id="2013"/>
      </w:r>
      <w:r>
        <w:rPr>
          <w:rFonts w:ascii="IRNazanin" w:hAnsi="IRNazanin" w:eastAsia="IRNazanin"/>
          <w:color w:val="111111"/>
          <w:sz w:val="28"/>
          <w:sz w:val="28"/>
          <w:szCs w:val="28"/>
          <w:rtl w:val="true"/>
          <w:lang w:bidi="fa-IR"/>
        </w:rPr>
        <w:t>و ظاهر ذیله یعارض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سلمان أنّ رسول اللّٰه صلّی اللّٰه علیه و آله و سلّم أمرنا أن نستنجی بما لیس فیها رجیع و لا عظم</w:t>
      </w:r>
      <w:r>
        <w:rPr>
          <w:rFonts w:eastAsia="IRNazanin" w:cs="IRNazanin"/>
          <w:color w:val="111111"/>
          <w:sz w:val="28"/>
          <w:szCs w:val="28"/>
          <w:rtl w:val="true"/>
          <w:lang w:bidi="fa-IR"/>
        </w:rPr>
        <w:t xml:space="preserve">» </w:t>
      </w:r>
      <w:r>
        <w:rPr>
          <w:rStyle w:val="FootnoteAnchor"/>
          <w:rtl w:val="true"/>
        </w:rPr>
        <w:footnoteReference w:id="2014"/>
      </w:r>
      <w:r>
        <w:rPr>
          <w:rFonts w:ascii="IRNazanin" w:hAnsi="IRNazanin" w:eastAsia="IRNazanin"/>
          <w:color w:val="111111"/>
          <w:sz w:val="28"/>
          <w:sz w:val="28"/>
          <w:szCs w:val="28"/>
          <w:rtl w:val="true"/>
          <w:lang w:bidi="fa-IR"/>
        </w:rPr>
        <w:t>و لعلّ الاتّفاقات المستفیضة تصلح لجبر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الأخبار، بل هی حجّة بالاستقلال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معقد الإجماعات المتقدّمة و أکثر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مطلق الرجیع أو البعر، فینبغی الاقتصار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یبعد دعوی إرادة العموم، لأنّ السؤال فی روایة لیث المتقدّمة </w:t>
      </w:r>
      <w:r>
        <w:rPr>
          <w:rStyle w:val="FootnoteAnchor"/>
          <w:rtl w:val="true"/>
        </w:rPr>
        <w:footnoteReference w:id="2015"/>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یدلّ علی أنّ المراد به مطلق الرجیع</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عدوله علیه السلام عن مورد السؤال إلی الروث دلیل علی الاختصاص، إنّما یحسن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للروث، أمّا إذا کان ظاهره عرفا مغایرا للروث فهو دلیل علی إرادة العموم من الروث،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دائر بین إرادة التعمیم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إرادته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الاستدلال،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للتعمیم الاستدلال فی المنتهی </w:t>
      </w:r>
      <w:r>
        <w:rPr>
          <w:rStyle w:val="FootnoteAnchor"/>
          <w:rtl w:val="true"/>
        </w:rPr>
        <w:footnoteReference w:id="2016"/>
      </w:r>
      <w:r>
        <w:rPr>
          <w:rFonts w:ascii="Amiri" w:hAnsi="Amiri" w:eastAsia="Amiri" w:cs="Amiri"/>
          <w:color w:val="111111"/>
          <w:sz w:val="28"/>
          <w:sz w:val="28"/>
          <w:szCs w:val="28"/>
          <w:rtl w:val="true"/>
          <w:lang w:bidi="ar-SA"/>
        </w:rPr>
        <w:t>بقوله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استنجی بعظم أو رجیع فهو بری‌ء من محمّد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الاستنجاء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إجماعا علی ما عن صریح الغنیة </w:t>
      </w:r>
      <w:r>
        <w:rPr>
          <w:rStyle w:val="FootnoteAnchor"/>
          <w:rtl w:val="true"/>
        </w:rPr>
        <w:footnoteReference w:id="2018"/>
      </w:r>
      <w:r>
        <w:rPr>
          <w:rFonts w:ascii="IRNazanin" w:hAnsi="IRNazanin" w:eastAsia="IRNazanin"/>
          <w:color w:val="111111"/>
          <w:sz w:val="28"/>
          <w:sz w:val="28"/>
          <w:szCs w:val="28"/>
          <w:rtl w:val="true"/>
          <w:lang w:bidi="fa-IR"/>
        </w:rPr>
        <w:t xml:space="preserve">و ظاهر المنتهی </w:t>
      </w:r>
      <w:r>
        <w:rPr>
          <w:rStyle w:val="FootnoteAnchor"/>
          <w:rtl w:val="true"/>
        </w:rPr>
        <w:footnoteReference w:id="2019"/>
      </w:r>
      <w:r>
        <w:rPr>
          <w:rFonts w:ascii="IRNazanin" w:hAnsi="IRNazanin" w:eastAsia="IRNazanin"/>
          <w:color w:val="111111"/>
          <w:sz w:val="28"/>
          <w:sz w:val="28"/>
          <w:szCs w:val="28"/>
          <w:rtl w:val="true"/>
          <w:lang w:bidi="fa-IR"/>
        </w:rPr>
        <w:t>لفحوی تعلیل الحکم فی العظم و الروث بأنّهما طعام الجنّ، و بذلک کلّه یمکن دعوی انجبار ما عن دعائم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نهوا علیهم السلام عن الاستنجاء بالعظم و البعر و کلّ طعام</w:t>
      </w:r>
      <w:r>
        <w:rPr>
          <w:rFonts w:eastAsia="IRNazanin" w:cs="IRNazanin"/>
          <w:color w:val="111111"/>
          <w:sz w:val="28"/>
          <w:szCs w:val="28"/>
          <w:rtl w:val="true"/>
          <w:lang w:bidi="fa-IR"/>
        </w:rPr>
        <w:t xml:space="preserve">» </w:t>
      </w:r>
      <w:r>
        <w:rPr>
          <w:rStyle w:val="FootnoteAnchor"/>
          <w:rtl w:val="true"/>
        </w:rPr>
        <w:footnoteReference w:id="2020"/>
      </w:r>
      <w:r>
        <w:rPr>
          <w:rFonts w:ascii="IRNazanin" w:hAnsi="IRNazanin" w:eastAsia="IRNazanin"/>
          <w:color w:val="111111"/>
          <w:sz w:val="28"/>
          <w:sz w:val="28"/>
          <w:szCs w:val="28"/>
          <w:rtl w:val="true"/>
          <w:lang w:bidi="fa-IR"/>
        </w:rPr>
        <w:t>فإنّ أخبار هذا الکتاب من المراسیل القابلة للانجبار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هذا الکتاب و أحوال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أخبار هذا الکتاب یصلح للتأیید و التأکید </w:t>
      </w:r>
      <w:r>
        <w:rPr>
          <w:rStyle w:val="FootnoteAnchor"/>
          <w:rtl w:val="true"/>
        </w:rPr>
        <w:footnoteReference w:id="2021"/>
      </w:r>
      <w:r>
        <w:rPr>
          <w:rFonts w:ascii="IRNazanin" w:hAnsi="IRNazanin" w:eastAsia="IRNazanin"/>
          <w:color w:val="111111"/>
          <w:sz w:val="28"/>
          <w:sz w:val="28"/>
          <w:szCs w:val="28"/>
          <w:rtl w:val="true"/>
          <w:lang w:bidi="fa-IR"/>
        </w:rPr>
        <w:t xml:space="preserve">و أنکر صاحب الحدائق علی هذا الکتاب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یفهم من الحکم فی المطعوم تحریم الاستنجاء بکلّ محترم یلزم من الاستنجاء به هتک حرمته و إن لم یلزم ذلک من مطلق تنجیسه، فإن للاستنجاء خصوصیة فی الإهانة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یجزئ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 یزلق عن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استعمل ذلک لم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قلعه للنجاسة، بخلاف الأجسام السابقة، فإنّ تحریم استعمالها لا یدلّ علی فساده، وفاقا لجماعة </w:t>
      </w:r>
      <w:r>
        <w:rPr>
          <w:rStyle w:val="FootnoteAnchor"/>
          <w:rtl w:val="true"/>
        </w:rPr>
        <w:footnoteReference w:id="2023"/>
      </w:r>
      <w:r>
        <w:rPr>
          <w:rFonts w:ascii="IRNazanin" w:hAnsi="IRNazanin" w:eastAsia="IRNazanin"/>
          <w:color w:val="111111"/>
          <w:sz w:val="28"/>
          <w:sz w:val="28"/>
          <w:szCs w:val="28"/>
          <w:rtl w:val="true"/>
          <w:lang w:bidi="fa-IR"/>
        </w:rPr>
        <w:t xml:space="preserve">بل عن شرح الموجز دعوی الشهرة علیه </w:t>
      </w:r>
      <w:r>
        <w:rPr>
          <w:rStyle w:val="FootnoteAnchor"/>
          <w:rtl w:val="true"/>
        </w:rPr>
        <w:footnoteReference w:id="2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خلافا للآخرین </w:t>
      </w:r>
      <w:r>
        <w:rPr>
          <w:rStyle w:val="FootnoteAnchor"/>
          <w:rtl w:val="true"/>
        </w:rPr>
        <w:footnoteReference w:id="2025"/>
      </w:r>
      <w:r>
        <w:rPr>
          <w:rFonts w:ascii="IRNazanin" w:hAnsi="IRNazanin" w:eastAsia="IRNazanin"/>
          <w:color w:val="111111"/>
          <w:sz w:val="28"/>
          <w:sz w:val="28"/>
          <w:szCs w:val="28"/>
          <w:rtl w:val="true"/>
          <w:lang w:bidi="fa-IR"/>
        </w:rPr>
        <w:t>و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مستند التعدّی عن الأجسام المنصوصة إلی غیرها الإجماع کان المتعیّن هو الحکم بالفساد، للأصل و عدم الدلیل، فتأمّل</w:t>
      </w:r>
      <w:r>
        <w:rPr>
          <w:rFonts w:eastAsia="IRNazanin" w:cs="IRNazanin"/>
          <w:color w:val="111111"/>
          <w:sz w:val="28"/>
          <w:szCs w:val="28"/>
          <w:rtl w:val="true"/>
          <w:lang w:bidi="fa-IR"/>
        </w:rPr>
        <w:t>.</w:t>
      </w:r>
      <w:bookmarkStart w:id="392" w:name="pg13031_132138"/>
    </w:p>
    <w:p>
      <w:pPr>
        <w:pStyle w:val="BookText"/>
        <w:rPr/>
      </w:pPr>
      <w:bookmarkEnd w:id="3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Heading6"/>
        <w:numPr>
          <w:ilvl w:val="5"/>
          <w:numId w:val="1"/>
        </w:numPr>
        <w:rPr/>
      </w:pPr>
      <w:bookmarkStart w:id="393" w:name="__RefHeading___Toc6281727_3224264995"/>
      <w:bookmarkStart w:id="394" w:name="_Toc165"/>
      <w:bookmarkEnd w:id="393"/>
      <w:r>
        <w:rPr>
          <w:rtl w:val="true"/>
        </w:rPr>
        <w:t>[</w:t>
      </w:r>
      <w:r>
        <w:rPr>
          <w:rtl w:val="true"/>
        </w:rPr>
        <w:t>الثالث فی سنن الخلوة</w:t>
      </w:r>
      <w:r>
        <w:rPr>
          <w:rtl w:val="true"/>
        </w:rPr>
        <w:t>]</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فی سنن الخلوة و هی مندوبات و مکروهات فالمندوبات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البدن، بأن یبعد عن الناس، أو یدخل بیتا أو حفیرة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ارتیاد موضع مناسب للبول، فإنّه من فقه الرجل، کما فی الروایات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تغطیة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کما عن المعتبر </w:t>
      </w:r>
      <w:r>
        <w:rPr>
          <w:rStyle w:val="FootnoteAnchor"/>
          <w:rtl w:val="true"/>
        </w:rPr>
        <w:footnoteReference w:id="2028"/>
      </w:r>
      <w:r>
        <w:rPr>
          <w:rFonts w:ascii="IRNazanin" w:hAnsi="IRNazanin" w:eastAsia="IRNazanin"/>
          <w:color w:val="111111"/>
          <w:sz w:val="28"/>
          <w:sz w:val="28"/>
          <w:szCs w:val="28"/>
          <w:rtl w:val="true"/>
          <w:lang w:bidi="fa-IR"/>
        </w:rPr>
        <w:t xml:space="preserve">و الذکری </w:t>
      </w:r>
      <w:r>
        <w:rPr>
          <w:rStyle w:val="FootnoteAnchor"/>
          <w:rtl w:val="true"/>
        </w:rPr>
        <w:footnoteReference w:id="2029"/>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مثل ذلک فی الاستحباب</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مرسلة البرقی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الصادق علیه السلام إذا دخل الخلاء یقنّع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رأسه</w:t>
      </w:r>
      <w:r>
        <w:rPr>
          <w:rFonts w:eastAsia="IRNazanin" w:cs="IRNazanin"/>
          <w:color w:val="111111"/>
          <w:sz w:val="28"/>
          <w:szCs w:val="28"/>
          <w:rtl w:val="true"/>
          <w:lang w:bidi="fa-IR"/>
        </w:rPr>
        <w:t xml:space="preserve">» </w:t>
      </w:r>
      <w:r>
        <w:rPr>
          <w:rStyle w:val="FootnoteAnchor"/>
          <w:rtl w:val="true"/>
        </w:rPr>
        <w:footnoteReference w:id="2030"/>
      </w:r>
      <w:r>
        <w:rPr>
          <w:rFonts w:ascii="IRNazanin" w:hAnsi="IRNazanin" w:eastAsia="IRNazanin"/>
          <w:color w:val="111111"/>
          <w:sz w:val="28"/>
          <w:sz w:val="28"/>
          <w:szCs w:val="28"/>
          <w:rtl w:val="true"/>
          <w:lang w:bidi="fa-IR"/>
        </w:rPr>
        <w:t xml:space="preserve">و أرسله فی الفقیه أیضا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الفقیه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للرجل إذا دخل الخلاء أن یغطّی رأسه إقرارا بأنّه غیر مبرّئ نفسه من العیوب</w:t>
      </w:r>
      <w:r>
        <w:rPr>
          <w:rFonts w:eastAsia="IRNazanin" w:cs="IRNazanin"/>
          <w:color w:val="111111"/>
          <w:sz w:val="28"/>
          <w:szCs w:val="28"/>
          <w:rtl w:val="true"/>
          <w:lang w:bidi="fa-IR"/>
        </w:rPr>
        <w:t xml:space="preserve">» </w:t>
      </w:r>
      <w:r>
        <w:rPr>
          <w:rStyle w:val="FootnoteAnchor"/>
          <w:rtl w:val="true"/>
        </w:rPr>
        <w:footnoteReference w:id="20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المفید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لیغطّ رأسه إن کان مکشوفا لیأمن بذلک من عبث الشیطان و من وصول الرائحة الخبیثة إلی دماغه، و هو سنّة من سنن النبیّ صلّی اللّٰه علیه و آله و سلّم و فیه إظهار الحیاء من اللّٰه لکثرة نعمه علی العبد و قلّة الشکر منه</w:t>
      </w:r>
      <w:r>
        <w:rPr>
          <w:rFonts w:eastAsia="IRNazanin" w:cs="IRNazanin"/>
          <w:color w:val="111111"/>
          <w:sz w:val="28"/>
          <w:szCs w:val="28"/>
          <w:rtl w:val="true"/>
          <w:lang w:bidi="fa-IR"/>
        </w:rPr>
        <w:t xml:space="preserve">» </w:t>
      </w:r>
      <w:r>
        <w:rPr>
          <w:rStyle w:val="FootnoteAnchor"/>
          <w:rtl w:val="true"/>
        </w:rPr>
        <w:footnoteReference w:id="203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الروایات </w:t>
      </w:r>
      <w:r>
        <w:rPr>
          <w:rStyle w:val="FootnoteAnchor"/>
          <w:rtl w:val="true"/>
        </w:rPr>
        <w:footnoteReference w:id="2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التستّر عن الناس و لو بالبعید، أو دخول بیت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الدخول و الخروج، لروایة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المخرج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اللّهم إنّی أعوذ بک من الخبیث المخبث الرجس النجس الشیطان الرجیم، و إذا خرجت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الحمد للّٰه الّذی عافانی من الخبیث المخبث و أماط عنّی الأذی</w:t>
      </w:r>
      <w:r>
        <w:rPr>
          <w:rFonts w:eastAsia="IRNazanin" w:cs="IRNazanin"/>
          <w:color w:val="111111"/>
          <w:sz w:val="28"/>
          <w:szCs w:val="28"/>
          <w:rtl w:val="true"/>
          <w:lang w:bidi="fa-IR"/>
        </w:rPr>
        <w:t xml:space="preserve">»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و فی مرفوعة سعد بن عبد اللّٰه إلی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علیه السهو فلیقل إذا دخل الخلاء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أعوذ باللّه من الرجس النجس الخبیث المخبث الشیطان الرجیم</w:t>
      </w:r>
      <w:r>
        <w:rPr>
          <w:rFonts w:eastAsia="IRNazanin" w:cs="IRNazanin"/>
          <w:color w:val="111111"/>
          <w:sz w:val="28"/>
          <w:szCs w:val="28"/>
          <w:rtl w:val="true"/>
          <w:lang w:bidi="fa-IR"/>
        </w:rPr>
        <w:t xml:space="preserve">»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الرجل الیسری عند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الیمنی عند الخروج، عکس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لهذا حجّة، غیر أنّ ما ذکره الشیخ و جماعة من الأصحاب حسن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المدار فی الصحراء علی موضع الجلوس </w:t>
      </w:r>
      <w:r>
        <w:rPr>
          <w:rStyle w:val="FootnoteAnchor"/>
          <w:rtl w:val="true"/>
        </w:rPr>
        <w:footnoteReference w:id="2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اختصاص الحکم فی کلام من ذکره بالبنیان، بقرینة الدخول و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التسمیة عند التکشّف للبول و غیره، فإنّ الشیطان یغضّ بصره عنه، کما فی الروایة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 الرجل الیسری و فتح الیمنی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البول علی المشهور</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الغنیة </w:t>
      </w:r>
      <w:r>
        <w:rPr>
          <w:rStyle w:val="FootnoteAnchor"/>
          <w:rtl w:val="true"/>
        </w:rPr>
        <w:footnoteReference w:id="2041"/>
      </w:r>
      <w:r>
        <w:rPr>
          <w:rFonts w:ascii="IRNazanin" w:hAnsi="IRNazanin" w:eastAsia="IRNazanin"/>
          <w:color w:val="111111"/>
          <w:sz w:val="28"/>
          <w:sz w:val="28"/>
          <w:szCs w:val="28"/>
          <w:rtl w:val="true"/>
          <w:lang w:bidi="fa-IR"/>
        </w:rPr>
        <w:t xml:space="preserve">و الوسیلة </w:t>
      </w:r>
      <w:r>
        <w:rPr>
          <w:rStyle w:val="FootnoteAnchor"/>
          <w:rtl w:val="true"/>
        </w:rPr>
        <w:footnoteReference w:id="2042"/>
      </w:r>
      <w:r>
        <w:rPr>
          <w:rFonts w:ascii="IRNazanin" w:hAnsi="IRNazanin" w:eastAsia="IRNazanin"/>
          <w:color w:val="111111"/>
          <w:sz w:val="28"/>
          <w:sz w:val="28"/>
          <w:szCs w:val="28"/>
          <w:rtl w:val="true"/>
          <w:lang w:bidi="fa-IR"/>
        </w:rPr>
        <w:t xml:space="preserve">الوجوب، و هو ظاهر الاستبصار </w:t>
      </w:r>
      <w:r>
        <w:rPr>
          <w:rStyle w:val="FootnoteAnchor"/>
          <w:rtl w:val="true"/>
        </w:rPr>
        <w:footnoteReference w:id="2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لعدم الدلیل، و لظاهر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انقطعت درّة البول فصبّ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کیفیة الاستبراء خلاف، أحوطه ما سیذکره المصنّف فی باب الجنابة من أنّه المسحات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أصحّ ما ورد فیه صحیحة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بال و لم یکن معه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یعصر أصل ذکره إلی طرفه ثلاث عصرات و ینتر طرفه، فان خرج بعد ذلک شی‌ء فلیس من البول و لکنّه من الحبائل</w:t>
      </w:r>
      <w:r>
        <w:rPr>
          <w:rFonts w:eastAsia="IRNazanin" w:cs="IRNazanin"/>
          <w:color w:val="111111"/>
          <w:sz w:val="28"/>
          <w:szCs w:val="28"/>
          <w:rtl w:val="true"/>
          <w:lang w:bidi="fa-IR"/>
        </w:rPr>
        <w:t xml:space="preserve">» </w:t>
      </w:r>
      <w:r>
        <w:rPr>
          <w:rStyle w:val="FootnoteAnchor"/>
          <w:rtl w:val="true"/>
        </w:rPr>
        <w:footnoteReference w:id="2045"/>
      </w:r>
      <w:r>
        <w:rPr>
          <w:rFonts w:ascii="IRNazanin" w:hAnsi="IRNazanin" w:eastAsia="IRNazanin"/>
          <w:color w:val="111111"/>
          <w:sz w:val="28"/>
          <w:sz w:val="28"/>
          <w:szCs w:val="28"/>
          <w:rtl w:val="true"/>
          <w:lang w:bidi="fa-IR"/>
        </w:rPr>
        <w:t>و النتر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فیه جفوة و قوّة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استظهر من الصحیحة أنّ المتنّجس لا ینجّس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التذکرة </w:t>
      </w:r>
      <w:r>
        <w:rPr>
          <w:rStyle w:val="FootnoteAnchor"/>
          <w:rtl w:val="true"/>
        </w:rPr>
        <w:footnoteReference w:id="2047"/>
      </w:r>
      <w:r>
        <w:rPr>
          <w:rFonts w:ascii="IRNazanin" w:hAnsi="IRNazanin" w:eastAsia="IRNazanin"/>
          <w:color w:val="111111"/>
          <w:sz w:val="28"/>
          <w:sz w:val="28"/>
          <w:szCs w:val="28"/>
          <w:rtl w:val="true"/>
          <w:lang w:bidi="fa-IR"/>
        </w:rPr>
        <w:t xml:space="preserve">و الدروس </w:t>
      </w:r>
      <w:r>
        <w:rPr>
          <w:rStyle w:val="FootnoteAnchor"/>
          <w:rtl w:val="true"/>
        </w:rPr>
        <w:footnoteReference w:id="2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التنحنح ثلاثا بعد المسحات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الأکثر اختصاص الاستبراء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مورد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بثبوته للأنثی و إنّها تستبرئ عرضا </w:t>
      </w:r>
      <w:r>
        <w:rPr>
          <w:rStyle w:val="FootnoteAnchor"/>
          <w:rtl w:val="true"/>
        </w:rPr>
        <w:footnoteReference w:id="2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الرجل و المرأة سواء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ینقطع الاستجمار إلّا علی وتر</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رواه عبد الرحمن بن کثیر فی حکایة وضوء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استنجی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حصّن فرجی و أعفّه، و استر عورتی، و حرّمنی علی النار</w:t>
      </w:r>
      <w:r>
        <w:rPr>
          <w:rFonts w:eastAsia="Amiri" w:cs="Amiri" w:ascii="Amiri" w:hAnsi="Amiri"/>
          <w:color w:val="111111"/>
          <w:sz w:val="28"/>
          <w:szCs w:val="28"/>
          <w:rtl w:val="true"/>
          <w:lang w:bidi="ar-SA"/>
        </w:rPr>
        <w:t xml:space="preserve">» </w:t>
      </w:r>
      <w:r>
        <w:rPr>
          <w:rStyle w:val="FootnoteAnchor"/>
          <w:rtl w:val="true"/>
        </w:rPr>
        <w:footnoteReference w:id="2051"/>
      </w:r>
      <w:r>
        <w:rPr>
          <w:rFonts w:ascii="IRNazanin" w:hAnsi="IRNazanin" w:eastAsia="IRNazanin"/>
          <w:color w:val="111111"/>
          <w:sz w:val="28"/>
          <w:sz w:val="28"/>
          <w:szCs w:val="28"/>
          <w:rtl w:val="true"/>
          <w:lang w:bidi="fa-IR"/>
        </w:rPr>
        <w:t>و ما أرسله الصدوق عن النبیّ صلّی اللّٰه علیه و آله و سلّم أنّه إذا استوی جالسا للوضوء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أذهب عنّی القذی و الأذی و اجعلنی من المتطهّرین</w:t>
      </w:r>
      <w:r>
        <w:rPr>
          <w:rFonts w:eastAsia="IRNazanin" w:cs="IRNazanin"/>
          <w:color w:val="111111"/>
          <w:sz w:val="28"/>
          <w:szCs w:val="28"/>
          <w:rtl w:val="true"/>
          <w:lang w:bidi="fa-IR"/>
        </w:rPr>
        <w:t xml:space="preserve">» </w:t>
      </w:r>
      <w:r>
        <w:rPr>
          <w:rStyle w:val="FootnoteAnchor"/>
          <w:rtl w:val="true"/>
        </w:rPr>
        <w:footnoteReference w:id="2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رواه أبو بصیر عن أحدهما علیهما السّلام إذا فرغت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عافانی من البلاء و أماط عنّی الأذی</w:t>
      </w:r>
      <w:r>
        <w:rPr>
          <w:rFonts w:eastAsia="IRNazanin" w:cs="IRNazanin"/>
          <w:color w:val="111111"/>
          <w:sz w:val="28"/>
          <w:szCs w:val="28"/>
          <w:rtl w:val="true"/>
          <w:lang w:bidi="fa-IR"/>
        </w:rPr>
        <w:t xml:space="preserve">»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البدأة فی الاستنجاء بالمقعدة، لموثّقة عمّار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الیمنی عند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التسامح فی مأخذه </w:t>
      </w:r>
      <w:r>
        <w:rPr>
          <w:rStyle w:val="FootnoteAnchor"/>
          <w:rtl w:val="true"/>
        </w:rPr>
        <w:footnoteReference w:id="2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رزقنی لذّته و أبقی قوّته فی جسدی و أخرج عنّی أذاه، یا لها 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أرسل عن النبیّ صلّی اللّٰه علیه و آله و سلّم أنّه إذا دخل الخلاء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الحافظ 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خرج مسح بطنه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أخرج عنّی أذاه و أبقی فیّ قوّته، فیا لها من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القادرون قدرها</w:t>
      </w:r>
      <w:r>
        <w:rPr>
          <w:rFonts w:eastAsia="IRNazanin" w:cs="IRNazanin"/>
          <w:color w:val="111111"/>
          <w:sz w:val="28"/>
          <w:szCs w:val="28"/>
          <w:rtl w:val="true"/>
          <w:lang w:bidi="fa-IR"/>
        </w:rPr>
        <w:t xml:space="preserve">» </w:t>
      </w:r>
      <w:r>
        <w:rPr>
          <w:rStyle w:val="FootnoteAnchor"/>
          <w:rtl w:val="true"/>
        </w:rPr>
        <w:footnoteReference w:id="2057"/>
      </w:r>
      <w:r>
        <w:rPr>
          <w:rFonts w:ascii="IRNazanin" w:hAnsi="IRNazanin" w:eastAsia="IRNazanin"/>
          <w:color w:val="111111"/>
          <w:sz w:val="28"/>
          <w:sz w:val="28"/>
          <w:szCs w:val="28"/>
          <w:rtl w:val="true"/>
          <w:lang w:bidi="fa-IR"/>
        </w:rPr>
        <w:t xml:space="preserve">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معطی قوّتی الماسکة و الدافعة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أیضا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الجلوس فی الشوارع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الخصال بسند معتبر عن أمیر المؤمنین علیه السلام فی جملة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تبل علی المحجّة و لا تتغوّط علیها</w:t>
      </w:r>
      <w:r>
        <w:rPr>
          <w:rFonts w:eastAsia="IRNazanin" w:cs="IRNazanin"/>
          <w:color w:val="111111"/>
          <w:sz w:val="28"/>
          <w:szCs w:val="28"/>
          <w:rtl w:val="true"/>
          <w:lang w:bidi="fa-IR"/>
        </w:rPr>
        <w:t xml:space="preserve">»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عاصم بن حمید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یتوضّأ الغرباء؟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یتّقی شطوط الأنهار، و الطرق النافذة، و تحت الأشجار المثمرة، و مواضع اللعن،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مواضع اللعن؟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الدور</w:t>
      </w:r>
      <w:r>
        <w:rPr>
          <w:rFonts w:eastAsia="IRNazanin" w:cs="IRNazanin"/>
          <w:color w:val="111111"/>
          <w:sz w:val="28"/>
          <w:szCs w:val="28"/>
          <w:rtl w:val="true"/>
          <w:lang w:bidi="fa-IR"/>
        </w:rPr>
        <w:t xml:space="preserve">»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یستفاد کراهة الجلوس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المشارع و تحت الأشجار المثمرة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الروایات عبّر بمساقط الثمار </w:t>
      </w:r>
      <w:r>
        <w:rPr>
          <w:rStyle w:val="FootnoteAnchor"/>
          <w:rtl w:val="true"/>
        </w:rPr>
        <w:footnoteReference w:id="2060"/>
      </w:r>
      <w:r>
        <w:rPr>
          <w:rFonts w:ascii="IRNazanin" w:hAnsi="IRNazanin" w:eastAsia="IRNazanin"/>
          <w:color w:val="111111"/>
          <w:sz w:val="28"/>
          <w:sz w:val="28"/>
          <w:szCs w:val="28"/>
          <w:rtl w:val="true"/>
          <w:lang w:bidi="fa-IR"/>
        </w:rPr>
        <w:t>و فی النبویّ بروایة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شجرة فیها ثمرتها</w:t>
      </w:r>
      <w:r>
        <w:rPr>
          <w:rFonts w:eastAsia="IRNazanin" w:cs="IRNazanin"/>
          <w:color w:val="111111"/>
          <w:sz w:val="28"/>
          <w:szCs w:val="28"/>
          <w:rtl w:val="true"/>
          <w:lang w:bidi="fa-IR"/>
        </w:rPr>
        <w:t xml:space="preserve">» </w:t>
      </w:r>
      <w:r>
        <w:rPr>
          <w:rStyle w:val="FootnoteAnchor"/>
          <w:rtl w:val="true"/>
        </w:rPr>
        <w:footnoteReference w:id="2061"/>
      </w:r>
      <w:r>
        <w:rPr>
          <w:rFonts w:ascii="IRNazanin" w:hAnsi="IRNazanin" w:eastAsia="IRNazanin"/>
          <w:color w:val="111111"/>
          <w:sz w:val="28"/>
          <w:sz w:val="28"/>
          <w:szCs w:val="28"/>
          <w:rtl w:val="true"/>
          <w:lang w:bidi="fa-IR"/>
        </w:rPr>
        <w:t>و ظاهره الاختصاص بما فیه الثمرة بالفعل، و هو أخصّ من الأوّلین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المحکیّ عن العلل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تعالی ملائکة وکّلهم بنبات الأرض من الشجر و النخل، فلیس من شجرة و لا نخلة إلّا و معها ملک من اللّٰه تعالی یحفظها و ما کان فیها، و لو لا أنّ معها من یمنعها لأکلها السباع و هو أمّ الأرض إذا کان فیها ثمرها،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نهی رسول اللّٰه صلّی اللّٰه علیه و آله و سلّم أن یضرب أحد من المسلمین خلاه، تحت شجرة أو نخلة قد أثمرت، لمکان الملائکة الموکّلین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یکون للشجرة </w:t>
      </w:r>
      <w:r>
        <w:rPr>
          <w:rStyle w:val="FootnoteAnchor"/>
          <w:rtl w:val="true"/>
        </w:rPr>
        <w:footnoteReference w:id="2062"/>
      </w:r>
      <w:r>
        <w:rPr>
          <w:rFonts w:ascii="IRNazanin" w:hAnsi="IRNazanin" w:eastAsia="IRNazanin"/>
          <w:color w:val="111111"/>
          <w:sz w:val="28"/>
          <w:sz w:val="28"/>
          <w:szCs w:val="28"/>
          <w:rtl w:val="true"/>
          <w:lang w:bidi="fa-IR"/>
        </w:rPr>
        <w:t>و النخل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أنسا إذا کان فیه حمله، لأنّ الملائکة تحضره</w:t>
      </w:r>
      <w:r>
        <w:rPr>
          <w:rFonts w:eastAsia="IRNazanin" w:cs="IRNazanin"/>
          <w:color w:val="111111"/>
          <w:sz w:val="28"/>
          <w:szCs w:val="28"/>
          <w:rtl w:val="true"/>
          <w:lang w:bidi="fa-IR"/>
        </w:rPr>
        <w:t xml:space="preserve">»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الجمع بین الکلّ لا مانع منه، فلا وجه للتقیید، مع ضعف المقیّد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النزال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شبهها یمکن أن یستفاد حکمه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المنصوص علیه فی تلک الصحیحة </w:t>
      </w:r>
      <w:r>
        <w:rPr>
          <w:rStyle w:val="FootnoteAnchor"/>
          <w:rtl w:val="true"/>
        </w:rPr>
        <w:footnoteReference w:id="2064"/>
      </w:r>
      <w:r>
        <w:rPr>
          <w:rFonts w:ascii="IRNazanin" w:hAnsi="IRNazanin" w:eastAsia="IRNazanin"/>
          <w:color w:val="111111"/>
          <w:sz w:val="28"/>
          <w:sz w:val="28"/>
          <w:szCs w:val="28"/>
          <w:rtl w:val="true"/>
          <w:lang w:bidi="fa-IR"/>
        </w:rPr>
        <w:t xml:space="preserve">بناء علی أنّ تفسیرها فیه بأبواب الدور تمثیل لها، کما یظهر عن جماعة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التصریح به فی مرفوعة الکافی عن مولانا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غلام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حنیفة حین سأله عن أنّه أین یضع الغریب ببلدکم؟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أفنیة المساجد، و شطوط الأنهار، و مساقط الثمار، و منازل النزال، و لا تستقبل القبلة ببول و لا غائط، و ارفع ثوبک وضع حیث شئت</w:t>
      </w:r>
      <w:r>
        <w:rPr>
          <w:rFonts w:eastAsia="IRNazanin" w:cs="IRNazanin"/>
          <w:color w:val="111111"/>
          <w:sz w:val="28"/>
          <w:szCs w:val="28"/>
          <w:rtl w:val="true"/>
          <w:lang w:bidi="fa-IR"/>
        </w:rPr>
        <w:t xml:space="preserve">»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التخلّی علی القبور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استقبال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تستقبل الشمس و لا القمر</w:t>
      </w:r>
      <w:r>
        <w:rPr>
          <w:rFonts w:eastAsia="IRNazanin" w:cs="IRNazanin"/>
          <w:color w:val="111111"/>
          <w:sz w:val="28"/>
          <w:szCs w:val="28"/>
          <w:rtl w:val="true"/>
          <w:lang w:bidi="fa-IR"/>
        </w:rPr>
        <w:t xml:space="preserve">» </w:t>
      </w:r>
      <w:r>
        <w:rPr>
          <w:rStyle w:val="FootnoteAnchor"/>
          <w:rtl w:val="true"/>
        </w:rPr>
        <w:footnoteReference w:id="2067"/>
      </w:r>
      <w:r>
        <w:rPr>
          <w:rFonts w:ascii="IRNazanin" w:hAnsi="IRNazanin" w:eastAsia="IRNazanin"/>
          <w:color w:val="111111"/>
          <w:sz w:val="28"/>
          <w:sz w:val="28"/>
          <w:szCs w:val="28"/>
          <w:rtl w:val="true"/>
          <w:lang w:bidi="fa-IR"/>
        </w:rPr>
        <w:t>و ظاهره الاستقبال بمقادیم البدن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فی روایة السکونی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نهی رسول اللّٰه صلّی اللّٰه علیه و آله و سلّم أن یستقبل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الرجل الشمس و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بفرجه</w:t>
      </w:r>
      <w:r>
        <w:rPr>
          <w:rFonts w:eastAsia="IRNazanin" w:cs="IRNazanin"/>
          <w:color w:val="111111"/>
          <w:sz w:val="28"/>
          <w:szCs w:val="28"/>
          <w:rtl w:val="true"/>
          <w:lang w:bidi="fa-IR"/>
        </w:rPr>
        <w:t xml:space="preserve">)» </w:t>
      </w:r>
      <w:r>
        <w:rPr>
          <w:rStyle w:val="FootnoteAnchor"/>
          <w:rtl w:val="true"/>
        </w:rPr>
        <w:footnoteReference w:id="2068"/>
      </w:r>
      <w:r>
        <w:rPr>
          <w:rFonts w:ascii="IRNazanin" w:hAnsi="IRNazanin" w:eastAsia="IRNazanin"/>
          <w:color w:val="111111"/>
          <w:sz w:val="28"/>
          <w:sz w:val="28"/>
          <w:szCs w:val="28"/>
          <w:rtl w:val="true"/>
          <w:lang w:bidi="fa-IR"/>
        </w:rPr>
        <w:t xml:space="preserve">و علیه فلو انحرف عن القبلة ببدنه و مال طرف إحلیله مقابلا للنیّرین کان مکروها، و لو عکس فالظاهر ثبوت الکراهة أیضا، لأنّ أصل الذکر باق علی الاستقبال، و قد تقدّم فی استقبال القبلة عبارة الموجز و شرحه </w:t>
      </w:r>
      <w:r>
        <w:rPr>
          <w:rStyle w:val="FootnoteAnchor"/>
          <w:rtl w:val="true"/>
        </w:rPr>
        <w:footnoteReference w:id="2069"/>
      </w:r>
      <w:r>
        <w:rPr>
          <w:rFonts w:ascii="IRNazanin" w:hAnsi="IRNazanin" w:eastAsia="IRNazanin"/>
          <w:color w:val="111111"/>
          <w:sz w:val="28"/>
          <w:sz w:val="28"/>
          <w:szCs w:val="28"/>
          <w:rtl w:val="true"/>
          <w:lang w:bidi="fa-IR"/>
        </w:rPr>
        <w:t>فصدق الاستقبال بالفرج، مع أنّ المدبر حینئذ أیضا مستقبل لهما، إلّا أن یخصّ الحکم بمخرج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الاستقبال و إن صدق علی مجرّد مقابلة الجهة، إلّا أنّ الظاهر إرادة استقبال جرم النیّرین من غیر حائل، کما یدلّ علیه حسنة الکاهلی عن أبی عبد اللّٰه علیه 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یبولنّ أحدکم و فرجه باد للقمر یستقبل به</w:t>
      </w:r>
      <w:r>
        <w:rPr>
          <w:rFonts w:eastAsia="IRNazanin" w:cs="IRNazanin"/>
          <w:color w:val="111111"/>
          <w:sz w:val="28"/>
          <w:szCs w:val="28"/>
          <w:rtl w:val="true"/>
          <w:lang w:bidi="fa-IR"/>
        </w:rPr>
        <w:t xml:space="preserve">» </w:t>
      </w:r>
      <w:r>
        <w:rPr>
          <w:rStyle w:val="FootnoteAnchor"/>
          <w:rtl w:val="true"/>
        </w:rPr>
        <w:footnoteReference w:id="2070"/>
      </w:r>
      <w:r>
        <w:rPr>
          <w:rFonts w:ascii="IRNazanin" w:hAnsi="IRNazanin" w:eastAsia="IRNazanin"/>
          <w:color w:val="111111"/>
          <w:sz w:val="28"/>
          <w:sz w:val="28"/>
          <w:szCs w:val="28"/>
          <w:rtl w:val="true"/>
          <w:lang w:bidi="fa-IR"/>
        </w:rPr>
        <w:t>و فی حدیث المناهی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أن یبول الرجل و فرجه باد للشمس أو للقمر</w:t>
      </w:r>
      <w:r>
        <w:rPr>
          <w:rFonts w:eastAsia="IRNazanin" w:cs="IRNazanin"/>
          <w:color w:val="111111"/>
          <w:sz w:val="28"/>
          <w:szCs w:val="28"/>
          <w:rtl w:val="true"/>
          <w:lang w:bidi="fa-IR"/>
        </w:rPr>
        <w:t xml:space="preserve">»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عدا الأوّل من الأخبار مختصّ بالبول، و ظاهر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التعمیم، و فی مرسلة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تستقبل الهلال و لا تستدبره</w:t>
      </w:r>
      <w:r>
        <w:rPr>
          <w:rFonts w:eastAsia="IRNazanin" w:cs="IRNazanin"/>
          <w:color w:val="111111"/>
          <w:sz w:val="28"/>
          <w:szCs w:val="28"/>
          <w:rtl w:val="true"/>
          <w:lang w:bidi="fa-IR"/>
        </w:rPr>
        <w:t xml:space="preserve">» </w:t>
      </w:r>
      <w:r>
        <w:rPr>
          <w:rStyle w:val="FootnoteAnchor"/>
          <w:rtl w:val="true"/>
        </w:rPr>
        <w:footnoteReference w:id="2072"/>
      </w:r>
      <w:r>
        <w:rPr>
          <w:rFonts w:ascii="IRNazanin" w:hAnsi="IRNazanin" w:eastAsia="IRNazanin"/>
          <w:color w:val="111111"/>
          <w:sz w:val="28"/>
          <w:sz w:val="28"/>
          <w:szCs w:val="28"/>
          <w:rtl w:val="true"/>
          <w:lang w:bidi="fa-IR"/>
        </w:rPr>
        <w:t>و عن نهایة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بعدم کراهة الاستدبار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بالبول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عبد الحمید المسئول فیها عن حدّ الغائط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تستقبل الریح و لا تستدبرها</w:t>
      </w:r>
      <w:r>
        <w:rPr>
          <w:rFonts w:eastAsia="IRNazanin" w:cs="IRNazanin"/>
          <w:color w:val="111111"/>
          <w:sz w:val="28"/>
          <w:szCs w:val="28"/>
          <w:rtl w:val="true"/>
          <w:lang w:bidi="fa-IR"/>
        </w:rPr>
        <w:t xml:space="preserve">» </w:t>
      </w:r>
      <w:r>
        <w:rPr>
          <w:rStyle w:val="FootnoteAnchor"/>
          <w:rtl w:val="true"/>
        </w:rPr>
        <w:footnoteReference w:id="2074"/>
      </w:r>
      <w:r>
        <w:rPr>
          <w:rFonts w:ascii="IRNazanin" w:hAnsi="IRNazanin" w:eastAsia="IRNazanin"/>
          <w:color w:val="111111"/>
          <w:sz w:val="28"/>
          <w:sz w:val="28"/>
          <w:szCs w:val="28"/>
          <w:rtl w:val="true"/>
          <w:lang w:bidi="fa-IR"/>
        </w:rPr>
        <w:t>و صریحها شمول الاستدبار و عدم الاختصاص بالبول، بل الاختصاص بالغائط، إلّا إذا أرید من الغائط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المسئول عن حدّه ما أرید من قوله جٰاءَ أَحَدٌ مِنْکُمْ مِنَ الْغٰائِطِ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وجه الکراهة عند من خصّه بالاستقبال و البول ما عن الخصال بسنده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بال أحدکم فلا یطمحنّ ببوله فی الهواء و لا یستقبل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ببوله</w:t>
      </w:r>
      <w:r>
        <w:rPr>
          <w:rFonts w:eastAsia="IRNazanin" w:cs="IRNazanin"/>
          <w:color w:val="111111"/>
          <w:sz w:val="28"/>
          <w:szCs w:val="28"/>
          <w:rtl w:val="true"/>
          <w:lang w:bidi="fa-IR"/>
        </w:rPr>
        <w:t xml:space="preserve">] </w:t>
      </w:r>
      <w:r>
        <w:rPr>
          <w:rStyle w:val="FootnoteAnchor"/>
          <w:rtl w:val="true"/>
        </w:rPr>
        <w:footnoteReference w:id="2076"/>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Style w:val="FootnoteAnchor"/>
          <w:rtl w:val="true"/>
        </w:rPr>
        <w:footnoteReference w:id="2077"/>
      </w:r>
      <w:r>
        <w:rPr>
          <w:rFonts w:ascii="IRNazanin" w:hAnsi="IRNazanin" w:eastAsia="IRNazanin"/>
          <w:color w:val="111111"/>
          <w:sz w:val="28"/>
          <w:sz w:val="28"/>
          <w:szCs w:val="28"/>
          <w:rtl w:val="true"/>
          <w:lang w:bidi="fa-IR"/>
        </w:rPr>
        <w:t xml:space="preserve">و أنّ الاستقبال مظنّة ردّ البول إلیه، فیکون مستفادا من وجه 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فی الأرض الصلبة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المنصوص علیه فی روایة ابن مسکان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أشدّ الناس توقّیا للبول حتّی أنّه کان إذا أراد البول عمد إلی مکان مرتفع من الأرض أو مکان یکون فیه التراب الکثیر، کراهة أن ینتضح علیه البول</w:t>
      </w:r>
      <w:r>
        <w:rPr>
          <w:rFonts w:eastAsia="IRNazanin" w:cs="IRNazanin"/>
          <w:color w:val="111111"/>
          <w:sz w:val="28"/>
          <w:szCs w:val="28"/>
          <w:rtl w:val="true"/>
          <w:lang w:bidi="fa-IR"/>
        </w:rPr>
        <w:t xml:space="preserve">» </w:t>
      </w:r>
      <w:r>
        <w:rPr>
          <w:rStyle w:val="FootnoteAnchor"/>
          <w:rtl w:val="true"/>
        </w:rPr>
        <w:footnoteReference w:id="2078"/>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فقه الرجل أن یرتاد موضعا لبوله</w:t>
      </w:r>
      <w:r>
        <w:rPr>
          <w:rFonts w:eastAsia="IRNazanin" w:cs="IRNazanin"/>
          <w:color w:val="111111"/>
          <w:sz w:val="28"/>
          <w:szCs w:val="28"/>
          <w:rtl w:val="true"/>
          <w:lang w:bidi="fa-IR"/>
        </w:rPr>
        <w:t xml:space="preserve">» </w:t>
      </w:r>
      <w:r>
        <w:rPr>
          <w:rStyle w:val="FootnoteAnchor"/>
          <w:rtl w:val="true"/>
        </w:rPr>
        <w:footnoteReference w:id="2079"/>
      </w:r>
      <w:r>
        <w:rPr>
          <w:rFonts w:ascii="IRNazanin" w:hAnsi="IRNazanin" w:eastAsia="IRNazanin"/>
          <w:color w:val="111111"/>
          <w:sz w:val="28"/>
          <w:sz w:val="28"/>
          <w:szCs w:val="28"/>
          <w:rtl w:val="true"/>
          <w:lang w:bidi="fa-IR"/>
        </w:rPr>
        <w:t>و ظاهر الروایة ارتفاع الکراهة بعلوّ مکان الرجل عن مصبّ البول، بل بکلّ علاج یؤمن معه ردّ البول</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البول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ثقوب الحیوان و فی الماء جاریا،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منه کراهة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یحمل روایة عنبسة عن البول فی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إذا کان الماء جاریا</w:t>
      </w:r>
      <w:r>
        <w:rPr>
          <w:rFonts w:eastAsia="IRNazanin" w:cs="IRNazanin"/>
          <w:color w:val="111111"/>
          <w:sz w:val="28"/>
          <w:szCs w:val="28"/>
          <w:rtl w:val="true"/>
          <w:lang w:bidi="fa-IR"/>
        </w:rPr>
        <w:t xml:space="preserve">» </w:t>
      </w:r>
      <w:r>
        <w:rPr>
          <w:rStyle w:val="FootnoteAnchor"/>
          <w:rtl w:val="true"/>
        </w:rPr>
        <w:footnoteReference w:id="2080"/>
      </w:r>
      <w:r>
        <w:rPr>
          <w:rFonts w:ascii="IRNazanin" w:hAnsi="IRNazanin" w:eastAsia="IRNazanin"/>
          <w:color w:val="111111"/>
          <w:sz w:val="28"/>
          <w:sz w:val="28"/>
          <w:szCs w:val="28"/>
          <w:rtl w:val="true"/>
          <w:lang w:bidi="fa-IR"/>
        </w:rPr>
        <w:t xml:space="preserve">و صحیحة ابن مسلم </w:t>
      </w:r>
      <w:r>
        <w:rPr>
          <w:rStyle w:val="FootnoteAnchor"/>
          <w:rtl w:val="true"/>
        </w:rPr>
        <w:footnoteReference w:id="20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بأن یبول الرجل فی الماء الجاری، و کره أن یبول فی الماء الراکد</w:t>
      </w:r>
      <w:r>
        <w:rPr>
          <w:rFonts w:eastAsia="IRNazanin" w:cs="IRNazanin"/>
          <w:color w:val="111111"/>
          <w:sz w:val="28"/>
          <w:szCs w:val="28"/>
          <w:rtl w:val="true"/>
          <w:lang w:bidi="fa-IR"/>
        </w:rPr>
        <w:t xml:space="preserve">» </w:t>
      </w:r>
      <w:r>
        <w:rPr>
          <w:rStyle w:val="FootnoteAnchor"/>
          <w:rtl w:val="true"/>
        </w:rPr>
        <w:footnoteReference w:id="2082"/>
      </w:r>
      <w:r>
        <w:rPr>
          <w:rFonts w:ascii="Amiri" w:hAnsi="Amiri" w:eastAsia="Amiri" w:cs="Amiri"/>
          <w:color w:val="111111"/>
          <w:sz w:val="28"/>
          <w:sz w:val="28"/>
          <w:szCs w:val="28"/>
          <w:rtl w:val="true"/>
          <w:lang w:bidi="ar-SA"/>
        </w:rPr>
        <w:t>بقرینة مرسلة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نهی رسول اللّٰه صلّی اللّٰه علیه و آله و سلّم </w:t>
      </w:r>
      <w:r>
        <w:rPr>
          <w:rStyle w:val="FootnoteAnchor"/>
          <w:rtl w:val="true"/>
        </w:rPr>
        <w:footnoteReference w:id="2083"/>
      </w:r>
      <w:r>
        <w:rPr>
          <w:rFonts w:ascii="IRNazanin" w:hAnsi="IRNazanin" w:eastAsia="IRNazanin"/>
          <w:color w:val="111111"/>
          <w:sz w:val="28"/>
          <w:sz w:val="28"/>
          <w:szCs w:val="28"/>
          <w:rtl w:val="true"/>
          <w:lang w:bidi="fa-IR"/>
        </w:rPr>
        <w:t>أن یبول الرجل فی الماء الجاری إلّا من ضرورة،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للماء أهلا</w:t>
      </w:r>
      <w:r>
        <w:rPr>
          <w:rFonts w:eastAsia="IRNazanin" w:cs="IRNazanin"/>
          <w:color w:val="111111"/>
          <w:sz w:val="28"/>
          <w:szCs w:val="28"/>
          <w:rtl w:val="true"/>
          <w:lang w:bidi="fa-IR"/>
        </w:rPr>
        <w:t xml:space="preserve">» </w:t>
      </w:r>
      <w:r>
        <w:rPr>
          <w:rStyle w:val="FootnoteAnchor"/>
          <w:rtl w:val="true"/>
        </w:rPr>
        <w:footnoteReference w:id="2084"/>
      </w:r>
      <w:r>
        <w:rPr>
          <w:rFonts w:ascii="IRNazanin" w:hAnsi="IRNazanin" w:eastAsia="IRNazanin"/>
          <w:color w:val="111111"/>
          <w:sz w:val="28"/>
          <w:sz w:val="28"/>
          <w:szCs w:val="28"/>
          <w:rtl w:val="true"/>
          <w:lang w:bidi="fa-IR"/>
        </w:rPr>
        <w:t>و عن الخصال بسنده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یبولنّ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Style w:val="FootnoteAnchor"/>
          <w:rtl w:val="true"/>
        </w:rPr>
        <w:footnoteReference w:id="2085"/>
      </w:r>
      <w:r>
        <w:rPr>
          <w:rFonts w:ascii="IRNazanin" w:hAnsi="IRNazanin" w:eastAsia="IRNazanin"/>
          <w:color w:val="111111"/>
          <w:sz w:val="28"/>
          <w:sz w:val="28"/>
          <w:szCs w:val="28"/>
          <w:rtl w:val="true"/>
          <w:lang w:bidi="fa-IR"/>
        </w:rPr>
        <w:t xml:space="preserve">من سطح فی الهواء و لا یبولنّ فی ماء جار </w:t>
      </w:r>
      <w:r>
        <w:rPr>
          <w:rStyle w:val="FootnoteAnchor"/>
          <w:rtl w:val="true"/>
        </w:rPr>
        <w:footnoteReference w:id="2086"/>
      </w:r>
      <w:r>
        <w:rPr>
          <w:rFonts w:ascii="IRNazanin" w:hAnsi="IRNazanin" w:eastAsia="IRNazanin"/>
          <w:color w:val="111111"/>
          <w:sz w:val="28"/>
          <w:sz w:val="28"/>
          <w:szCs w:val="28"/>
          <w:rtl w:val="true"/>
          <w:lang w:bidi="fa-IR"/>
        </w:rPr>
        <w:t>فإن فعل ذلک فأصابه شی‌ء فلا یلومنّ إلّا نفسه، فإنّ للماء أهلا و للهواء أهلا</w:t>
      </w:r>
      <w:r>
        <w:rPr>
          <w:rFonts w:eastAsia="IRNazanin" w:cs="IRNazanin"/>
          <w:color w:val="111111"/>
          <w:sz w:val="28"/>
          <w:szCs w:val="28"/>
          <w:rtl w:val="true"/>
          <w:lang w:bidi="fa-IR"/>
        </w:rPr>
        <w:t xml:space="preserve">» </w:t>
      </w:r>
      <w:r>
        <w:rPr>
          <w:rStyle w:val="FootnoteAnchor"/>
          <w:rtl w:val="true"/>
        </w:rPr>
        <w:footnoteReference w:id="2087"/>
      </w:r>
      <w:r>
        <w:rPr>
          <w:rFonts w:ascii="IRNazanin" w:hAnsi="IRNazanin" w:eastAsia="IRNazanin"/>
          <w:color w:val="111111"/>
          <w:sz w:val="28"/>
          <w:sz w:val="28"/>
          <w:szCs w:val="28"/>
          <w:rtl w:val="true"/>
          <w:lang w:bidi="fa-IR"/>
        </w:rPr>
        <w:t>و فی مرسلة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البول فی الماء الراکد یورث النسیان</w:t>
      </w:r>
      <w:r>
        <w:rPr>
          <w:rFonts w:eastAsia="IRNazanin" w:cs="IRNazanin"/>
          <w:color w:val="111111"/>
          <w:sz w:val="28"/>
          <w:szCs w:val="28"/>
          <w:rtl w:val="true"/>
          <w:lang w:bidi="fa-IR"/>
        </w:rPr>
        <w:t xml:space="preserve">»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مورد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کعبارة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إلّا أنّ التعلیل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للماء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یعمّ الحکم للغائط بالفحوی، و لعلّه منشأ إلحاق الأصحاب، کما حکی عنهم عموما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الذکر بالیمین عن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مطمحا به فی الهواء</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الکون فی بیت الخلاء، و استدلّ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علیه بما أرسله فی الفقیه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علیه السلام الخلاء فوجد لقمة خبز فی القذر، فأخذها و غسلها و دفعها إلی مملوک کان معه،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معک لآکلها إذا خرجت، فلمّا خرج علیه السلام قال للملوک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اللقمة؟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أکلتها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ما استقرّت فی جوف أحد إلّا وجبت له الجنّة، فاذهب فأنت حرّ، فإنّی أکره أن أستخدم رجلا من أهل الجنّة</w:t>
      </w:r>
      <w:r>
        <w:rPr>
          <w:rFonts w:eastAsia="IRNazanin" w:cs="IRNazanin"/>
          <w:color w:val="111111"/>
          <w:sz w:val="28"/>
          <w:szCs w:val="28"/>
          <w:rtl w:val="true"/>
          <w:lang w:bidi="fa-IR"/>
        </w:rPr>
        <w:t xml:space="preserve">»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العیون روایة هذه القصّة بثلاثة أسانید عن الرضا، عن آبائه، عن الحسین بن علیّ علیهم السلام </w:t>
      </w:r>
      <w:r>
        <w:rPr>
          <w:rStyle w:val="FootnoteAnchor"/>
          <w:rtl w:val="true"/>
        </w:rPr>
        <w:footnoteReference w:id="2091"/>
      </w:r>
      <w:r>
        <w:rPr>
          <w:rFonts w:ascii="IRNazanin" w:hAnsi="IRNazanin" w:eastAsia="IRNazanin"/>
          <w:color w:val="111111"/>
          <w:sz w:val="28"/>
          <w:sz w:val="28"/>
          <w:szCs w:val="28"/>
          <w:rtl w:val="true"/>
          <w:lang w:bidi="fa-IR"/>
        </w:rPr>
        <w:t>و لعلّ القصّة اتّفقت منهما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دلالة تأخیر الأکل فیها علی أنّ المانع عن المبادرة و تعجیل إدراک هذه المثوبة هو کراهة الأکل فی بیت الخلاء، و کونه علیه السلام فی أثناء التخلّی بحیث لا یمکن الخروج و الأکل ثمّ العود، و کراهة استصحاب الخبز معه حتّی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بالخبز، و لعلّ لخصوصیّته مدخلا فی کراهة الأکل، فلا یتعدّی إلی کلّ مأکول فضلا عن الشرب، إلّا أنّ فتوی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یشکل مع علم المستند و ظهور عدم دلالته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لمضمرة التهذیب المرسلة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السواک فی الخلاء یوجب البخر</w:t>
      </w:r>
      <w:r>
        <w:rPr>
          <w:rFonts w:eastAsia="IRNazanin" w:cs="IRNazanin"/>
          <w:color w:val="111111"/>
          <w:sz w:val="28"/>
          <w:szCs w:val="28"/>
          <w:rtl w:val="true"/>
          <w:lang w:bidi="fa-IR"/>
        </w:rPr>
        <w:t xml:space="preserve">»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الاستنجاء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لنهی النبیّ صلّی اللّٰه علیه و آله و سلّم عنه فی مرسلة یونس </w:t>
      </w:r>
      <w:r>
        <w:rPr>
          <w:rStyle w:val="FootnoteAnchor"/>
          <w:rtl w:val="true"/>
        </w:rPr>
        <w:footnoteReference w:id="2093"/>
      </w:r>
      <w:r>
        <w:rPr>
          <w:rFonts w:ascii="IRNazanin" w:hAnsi="IRNazanin" w:eastAsia="IRNazanin"/>
          <w:color w:val="111111"/>
          <w:sz w:val="28"/>
          <w:sz w:val="28"/>
          <w:szCs w:val="28"/>
          <w:rtl w:val="true"/>
          <w:lang w:bidi="fa-IR"/>
        </w:rPr>
        <w:t xml:space="preserve">و فی روایة السکونی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الاستنجاء بالیمین من الجفاء</w:t>
      </w:r>
      <w:r>
        <w:rPr>
          <w:rFonts w:eastAsia="IRNazanin" w:cs="IRNazanin"/>
          <w:color w:val="111111"/>
          <w:sz w:val="28"/>
          <w:szCs w:val="28"/>
          <w:rtl w:val="true"/>
          <w:lang w:bidi="fa-IR"/>
        </w:rPr>
        <w:t xml:space="preserve">» </w:t>
      </w:r>
      <w:r>
        <w:rPr>
          <w:rStyle w:val="FootnoteAnchor"/>
          <w:rtl w:val="true"/>
        </w:rPr>
        <w:footnoteReference w:id="2094"/>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أنّه لا بأس إذا کانت الیسری معتلّة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الاستنجاء من الغائط أو البول إذا لم یکن بالصبّ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بالیسار و فیها خاتم علیه اسم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لروایة أبی بصیر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نقش علی خاتمه اسم اللّٰه، فلیحوّله من الید الّتی یستنجی بها فی المتوضّإ</w:t>
      </w:r>
      <w:r>
        <w:rPr>
          <w:rFonts w:eastAsia="IRNazanin" w:cs="IRNazanin"/>
          <w:color w:val="111111"/>
          <w:sz w:val="28"/>
          <w:szCs w:val="28"/>
          <w:rtl w:val="true"/>
          <w:lang w:bidi="fa-IR"/>
        </w:rPr>
        <w:t xml:space="preserve">». </w:t>
      </w:r>
      <w:r>
        <w:rPr>
          <w:rStyle w:val="FootnoteAnchor"/>
          <w:rtl w:val="true"/>
        </w:rPr>
        <w:footnoteReference w:id="2096"/>
      </w:r>
    </w:p>
    <w:p>
      <w:pPr>
        <w:pStyle w:val="BookText"/>
        <w:rPr/>
      </w:pPr>
      <w:r>
        <w:rPr>
          <w:rFonts w:ascii="IRNazanin" w:hAnsi="IRNazanin" w:eastAsia="IRNazanin"/>
          <w:color w:val="111111"/>
          <w:sz w:val="28"/>
          <w:sz w:val="28"/>
          <w:szCs w:val="28"/>
          <w:rtl w:val="true"/>
          <w:lang w:bidi="fa-IR"/>
        </w:rPr>
        <w:t>و روایة الصیرفی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یستنجی و خاتمه فی إصبعه و نقشه لا إله إلّا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ذلک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رسول اللّٰه صلّی اللّٰه علیه و آله و سلّم و کلّ واحد من آبائک علیهم السلام یفعل ذلک و خاتمه فی إصبعه؟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أولئک کانوا یتختّمون فی الید الیمنی، فاتّقوا اللّٰه و انظروا لأنفسکم</w:t>
      </w:r>
      <w:r>
        <w:rPr>
          <w:rFonts w:eastAsia="IRNazanin" w:cs="IRNazanin"/>
          <w:color w:val="111111"/>
          <w:sz w:val="28"/>
          <w:szCs w:val="28"/>
          <w:rtl w:val="true"/>
          <w:lang w:bidi="fa-IR"/>
        </w:rPr>
        <w:t xml:space="preserve">»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وهب بن وهب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نقش خاتم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یساره یستنجی بها</w:t>
      </w:r>
      <w:r>
        <w:rPr>
          <w:rFonts w:eastAsia="IRNazanin" w:cs="IRNazanin"/>
          <w:color w:val="111111"/>
          <w:sz w:val="28"/>
          <w:szCs w:val="28"/>
          <w:rtl w:val="true"/>
          <w:lang w:bidi="fa-IR"/>
        </w:rPr>
        <w:t xml:space="preserve">» </w:t>
      </w:r>
      <w:r>
        <w:rPr>
          <w:rStyle w:val="FootnoteAnchor"/>
          <w:rtl w:val="true"/>
        </w:rPr>
        <w:footnoteReference w:id="2098"/>
      </w:r>
      <w:r>
        <w:rPr>
          <w:rFonts w:ascii="IRNazanin" w:hAnsi="IRNazanin" w:eastAsia="IRNazanin"/>
          <w:color w:val="111111"/>
          <w:sz w:val="28"/>
          <w:sz w:val="28"/>
          <w:szCs w:val="28"/>
          <w:rtl w:val="true"/>
          <w:lang w:bidi="fa-IR"/>
        </w:rPr>
        <w:t>لکن وهب عامّی خبیث، بل من أکذب البریة، مع إمکان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Style w:val="FootnoteAnchor"/>
          <w:rtl w:val="true"/>
        </w:rPr>
        <w:footnoteReference w:id="2099"/>
      </w:r>
      <w:r>
        <w:rPr>
          <w:rFonts w:ascii="IRNazanin" w:hAnsi="IRNazanin" w:eastAsia="IRNazanin"/>
          <w:color w:val="111111"/>
          <w:sz w:val="28"/>
          <w:sz w:val="28"/>
          <w:szCs w:val="28"/>
          <w:rtl w:val="true"/>
          <w:lang w:bidi="fa-IR"/>
        </w:rPr>
        <w:t>و إن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علی نزعه عند الاستنجاء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الظاهر إنّ الکراهة إنّما هی مع الأمن من التلویث و إلّا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ظاهر خبر الصیرفی عدم کراهة استصحاب الخاتم المذکور، لإطباق النبیّ و الأئمة صلّی اللّٰه علیه و علیهم علی المداومة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فی غیر واحد من الأخبار کراهة استصحابه و لو مستورا غیر مستعمل فی موضعه، کروایة أبان بن عثمان، عن أبی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یرید الخلاء و علیه خاتم فیه اسم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اسم محمّد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ظاهر بعضها الحرمة کروایة أبی أیّوب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الخلاء و فی یدی خاتم فیه اسم من أسماء اللّٰه تعالی؟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لا تجامع فیه</w:t>
      </w:r>
      <w:r>
        <w:rPr>
          <w:rFonts w:eastAsia="IRNazanin" w:cs="IRNazanin"/>
          <w:color w:val="111111"/>
          <w:sz w:val="28"/>
          <w:szCs w:val="28"/>
          <w:rtl w:val="true"/>
          <w:lang w:bidi="fa-IR"/>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قرب الإسناد بسنده، عن علیّ بن جعفر، عن أخیه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یجامع و یدخل الکنیف و علیه الخاتم فیه ذکر اللّٰه أو شی‌ء من القرآن، أ یصلح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 الجنب درهما و لا دینارا علیه اسم اللّٰه تعالی، و لا یستنجی و علیه خاتم فیه اسم اللّٰه تعالی، و لا یجامع و هو علیه، و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یدخل المخرج و هو علیه</w:t>
      </w:r>
      <w:r>
        <w:rPr>
          <w:rFonts w:eastAsia="IRNazanin" w:cs="IRNazanin"/>
          <w:color w:val="111111"/>
          <w:sz w:val="28"/>
          <w:szCs w:val="28"/>
          <w:rtl w:val="true"/>
          <w:lang w:bidi="fa-IR"/>
        </w:rPr>
        <w:t xml:space="preserve">»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لذلک عبّر الصدوق فی الفقیه بقوله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للرجل أن یدخل الخلاء و معه خاتم علیه اسم اللّٰه، أو مصحف فیه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دخل و علیه خاتم علیه اسم اللّٰه تعالی فلیحوّله من یده الیسری إذا أراد الاستنجاء</w:t>
      </w:r>
      <w:r>
        <w:rPr>
          <w:rFonts w:eastAsia="IRNazanin" w:cs="IRNazanin"/>
          <w:color w:val="111111"/>
          <w:sz w:val="28"/>
          <w:szCs w:val="28"/>
          <w:rtl w:val="true"/>
          <w:lang w:bidi="fa-IR"/>
        </w:rPr>
        <w:t xml:space="preserve">» </w:t>
      </w:r>
      <w:r>
        <w:rPr>
          <w:rStyle w:val="FootnoteAnchor"/>
          <w:rtl w:val="true"/>
        </w:rPr>
        <w:footnoteReference w:id="2105"/>
      </w:r>
      <w:r>
        <w:rPr>
          <w:rFonts w:ascii="IRNazanin" w:hAnsi="IRNazanin" w:eastAsia="IRNazanin"/>
          <w:color w:val="111111"/>
          <w:sz w:val="28"/>
          <w:sz w:val="28"/>
          <w:szCs w:val="28"/>
          <w:rtl w:val="true"/>
          <w:lang w:bidi="fa-IR"/>
        </w:rPr>
        <w:t>ظاهر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الجمع بین هذه الأخبار و بین الخبر المتقدّم و لا یحضرنی الآن وجه جمع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الأخبار اختصاص الکراهة بکون الخاتم فی الید، فلا یظهر من الأخبار کراهة مطلق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عبّرة فی الفقیه و تبعه غیره </w:t>
      </w:r>
      <w:r>
        <w:rPr>
          <w:rStyle w:val="FootnoteAnchor"/>
          <w:rtl w:val="true"/>
        </w:rPr>
        <w:footnoteReference w:id="2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ظاهرها کراهة کونه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نسب إلی المشهور </w:t>
      </w:r>
      <w:r>
        <w:rPr>
          <w:rStyle w:val="FootnoteAnchor"/>
          <w:rtl w:val="true"/>
        </w:rPr>
        <w:footnoteReference w:id="2107"/>
      </w:r>
      <w:r>
        <w:rPr>
          <w:rFonts w:ascii="IRNazanin" w:hAnsi="IRNazanin" w:eastAsia="IRNazanin"/>
          <w:color w:val="111111"/>
          <w:sz w:val="28"/>
          <w:sz w:val="28"/>
          <w:szCs w:val="28"/>
          <w:rtl w:val="true"/>
          <w:lang w:bidi="fa-IR"/>
        </w:rPr>
        <w:t>إلحاق اسم الأنبیاء و الأئمة صلوات اللّٰه علیهم باسم اللّٰه، و هو حسن من حیث الاعتبار، إلّا أنّه لا دلیل علیه من النصّ، بل روایة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Style w:val="FootnoteAnchor"/>
          <w:rtl w:val="true"/>
        </w:rPr>
        <w:footnoteReference w:id="2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نفی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علی ما إذا کتب الاسم لا بقصد النبی صلّی اللّٰه علیه و آله و سلّم بعید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روایة 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 اللّٰه علیه و آله و سلّم أن یجیب الرجل آخر و هو علی الغائط أو یکلّمه حتّی یفرغ</w:t>
      </w:r>
      <w:r>
        <w:rPr>
          <w:rFonts w:eastAsia="IRNazanin" w:cs="IRNazanin"/>
          <w:color w:val="111111"/>
          <w:sz w:val="28"/>
          <w:szCs w:val="28"/>
          <w:rtl w:val="true"/>
          <w:lang w:bidi="fa-IR"/>
        </w:rPr>
        <w:t xml:space="preserve">» </w:t>
      </w:r>
      <w:r>
        <w:rPr>
          <w:rStyle w:val="FootnoteAnchor"/>
          <w:rtl w:val="true"/>
        </w:rPr>
        <w:footnoteReference w:id="2109"/>
      </w:r>
      <w:r>
        <w:rPr>
          <w:rFonts w:ascii="IRNazanin" w:hAnsi="IRNazanin" w:eastAsia="IRNazanin"/>
          <w:color w:val="111111"/>
          <w:sz w:val="28"/>
          <w:sz w:val="28"/>
          <w:szCs w:val="28"/>
          <w:rtl w:val="true"/>
          <w:lang w:bidi="fa-IR"/>
        </w:rPr>
        <w:t>و بظاهر النهی عبّر الصدوق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الکلام فی الخلاء،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لنهی النبیّ صلّی اللّٰه علیه و آله و سلّم عن ذلک</w:t>
      </w:r>
      <w:r>
        <w:rPr>
          <w:rFonts w:eastAsia="Amiri" w:cs="Amiri" w:ascii="Amiri" w:hAnsi="Amiri"/>
          <w:color w:val="111111"/>
          <w:sz w:val="28"/>
          <w:szCs w:val="28"/>
          <w:rtl w:val="true"/>
          <w:lang w:bidi="ar-SA"/>
        </w:rPr>
        <w:t xml:space="preserve">» </w:t>
      </w:r>
      <w:r>
        <w:rPr>
          <w:rStyle w:val="FootnoteAnchor"/>
          <w:rtl w:val="true"/>
        </w:rPr>
        <w:footnoteReference w:id="2110"/>
      </w:r>
      <w:r>
        <w:rPr>
          <w:rFonts w:ascii="IRNazanin" w:hAnsi="IRNazanin" w:eastAsia="IRNazanin"/>
          <w:color w:val="111111"/>
          <w:sz w:val="28"/>
          <w:sz w:val="28"/>
          <w:szCs w:val="28"/>
          <w:rtl w:val="true"/>
          <w:lang w:bidi="fa-IR"/>
        </w:rPr>
        <w:t>و لکنّ الظاهر إرادته الکراهة، و علیها یحمل النهی فی الخبر أیضا، کما یرشد إلیه التعلیل فی روایة أبی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تتکلّم علی الخلاء، فإنّه من تکلّم علی الخلاء لم تقض له حاجة</w:t>
      </w:r>
      <w:r>
        <w:rPr>
          <w:rFonts w:eastAsia="IRNazanin" w:cs="IRNazanin"/>
          <w:color w:val="111111"/>
          <w:sz w:val="28"/>
          <w:szCs w:val="28"/>
          <w:rtl w:val="true"/>
          <w:lang w:bidi="fa-IR"/>
        </w:rPr>
        <w:t xml:space="preserve">» </w:t>
      </w:r>
      <w:r>
        <w:rPr>
          <w:rStyle w:val="FootnoteAnchor"/>
          <w:rtl w:val="true"/>
        </w:rPr>
        <w:footnoteReference w:id="2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تکلّمه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بذکر اللّٰه تعالی</w:t>
      </w:r>
      <w:r>
        <w:rPr>
          <w:rFonts w:eastAsia="Amiri" w:cs="Amiri" w:ascii="Amiri" w:hAnsi="Amiri"/>
          <w:color w:val="111111"/>
          <w:sz w:val="28"/>
          <w:szCs w:val="28"/>
          <w:rtl w:val="true"/>
          <w:lang w:bidi="ar-SA"/>
        </w:rPr>
        <w:t xml:space="preserve">) </w:t>
      </w:r>
      <w:r>
        <w:rPr>
          <w:rStyle w:val="FootnoteAnchor"/>
          <w:rtl w:val="true"/>
        </w:rPr>
        <w:footnoteReference w:id="2112"/>
      </w:r>
      <w:r>
        <w:rPr>
          <w:rFonts w:ascii="Amiri" w:hAnsi="Amiri" w:eastAsia="Amiri" w:cs="Amiri"/>
          <w:color w:val="111111"/>
          <w:sz w:val="28"/>
          <w:sz w:val="28"/>
          <w:szCs w:val="28"/>
          <w:rtl w:val="true"/>
          <w:lang w:bidi="ar-SA"/>
        </w:rPr>
        <w:t>لروایة الحلبی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بذکر اللّٰه و أنت تبول، فإنّ ذکر اللّٰه حسن علی کلّ حال، فلا تسأم من ذکر اللّٰه</w:t>
      </w:r>
      <w:r>
        <w:rPr>
          <w:rFonts w:eastAsia="Amiri" w:cs="Amiri" w:ascii="Amiri" w:hAnsi="Amiri"/>
          <w:color w:val="111111"/>
          <w:sz w:val="28"/>
          <w:szCs w:val="28"/>
          <w:rtl w:val="true"/>
          <w:lang w:bidi="ar-SA"/>
        </w:rPr>
        <w:t xml:space="preserve">»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أبی حمزة،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فی التوراة التی لم 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 علی نبیّنا و آله و علیه السلام سأل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یأتی علیّ مجالس أعزّک و أجلّک أن أذکرک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 ذکری حسن علی کلّ حال</w:t>
      </w:r>
      <w:r>
        <w:rPr>
          <w:rFonts w:eastAsia="IRNazanin" w:cs="IRNazanin"/>
          <w:color w:val="111111"/>
          <w:sz w:val="28"/>
          <w:szCs w:val="28"/>
          <w:rtl w:val="true"/>
          <w:lang w:bidi="fa-IR"/>
        </w:rPr>
        <w:t xml:space="preserve">»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إلحاق ذکر النبیّ صلّی اللّٰه علیه و آله و سلّم بذکر اللّٰه حکما أو موضوعا، کما یرشد إلیه ما سیأتی من کون الأذان ذکر اللّٰه، فتأمّل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تقرأ النفساء و الحائض و الجنب و الرجل یتغوّط،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یقرءون ما شاءوا</w:t>
      </w:r>
      <w:r>
        <w:rPr>
          <w:rFonts w:eastAsia="IRNazanin" w:cs="IRNazanin"/>
          <w:color w:val="111111"/>
          <w:sz w:val="28"/>
          <w:szCs w:val="28"/>
          <w:rtl w:val="true"/>
          <w:lang w:bidi="fa-IR"/>
        </w:rPr>
        <w:t xml:space="preserve">» </w:t>
      </w:r>
      <w:r>
        <w:rPr>
          <w:rStyle w:val="FootnoteAnchor"/>
          <w:rtl w:val="true"/>
        </w:rPr>
        <w:footnoteReference w:id="2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قراءة أیّ مقدار شاءوا من القرآن، أو قراءة ما شاءوا من قرآن و غیره، کالأدعیة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فتخصیصها بروایة عمر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التسبیح فی المخرج و قراءة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یرخّص فی الکنیف فی أکثر من آیة الکرسیّ و یحمد اللّٰه أو آیة</w:t>
      </w:r>
      <w:r>
        <w:rPr>
          <w:rFonts w:eastAsia="IRNazanin" w:cs="IRNazanin"/>
          <w:color w:val="111111"/>
          <w:sz w:val="28"/>
          <w:szCs w:val="28"/>
          <w:rtl w:val="true"/>
          <w:lang w:bidi="fa-IR"/>
        </w:rPr>
        <w:t xml:space="preserve">» </w:t>
      </w:r>
      <w:r>
        <w:rPr>
          <w:rStyle w:val="FootnoteAnchor"/>
          <w:rtl w:val="true"/>
        </w:rPr>
        <w:footnoteReference w:id="2116"/>
      </w:r>
      <w:r>
        <w:rPr>
          <w:rFonts w:ascii="IRNazanin" w:hAnsi="IRNazanin" w:eastAsia="IRNazanin"/>
          <w:color w:val="111111"/>
          <w:sz w:val="28"/>
          <w:sz w:val="28"/>
          <w:szCs w:val="28"/>
          <w:rtl w:val="true"/>
          <w:lang w:bidi="fa-IR"/>
        </w:rPr>
        <w:t>و فی روایة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آیة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2117"/>
      </w:r>
      <w:r>
        <w:rPr>
          <w:rFonts w:ascii="IRNazanin" w:hAnsi="IRNazanin" w:eastAsia="IRNazanin"/>
          <w:color w:val="111111"/>
          <w:sz w:val="28"/>
          <w:sz w:val="28"/>
          <w:szCs w:val="28"/>
          <w:rtl w:val="true"/>
          <w:lang w:bidi="fa-IR"/>
        </w:rPr>
        <w:t>بعید، بل 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حمل الصحیحة علی ما لا ینافی الکراهة، کما فی الجنب و الحائض و النفساء، و المراد غیر الکراهة المصطلحة، لأنّ الإذن فی صحیحة أبی حمزة </w:t>
      </w:r>
      <w:r>
        <w:rPr>
          <w:rStyle w:val="FootnoteAnchor"/>
          <w:rtl w:val="true"/>
        </w:rPr>
        <w:footnoteReference w:id="2118"/>
      </w:r>
      <w:r>
        <w:rPr>
          <w:rFonts w:ascii="IRNazanin" w:hAnsi="IRNazanin" w:eastAsia="IRNazanin"/>
          <w:color w:val="111111"/>
          <w:sz w:val="28"/>
          <w:sz w:val="28"/>
          <w:szCs w:val="28"/>
          <w:rtl w:val="true"/>
          <w:lang w:bidi="fa-IR"/>
        </w:rPr>
        <w:t xml:space="preserve">لا 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الجواز، بل المراد المشروعیة الثابتة فی أصل القراءة المسئول عن ثبوتها فی هذه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عدّ من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الأذان، ففی الصحیح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مسلم لا تدعنّ ذکر اللّٰه علی کلّ حال، و لو سمعت المنادی ینادی بالأذان و أنت علی الخلاء فاذکر اللّٰه، و قل کما یقول المؤذّن</w:t>
      </w:r>
      <w:r>
        <w:rPr>
          <w:rFonts w:eastAsia="IRNazanin" w:cs="IRNazanin"/>
          <w:color w:val="111111"/>
          <w:sz w:val="28"/>
          <w:szCs w:val="28"/>
          <w:rtl w:val="true"/>
          <w:lang w:bidi="fa-IR"/>
        </w:rPr>
        <w:t xml:space="preserve">»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سمعت الأذان و أنت علی الخلاء فقل مثل ما یقول المؤذّن، و لا تدع ذکر اللّٰه عزّ و جلّ فی تلک الحال، لأنّ ذکر اللّٰه حسن علی کلّ حال</w:t>
      </w:r>
      <w:r>
        <w:rPr>
          <w:rFonts w:eastAsia="IRNazanin" w:cs="IRNazanin"/>
          <w:color w:val="111111"/>
          <w:sz w:val="28"/>
          <w:szCs w:val="28"/>
          <w:rtl w:val="true"/>
          <w:lang w:bidi="fa-IR"/>
        </w:rPr>
        <w:t xml:space="preserve">»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کما یقول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شموله لحکایة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طعن بعض </w:t>
      </w:r>
      <w:r>
        <w:rPr>
          <w:rStyle w:val="FootnoteAnchor"/>
          <w:rtl w:val="true"/>
        </w:rPr>
        <w:footnoteReference w:id="2121"/>
      </w:r>
      <w:r>
        <w:rPr>
          <w:rFonts w:ascii="IRNazanin" w:hAnsi="IRNazanin" w:eastAsia="IRNazanin"/>
          <w:color w:val="111111"/>
          <w:sz w:val="28"/>
          <w:sz w:val="28"/>
          <w:szCs w:val="28"/>
          <w:rtl w:val="true"/>
          <w:lang w:bidi="fa-IR"/>
        </w:rPr>
        <w:t>علی الشهید الثانی، حیث أنکر النصّ فی ذلک، و استشکل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الاستدلال علیه بعمومات الذکر لأنّ </w:t>
      </w:r>
      <w:r>
        <w:rPr>
          <w:rStyle w:val="FootnoteAnchor"/>
          <w:rtl w:val="true"/>
        </w:rPr>
        <w:footnoteReference w:id="2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تبدل بالحولقة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روایتی العلل </w:t>
      </w:r>
      <w:r>
        <w:rPr>
          <w:rStyle w:val="FootnoteAnchor"/>
          <w:rtl w:val="true"/>
        </w:rPr>
        <w:footnoteReference w:id="2124"/>
      </w:r>
      <w:r>
        <w:rPr>
          <w:rFonts w:ascii="IRNazanin" w:hAnsi="IRNazanin" w:eastAsia="IRNazanin"/>
          <w:color w:val="111111"/>
          <w:sz w:val="28"/>
          <w:sz w:val="28"/>
          <w:szCs w:val="28"/>
          <w:rtl w:val="true"/>
          <w:lang w:bidi="fa-IR"/>
        </w:rPr>
        <w:t>لا یخلو ظهورهما المذکور من الموهن، حیث علّل الحکایة فیهما بأنّها من ذکر اللّٰه،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کونها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التعلیل أخصّ من الحکم حتّی یخصّصه أو یوهن 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للعرف و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الأمر بالحکایة فی حکایة الکلّ أقوی، فیحمل التعلیل علی التغلیب، أو علی أنّ اشتماله علی الذکر مع کونه عملا واحدا هو المسوّغ للتکلّم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إرادة جمیع فصول الأذان من غیر تبدیل روایة سلیمان بن مقبل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یستحبّ للإنسان إذا سمع الأذان أن یقول کما یقول المؤذّن و إن کان علی البول و الغائط؟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یزید فی الرزق</w:t>
      </w:r>
      <w:r>
        <w:rPr>
          <w:rFonts w:eastAsia="IRNazanin" w:cs="IRNazanin"/>
          <w:color w:val="111111"/>
          <w:sz w:val="28"/>
          <w:szCs w:val="28"/>
          <w:rtl w:val="true"/>
          <w:lang w:bidi="fa-IR"/>
        </w:rPr>
        <w:t xml:space="preserve">»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التعلیل المذکور ظاهر فی إرادة حکایة جمیع فصوله، لأنّها هی الّتی تزید فی الرزق، مع أنّه لو اختصّ المحکیّ بما کان منه ذکرا لم یکن وجه للسؤال عنه، و کان الأنسب تعلیله بذکر اللّٰه، لأنّه أصلح لحکمة الاستحباب واقعا، و أفید للمخاطب حیث یستفید منه عموم رجحان الذکر،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فعلم أنّ هذا عنوان غیر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یمکن أن یستدلّ به علی جواز التکلّم بکلّ ما یضطرّ إلیه الإنسان فی أمور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دنیاه، و 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حاجة یضرّ فواتها </w:t>
      </w:r>
      <w:r>
        <w:rPr>
          <w:rStyle w:val="FootnoteAnchor"/>
          <w:rtl w:val="true"/>
        </w:rPr>
        <w:footnoteReference w:id="2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ضرر فوات زیادة الرزق بترک حکایة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یؤیّد الحکم بما تقدّم فی روایة أبی بصیر </w:t>
      </w:r>
      <w:r>
        <w:rPr>
          <w:rStyle w:val="FootnoteAnchor"/>
          <w:rtl w:val="true"/>
        </w:rPr>
        <w:footnoteReference w:id="2127"/>
      </w:r>
      <w:r>
        <w:rPr>
          <w:rFonts w:ascii="IRNazanin" w:hAnsi="IRNazanin" w:eastAsia="IRNazanin"/>
          <w:color w:val="111111"/>
          <w:sz w:val="28"/>
          <w:sz w:val="28"/>
          <w:szCs w:val="28"/>
          <w:rtl w:val="true"/>
          <w:lang w:bidi="fa-IR"/>
        </w:rPr>
        <w:t>من جعل حکمة النهی عدم قضاء الحاجة الشاملة للدنیویة، فإنّ مثل هذا لا تعارض فوات الحاجة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نفی الحرج، بناء علی جریانه فی الحکم الغیر الإلزامی و أنّ الضرورات تبیح المحضورات، فالضرورات العرفیة و إن لم تبلغ مراعاتها حدّ الوجوب تبیح المکروهات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یعلم أنّ حال الاضطرار مستثنی من جمیع المکروهات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انتهی الجزء الأوّل حسب تجزئتنا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یتلوه الجزء الثانی ان شاء اللّٰه، و أوّله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الوضوء</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أوّل الصفحة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الإرشاد المطبوع حدیثا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فقه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فقه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فقه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فقه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فقه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فقه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مخطوطات مکتبة آیة اللّٰه المرعشی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الطهرانی قدس سره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التقریرات عنوان عام لبعض الکتب المؤلفة من أواخر القرن الثانی عشر و بعده حتی الیوم، و هو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کتب الحدیث للقدماء، و الفرق أن الأمالی کانت تکتب فی مجلس إملاء الشیخ، الحدیث عن کتابه أو عن ظهر قلبه، و کان السامع یصدّر الکتاب باسم الشیخ، و یعدّ من تصانیف الشیخ، بخلاف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مباحث علمیة یلقیها الأستاذ علی تلامیذه عن ظهر القلب و یعیها التلامیذ فی حفظهم، ثم ینقلونها إلی الکتابة فی مجلس آخر، و یعدّ من تصانیفهم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لا بدّ من ذکره هو أنّ کتب التقریرات أکثر من أن یستقصیها أحد، و لا سیما التقریرات الأصولیة التی کتبها تلامیذ شریف العلماء، و صاحبی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کربلاء، و تلامیذ العلّامة الأنصاری و من بعده فی النجف الأشرف و سامرّاء و مشهد الرضا و قم و 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تقریرات کثیرة لم یشخّص مقررها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فإنه 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کیف کان فلم أعثر علی إجماع أو دلیل یدل بإطلاقه أو عمومه علی وجوب قضاء الصوم علی کل من لم یصم لعذر أو لغیره، لکن علیک بالتتبع لعلک تجد ذلک، و لا اعتبار بعدم عثوری، لقلّة الکتب عندی، و لیس عندی من کتب الأخبار إلّا الإستبصار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فی آخر صفحة من الکتاب المحتوی علی الطهارة و عدة رسائل اخری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الطباعة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یبتدئ کتاب الطهارة للشیخ الأعظم قدس سره الشریف، و لم یتعرض لشرح ما تقدم من متن الشراع، و إنّما أوردناه إتمامه للفائدة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یستحق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السند قدس سره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المحقق السبزواری قدس سره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انظر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الفاضل النراقی عن بعض المتأخّرین من المحدّثین، راجع المستند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النراقی قدس سره فی المستند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کتاب الطهارة،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یطیب طعمه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العلّامة الطباطبائی قدّس سرّه انظر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الترتّب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لفظ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مرجع الضمیر هو الماتن، لکن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متن الشرائع، إلّا أن یقرأ بصیغة المجهول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یتغیّر ریحه أو طعمه، فینزح حتّی یذهب الریح و یطیب 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صحیحة ابن بزیع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انظر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فیه الشیخ البهائی قدّس سرّه فی 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المحقّق السبزواری قدّس سرّه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 اختلاف کثیر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بالخصوص، لکن وثّقه جمع من الأعلام قدس اللّٰه أسرارهم، مثل السید ابن طاوس، و السیّد الداماد، و المجلسیّین، و الشیخ الحرّ فی خاتمة الوسائل،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خالف إطلاق أخبار مطلق التغیر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و لا علی مؤلّفه، انظر الذریعة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لم نقف أیضا علی من حکاه عنه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العلّامة و من تبعه، مثل ولده فخر المحقّقین و المحقّق الثانی و ابن فهد فی الموجز، کما سیأتی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المدارک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ذیل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الأمر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الروض، و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نسبه إلیه فی الجواهر، انظر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الشیخ أسد اللّٰه الدزفولی الکاظمی قدّس سرّه فی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تتغیر، و فی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یتغیّر، و الصواب ما أثبتناه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الطین الأحمر الّذی یصبغ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کتاب الطهارة،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یطهر بزوال التغیّر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السند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الفاضل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صحیحة ابن بزیع،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یجی‌ء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یجی‌ء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یلحق بحکمه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القسم الأوّل الرقم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الموجود فیه نقل التوثیق عن النجاشی، و لم نعثر علیه لا فی الکشّی و لا فی النجاشی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صحیحة داود بن سرحان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و فی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شبهه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غیرهما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مع اختلاف فی اللفظ</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علیه باقیا، و الّذی 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الماء باقیا علیه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فی المقنعة و المبسوط علی عبارة توهم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صاحب المقابس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 یوجد فی المقنعة و الفقیه و المتمسّک ما یقتضی المنع من التطهیر بالمتغیّر بالممازج و غیره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فی المقنعة و المبسوط علی عبارة توهم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صاحب المقابس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 یوجد فی المقنعة و الفقیه و المتمسّک ما یقتضی المنع من التطهیر بالمتغیّر بالممازج و غیره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مرکب یتخذ من الزعفران و غیره من أنواع الطیب، و الغالب علیه الصفرة و الحمرة، و 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تحشوها القابلة بالخلوق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بعینها موجودة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ینجس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ابن أبی عقیل بتوقّف نجاسته علی التغیّر 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عدّه مشهورا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کاد أن یکون إجماعا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کتاب الطهارة،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السید العاملی فی هامش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عن أستاذه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الأسئار،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الأسئار،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من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من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استبعده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مع تفاوت یسیر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لیس متن حدیث، بل هو إمّا توضیح من المؤلّف قدّس سرّه و إمّا حاشیة من غیره اختلطت بالمتن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فی قرب الإسناد، و نقلها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علیّ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للقائلین بعدم انفعال الماء القلیل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لا یخفی ما فیه، و لعلّ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یخصّص مثل عمومات طهارة الماء بما تقدّم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ما فی هذا الحمل، فإنّه خلاف صریح کلام السیّد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یتوضّأ به و یغتسل به مرّة أخری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کلامهما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الإجماعات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عدم انفعال القلیل الوارد علی النجاسة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جعله فی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 الأقوال،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القول نسبه جماعة إلی السیّد و الشیخ و ابن إدریس و غیرهم کما عرفت، و لم أر من اختاره صریحا سوی صاحب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الأحکام للسبزواری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یشمل إطلاق الملاقاة ما لو تساوی سطحاهما و اختلف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کتاب الطهارة،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یأتی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کتاب الطهارة،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الثانی قدّس سره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السیّد السند قدّس سره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المراد بالدفعة وقوع جمیع أجزاء الکرّ فی زمان قصیر بحیث یصدق اسم الدفعة علیه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منه عبارة الشهید الثانی قدّس سره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قدّس سره فی متن الکتاب و العلّامة قدّس سره فی جملة من کتبه، و فی 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أنّه المشهور بین المتأخّرین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الاتحاد مع الملاقاة حاصل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السند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انظر مجمع الفائدة و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نشترط فی المطهّر وقوعه کرّا دفعة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کتاب الطهارة،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لم نعثر علیه فی کتب العلّامة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دلت علی مضمونه بعض الروایات، 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قدّس سرّه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العلّامة قدّس سرّه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الشهید قدّس سرّه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کتاب الطهارة، ذیل المسألة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الماء النجس لیس بأکثر من عین النجاسة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جامع المقاصد، لکن حکاه عنه و عن الشهید الثانی المحدّث البحرانی فی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نسبة إلی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یخفی أنّ المحقّق الثانی من القائلین بعدم اعتبار الامتزاج فی التطهیر، و الکلام المحکیّ عنه إنما قاله فی مقام إلزام القائلین بالامتزاج، کما فی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ما فهمه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الرابع</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الشیخ أسد اللّٰه الدزفولی الکاظمی قدّس سرّه فی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 کلمات هؤلاء الأعلام آنفا، فلا نعید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امتزاج البعض بالبعض</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انتهی کلام صاحب المقابس قدّس سرّه مع تفاوت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إلیهم المحقّق الشیخ أسد اللّٰه فی المقابس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کشف الالتباس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کشف الالتباس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کشف الالتباس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کشف الالتباس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ذیل قول الماتن و یتعدی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به صاحب الجواهر قدّس سرّه انظر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کلّه فی إلقاء الکرّ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فیخصّ</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هذا الکلام فی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نسبة إلی قائل معیّن أیضا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سقوط کلمة من هنا، و لعلّ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 بعض من تقدّم کلامه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صاحب المعالم قدّس سرّه، 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عن جامع المقاصد و ما نقله عن شارح اللمعتین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ادّعاه المحقق الثانی قدّس سرّه من النصّ و تصریح الأصحاب، 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 علی الأظهر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الرسیة الاولی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کالمحدث الکاشانی فی 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الفتّونی و السیّد عبد اللّٰه التستری علی ما نقل عنهم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القولین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زیدی منقطع المذهب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سلّار فی المراسم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ممّن تأخّر عن ابن إدریس</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لکن لم نعثر علی روایة بعین العبارة المذکورة، إلّا ما أرسله العلّامة قدّس سرّه عن الصادق علیه السلام فی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یحتمل شیئا من النجاسة حکما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لیس فیه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ذکره علم الهدی قدّس سرّه، 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کلامه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الشهیدین، و لم نعثر علی کلام للشهید الثانی فی المسألة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الطهارة و إن کانت شرطا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إذا کان فی بئر أو حوض، أو إناء فإنّه یفسد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یجوز التطهیر به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لا یزول حکم نجاسته فهو ماء الأوانی و الحیاض، بل یجب إهراقه و إن کان کثیرا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بالکریة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الجواهر أیضا،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کلام صاحب الجواهر، و البقیة توضیح من المؤلّف قدّس سرّه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کالشهید الثانی قدّس سرّه فی الروض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سبطه السیّد السند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المحدّث الفقیه البحرانی فی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معلّلین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کشف الالتباس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التخریج السابق</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اشترط کرّیة المادّة، انظر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لا بدّ فی مادّة الحمّام من کرّ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فی کلمات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الذکری و البیان و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ظاهر فی عدم تقوّی أحدهما بالآخر، اللّٰهم إلّا أن یکون نظر المؤلّف قدّس سرّه إلی ما حکم به فی الدروس من عدم الاتّحاد إذا اتصلت البئر بالجاری أو الکثیر تسنیما، انظر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صرّح فی مسألة الغدیرین بالاتّحاد و اعتبار الکرّیة فیهما مع الساقیة من غیر تقیید بتساوی السطوح، انظر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الغدیران الطاهران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کان الجاری لا عن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کشف الالتباس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قلیلا ینفعل السافل خاصّة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مشطوب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القسم الأوّل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فوائد المحقّق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فی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رحمه اللّٰه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منشأ ذلک فحوی التقوّی بالمساوی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عبائرهم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فی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المجتمع، و هکذا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شطب فیهما علی کلمة غیر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المدارک عن بعض فوائد المحقّق الثانی قدّس سرّهما، انظر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قدّس سرّه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عن الثلاثة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الثلاثة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 هذا الاستدلال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راجع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العلّامة قدّس سرّه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أمّا الشهید قدّس سرّه فلم نظفر علی کلام له فیما تقدّم فی خصوص المسألة، نعم صرّح به فی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یستفاد أیضا من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ماء الحمّام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یطهر بإلقاء کرّ علیه فکرّ حتی یزول التغیّر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یتعرض المؤلف قدّس سرّه لشرح هذه الفقرة هنا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یطهر بزواله من نفسه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تزیل عنه التغیّر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السیّد السند قدّس سرّه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صاحب المدارک بعد أن ذکر مذهب یحیی بن سعید فی المسألة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علی ما ذهب إلیه من أنّ الماء النجس یطهر بالإتمام و هو فی الحقیقة لازم لکلّ من قال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المشار إلیه فی کلامه هو طهارة الماء النجس بالإتمام، لا القول بخبر البلوغ و بینهما فرق، و لذا لم یقل ابن إدریس فی المسألة بالطهارة مع إصراره علی الطهارة بالإتمام 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 علی خبر البلوغ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هکذا المحقّق الثانی قدّس سرّهما، 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صرّح بالملازمة بین المسألة و خبر البلوغ المحقّق فی المعتبر، کما یأتی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بجبر البلوغ</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لم نقف علی من تابعه فی الملازمة المذکورة، قال فی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صرّح جمع من الأصحاب بأنّ القول بطهارة المتغیّر لازم لکلّ من قال بالطهارة بالإتمام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الملازمة غیر الملازمة الّتی قالها المحقّق قدّس سرّه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وقوع سقط فی العبارة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یتحملها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العبارة لا تخلو عن اضطراب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هذه عمل الأصحاب و لا أعرف منهم رادّا لها، صح</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المحدّث الکاشانی فی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صاحب الحدائق کما یأتی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تعبیره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خلاف بینهم فی هذا المقدار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الأظهر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 الحدیث الأوّل، نقلا بالمعنی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نسبه الحاکی إلی الغفلة، و هو المحدّث البحرانی قدّس سرّه فی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احتمله الشهید الثانی قدّس سرّه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وجدناه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ذلک، و لعلّ السهو من النسّاخ</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فیها وقیة دم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و سلّم یتوضّأ بمدّ و یغتسل بصاع،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و نصف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ذکر ما یدلّ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الصحیح، کما یظهر بالمراجعة إلی تمهید القواعد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فی آخر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نقلا بالمضمون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نقلا بالمضمون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روایات وردت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من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واحد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الشرائع، 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الطبعة الحجریة من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التصریح به فی المنتهی، إلّا أنّه بعد ذکر روایة إسماعیل بن جابر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مدفوعة بمخالفة الأصحاب لها إلّا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مشعرة بالشذوذ</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مسائل علیّ بن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 ماء</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متن الروایة من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فی النسخ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أخیه علیه السلام فی جرّة فیها ألف رطل من الماء، فوقع فیه أوقیة من دم، هل یصلح شربه؟ فانّ ألف رطل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الفاضل النراقی قدّس سرّه عن بعض المتأخّرین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فوقه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السیّد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صیرفیّا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هنا، لکن یأتی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بعضا اعتبره فوجد الوزن قریبا من ستّة و ثلاثین شبرا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أوضح ممّا وقفت علیه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تعلیقاته علی شرح المدارک، کما فی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عنهما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عنهما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أبعد فروضها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باختلاف فی التعبیر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الجواهر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یستوی فی هذا الحکم میاه الغدران و الحیاض و الأوانی، علی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یتعرض المؤلف قدّس سرّه لشرح هذه العبارة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 حکاه عن رسالة والده إلیه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السیّد المرتضی فی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الطوسی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السید ابن زهرة فی 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 سلّار فی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ینجس القلیل من الأوّل و البئر علی رأی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ممّا انفردت به الإمامیة القول بأنّ ماء البئر ینجس</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لکن لم یصرّح فیه بالإجماع و عدم الخلاف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المصریة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فیها التصریح بالإجماع، بل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یؤیّد نجاسة البئر نقل الفریقین من الجمهور و الإمامیة الفتوی عن السلف بوجوب نزح البئر النابعة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لم نعثر فی الاستبصار علی کلام یستفاد منه ذلک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جمیع کتبه، عدا التلخیص</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الحکایة فی المنتقی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اشتراط الکرّیة لانفعال الناقص عنها مطلقا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نقلها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الآتیة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 مع اختلاف یسیر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 باختلاف یسیر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الفقیه، و لا فی الوسائل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لظواهر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عنهما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روایتی ابن بزیع، 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غیرهما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فی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انظر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محمّد بن إسماعیل بن بزیع،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صحیحة علیّ بن یقطین،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العبارة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التطهیر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لا تخلو عن إغلاق</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واقع</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ضمیر التثنیة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و الکرّ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تقویته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 قد عبّر فی الأوّل بالاتّفاق و فی الثانی بالإجماع، عکس ما فی المتن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 قد عبّر فی الأوّل بالاتّفاق و فی الثانی بالإجماع، عکس ما فی المتن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ابن زهرة فی الغنیة، و ابن إدریس فی السرائر، انظر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الروایة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الروایة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الزیادات من المصدر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الفاضل أیضا عن الکتب المذکورة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کالصدوق رحمه اللّٰه فی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البقرة حدیث خاصّ، کما صرّح به جماعة، منهم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الفاضل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ابن فهد الحلّی فی 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الشهید الثانی فی الروض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اقتضاها السیاق</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الینابیع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النسخ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لها ظاهرا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النسخ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لها ظاهرا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النسخ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لها ظاهرا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 العبارة، و الظاهر وقوع تصحیف فیها،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لإطلاق الروایة بوجوب السبعین لموت الإنسان الشامل للکافر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صاحب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لکنّه ادّعی عدم الوقوف علی شاهد لما فصّله المشایخ الثلاثة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کشف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تهذیب اللغة و الغریبین و مهذّب الأسماء</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الدم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المیاه،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محمّد بن إسماعیل و حدیث علیّ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ما وصل إلینا فی هذا الباب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عنهما فی أوّل المسألة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فتواهم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عنهما آنفا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عنهما أیضا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عنهما الشهید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علیه السیّد السند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بول الإنسان البالغ</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الینابیع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عنهم المحقّق رحمه اللّٰه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انظر المقنعة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لم ینسبه إلی الصادق علیه السلام، بل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فسّر بالحمامة و النعامة و ما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هنا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ابن زهرة فی 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ماثلهما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الصدوق فی المقنع و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انتفخت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منّا بملاحظة متن الصحیحة، و لعلّ السهو من النسّاخ</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تبعه ابن حمزة فی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لم نعثر علیه فی کشف الالتباس</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کشف الالتباس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المعتبر ما نسبه إلیه، و الظاهر أنّ الاشتباه نشأ من ملاحظة عبارة الجواهر،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المعتبر أنّ فی روایة ثلاث، لم نعثر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السیّد السند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یلوح من بعضهم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قوّاه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روایة ابن أبی یعفور المتقدمة فی الصفحة السابقة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 مع اختلاف</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فی هامش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الدجاج الجلالة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الشهیدین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رواها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فی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علم الهدی فی المصباح</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و الهدیة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اللفظ</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یغتذ</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و روی الحدیث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فیه النسبة إلی الشهرة، انظر 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الخوانساری فی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نسبه المحقّق السبزواری إلی قول کثیر من الأصحاب، انظر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الظاهر أنّه سهو،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العلّامة فی أکثر کتبه قائل بالاجتزاء، هذا أوّلا، و ثانیا أنّه لا یناسب سیاق الکلام، کما لا یخفی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فیه 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نسبه إلی قول، و قطع بعدم الاجتزاء فی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استقرب عدم الاکتفاء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نسبه الفاضل السبزواری إلی الشهید الثانی أیضا و استحسنه، انظر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یقصد قدّس سرّه بذلک روایة خاصة، بل مقصوده ما ورد بهذا المضمون، مثل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الوسائل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النزح</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أجناس</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تضاعفه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التداخل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قد أسقطها المؤلّف لربط الکلام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المناسب تأثیرها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نزح</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به هو ابن حمزة فی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فی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روایة کردویه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جمال الدین أبو الفضائل أحمد بن طاوس رحمه اللّٰه فی البشری نبّه علی هذا و أجاز الثلاثین، انظر غایة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 علی فرض وجوده، و العبارة أیضا لا تخلو عن إغلاق</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یذهب الریح و یطیب طعمه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جماعة من الأعلام، انظر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الإفساد، و فی أصل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إفساد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من حکاه عنه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حکی عنه و عن والده،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الأولی</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ناسبا له إلی الشیخین من دون ذکر کتاب، و الموجود فی المقنعة وجوب النزح حتّی یزول التغیّر، و لم یجعل تعذّر نزح الجمیع شرطا، انظر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الفقرة التالیة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فی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مزیل التغیّر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فیما سیأتی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علیه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هنا، و هکذا فی الأصل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صححت بالتقدیم و التأخیر، فلمّا رأینا صحّة التصحیح أثبتناه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حیث استحسن تفصیل ابن إدریس، لکنّه قال فی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عندنا قول المفید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شطب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بالقائل صاحب مفتاح الکرامة، لکنّه قاله فی لزوم أکثر الأمرین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 الأقوال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التعذر،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التقدیر، و الصواب ما أثبتناه، انظر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مفتاح الکرامة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جامع المقاصد و تعلیق الإرشاد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ما عثرنا علیه فی جامع المقاصد فی مسألة المسافة هو الاکتفاء بذکر متن القواعد،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ذراع أربعة و عشرون إصبعا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الدلائل و تعلیق الإرشاد فلیسا عندنا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یکن، و 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یکن کذلک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التلخیص لا یوجد لدینا، حکاه عنه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دون السبع</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الشهید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فی الأکل و لا فی 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الوجه فی عدم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معلوم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و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کما صرّح به المؤلّف قدّس سرّه فی المکاسب،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بعض مشایخنا المعاصرین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الأردبیلی فی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المحقّق السبزواری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کتاب الطهارة،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الشرائع، 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یجد غیرهما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لا یخفی عدم سبق مرجع لضمیر التثنیة، فلاحظ</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الشیخ علی ما إذا کان ذلک الدم مثل رأس الإبرة، انظر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المسبّبی</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کمّلا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خبر جابر الجعفی، 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استدلال ابن زهرة بقوله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الرُّجْزَ فَاهْجُرْ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نجاسة الماء القلیل بالملاقاة، انظر الینابیع الفقهیة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 الاستدلال بالآیة ساقط من الغنیة المطبوع فی ضمن الجوامع الفقهیة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الجواهر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ذا مضافا إلی الإجماع علی تقدیم الإزالة علی الطهارة فی حاشیة للإرشاد أظنّ أنّها لولد المحقّق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التذکرة الإجماع أیضا علی تقدیمها علی الوضوء صریحا و الغسل ظاهرا، و المعتبر نفی الخلاف بین أهل العلم فیه أیضا کذلک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المؤلف قدّس سرّه فی الأصول إلی العلّامة فی النهایة و شارح المختصر و الآمدی، انظر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خبر صریح فی ما أفاده، نعم یمکن أن یستفاد ذلک من بعض الأخبار، 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و الصواب ما أثبتناه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تعاقبا علی رفع الحدث</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الظاهر أنّ المراد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اللیمون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الاسم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و الشهیدین فی اللمعة و شرحها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الثانی عن بعض کتب العلّامة، علی ما فی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و السیّد فی 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فی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کتاب الطهارة،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الحدیث الأوّل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ولوغ الکلب فی الإناء،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الحدیث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یغسله سبع مرّات أولاهنّ بالتراب</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المصریة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المصریة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بتطهیره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الشرائع قبل هذه الفقرة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یجوز استعماله فیما عدا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یتعرض المؤلف قدّس سرّه لشرحه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أیضا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الکاشانی فی 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نجسا لاقی عدا ما قد علا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لا یخفی ما فیه من الاضطراب و عدم الانطباق مع ما فی المبسوط، و إلیک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طریق إلی تطهیرها بحال إلّا أن یختلط بما زاد علی الکرّ من المیاه الطاهرة المطلقة، ثمّ ینظر فیه فإن سلبه إطلاق اسم الماء لم یجز أیضا استعماله بحال، و إن لم یسلبه إطلاق اسم الماء و غیّر أحد أوصافه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لونه أو طعمه أو رائحته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یجوز استعماله بحال، و إن لم یتغیّر أحد أوصافه و لم یسلبه إطلاق اسم الماء جاز استعماله فی جمیع ما یجوز استعمال المیاه المطلقة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استعمالهما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السیاق رجوع الضمیر إلی المعتبر، لکن المقصود غیر واضح</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أمّا فی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فاشترط فیه بقاء الإطلاق، انظر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صاحب الجواهر ظاهرا، انظر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العبارة فی المنتهی، بل هی عبارة القواعد بعینها، انظر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 أسخن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الحدیث الأوّل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فیه خلاف ما نسبه إلیه، انظر الجامع للشرائع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صرّح فیه بعدم اشتراط قصد التشمیس، 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کتاب الطهارة،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أحدا أفتی بالخلاف</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الشرائع، 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 المسخّن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کتاب الجنائز،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 فی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حکاه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أیضا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 الأوّل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المؤلّف قدّس سرّه زعم أنّ هذه القطعة وردت فی ذیل روایة زرارة و روایة یعقوب بن یزید الآتیة، کما سیأتی التصریح منه بذلک، لکنّه وردت فی ذیل روایة یعقوب بن یزید فقط، لاحظ المصادر الحدیثیة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کتاب الجنائز،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التعجیل ورد فی ذیل خبر یعقوب بن یزید فقط</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أورده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الفقیه باختلاف یسیر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غسل الأخباث</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إلّا فی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الآبی فی 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الشهیدان فی اللمعة و شرحها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الینابیع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نقلهما عن المعتبر و التحریر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کتاب الطهارة، ذیل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باختلاف، و رواه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الذکری و المعتبر، باختلاف أیضا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کتاب الطهارة،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مشطوب علیها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مشطوب علیها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یبدو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 و الموجود فی الذکری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حمزة و البصروی سوّیا بین رافع الأکبر و مزیل النجاسة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رسّیّات السیّد و السرائر و المراسم و المهذّب و الجواهر و الوسیلة و الإصباح و الجامع و الإشارة و المبسوط فی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صاحب الجواهر نسبه إلی ظاهر ابن إدریس فقط، انظر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لا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لا یخفی</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تنجیس</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الظاهر 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فی العیون، و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تأتی الروایة عنه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کتاب الصلاة، ذیل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المستند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نقله عن صاحب الجواهر، 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تنجیس القلیل بالملاقاة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کلامهما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الجواب عن حجّة المرتضی</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الناصریات</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الإیراد فی الذکری، نعم هو موجود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لکنّه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ما یبقی فی الثوب جزء منه و هو طاهر بالإجماع</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استعماله،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استعمالها، و الصواب ما أثبتناه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الخوانساری فی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الحدیث الأوّل</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فالنجاسة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بأنفسها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الروایة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مصرّح به، و لعلّه یستفاد من کلام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کما أشار إلیه فی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عنهما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الشهید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السیّد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الدلائل کما نقله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الحدیث الأول 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القاضی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تلاقیه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استعمل</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راجع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الألفاظ</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و لکن مشیخة ابن محبوب لم تذکر فی الفقیه بالخصوص فی الموصوفات بالصّحة، إلّا أن تکون مندرجة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غیرها من الأصول و المصنّفات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الراشحة الرابعة و الثلاثون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ندر من أین استفاد المؤلّف قدّس سرّه اعتماد المذکورین علی خصوص الروایة؟ انظر معجم رجال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الحدیث الأوّل</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 السابقة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لعلّه سقط بعض الکلمات من العبارة</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صحیحة ابن مسکان،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ذیل المسألة السادسة، و 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الحدیث الأوّل، و الآیة من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یجوز إزالة النجاسات إلّا بما یرفع الحدث</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الظاهر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یبقی الإشکال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لأنّهما لم یذکرا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فلاحظ</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لم نعثر علی مورد آخر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ظاهرا فی الاستنجاء، إلّا أنّ صاحب الوسائل حمل فی موضعین من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وقفنا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الاستنجاء،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بالوضوء هنا الاستنجاء، فإنّه کثیرا ما یطلق علیه، 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ذیل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ذیل الحدیث الأوّل</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الشهید و جملة ممّن تأخّر عنه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مفتاح الکرامة إلی ظاهر الوسیلة و المراسم و غیرهما، لأنّهم یذکرون سؤر الحائض، انظر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الحدیث الأوّل،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سؤر الحائض،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توضّأ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توضّأ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التهذیبین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یتوضّأ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کلّها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حیث استثنی رحمه اللّٰه من الأسئار سؤر الکلب و الخنزیر فقط</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التصریح بالتعلیل المذکور فی روایات الباب، 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نسبة القول بالکراهة إلیه فی جمل العلم و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استثناه من المباح 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الذخیرة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کتاب الطهارة، ذیل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و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الصفحة السابقة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الظاهر سقوط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لکن مقتضی التعلیل الّذی ذکره هو الإخراج من القاعدة الثانیة، 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زوال نجاسة المتنجّس و لو کان جسم حیوان بزوال عین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یناسب قوله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لأصالة بقاء الأوّلین علی عمومهما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 بحصول التقدّم و التأخّر فیما تقدّم، فراجع و تأمّل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ذکر الاستدلال، و کذا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فی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الألفیة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الشهید الثانی فی المقاصد العلیة، علی ما حکاه عنها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لدینا شروح الجعفریة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الحدیث الأوّل، و 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المصادر فی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توضّأ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الحدیث، فراجع</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 السابقة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علی خبر ظاهر فیما أفاده، إلّا ما رواه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ظهوره فی المطلوب تأمّل، فراجع</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السیّد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المحقّق الخوانساری فی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المحقّق الخوانساری فی المصدر المتقدّم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إلیه علیه السلام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ترد فی سائر النسخ، و التهذیب</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العلّامة فی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الشهید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ابن حمزة فی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العلّامة فی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کلّ من علّل کراهة سؤر الحمیر و البغال بکراهة اللحم، مثل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الاستبصار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القائل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قائله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لیس من دأب المؤلف قدّس سرّه تصدیر المتن بکلمة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الحدیث الأوّل</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لا یدرک بالطرف</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حکی عنه الشهید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النسبة فی الذکری</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الأوّل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مستند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لکن یحتمل أن لا یرتبط دعوی الإجماع بالمقام، کما فی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الحدیث الأوّل</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أفراده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الإطلاقات، و کذا فیما یأتی من ضمائر التأنیث</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الصدوق فی 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الفقرة الثالثة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النراقی فی المستند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متن الحدیث موافق لما رواه بعده عن الکافی عن عبد الرحمن بن الحجّاج، انظر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الحدیث الأوّل</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بها روایة أبی بکر الحضرمی عن أبی عبد اللّٰه علیه السلام المتقدّمة، و النسبة إلی أبی جعفر علیه السلام باعتبار قول الصادق علیه السلام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أبی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غیر ممکن، لأنّ وفاة الإمام الباقر علیه السلام کانت سنة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الإمام الصادق علیه السلام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بینهما کانت ولادة الشافعی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لم نجده فی الخصال بعد الفحص التامّ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الحدیث الأوّل</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الغین، باب الواو و الیاء</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العبارة فی غریب حدیثه، انظر غریب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 لکن نقلها عنه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السابقة</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المحقّق الخوانساری فی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هذا الاستدلال بین الاستدلال بالأخبار، و احتمال وقوع التقدیم و التأخیر فی الاستنساخ غیر بعید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قوله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عورة المؤمن علی المؤمن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یأتی فی موثّقة حنان، لکن الجملة غیر تامّة، کما لا یخفی</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لکن فی المصادر الحدیثیة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رفاعة بن موسی، و لیس فی روایات الباب و لا فی کتب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الحذّاء</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الحدیث الأوّل</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بالنبویّ هو ما یقوله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عورة المؤمن علی المؤمن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مسندین ذلک إلی النبیّ صلّی اللّٰه علیه و آله و سلّم و قد ورد عن طریقنا أیضا عن علیّ بن الحسین علیه السلام عن رسول اللّٰه صلّی اللّٰه علیه و آله و سلّم، کما سیأتی فی موثّقة حنان</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قطعا منه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أورده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فضلاء متأخّری المتأخّرین</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فی مقدّمة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قصدت إلی إیراد ما افتی به و أحکم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المرسلة المذکورة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الحدیث الأوّل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الحدیث الأوّل</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الحدیث الأوّل، و فیهما حکایة هذا عن أبی جعفر الباقر علیه السلام</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حدیث الأربعمائة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الرسالة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نسبه فی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فوائد الشرائع و فوائد القواعد أیضا</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الحدیث الأوّل</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کتاب الطهارة،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کتاب الطهارة،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العلّامة فی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تکلّم فیه المحقّق الثانی فی شرح الألفیة، و أتی ببعض ما نقله المؤلّف قدّس سرّه فی ما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رسائل المحقّق الکرکی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نظفر علی سائر ما حکاه قدّس سرّه من الردّ و الإیراد عن بعض آخر، نعم حکی فی مفتاح الکرامة عن بعض شارحی الألفیة و المحقق الثانی بعضا ممّا ذکره المؤلّف قدّس سرّه هنا، انظر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عن أستاذه العلّامة الطباطبائی فی حلقة درسه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مأخذه</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الصفحة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یجزی غیره مع القدرة</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 ظاهرهم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السیّد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العلّامة و صاحبی المدارک و الحدائق آنفا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علی تمسّک صاحب الوسائل به لوجوب تخفیف النجاسة عند تعذّر الغسل، کما لم یتمسّک به المحقّق الأعرجی فی وسائله أیضا، انظر وسائل الشیعة فی أحکام الشریعة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استشعر ذلک من الخبر صاحب الجواهر، انظر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 و لفظ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الصلاة فی وبر کلّ شی‌ء حرام أکله، فالصلاة فی وبره و شعره و جلده و بوله و روثه و کلّ شی‌ء منه فاسد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الشهید فی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نسبه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الأشهر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نظره إلی ما أفاده المحقّق النراقی، انظر المستند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المیسیة، و لا توجد لدینا</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المستند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فی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فی تفسیر الخبر، و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التأویل المذکور إلی ابن إدریس و أبی الصلاح و العلّامة فی أکثر کتبه و کثیر ممّن ذکرهم، و الثلاثة الّذین سمّاهم و إن قالوا بکفایة غسلة واحدة، لکن لم نجد فی کتبهم حمل الخبر علی ما ذکره، فراجع</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السابقة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 کلامه الجزم بذلک، انظر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ظاهر کلام ابن البرّاج، و الموجود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أقلّ ما یجزی فی غسله من الماء مثلا ما علیه</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اقتضتها العبارة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الطباطبائی، و قد صرّح باسمه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لکنّه لم یدّع جزما أنّ مراد الشهید ذلک، انظر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الخلوة،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المحقّق النراقی فی المستند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کصحیحة البزنطی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کالشهید الأوّل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حیث قال بکفایة المرّة فی غیر الإناء و أوجب التثنیة فی البول، و الشهید الثانی فی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اغسله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ابن حمزة فی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الفاضل المیسی فی حاشیته علی الشرائع، کما نقل عنه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 یتخلّف</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 الکتابین إلّا وجوب إزالة العین و الأثر من غیر تعرّض لتفسیره، انظر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فی الدلائل إلی القیل، و ردّه هو و المحقّق الثانی</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الفاضل الهندی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بعض المفسّرین و لم یسمّه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السیّد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المناسب تذکیر الضمیر لرجوعه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الکلام فی الضمائر الآتیة،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الضمیر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فی العبارة المنقولة عن کشف الغطاء</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الرکن الرابع فی أدلّة نجاسة البول و الغائط</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کلامه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المهذّب البارع و الرسائل العشر</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انتشر و تعدّی المخرج</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السیّد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الحدائق و لا فی الدرّة النجفیة، نعم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الأصحاب عدم الالتفات إلی أخبار العامّة و إن انجبرت</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السیّد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المحقّق الخوانساری فی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لکن هؤلاء الإعلام لم یتعرّضوا لکلام المحقّق الأردبیلی و تقویة مرامه، کما هو ظاهر عبارة المؤلّف قدّس سرّه</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 أیّ شرح من شروح الجعفریة</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الناس یستنجون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ظاهر عبارة الشرائع و ما ضاهاها کون الحکم المذکور فی غیر المتعدّی، کما صرّح به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 قطعا</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الشهید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السیّد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المستند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بل نسبه جماعة إلی المشهور، و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الشهرة علیه عن جماعة</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حسنة ابن المغیرة،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اللازم، صححناه للسیاق</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علیها فی المفاتیح فی أحکام المتخلّی، و أمّا فی شرحها فوجدناها کما نقل، انظر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أمّا الشهید الثانی فلم نجد فی کتبه التصریح به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یتمّ الکلام إلّا بهذه الزیادة، و لعلّها سقطت فی الاستنساخ</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من حکی عنه ذلک، عدا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 اختلاف فی العبارة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من الزیادة</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تصحیف، لعدم تقدّم کلام من الفقیه ظاهر فی الحکم، بل تقدّم عن المقنعة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اعتبار العدد، لظاهر الأخبار</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المسنون فی عدد الأحجار ثلاثة</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الفاضل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فهد الحلیّ فی 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المفاتیح للوحید البهبهانی، انظر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 فی الصفحة السابقة</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کتاب الطهارة،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قد تمسّک فیهما بإطلاق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حسنة ابن المغیرة المتقدّمة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المفید و ابن حمزة، المتقدّم کلامهما آنفا</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المحدّث البحرانی فی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التذکرة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من الإجماع، نعم هو موجود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المناهی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أمّا ما رواه فی المجالس فلیس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کتاب الطهارة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أمرنا رسول اللّٰه صلّی اللّٰه علیه و آله و سلّم أن نستنجی بثلاثة أحجار لیس فیها رجیع و لا عظم</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برجیع دابّة أو عظم، فانّ محمّدا صلّی اللّٰه علیه و آله و سلّم منه بری‌ء</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 المصادر</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الشهید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التخلّی</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اختلاف، و المتن المذکور موافق لمرسل الفقیه</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عدم ارتباط هذه الفقرة بمسألة تغطیة الرأس المبحوث عنها هنا</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لیس فی الباب ما یتضمّن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 بیت</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الشهید الثانی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المحقّق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الفاضل فی 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عنوان، الباب</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نتر</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جماعة</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المعقوفتین لیس فی الوسائل</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حدیث الأربعمائة،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تکون الشجرة و النخلة أنسا، و هکذا فی سائر النسخ، إلّا أنّ فیها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أنّها مصحّفة، و ما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یأنس به الإنسان، و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الوحشة، و هو مصدر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 و أنسه، انظر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ذیل الحدیث الأول</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صحیحة عاصم بن حمید، المتقدّمة فی الصفحة السابقة</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السیّد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الطباطبائی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صاحب الجواهر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الخصال</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و رواه 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 اختلاف یسیر، و المتن المذکور مطابق لما رواه الصدوق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صحیحة الفضیل، کما فی التهذیب و الوسائل</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الإسناد إلی رسول اللّٰه صلّی اللّٰه علیه و آله و سلّم موجود فی الاستبصار، دون التهذیب و الوسائل</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الخصال</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حارّ</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المحدّث البحرانی فی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ما لا یخفی</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الوسائل، الباب المتقدّم،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بأس إذا کان الیسار معتلّة</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یدلّ علی عدم التحویل عند الاستنجاء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حکی نحوه فی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ریاض المسائل، و استبعده</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علی بیان الجواز و نفی التحریم دون الکراهة، کما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انا لم نجزم بکونها من المؤلّف قدّس سرّه لم نثبتها فی المتن</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الشهید فی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نسبه فی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بعض</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مصابیح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هذه الفقرة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آیة 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یعنونها المؤلّف قدّس سرّه و لعلّه اکتفی بذکر روایة عمر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المتضمنة لها</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 السابقة</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البحرانی فی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صحیحة محمّد بن مسلم و روایة أبی بصیر المتقدّمتین آنفا، رواهما الصدوق فی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فوتها</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2.jpeg"/><Relationship Id="rId478" Type="http://schemas.openxmlformats.org/officeDocument/2006/relationships/image" Target="media/image2.jpeg"/><Relationship Id="rId479" Type="http://schemas.openxmlformats.org/officeDocument/2006/relationships/footer" Target="footer472.xml"/><Relationship Id="rId480" Type="http://schemas.openxmlformats.org/officeDocument/2006/relationships/footnotes" Target="footnotes.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478</Pages>
  <Words>86770</Words>
  <Characters>357561</Characters>
  <CharactersWithSpaces>441404</CharactersWithSpaces>
  <Paragraphs>2928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2026-08-24T00:06:06Z</dcterms:created>
  <dc:creator>ghaemiyeh.com</dc:creator>
  <dc:description/>
  <dc:language>en-US</dc:language>
  <cp:lastModifiedBy/>
  <dcterms:modified xsi:type="dcterms:W3CDTF">2026-08-24T03:36:21Z</dcterms:modified>
  <cp:revision>1</cp:revision>
  <dc:subject/>
  <dc:title>کتاب الطهاره جلد 1</dc:title>
</cp:coreProperties>
</file>

<file path=docProps/custom.xml><?xml version="1.0" encoding="utf-8"?>
<Properties xmlns="http://schemas.openxmlformats.org/officeDocument/2006/custom-properties" xmlns:vt="http://schemas.openxmlformats.org/officeDocument/2006/docPropsVTypes"/>
</file>